
<file path=[Content_Types].xml><?xml version="1.0" encoding="utf-8"?>
<Types xmlns="http://schemas.openxmlformats.org/package/2006/content-types">
  <Default Extension="bin" ContentType="application/vnd.openxmlformats-officedocument.spreadsheetml.printerSettings"/>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docMetadata/LabelInfo.xml" ContentType="application/vnd.ms-office.classificationlabel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20/02/relationships/classificationlabels" Target="docMetadata/LabelInfo.xml"/><Relationship Id="rId1" Type="http://schemas.openxmlformats.org/officeDocument/2006/relationships/officeDocument" Target="xl/workbook.xml"/><Relationship Id="rId5" Type="http://schemas.openxmlformats.org/officeDocument/2006/relationships/custom-properties" Target="docProps/custom.xml"/><Relationship Id="rId4" Type="http://schemas.openxmlformats.org/officeDocument/2006/relationships/extended-properties" Target="docProps/app.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xmlns:xr="http://schemas.microsoft.com/office/spreadsheetml/2014/revision" xmlns:xr6="http://schemas.microsoft.com/office/spreadsheetml/2016/revision6" xmlns:xr10="http://schemas.microsoft.com/office/spreadsheetml/2016/revision10" xmlns:xr2="http://schemas.microsoft.com/office/spreadsheetml/2015/revision2" mc:Ignorable="x15 xr xr6 xr10 xr2">
  <fileVersion appName="xl" lastEdited="7" lowestEdited="6" rupBuild="28730"/>
  <workbookPr/>
  <mc:AlternateContent xmlns:mc="http://schemas.openxmlformats.org/markup-compatibility/2006">
    <mc:Choice Requires="x15">
      <x15ac:absPath xmlns:x15ac="http://schemas.microsoft.com/office/spreadsheetml/2010/11/ac" url="R:\Mijn Documenten\1 KvdK TK RvS kiwi\Liedeke Linda - Uitvoeringswet methaanverordening\Voordracht\gelakte adviezen\"/>
    </mc:Choice>
  </mc:AlternateContent>
  <xr:revisionPtr revIDLastSave="0" documentId="8_{392A1EC1-946D-4E6D-8640-F07814B5955E}" xr6:coauthVersionLast="47" xr6:coauthVersionMax="47" xr10:uidLastSave="{00000000-0000-0000-0000-000000000000}"/>
  <bookViews>
    <workbookView xWindow="-110" yWindow="-110" windowWidth="19420" windowHeight="10420" xr2:uid="{00000000-000D-0000-FFFF-FFFF00000000}"/>
  </bookViews>
  <sheets>
    <sheet name="wetsartikel" sheetId="2" r:id="rId1"/>
  </sheets>
  <calcPr calcId="191028"/>
  <extLst>
    <ext xmlns:x15="http://schemas.microsoft.com/office/spreadsheetml/2010/11/main" uri="{140A7094-0E35-4892-8432-C4D2E57EDEB5}">
      <x15:workbookPr chartTrackingRefBase="1"/>
    </ext>
    <ext xmlns:xcalcf="http://schemas.microsoft.com/office/spreadsheetml/2018/calcfeatures" uri="{B58B0392-4F1F-4190-BB64-5DF3571DCE5F}">
      <xcalcf:calcFeatures>
        <xcalcf:feature name="microsoft.com:RD"/>
        <xcalcf:feature name="microsoft.com:Single"/>
        <xcalcf:feature name="microsoft.com:FV"/>
        <xcalcf:feature name="microsoft.com:CNMTM"/>
        <xcalcf:feature name="microsoft.com:LET_WF"/>
        <xcalcf:feature name="microsoft.com:LAMBDA_WF"/>
        <xcalcf:feature name="microsoft.com:ARRAYTEXT_WF"/>
      </xcalcf:calcFeatures>
    </ext>
  </extLst>
</workbook>
</file>

<file path=xl/sharedStrings.xml><?xml version="1.0" encoding="utf-8"?>
<sst xmlns="http://schemas.openxmlformats.org/spreadsheetml/2006/main" count="115" uniqueCount="73">
  <si>
    <t>nr</t>
  </si>
  <si>
    <t>wet</t>
  </si>
  <si>
    <t>artikel</t>
  </si>
  <si>
    <t>Tekst KGG (zwart) en voorgestelde tekst door SodM (in rood en doorgestreept tov KGG tekst)</t>
  </si>
  <si>
    <t xml:space="preserve">Oordeel SodM: is het uitvoerbaar, handhaafbaar en wat is impact op het werkprogramma? </t>
  </si>
  <si>
    <r>
      <t>Onderwerp Fakkelen  - conflicterende regels Methaanverordening-Mijnbouwbesluit</t>
    </r>
    <r>
      <rPr>
        <sz val="11"/>
        <color theme="1"/>
        <rFont val="Calibri"/>
        <family val="2"/>
        <scheme val="minor"/>
      </rPr>
      <t xml:space="preserve">
1) De huidige wettelijke eisen over fakkelen uit het Mijnbouwbesluit zijn niet conflicterend met de Methaanverordening. Artikel 38 en 84 in het Mijnbouwbesluit zijn echter ruim in vergelijking met de Methaanverordening die striktere en duidelijke regels verschaft m.b.t. het afblazen en affakkelen. De verordening is veel specifieker onder welke omstandigheden afblazen en affakkelen wordt toegestaan, doordat in de verordening een limitatieve lijst is opgenomen van specifieke situaties waarin affakkelen/afblazen wordt toegestaan. Ook wordt in de verordening een voorkeur uitgesproken voor affakkelen: er mag alleen nog worden afgeblazen als affakkelen technisch niet mogelijk is of mogelijk voor gevaar zorgt. Ook worden specifieke eisen aan affakkelinstallaties gesteld, waaronder een wekelijkse inspectie. Het Mijnbouwbesluit beperkt zich in artikel 38 en 84 tot een verbod voor afblazen of affakkelen in de open lucht, tenzij dit onvermijdelijk is voor een normale bedrijfsvoering in het mijnbouwwerk. Specifieke vereisten, zoals deze wel in de verordening zijn opgenomen, kent het Mijnbouwbesluit niet. 
Hoewel de regels niet met elkaar conflicteren, is het voor de sector in de praktijk niet praktisch om deze regels naast elkaar te laten bestaan, nu de sector zowel aan de regels van het Mijnbouwbesluit met betrekking tot afblazen/affakkelen moeten voldoen als voldoen aan de strengere vereisten in de verordening. Dit gelt niet voor de netbeheerders nu de huidige Gaswet affakkelen en afblazen niet kent. Het gaat dus om andere exploitanten, anders dan netbeheerders. 
2) Ervanuitgaande dat EU-regelgeving leidend is en de sector de strengere regels in de verordening moet naleven, is het gevolg dat SodM zich afvraagt welke situaties dan nog onder de uitoefening in een normale bedrijfsvoering vallen, conform het Mijnbouwbesluit? Dat twee kaders nu naast elkaar bestaan, maakt dat het voor </t>
    </r>
    <r>
      <rPr>
        <sz val="11"/>
        <rFont val="Calibri"/>
        <family val="2"/>
        <scheme val="minor"/>
      </rPr>
      <t>SodM ook lastig uitvoerbaar en handhaafbaar is.</t>
    </r>
    <r>
      <rPr>
        <sz val="11"/>
        <color theme="1"/>
        <rFont val="Calibri"/>
        <family val="2"/>
        <scheme val="minor"/>
      </rPr>
      <t xml:space="preserve">
3) Om die reden zouden artikel 38 en 84 van de Mijnbouwbesluit geschrapt kunnen worden. Voor zoutwinning is dit niet relevant. Echter, voor geothermie zou dit niet gescharpt moeten worden.  SodM vraagt om verduidelijking indien haar keuze blijft om de huidige artikelen in de Mijnbouwbesluit te behouden en hoe deze kaders naast elkaar dienen te bestaan, met het ook op de uitvoerbaarheid voor de sector.</t>
    </r>
    <r>
      <rPr>
        <b/>
        <sz val="11"/>
        <color theme="1"/>
        <rFont val="Calibri"/>
        <family val="2"/>
        <scheme val="minor"/>
      </rPr>
      <t xml:space="preserve">
</t>
    </r>
    <r>
      <rPr>
        <sz val="11"/>
        <color theme="1"/>
        <rFont val="Calibri"/>
        <family val="2"/>
        <scheme val="minor"/>
      </rPr>
      <t xml:space="preserve">4) </t>
    </r>
    <r>
      <rPr>
        <b/>
        <sz val="11"/>
        <color theme="1"/>
        <rFont val="Calibri"/>
        <family val="2"/>
        <scheme val="minor"/>
      </rPr>
      <t xml:space="preserve">Tekst pagina 6 MvT: </t>
    </r>
    <r>
      <rPr>
        <sz val="11"/>
        <color theme="1"/>
        <rFont val="Calibri"/>
        <family val="2"/>
        <scheme val="minor"/>
      </rPr>
      <t xml:space="preserve">de tekst over fakkelen, namelijk 'dat in Nederland zijn alle fakkels verwijderd in de jaren ’90 van de vorige eeuw met als doel dat de volgeltrek niet verstoord wordt'. SodM merkt op dat dit alleen geldt voor de offshore situatie en niet voor de onshore situatie. Netbeheerders hebben nog fakkels. De </t>
    </r>
    <r>
      <rPr>
        <b/>
        <sz val="11"/>
        <color theme="1"/>
        <rFont val="Calibri"/>
        <family val="2"/>
        <scheme val="minor"/>
      </rPr>
      <t>tekst op pagina 6</t>
    </r>
    <r>
      <rPr>
        <sz val="11"/>
        <color theme="1"/>
        <rFont val="Calibri"/>
        <family val="2"/>
        <scheme val="minor"/>
      </rPr>
      <t xml:space="preserve"> van de toelichting is niet duidelijk gekoppeld aan offshore. SodM vraagt KGG dit te verduidelijken. </t>
    </r>
  </si>
  <si>
    <t>mbw</t>
  </si>
  <si>
    <t>I</t>
  </si>
  <si>
    <t>A
Onder vervanging van de punt aan het slot van artikel 1, onderdeel aq, door een puntkomma wordt een onderdeel toegevoegd, luidende:
ar. methaanverordening: Verordening (EU) 2024/1787 van het Europees Parlement en de Raad van 13 juni 2024 inzake de vermindering van methaanemissies in de energiesector en tot wijziging van Verordening (EU) 2019/942.</t>
  </si>
  <si>
    <t>Akkoord, geen opmerkingen vanuit SodM</t>
  </si>
  <si>
    <t xml:space="preserve">B
Na artikel 44c worden twee artikelen ingevoegd, luidende: </t>
  </si>
  <si>
    <t>X</t>
  </si>
  <si>
    <r>
      <t>Artikel 44d
1. De artikelen 44, tweede tot en met vijfde lid, en 44a tot en met 44</t>
    </r>
    <r>
      <rPr>
        <sz val="11"/>
        <color rgb="FFFF0000"/>
        <rFont val="Calibri"/>
        <family val="2"/>
        <scheme val="minor"/>
      </rPr>
      <t>b</t>
    </r>
    <r>
      <rPr>
        <strike/>
        <sz val="11"/>
        <color theme="1"/>
        <rFont val="Calibri"/>
        <family val="2"/>
        <scheme val="minor"/>
      </rPr>
      <t>c</t>
    </r>
    <r>
      <rPr>
        <sz val="11"/>
        <color theme="1"/>
        <rFont val="Calibri"/>
        <family val="2"/>
        <scheme val="minor"/>
      </rPr>
      <t xml:space="preserve"> zijn niet van toepassing op inactieve putten en tijdelijk gedichte putten als bedoeld in artikel 2, onder 38 en 39, van de methaanverordening. 
2. Een exploitant van een inactieve put of tijdelijk gedichte put als bedoeld in artikel 2, onder 38 en 39, van de methaanverordening, dient het beperkingsplan als bedoeld in artikel 18, negende lid, van de methaanverordening in bij Onze Minister.
3. Indien een opsporingsvergunning of winningsvergunning voor koolwaterstoffen haar geldigheid heeft verloren, rusten de verplichtingen van het tweede lid op de laatste houder van die vergunning. Indien een vergunning werd gehouden door meer dan één natuurlijke persoon of rechtspersoon, rusten de verplichtingen van het tweede lid op de laatstelijk op grond van artikel 22 aangewezen persoon.  </t>
    </r>
  </si>
  <si>
    <r>
      <rPr>
        <b/>
        <sz val="11"/>
        <color theme="1"/>
        <rFont val="Calibri"/>
        <family val="2"/>
        <scheme val="minor"/>
      </rPr>
      <t>1) Met betrekking tot artikel 44, tweede tot en met vijfde lid: eens om</t>
    </r>
    <r>
      <rPr>
        <b/>
        <u/>
        <sz val="11"/>
        <color theme="1"/>
        <rFont val="Calibri"/>
        <family val="2"/>
        <scheme val="minor"/>
      </rPr>
      <t xml:space="preserve"> artikel 44 lid 2 en lid 5</t>
    </r>
    <r>
      <rPr>
        <b/>
        <sz val="11"/>
        <color theme="1"/>
        <rFont val="Calibri"/>
        <family val="2"/>
        <scheme val="minor"/>
      </rPr>
      <t xml:space="preserve"> niet van toepassing te verklaren. 
SodM is hiermee akkoord,</t>
    </r>
    <r>
      <rPr>
        <b/>
        <sz val="11"/>
        <color theme="9"/>
        <rFont val="Calibri"/>
        <family val="2"/>
        <scheme val="minor"/>
      </rPr>
      <t xml:space="preserve"> </t>
    </r>
    <r>
      <rPr>
        <b/>
        <sz val="11"/>
        <rFont val="Calibri"/>
        <family val="2"/>
        <scheme val="minor"/>
      </rPr>
      <t>behoudens het niet van toepassing verklaren van artikel 44c.</t>
    </r>
    <r>
      <rPr>
        <b/>
        <sz val="11"/>
        <color theme="1"/>
        <rFont val="Calibri"/>
        <family val="2"/>
        <scheme val="minor"/>
      </rPr>
      <t xml:space="preserve"> Enkele opmerkingen bij de overige leden.</t>
    </r>
    <r>
      <rPr>
        <sz val="11"/>
        <color theme="1"/>
        <rFont val="Calibri"/>
        <family val="2"/>
        <scheme val="minor"/>
      </rPr>
      <t xml:space="preserve">
2) SodM merkt bi</t>
    </r>
    <r>
      <rPr>
        <u/>
        <sz val="11"/>
        <color theme="1"/>
        <rFont val="Calibri"/>
        <family val="2"/>
        <scheme val="minor"/>
      </rPr>
      <t>j artikel 44 lid 3</t>
    </r>
    <r>
      <rPr>
        <sz val="11"/>
        <color theme="1"/>
        <rFont val="Calibri"/>
        <family val="2"/>
        <scheme val="minor"/>
      </rPr>
      <t xml:space="preserve"> op dat in de huidige situatie het verwijderingsplan op de gehele installatie slaat. Is geborgd/duidelijk wat onderdeel is van de put en wat niet? Het huidige verwijderingsplan gaat uit van het afbreken van de putkelder en de locatie. Is dat tevens de reikwijdte die de methaanverdening beoogt?</t>
    </r>
    <r>
      <rPr>
        <b/>
        <sz val="11"/>
        <color theme="1"/>
        <rFont val="Calibri"/>
        <family val="2"/>
        <scheme val="minor"/>
      </rPr>
      <t xml:space="preserve"> SodM verzoekt KGG om dit te verduidelijken in de toelichting. </t>
    </r>
    <r>
      <rPr>
        <sz val="11"/>
        <color theme="1"/>
        <rFont val="Calibri"/>
        <family val="2"/>
        <scheme val="minor"/>
      </rPr>
      <t xml:space="preserve">
Verder gaat </t>
    </r>
    <r>
      <rPr>
        <u/>
        <sz val="11"/>
        <color theme="1"/>
        <rFont val="Calibri"/>
        <family val="2"/>
        <scheme val="minor"/>
      </rPr>
      <t xml:space="preserve">bijlage V </t>
    </r>
    <r>
      <rPr>
        <sz val="11"/>
        <color theme="1"/>
        <rFont val="Calibri"/>
        <family val="2"/>
        <scheme val="minor"/>
      </rPr>
      <t xml:space="preserve">van de verordening in op de beperkingsplannen voor inactieve putten, tijdelijk gedichte putten, permanent gedichte en verlaten putten zoals bedoeld in artikel 18 van de verordening. De verordening noemt in bijlage V een element, namelijk de verwachte einddatum van maatregelen, onder andere saneringsmaatregelen. Is dit gekoppeld aan de einddatum (maximaal) voor uitstel van uitvoeren van het beperkingsplan, inhoudende max 3 jaar na datum indienen verslag of niet? Saneren gaat in de praktijk namelijk niet zo snel. </t>
    </r>
    <r>
      <rPr>
        <b/>
        <sz val="11"/>
        <color theme="1"/>
        <rFont val="Calibri"/>
        <family val="2"/>
        <scheme val="minor"/>
      </rPr>
      <t>SodM vraagt KGG hoe zij dit ziet in de praktijk en vraagt verduidelijking in de toelichting op dit punt.</t>
    </r>
    <r>
      <rPr>
        <sz val="11"/>
        <color theme="1"/>
        <rFont val="Calibri"/>
        <family val="2"/>
        <scheme val="minor"/>
      </rPr>
      <t xml:space="preserve">
3)  Met betrekking tot </t>
    </r>
    <r>
      <rPr>
        <u/>
        <sz val="11"/>
        <color theme="1"/>
        <rFont val="Calibri"/>
        <family val="2"/>
        <scheme val="minor"/>
      </rPr>
      <t>artikel 44 lid 4</t>
    </r>
    <r>
      <rPr>
        <sz val="11"/>
        <color theme="1"/>
        <rFont val="Calibri"/>
        <family val="2"/>
        <scheme val="minor"/>
      </rPr>
      <t xml:space="preserve"> merkt SodM op dat het logisch is dat lid 4 niet van toepassing is, echter krijgt op dit moment verontreiningen (afvalwater) aandacht in het verwijderingsplan. Dit lijkt niet onderdeel te zijn van de verordening en vraagt van SodM extra aandacht hoe een onderneming omgaat met afvalwater van de put. 
4) </t>
    </r>
    <r>
      <rPr>
        <u/>
        <sz val="11"/>
        <color theme="1"/>
        <rFont val="Calibri"/>
        <family val="2"/>
        <scheme val="minor"/>
      </rPr>
      <t>Artikel 44a</t>
    </r>
    <r>
      <rPr>
        <sz val="11"/>
        <color theme="1"/>
        <rFont val="Calibri"/>
        <family val="2"/>
        <scheme val="minor"/>
      </rPr>
      <t xml:space="preserve">: eens dat </t>
    </r>
    <r>
      <rPr>
        <u/>
        <sz val="11"/>
        <color theme="1"/>
        <rFont val="Calibri"/>
        <family val="2"/>
        <scheme val="minor"/>
      </rPr>
      <t>artikel 44 lid 1, lid 3, lid 5 en lid 6</t>
    </r>
    <r>
      <rPr>
        <sz val="11"/>
        <color theme="1"/>
        <rFont val="Calibri"/>
        <family val="2"/>
        <scheme val="minor"/>
      </rPr>
      <t xml:space="preserve"> niet van toepassing worden verklaard. Enkele opmerkingen voor de overige leden.
Met betrekking tot</t>
    </r>
    <r>
      <rPr>
        <u/>
        <sz val="11"/>
        <color theme="1"/>
        <rFont val="Calibri"/>
        <family val="2"/>
        <scheme val="minor"/>
      </rPr>
      <t xml:space="preserve"> lid 2</t>
    </r>
    <r>
      <rPr>
        <sz val="11"/>
        <color theme="1"/>
        <rFont val="Calibri"/>
        <family val="2"/>
        <scheme val="minor"/>
      </rPr>
      <t xml:space="preserve"> is voor SodM onduidelijk hoe dat zit met hergebruik. Daar gaat de verordening niet vanuit, maar de Mbw wel en dat zou nu geschrapt worden. SodM vraagt zich af hoe KGG dit ziet. Uitvoeringstechnisch gezien hebben wij geen bezwaren tegen het niet van toepassing verklaren van dit lid. </t>
    </r>
    <r>
      <rPr>
        <sz val="11"/>
        <rFont val="Calibri"/>
        <family val="2"/>
        <scheme val="minor"/>
      </rPr>
      <t xml:space="preserve">
Met betrekking tot </t>
    </r>
    <r>
      <rPr>
        <u/>
        <sz val="11"/>
        <rFont val="Calibri"/>
        <family val="2"/>
        <scheme val="minor"/>
      </rPr>
      <t>lid 4</t>
    </r>
    <r>
      <rPr>
        <sz val="11"/>
        <rFont val="Calibri"/>
        <family val="2"/>
        <scheme val="minor"/>
      </rPr>
      <t xml:space="preserve"> willen wij opmerken dat de termijn van saneringsmaatregelen voor SodM onduidelijk is. Zie ook de opmerking van SodM hierover bij artikel 44 lid 3 en bijlage V hierboven.</t>
    </r>
    <r>
      <rPr>
        <sz val="11"/>
        <color theme="1"/>
        <rFont val="Calibri"/>
        <family val="2"/>
        <scheme val="minor"/>
      </rPr>
      <t xml:space="preserve">
5) </t>
    </r>
    <r>
      <rPr>
        <u/>
        <sz val="11"/>
        <color theme="1"/>
        <rFont val="Calibri"/>
        <family val="2"/>
        <scheme val="minor"/>
      </rPr>
      <t>Artikel 44b, leden 1 tot en met 4</t>
    </r>
    <r>
      <rPr>
        <sz val="11"/>
        <color theme="1"/>
        <rFont val="Calibri"/>
        <family val="2"/>
        <scheme val="minor"/>
      </rPr>
      <t xml:space="preserve">. Eens dat deze niet van toepassing worden verklaard. </t>
    </r>
    <r>
      <rPr>
        <b/>
        <sz val="11"/>
        <color theme="1"/>
        <rFont val="Calibri"/>
        <family val="2"/>
        <scheme val="minor"/>
      </rPr>
      <t>SodM akkoord.</t>
    </r>
    <r>
      <rPr>
        <sz val="11"/>
        <color theme="1"/>
        <rFont val="Calibri"/>
        <family val="2"/>
        <scheme val="minor"/>
      </rPr>
      <t xml:space="preserve">
</t>
    </r>
    <r>
      <rPr>
        <b/>
        <sz val="11"/>
        <color theme="1"/>
        <rFont val="Calibri"/>
        <family val="2"/>
        <scheme val="minor"/>
      </rPr>
      <t>Met betreking tot artikel 44c</t>
    </r>
    <r>
      <rPr>
        <sz val="11"/>
        <color theme="1"/>
        <rFont val="Calibri"/>
        <family val="2"/>
        <scheme val="minor"/>
      </rPr>
      <t xml:space="preserve">: SodM begrijpt niet waarom dit niet van toepassing wordt verklaard. Dit gaat buitenom de verordening nu die niet over aardwarmte gaat. 
</t>
    </r>
    <r>
      <rPr>
        <b/>
        <sz val="11"/>
        <color theme="1"/>
        <rFont val="Calibri"/>
        <family val="2"/>
        <scheme val="minor"/>
      </rPr>
      <t>SodM ziet dit graag verduidelijkt vanuit KGG en stelt voor dit aan te passen in het artikel (zie voorstel van SodM in rood, eerste lid) en vermoedt dat het hier om een verschrijving gaat.</t>
    </r>
    <r>
      <rPr>
        <sz val="11"/>
        <color theme="1"/>
        <rFont val="Calibri"/>
        <family val="2"/>
        <scheme val="minor"/>
      </rPr>
      <t xml:space="preserve">
6) </t>
    </r>
    <r>
      <rPr>
        <u/>
        <sz val="11"/>
        <color theme="1"/>
        <rFont val="Calibri"/>
        <family val="2"/>
        <scheme val="minor"/>
      </rPr>
      <t>Met betrekking tot artikel 44d lid 2:</t>
    </r>
    <r>
      <rPr>
        <sz val="11"/>
        <color theme="1"/>
        <rFont val="Calibri"/>
        <family val="2"/>
        <scheme val="minor"/>
      </rPr>
      <t xml:space="preserve">
Inactief en tijdelijke gedicht: valt onder exploitant alle veratnwoordelijke partijen of alleen beperkt tot de exploitant? Waarom niet gekozen voor vergunninghouder? 
Als er geen vergunninghouder meer is, wie is dan verantwoordelijk?
Weesputten: vallen die hier ook onder, want die hebben geen eigenaar meer. Moeten die iets indienen of niet? Of hoeven die alleen maar geinventariseerd te worden?
Wie is er dan verantwoordelijk voor als er een lekkage is? </t>
    </r>
    <r>
      <rPr>
        <b/>
        <sz val="11"/>
        <color theme="1"/>
        <rFont val="Calibri"/>
        <family val="2"/>
        <scheme val="minor"/>
      </rPr>
      <t xml:space="preserve">SodM ziet dit graag verduidelijkt in de toelichting.
</t>
    </r>
    <r>
      <rPr>
        <sz val="11"/>
        <color theme="1"/>
        <rFont val="Calibri"/>
        <family val="2"/>
        <scheme val="minor"/>
      </rPr>
      <t xml:space="preserve">
7) </t>
    </r>
    <r>
      <rPr>
        <u/>
        <sz val="11"/>
        <color theme="1"/>
        <rFont val="Calibri"/>
        <family val="2"/>
        <scheme val="minor"/>
      </rPr>
      <t>Met betrekking tot art. 44d lid 3: akkoord, maar niet met betrekking tot weesputten.</t>
    </r>
    <r>
      <rPr>
        <sz val="11"/>
        <color theme="1"/>
        <rFont val="Calibri"/>
        <family val="2"/>
        <scheme val="minor"/>
      </rPr>
      <t xml:space="preserve">
Wie draagt de verantwoordelijkheid (denk ook aan nazorg en de verantwoordelijkheid) voor weesputten? Zie ook de opmerking hierboven bij artikel 44d lid 2.
</t>
    </r>
  </si>
  <si>
    <t xml:space="preserve">Artikel 44e
1. Onze Minister is de bevoegde instantie, bedoeld in artikel 18 van de methaanverordening. 
</t>
  </si>
  <si>
    <r>
      <t>1) SodM merkt op dat de lidstaat (lees: Minister) zich moet inspannen rondom de eisen voor putten, inhoudende het opleveren van een overzicht van putten + verantwoordelijkheid voor de naleving van de eisen in artikel 18 wanneer het gaat om verlaten putten (putten zonder eigenaar). In de uitvoeringswet is de minister aangewezen als de bevoegde instantie (</t>
    </r>
    <r>
      <rPr>
        <b/>
        <sz val="11"/>
        <color theme="1"/>
        <rFont val="Calibri"/>
        <family val="2"/>
        <scheme val="minor"/>
      </rPr>
      <t>pagina 45 van de toelichting</t>
    </r>
    <r>
      <rPr>
        <sz val="11"/>
        <color theme="1"/>
        <rFont val="Calibri"/>
        <family val="2"/>
        <scheme val="minor"/>
      </rPr>
      <t>)  en SodM als beoogd toezichthouder methaan voor verlaten en tijdelijk buiten gebruik gestelde putten (</t>
    </r>
    <r>
      <rPr>
        <b/>
        <sz val="11"/>
        <color theme="1"/>
        <rFont val="Calibri"/>
        <family val="2"/>
        <scheme val="minor"/>
      </rPr>
      <t>pagina 37 toelichting</t>
    </r>
    <r>
      <rPr>
        <sz val="11"/>
        <color theme="1"/>
        <rFont val="Calibri"/>
        <family val="2"/>
        <scheme val="minor"/>
      </rPr>
      <t xml:space="preserve">). SodM ziet graag verduidelijkt welke verantwoordelijkheid de Minister draagt met betrekking tot de verlaten en tijdelijk buiten gebruik gestelde putten in verhouding tot de bevoegdheid van SodM. </t>
    </r>
    <r>
      <rPr>
        <b/>
        <sz val="11"/>
        <color theme="1"/>
        <rFont val="Calibri"/>
        <family val="2"/>
        <scheme val="minor"/>
      </rPr>
      <t>SodM ziet dit graag verduidelijkt in de toelichting. Voorstel van SodM is om SodM als toezichthouder in artikel 44e te noemen.</t>
    </r>
    <r>
      <rPr>
        <sz val="11"/>
        <color theme="1"/>
        <rFont val="Calibri"/>
        <family val="2"/>
        <scheme val="minor"/>
      </rPr>
      <t xml:space="preserve">
2) Daarnaast merkt SodM op dat bepaald is in de verordening (artikel 18 lid 9) dat het beperkingsplan om inactieve putten en tijdelijk gedichte putten te herstellen, terug te winnen en permanent te dichten, binnen 12 maanden moet zijn uitgevoerd, tenzij uitstel wordt verleend en dat houdt in dat de maatregelen in het beperkingsplan niet later dan 3 jaar genomen zijn (3 jaar gerekend vanaf de datum van indienen van het eerste verslag). Hoewel de verordening op direct werkend is is, is dit in de praktijk onhaalbaar en legt dit op de sector een behoordelijke verplichting op om dit binnen dit korte tijdsbestek te verwezenlijken. 
</t>
    </r>
  </si>
  <si>
    <t>Artikel 44e
2. Onze Minister is de bevoegde instantie, bedoeld in de artikelen 25 en 26 van de methaanverordening voor gesloten en verlaten ondergrondse kolenmijnen.</t>
  </si>
  <si>
    <r>
      <t xml:space="preserve">1) SodM moet hier ook aangewezen worden als toezichthouder (op pagina 17 van de toelichting staat dat SodM wordt aangewezen als toezichthouder). Dat staat echter nog niet vast.  
Voorstel van SodM is om SodM als toezichthouder in artikel 44e te noemen.
2) SodM merkt op dat de conclusie van KGG </t>
    </r>
    <r>
      <rPr>
        <b/>
        <sz val="11"/>
        <color theme="1"/>
        <rFont val="Calibri"/>
        <family val="2"/>
        <scheme val="minor"/>
      </rPr>
      <t>op pagina 7 van de toelichting</t>
    </r>
    <r>
      <rPr>
        <sz val="11"/>
        <color theme="1"/>
        <rFont val="Calibri"/>
        <family val="2"/>
        <scheme val="minor"/>
      </rPr>
      <t xml:space="preserve"> deels klopt, nu een groot deel van de mijnen onder water staat in Limburg, maar in het oostelijke gedeelte niet. De inventarisatie van de lidstaat (Minister) zal dus laten zien dat mijnen in het oosten niet volledig zijn ondergelopen. Verwachtig is dat door geologische factoren die mijnen nooit helemaal onder zullen lopen. Dit betekent dat artikel 27 lid 3 van de verordening van toepassing zal zijn. Daarnaast is de conclusie over goed afgebakende emissiepuntbronnen op pagina 7 van de toelichting niet volledig juist. Er bestaan nog steeds schachten die nog niet definitief afgesloten zijn. Daarnaast worden ondergelopen steenkoolmijnen ook hergebruikt voor geothermische verwarming. Hoewel dit een gesloten systeem is, kan het onder ideale omstandigheden ook een emissiepuntbron zijn. En er zijn een aantal verticale boorgatten die ook emissiepunten zijn. De verklaring op pagina 7 van de toelichting dekt om die reden niet alle factoren in de Nederlandse situatie.
3) SodM ziet graag verduidelijkt wie verantwoordelijk is voor de verlaten mijnen. Er staat lidstaat, ervanuitgaande dat dat de Minister is. SodM wilt ervoor waken dat die verantwoordelijkheid verplaatst naar de toezichthouder.
4) SodM merkt verder op dat niet duidelijk is wat gemeten moet worden. In de praktijk is nauwelijks zichtbaar waar een kolenmijn gezeten heeft. Moeten ventilatie-gebieden/schachten gemeten worden? SodM benadrukt dat de te meten emissiepuntbronnen, zoals vermeld in Bijlage VIII van de verordening, voor de sector in de praktijk nauwelijks zichtbaar zijn. Hoe ziet KGG dit in de praktijk?</t>
    </r>
    <r>
      <rPr>
        <b/>
        <sz val="11"/>
        <color theme="1"/>
        <rFont val="Calibri"/>
        <family val="2"/>
        <scheme val="minor"/>
      </rPr>
      <t xml:space="preserve"> 
SodM vraagt KGG om verduidelijking in de toelichting hierover.</t>
    </r>
    <r>
      <rPr>
        <sz val="11"/>
        <color theme="1"/>
        <rFont val="Calibri"/>
        <family val="2"/>
        <scheme val="minor"/>
      </rPr>
      <t xml:space="preserve">
</t>
    </r>
  </si>
  <si>
    <t>C
Artikel 127 wordt als volgt gewijzigd:
1. In het eerste lid wordt onder vervanging van “, en” aan het slot van onderdeel a, subonderdeel 2°, door een puntkomma en onder vervanging van de puntkomma aan het slot van onderdeel a, subonderdeel 3°, door “, en”, een subonderdeel toegevoegd, luidende:
4°. het toezicht op de naleving van bij ministeriële regeling aan te wijzen voorschriften, gesteld krachtens de methaanverordening.
2. Onder vervanging van de punt aan het slot van het eerste lid, onderdeel k, door een puntkomma wordt een onderdeel toegevoegd, luidende:
l. Onze Minister tijdig te voorzien van informatie over de geconstateerde overtredingen van de methaanverordening, soort en hoogte van de opgelegde sancties en maatregelen en aan wie deze zijn opgelegd.</t>
  </si>
  <si>
    <r>
      <t xml:space="preserve">Met betrekking tot het onderwerp Bevoegdheidsverdeling, zoals ook genoteerd staat op pagina 17-18 van de MvT en pagina 36-37 van de toelichting. SodM akkoord, met enkele punten.
</t>
    </r>
    <r>
      <rPr>
        <sz val="11"/>
        <color theme="1"/>
        <rFont val="Calibri"/>
        <family val="2"/>
        <scheme val="minor"/>
      </rPr>
      <t xml:space="preserve">
1) </t>
    </r>
    <r>
      <rPr>
        <b/>
        <sz val="11"/>
        <color theme="1"/>
        <rFont val="Calibri"/>
        <family val="2"/>
        <scheme val="minor"/>
      </rPr>
      <t>Akkoord vanuit SodM</t>
    </r>
    <r>
      <rPr>
        <sz val="11"/>
        <color theme="1"/>
        <rFont val="Calibri"/>
        <family val="2"/>
        <scheme val="minor"/>
      </rPr>
      <t xml:space="preserve"> voor de verdeling van mijnbouwwerken.</t>
    </r>
    <r>
      <rPr>
        <b/>
        <sz val="11"/>
        <color theme="1"/>
        <rFont val="Calibri"/>
        <family val="2"/>
        <scheme val="minor"/>
      </rPr>
      <t xml:space="preserve"> 
</t>
    </r>
    <r>
      <rPr>
        <sz val="11"/>
        <color theme="1"/>
        <rFont val="Calibri"/>
        <family val="2"/>
        <scheme val="minor"/>
      </rPr>
      <t>2) Met betrekking tot de nog vast te stellen technische voorschriften (</t>
    </r>
    <r>
      <rPr>
        <u/>
        <sz val="11"/>
        <color theme="1"/>
        <rFont val="Calibri"/>
        <family val="2"/>
        <scheme val="minor"/>
      </rPr>
      <t>Hfd 6 artikel 32 Methaanverordening</t>
    </r>
    <r>
      <rPr>
        <sz val="11"/>
        <color theme="1"/>
        <rFont val="Calibri"/>
        <family val="2"/>
        <scheme val="minor"/>
      </rPr>
      <t xml:space="preserve">) is SodM graag betrokken als het bv. gaat om de betrouwbaarheid van de meetinstrumenten voor het meten van methaanemissies. Technische voorschriften (eisen) zijn belangrijk. </t>
    </r>
    <r>
      <rPr>
        <b/>
        <sz val="11"/>
        <color theme="1"/>
        <rFont val="Calibri"/>
        <family val="2"/>
        <scheme val="minor"/>
      </rPr>
      <t xml:space="preserve">SodM verzoekt aan KGG dat zij aandringt in Brussel dat zij de NEN-norm ( die breed in de sector wordt gedragen) in de praktijk laat toetsen, met betrekking tot het kunnen meten van methaan, en dit te laten uitvoeren door een onafhankelijke deskundige.
</t>
    </r>
    <r>
      <rPr>
        <sz val="11"/>
        <color theme="1"/>
        <rFont val="Calibri"/>
        <family val="2"/>
        <scheme val="minor"/>
      </rPr>
      <t xml:space="preserve">3) </t>
    </r>
    <r>
      <rPr>
        <u/>
        <sz val="11"/>
        <color theme="1"/>
        <rFont val="Calibri"/>
        <family val="2"/>
        <scheme val="minor"/>
      </rPr>
      <t>Rapportagemodel, artikel 12 van de Methaanverordening.</t>
    </r>
    <r>
      <rPr>
        <sz val="11"/>
        <color theme="1"/>
        <rFont val="Calibri"/>
        <family val="2"/>
        <scheme val="minor"/>
      </rPr>
      <t xml:space="preserve"> De EC stelt een rapportagemodel vast voor de verslagen die conform artikel 12 van de Methaanverordening ingediend moeten worden bij de bevoegde instantie. </t>
    </r>
    <r>
      <rPr>
        <b/>
        <sz val="11"/>
        <color theme="1"/>
        <rFont val="Calibri"/>
        <family val="2"/>
        <scheme val="minor"/>
      </rPr>
      <t>SodM benadrukt dat het belangrijk is HOE dit rapportagemodel wordt vastgesteld, met betrekking tot de uitvoering en aanlevering door de sector aan de bevoegde instantie.</t>
    </r>
    <r>
      <rPr>
        <sz val="11"/>
        <color theme="1"/>
        <rFont val="Calibri"/>
        <family val="2"/>
        <scheme val="minor"/>
      </rPr>
      <t xml:space="preserve"> De vorm van dit model maakt uit hoe dit wordt ontvangen door de bevoege instantie en hoe dit verwerkt wordt. Niet alleen is dit belangrijk voor de bruikbaarheid van dit model voor de sector, maar heeft dit direct effect op het goed kunnen ontvangen en verwerken van rapportages (verslagen) door de bevoegde instantie. Dit heeft een directe relatie met de capaciteit binnen de bevoegde instantie. </t>
    </r>
    <r>
      <rPr>
        <b/>
        <sz val="11"/>
        <color theme="1"/>
        <rFont val="Calibri"/>
        <family val="2"/>
        <scheme val="minor"/>
      </rPr>
      <t xml:space="preserve">
</t>
    </r>
  </si>
  <si>
    <t>D
In artikel 129, eerste lid, wordt “met uitzondering van het bij of krachtens artikel 52 bepaalde,” vervangen door “met uitzondering van het bij of krachtens artikel 52 bepaalde, en bij ministeriële regeling aan te wijzen voorschriften, gesteld krachtens de methaanverordening”.</t>
  </si>
  <si>
    <t>Zie hierboven de opmerkingen</t>
  </si>
  <si>
    <t>E
Na artikel 132 worden drie artikelen ingevoegd, luidende:</t>
  </si>
  <si>
    <r>
      <rPr>
        <b/>
        <sz val="11"/>
        <color theme="1"/>
        <rFont val="Calibri"/>
        <family val="2"/>
        <scheme val="minor"/>
      </rPr>
      <t xml:space="preserve">Algemene opmerkingen over sancties:
</t>
    </r>
    <r>
      <rPr>
        <sz val="11"/>
        <color theme="1"/>
        <rFont val="Calibri"/>
        <family val="2"/>
        <scheme val="minor"/>
      </rPr>
      <t xml:space="preserve">1) SodM heeft (nog) geen tekst van de ministeriële regeling gezien waarin voorschriften gesteld krachtens de verordening gekoppeld worden aan de toezicht- en handhavingsbevoegdheid. SodM hecht er belang aan deze op korte termijn te ontvangen, nu onduidelijk is welke sancties aan welke overtredingen worden gekoppeld. Dit is nogal bepalend  voor de inzet van SodM. SodM wil ook graag meepraten over inhoud van de ministeriële regeling.
2) In het verlengde hiervan merkt SodM op dat het onwenselijk is dat sancties 1 op 1 aan overtredingen van voorschriften worden gekoppeld. De verordening hanteert in artikel 33 een opsomming van meerdere handhavingsinstrumenten. SodM verwacht dit eveneens terug te zien in de ministeriele regeling waarin voorschriften gekoppeld zijn aan verschillende handhavingsbevoegdheden, zodat in de praktijk SodM als toezichthouder ruimte heeft om te kiezen uit breed pallet van instrumenten.  </t>
    </r>
    <r>
      <rPr>
        <b/>
        <sz val="11"/>
        <color theme="1"/>
        <rFont val="Calibri"/>
        <family val="2"/>
        <scheme val="minor"/>
      </rPr>
      <t xml:space="preserve">Uit het oogpunt van evenredige handhaving van de naleving van wet- en regelgeving, verzoekt SodM KGG dit ook op te nemen in de MvT als basisvoorwaarde, specifiek in HFD 10 met betrekking tot het handhavingsregime, zodat dit ook in lijn is met de methaanverordening.  
</t>
    </r>
  </si>
  <si>
    <t>132a</t>
  </si>
  <si>
    <t>Artikel 132a
De inspecteur-generaal der mijnen is bevoegd tot oplegging van een last onder bestuursdwang  ter handhaving van bij ministeriële regeling aan te wijzen voorschriften gesteld, krachtens de methaanverordening.</t>
  </si>
  <si>
    <r>
      <t>SodM merkt op dat de last onder bestuursdwang als handhavingsinstrument wel mogelijk is in de Mijnbouwwet, maar niet in de Energiewet. De uitleg is te lezen op pagina 40 van de toelichting, in paragraaf 10.1.3.</t>
    </r>
    <r>
      <rPr>
        <b/>
        <sz val="11"/>
        <color theme="1"/>
        <rFont val="Calibri"/>
        <family val="2"/>
        <scheme val="minor"/>
      </rPr>
      <t xml:space="preserve"> 
SodM kan de beredenering hier niet volledig in volgen en vraagt KGG om dit te verduidelijken waar de keuze op gebaseerd is om dit niet mogelijk te maken in de Energiewet.</t>
    </r>
  </si>
  <si>
    <t>132b</t>
  </si>
  <si>
    <t>1. De inspecteur-generaal der mijnen is bevoegd de overtreder per overtreding een bestuurlijke boete op te leggen in geval van overtreding van de bij ministeriële regeling aan te wijzen voorschriften gesteld krachtens de methaanverordening. 
2. De bestuurlijke boete bedraagt, in het geval de overtreder een natuurlijke persoon is, ten hoogste het bedrag voor de derde categorie, bedoeld in artikel 23, vierde lid, van het Wetboek van Strafrecht of, indien dat meer is, 20% van de jaarlijkse inkomsten in het voorafgaande kalenderjaar.
3. De bestuurlijke boete bedraagt, in het geval de overtreder een rechtspersoon is, ten hoogste het bedrag voor de zesde categorie, bedoeld in artikel 23, vierde lid, van het Wetboek van Strafrecht of, indien dat meer is, 20% van de jaarlijkse omzet in het voorafgaande boekjaar.</t>
  </si>
  <si>
    <t xml:space="preserve">SodM heeft geen MR ontvangen en kan om die reden hier ook geen reactie op geven. De verordening kent een opsomming van verschillende handhavingsinstrumenten en zal in de MR duidelijk worden welke instrumenten aan welke voorschriften worden gekoppeld. SodM verwacht dat in de MR, in lijn met de verordening, tevens een breder pallet aan handhavingsinstrumenten aan voorschriften wordt gekoppeld dan uitsluitend het toepassing van de bestuurlijke boete (zonder keuzevrijheid). Zoals eerder is aangegeven, is SodM in het handhavingsbeleid niet ingericht op dit instrument, en is het, gezien het punitieve karakter, juridisch complex qua toepassing en onderbouwing hiervan. </t>
  </si>
  <si>
    <t>132c</t>
  </si>
  <si>
    <t>Artikel 132c
1. De inspecteur-generaal der mijnen is bevoegd de sanctie op te leggen genoemd in artikel 33, tweede lid, onderdeel b, van de methaanverordening in geval van overtreding van bij ministeriële regeling aan te wijzen voorschriften gesteld krachtens de methaanverordening.
2. De inspecteur-generaal der mijnen is bevoegd de maatregel te treffen genoemd in artikel 33, tweede lid, onderdeel c, van de methaanverordening in geval van overtreding van bij ministeriële regeling aan te wijzen voorschriften gesteld krachtens de methaanverordening.</t>
  </si>
  <si>
    <r>
      <t xml:space="preserve">1) Zie ook de opmerking onder </t>
    </r>
    <r>
      <rPr>
        <b/>
        <sz val="11"/>
        <color theme="1"/>
        <rFont val="Calibri"/>
        <family val="2"/>
        <scheme val="minor"/>
      </rPr>
      <t>Algemene opmerkingen over sancties:</t>
    </r>
    <r>
      <rPr>
        <sz val="11"/>
        <color theme="1"/>
        <rFont val="Calibri"/>
        <family val="2"/>
        <scheme val="minor"/>
      </rPr>
      <t xml:space="preserve">  De verordening hanteert in artikel 33 een opsomming van meerdere handhavingsinstrumenten. SodM verwacht dit eveneens terug te zien in de ministeriele regeling waarin voorschriften gekoppeld zijn aan verschillende handhavingsbevoegdheden, zodat in de praktijk SodM als toezichthouder ruimte heeft om te kiezen uit breed pallet van instrumenten.  Uit het oogpunt van evenredige handhaving van de naleving van wet- en regelgeving, verzoekt SodM KGG dit ook op te nemen in de MvT als basisvoorwaarde, specifiek in HFD 10 met betrekking tot het handhavingsregime, zodat dit ook in lijn is met de methaanverordening.  
2) In de</t>
    </r>
    <r>
      <rPr>
        <u/>
        <sz val="11"/>
        <color theme="1"/>
        <rFont val="Calibri"/>
        <family val="2"/>
        <scheme val="minor"/>
      </rPr>
      <t xml:space="preserve"> MvT op pagina 40-41 </t>
    </r>
    <r>
      <rPr>
        <sz val="11"/>
        <color theme="1"/>
        <rFont val="Calibri"/>
        <family val="2"/>
        <scheme val="minor"/>
      </rPr>
      <t xml:space="preserve">wordt aangegeven dat de Awb de instrumenten de bestuurlijke inbeslagname (onderdeel b, artikel 33) en de waarschuwing of 
mededeling aan het publiek (onderdeel c, artikel 33) niet kent en zijn de grondslagen in dit wetsvoorstel opgenomen om direct te verwijzen naar de onderdelen in de verordening. </t>
    </r>
    <r>
      <rPr>
        <b/>
        <sz val="11"/>
        <color theme="1"/>
        <rFont val="Calibri"/>
        <family val="2"/>
        <scheme val="minor"/>
      </rPr>
      <t>SodM verzoekt KGG in de ministeriele regeling deze instrumenten wel nader uit te werken vanwege de uitvoerbaarheid en handhaafbaarheid voor de toezichthouder hiervan, zo ver dat mogelijk is om binnen de grenzen te blijven vanwege het overschrijfverbod.</t>
    </r>
    <r>
      <rPr>
        <sz val="11"/>
        <color theme="1"/>
        <rFont val="Calibri"/>
        <family val="2"/>
        <scheme val="minor"/>
      </rPr>
      <t xml:space="preserve">
3) Op pagina </t>
    </r>
    <r>
      <rPr>
        <u/>
        <sz val="11"/>
        <color theme="1"/>
        <rFont val="Calibri"/>
        <family val="2"/>
        <scheme val="minor"/>
      </rPr>
      <t>40 van de toelichting</t>
    </r>
    <r>
      <rPr>
        <sz val="11"/>
        <color theme="1"/>
        <rFont val="Calibri"/>
        <family val="2"/>
        <scheme val="minor"/>
      </rPr>
      <t xml:space="preserve"> staat deze tekst: 'In dit wetsvoorstel is als uitgangspunt gekozen voor de bestuurlijke boete'. </t>
    </r>
    <r>
      <rPr>
        <b/>
        <sz val="11"/>
        <color theme="1"/>
        <rFont val="Calibri"/>
        <family val="2"/>
        <scheme val="minor"/>
      </rPr>
      <t xml:space="preserve">Deze tekst vindt SodM enigzins verwarrend en verzoekt KGG dit aan te passen dat dit uitgangspunt gekozen is ten opzichte van de boete op grond van de Wed. </t>
    </r>
    <r>
      <rPr>
        <sz val="11"/>
        <color theme="1"/>
        <rFont val="Calibri"/>
        <family val="2"/>
        <scheme val="minor"/>
      </rPr>
      <t xml:space="preserve">
4) Daarnaast staat in </t>
    </r>
    <r>
      <rPr>
        <u/>
        <sz val="11"/>
        <color theme="1"/>
        <rFont val="Calibri"/>
        <family val="2"/>
        <scheme val="minor"/>
      </rPr>
      <t>de MvT op pagina 41</t>
    </r>
    <r>
      <rPr>
        <sz val="11"/>
        <color theme="1"/>
        <rFont val="Calibri"/>
        <family val="2"/>
        <scheme val="minor"/>
      </rPr>
      <t xml:space="preserve"> de volgende tekst: 'Ter uitvoering van de onderdelen a, d en e zijn in het wetsvoorstel de bevoegdheidsgrondslagen voor herstelsancties van de Awb opgenomen. Daarmee kan een (rechts)persoon worden gelast de inbreuk te beëindigen en wordt ook voorzien in een last onder dwangsom en bestuurlijke boete.'
</t>
    </r>
    <r>
      <rPr>
        <b/>
        <sz val="11"/>
        <color theme="1"/>
        <rFont val="Calibri"/>
        <family val="2"/>
        <scheme val="minor"/>
      </rPr>
      <t>SodM vraagt zich af of de geldboete onder e tevens gezien moet worden als een herstelsanctie en verzoekt KGG om deze tekst opnieuw te bekijken en zonodig aan te passen.</t>
    </r>
  </si>
  <si>
    <t>F 
Aan artikel 133, eerste lid, onderdeel b, wordt een subonderdeel toegevoegd, luidende:
3°. het toezicht op de naleving van de op grond van artikel 127, eerste lid, onderdeel a, subonderdeel 4° aangewezen voorschriften;</t>
  </si>
  <si>
    <r>
      <rPr>
        <b/>
        <sz val="11"/>
        <color theme="1"/>
        <rFont val="Calibri"/>
        <family val="2"/>
        <scheme val="minor"/>
      </rPr>
      <t>Akkoord met het (vooralsnog) niet heffen van retributie voor het toezicht op de verordening</t>
    </r>
    <r>
      <rPr>
        <sz val="11"/>
        <color theme="1"/>
        <rFont val="Calibri"/>
        <family val="2"/>
        <scheme val="minor"/>
      </rPr>
      <t xml:space="preserve"> (het toezicht op de methaanverordening wordt toegevoegd aan de opsomming in art. 133, lid 1 onder b. Daar staan de zaken die vrijgesteld zijn van retributies). SodM onderschrijft het uitgangspunt van het rapport Maat houden uit 2014 dat toezicht en handhaving in beginsel vanuit de algemene middelen moeten worden gefinancierd. En voegt daar nog aan toe dat het huidige stelsel van retributies voor toezicht, met name voor de categorie koolwaterstoffen, gecompliceerd is, en dat het toevoegen van nieuwe heffingsgrondslagen die complexiteit verder zal vergroten. </t>
    </r>
  </si>
  <si>
    <t>Energiewet</t>
  </si>
  <si>
    <t>A 
	In artikel 1 wordt in de alfabetische volgorde een begripsbepaling ingevoegd, luidende:
verordening 2024/1787: Verordening (EU) 2024/1787 van het Europees Parlement en de Raad van 13 juni 2024 inzake de vermindering van methaanemissies in de energiesector en tot wijziging van Verordening (EU) 2019/942;</t>
  </si>
  <si>
    <r>
      <rPr>
        <b/>
        <sz val="11"/>
        <color theme="1"/>
        <rFont val="Calibri"/>
        <family val="2"/>
        <scheme val="minor"/>
      </rPr>
      <t>Algemene opmerkingen:</t>
    </r>
    <r>
      <rPr>
        <sz val="11"/>
        <color theme="1"/>
        <rFont val="Calibri"/>
        <family val="2"/>
        <scheme val="minor"/>
      </rPr>
      <t xml:space="preserve">
1) Er is nog een mandaatbesluit nodig om SodM. </t>
    </r>
    <r>
      <rPr>
        <b/>
        <sz val="11"/>
        <color theme="1"/>
        <rFont val="Calibri"/>
        <family val="2"/>
        <scheme val="minor"/>
      </rPr>
      <t>SodM verzoekt KGG om dit mandaatbesluit (in concept) op korte termijn te ontvangen.</t>
    </r>
    <r>
      <rPr>
        <sz val="11"/>
        <color theme="1"/>
        <rFont val="Calibri"/>
        <family val="2"/>
        <scheme val="minor"/>
      </rPr>
      <t xml:space="preserve">
2) SodM ziet op </t>
    </r>
    <r>
      <rPr>
        <u/>
        <sz val="11"/>
        <color theme="1"/>
        <rFont val="Calibri"/>
        <family val="2"/>
        <scheme val="minor"/>
      </rPr>
      <t>pagina 17 van de toelichting</t>
    </r>
    <r>
      <rPr>
        <sz val="11"/>
        <color theme="1"/>
        <rFont val="Calibri"/>
        <family val="2"/>
        <scheme val="minor"/>
      </rPr>
      <t xml:space="preserve"> dat SodM de beoogd toezichthouder met betrekking tot de gasnetten (te weten: transmissiesysteem, distributiesysteem, interconnectorsysteem en gesloten systeem alleen voor gas). 
SodM is akkoord met deze  bevoegdheidsverdeling, maar heeft een vraag over het interconnectorsysteem.
Mag SodM uitgaan van alleen de BBL-leiding en dus uitgaan van alleen 1  interconnectorsysteem waar zij beoogd toezichthouder voor is? SodM ziet dit graag bevestigd.
3) Indien het antwoord 'ja' is op bovenstaande vraag, ziet SodM graag op </t>
    </r>
    <r>
      <rPr>
        <u/>
        <sz val="11"/>
        <color theme="1"/>
        <rFont val="Calibri"/>
        <family val="2"/>
        <scheme val="minor"/>
      </rPr>
      <t>pagina 37 van de toelichting</t>
    </r>
    <r>
      <rPr>
        <sz val="11"/>
        <color theme="1"/>
        <rFont val="Calibri"/>
        <family val="2"/>
        <scheme val="minor"/>
      </rPr>
      <t xml:space="preserve"> een aanpassing, namelijk in de tabel een aanpassing van het woord 'interconnectorsystemen'. Dat moet dan veranderd worden naar 'interconnectorsysteem'. 
4) In diezelfde tabel op </t>
    </r>
    <r>
      <rPr>
        <u/>
        <sz val="11"/>
        <color theme="1"/>
        <rFont val="Calibri"/>
        <family val="2"/>
        <scheme val="minor"/>
      </rPr>
      <t>pagina 37 verzoekt SodM bij punt 7</t>
    </r>
    <r>
      <rPr>
        <sz val="11"/>
        <color theme="1"/>
        <rFont val="Calibri"/>
        <family val="2"/>
        <scheme val="minor"/>
      </rPr>
      <t xml:space="preserve"> (gesloten systemen) en punt 8 (interconnectorensystemen) tevens dat SodM wordt aangewen als toezichthouder voor de veiligheid, zoals dat wel is gedaan bij punt 6 (transmissie- en distributiesystemen). 
5). Tot slot, en afgezien van bovenstaande punten, </t>
    </r>
    <r>
      <rPr>
        <b/>
        <sz val="11"/>
        <color theme="1"/>
        <rFont val="Calibri"/>
        <family val="2"/>
        <scheme val="minor"/>
      </rPr>
      <t>is SodM akkoord met beide tabellen.</t>
    </r>
  </si>
  <si>
    <t>5.18</t>
  </si>
  <si>
    <t>B
Artikel 5.18, eerste lid, wordt als volgt gewijzigd:
Onder vervanging van de punt aan het slot van onderdeel c door een puntkomma, wordt een onderdeel toegevoegd, luidende:
d. bij ministeriële regeling aan te wijzen voorschriften, gesteld krachtens verordening 2024/1787, voor zover deze handelen over een systeem voor gas, niet zijnde een gasopslag- of LNG-systeem.</t>
  </si>
  <si>
    <t>SodM akkoord met deze duidelijke bevoegheidsverdeling, maar heeft geen MR ontvangen om te zien welke handhavingsbevoegdheden aan welke voorschriften zijn gekoppeld.</t>
  </si>
  <si>
    <t>5.21</t>
  </si>
  <si>
    <t xml:space="preserve">C
Artikel 5.21 wordt als volgt gewijzigd:
1. Onder vervanging van de punt aan het slot van het eerste lid, onderdeel g, door een puntkomma wordt een onderdeel toegevoegd, luidende:
h. bij ministeriële regeling aan te wijzen voorschriften, gesteld krachtens verordening 2024/1787.
</t>
  </si>
  <si>
    <t>SodM heeft geen MR ontvangen en kan om die reden hier ook geen reactie op geven.</t>
  </si>
  <si>
    <t xml:space="preserve">
2. Na het vierde lid worden twee leden toegevoegd, luidende: 
5. De op grond van het eerste lid, onderdeel h, vast te stellen bestuurlijke boete bedraagt, in het geval de overtreder een natuurlijke persoon is, ten hoogste het bedrag voor de derde categorie, bedoeld in artikel 23, vierde lid, van het Wetboek van Strafrecht of, indien dat meer is, 20% van de jaarlijkse inkomsten in het voorafgaande kalenderjaar.
6. De op grond van het eerste lid, onderdeel h, vast te stellen bestuurlijke boete bedraagt, in het geval de overtreder een rechtspersoon is, ten hoogste het bedrag voor de zesde categorie, bedoeld in artikel 23, vierde lid, van het Wetboek van Strafrecht of, indien dat meer is, 20% van de jaarlijkse omzet in het voorafgaande boekjaar.</t>
  </si>
  <si>
    <t>SodM verwijst KGG naar de opmerking bij artikel 132b met betrekking tot de bestuurlijke boete.</t>
  </si>
  <si>
    <t>D
Na artikel 5.21 wordt een artikel ingevoegd, luidende:
Artikel 5.21a
1. Onze Minister kan de sanctie opleggen genoemd in artikel 33, tweede lid, onderdeel b, van verordening 2024/1787 in geval van overtreding van bij ministeriële regeling aan te wijzen voorschriften gesteld krachtens die verordening.
2. Onze Minister kan de maatregel treffen genoemd in artikel 33, tweede lid, onderdeel c, van verordening 2024/1787 in geval van overtreding van bij ministeriële regeling aan te wijzen voorschriften gesteld krachtens die verordening.</t>
  </si>
  <si>
    <t>Omgevingswet</t>
  </si>
  <si>
    <t>18.11</t>
  </si>
  <si>
    <t xml:space="preserve">Na artikel 18.11 wordt een artikel ingevoegd, luidende:
Artikel 18.11a (bestuurlijke boete bij overtreding methaanverordening) 
1. Het bevoegd gezag kan een bestuurlijke boete opleggen bij overtreding van bij ministeriële regeling aan te wijzen voorschriften, gesteld krachtens de methaanverordening. 
2. De bestuurlijke boete bedraagt, in het geval de overtreder een natuurlijke persoon is, ten hoogste het bedrag voor de derde categorie, bedoeld in artikel 23, vierde lid, van het Wetboek van Strafrecht of, indien dat meer is, 20% van de jaarlijkse inkomsten in het voorafgaande kalenderjaar. 
3. De bestuurlijke boete bedraagt, in het geval de overtreder een rechtspersoon is, ten hoogste het bedrag voor de zesde categorie, bedoeld in artikel 23, vierde lid, van het Wetboek van Strafrecht of, indien dat meer is, 20% van de jaarlijkse omzet in het voorafgaande boekjaar. </t>
  </si>
  <si>
    <t>18.16</t>
  </si>
  <si>
    <t xml:space="preserve">B
Na artikel 18.16b. wordt een paragraaf ingevoegd, luidende:
§ 18.1.6 Bestuurlijke maatregel en sanctie methaanemissies in de energiesector
Artikel 18.16c (sanctie en maatregel ter uitvoering van artikel 33, tweede lid, van de methaanverordening) 
1. In geval van overtreding van bij ministeriële regeling aan te wijzen voorschriften, gesteld krachtens de methaanverordening kan het bevoegd gezag de sanctie opleggen genoemd in artikel 33, tweede lid, onderdeel b, van de methaanverordening. 
2. In geval van overtreding van bij overtreding van bij ministeriële regeling aan te wijzen voorschriften, gesteld krachtens de methaanverordening kan het bevoegd gezag de maatregel opleggen genoemd in artikel 33, tweede lid, onderdeel c, van de methaanverordening. </t>
  </si>
  <si>
    <t>1.1</t>
  </si>
  <si>
    <t>C 
In onderdeel B van de bijlage bij artikel 1.1 wordt in de alfabetische rangschikking een begripsbepaling ingevoegd, luidende: 
methaanverordening: Verordening (EU) 2024/1787 van het Europees Parlement en de Raad van 13 juni 2024 inzake de vermindering van methaanemissies in de energiesector en tot wijziging van Verordening (EU) 2019/942;</t>
  </si>
  <si>
    <t>SodM akkoord</t>
  </si>
  <si>
    <t>Wet milieubeheer</t>
  </si>
  <si>
    <t xml:space="preserve">A
In artikel 1.1, eerste lid, wordt in de alfabetische rangschikking een begripsbepaling ingevoegd, luidende: 
Verordening vermindering methaanemissies: Verordening (EU) 2024/1787 van het Europees Parlement en de Raad van 13 juni 2024 inzake de vermindering van methaanemissies in de energiesector en tot wijziging van Verordening (EU) 2019/942;  </t>
  </si>
  <si>
    <t>nvt: SodM heeft geen rol bij import</t>
  </si>
  <si>
    <t>2.2</t>
  </si>
  <si>
    <t xml:space="preserve">B
In artikel 2.2, eerste lid, tweede volzin, wordt na “van de Verordening koolstofcorrectie aan de grens” ingevoegd ”, alsmede de bevoegde instantie, bedoeld in artikel 4 van de Verordening vermindering methaanemissies voor de in hoofdstuk 5 van die verordening opgedragen taken”. 
</t>
  </si>
  <si>
    <t>18.7</t>
  </si>
  <si>
    <t xml:space="preserve">C
Na Hoofdstuk 16c wordt een Hoofdstuk 16d ingevoegd, luidende: 
Hoofdstuk 16d. Emissies van methaan van ruwe olie, aardgas en kolen die in de Europese Unie in de handel worden gebracht
Artikel 16d.1
Een importeur als bedoeld in artikel 2, onderdeel 59, of een producent als bedoeld in artikel 2, onderdeel 58, van de Verordening vermindering methaanemissies, voldoet tijdig en volledig aan de bij ministeriële regeling aan te wijzen voorschriften gesteld krachtens die verordening.
Artikel 16d.2
Bij ministeriële regeling van Onze Minister van Klimaat en Groene Groei kunnen nadere regels worden gesteld over de wijze waarop de informatie, bedoeld in de artikelen 27 tot en met 29 van de Verordening vermindering methaanemissies moet worden verstrekt.
Artikel 16d.3
De rijksbelastingdienst verstrekt op verzoek het bestuur van de emissieautoriteit de bij ministeriële regeling vast te stellen gegevens, voor zover die gegevens noodzakelijk zijn voor de uitvoering van de in hoofdstuk 5 van de Verordening vermindering methaanemissies opgedragen taken.
</t>
  </si>
  <si>
    <t>D
In artikel 18.2f, eerste lid, wordt “en 16c” vervangen door “, 16c en 16d”.</t>
  </si>
  <si>
    <t xml:space="preserve">E
In artikel 18.4, eerste lid, wordt “en 16c” vervangen door “, 16c en 16d”. </t>
  </si>
  <si>
    <t>F
Na artikel 18.6b wordt een artikel ingevoegd, luidende: 
Artikel 18.7 
In geval van overtreding van het bepaalde bij of krachtens de artikelen 16d.1 en 16d.2 kan het bestuur van de emissieautoriteit een last onder bestuursdwang opleggen</t>
  </si>
  <si>
    <t xml:space="preserve">G
Na artikel 18.16c worden twee artikelen ingevoegd, luidende:
Artikel 18.16ca 
1. In geval van overtreding van het bepaalde bij of krachtens de artikelen 16d.1 en 16d.2 kan het bestuur van de emissieautoriteit een bestuurlijke boete opleggen. 
2. De bestuurlijke boete bedraagt, in het geval de overtreder een natuurlijke persoon is, ten hoogste het bedrag voor de derde categorie, bedoeld in artikel 23, vierde lid, van het Wetboek van Strafrecht of, indien dat meer is, 20% van de jaarlijkse inkomsten in het voorafgaande kalenderjaar. 
3. De bestuurlijke boete bedraagt, in het geval de overtreder een rechtspersoon is, ten hoogste het bedrag voor de zesde categorie, bedoeld in artikel 23, vierde lid, van het Wetboek van Strafrecht of, indien dat meer is, 20% van de jaarlijkse omzet in het voorafgaande boekjaar. 
Artikel 18.16cb 
1. In geval van overtreding van het bepaalde bij of krachtens de artikelen 16d.1 en 16d.2 kan het bestuur van de emissieautoriteit de sanctie opleggen genoemd in artikel 33, tweede lid, onderdeel b, van de Verordening vermindering methaanemissies. 
2. In geval van overtreding van het bepaalde bij of krachtens de artikelen 16d.1 en 16d.2 kan het bestuur van de emissieautoriteit de maatregel treffen genoemd in artikel 33, tweede lid, onderdeel c, van de Verordening vermindering methaanemissies. </t>
  </si>
  <si>
    <t>H
In artikel 18.16l wordt “en 18.16c, eerste lid” vervangen door “, 18.16c, eerste lid, en 18.16ca”.</t>
  </si>
  <si>
    <t>WED</t>
  </si>
  <si>
    <t xml:space="preserve">Artikel 1a van de Wet op de economische delicten wordt als volgt gewijzigd:
1. Onder 1°, wordt in de alfabetische volgorde ingevoegd:
de verordening (EU) 2024/1787 van het Europees Parlement en de Raad van 13 juni 2024 inzake de vermindering van methaanemissies in de energiesector en tot wijziging van Verordening (EU) 2019/942, artikel 33, vijfde lid, onderdeel p. 
2. Onder 3°, wordt in de alfabetische volgorde ingevoegd: 
de verordening (EU) 2024/1787 van het Europees Parlement en de Raad van 13 juni 2024 inzake de vermindering van methaanemissies in de energiesector en tot wijziging van Verordening (EU) 2019/942, artikel 33, vijfde lid, voor zover de inspecteur-generaal der mijnen op grond van het bepaalde krachtens artikel 127, eerste lid, onderdeel a, subonderdeel 4°, van de Mijnbouwwet toezicht houdt op de onderdelen:
a, 
b, 
c voor zover het gaat om het nalaten methaanemissieverslagen in te dienen zoals vereist op grond van de artikelen 18, derde lid, en 25, zesde lid, 
d, 
e, 
g, 
h, 
i,  
j voor zover het nalaten betreft om voorvallen van afblazen en affakkelen te melden of te rapporteren in overeenstemming met artikel 26, 
k voor zover het betreft het gebruik van fakkelpijpen of verbrandingsapparatuur in strijd met de vereisten van de artikelen 17 en 22, en 
l 
</t>
  </si>
  <si>
    <r>
      <t xml:space="preserve">1) SodM merkt op dat de uitvoeringswet voorstelt het Wed (specifiek 1a) aan te passen, zodat bij het nalaten van 1) het indienen van emissieverslagen over de kwantificering van methaanemissies van alle inactieve putten en tijdelijk gedichte putten (artikel 18 lid 3), 2) het indienen van verslagen met ramingen van de jaarlijkse gegevens over methaanemissies op bronniveau (gesloten ondergrondse mijnen en verlaten ondergrondse mijnen (artikel 25 lid 6) en 3)  meldingen over voorvallen van afblazen en affakkelen/rapporteren in de zin van artikel 26 van de verordening, worden geclassificeerd als economisch delict in de zin van de Wed. 
</t>
    </r>
    <r>
      <rPr>
        <b/>
        <sz val="11"/>
        <rFont val="Calibri"/>
        <family val="2"/>
        <scheme val="minor"/>
      </rPr>
      <t xml:space="preserve">
SodM is akkoord met deze aanpassing, maar merkt daarbij het volgende op:
</t>
    </r>
    <r>
      <rPr>
        <sz val="11"/>
        <rFont val="Calibri"/>
        <family val="2"/>
        <scheme val="minor"/>
      </rPr>
      <t xml:space="preserve">
2) In de </t>
    </r>
    <r>
      <rPr>
        <u/>
        <sz val="11"/>
        <rFont val="Calibri"/>
        <family val="2"/>
        <scheme val="minor"/>
      </rPr>
      <t>toelichting staat op pagina 39-40</t>
    </r>
    <r>
      <rPr>
        <sz val="11"/>
        <rFont val="Calibri"/>
        <family val="2"/>
        <scheme val="minor"/>
      </rPr>
      <t xml:space="preserve"> de volgende zin: 'alleen voor overtredingen van voorschriften die gaan over mijnbouwactiviteiten en import van artikel 33, vijfde lid, die geen overtredingen zijn van rapportageverplichtingen genoemd in het tweede lid, wordt </t>
    </r>
    <r>
      <rPr>
        <b/>
        <sz val="11"/>
        <rFont val="Calibri"/>
        <family val="2"/>
        <scheme val="minor"/>
      </rPr>
      <t xml:space="preserve">ook </t>
    </r>
    <r>
      <rPr>
        <sz val="11"/>
        <rFont val="Calibri"/>
        <family val="2"/>
        <scheme val="minor"/>
      </rPr>
      <t xml:space="preserve">gekozen voor strafrechtelijke afdoening via de Wed'. 
SodM leest in deze zin dat het niet naleven van deze voorschriften door deze uitvoeringswet aangemerkt worden als economisch delicten onder de Wed en dat via het Wed-regime handhaving mogelijk is. Echter sluit dit niet uit maar  dat de toezichthouder alsnog kan kiezen om in plaats van het Wed-regime, bestuurlijk handhavingsregime toe te passen. Dit blijkt nu onvoldoende duidelijk uit de tekst.
</t>
    </r>
    <r>
      <rPr>
        <b/>
        <sz val="11"/>
        <rFont val="Calibri"/>
        <family val="2"/>
        <scheme val="minor"/>
      </rPr>
      <t xml:space="preserve">
SodM vraagt KGG om dit te verduidelijken in de toelichting en/of dat dit verder wordt uitgelegd in de MR die voorschriften koppelt aan de handhavingsbevoegdheden.</t>
    </r>
  </si>
  <si>
    <t>AWB</t>
  </si>
  <si>
    <t xml:space="preserve">In artikel 6 van bijlage 2 bij de Algemene wet bestuursrecht wordt “en 18.16s, eerste lid” vervangen door “, 18.16s, eerste lid, en 18.16ca”.
</t>
  </si>
  <si>
    <t>SodM akkoord.</t>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xmlns:xr="http://schemas.microsoft.com/office/spreadsheetml/2014/revision" mc:Ignorable="x14ac x16r2 xr">
  <fonts count="11" x14ac:knownFonts="1">
    <font>
      <sz val="11"/>
      <color theme="1"/>
      <name val="Calibri"/>
      <family val="2"/>
      <scheme val="minor"/>
    </font>
    <font>
      <b/>
      <sz val="11"/>
      <color theme="0"/>
      <name val="Calibri"/>
      <family val="2"/>
      <scheme val="minor"/>
    </font>
    <font>
      <sz val="11"/>
      <color rgb="FFFF0000"/>
      <name val="Calibri"/>
      <family val="2"/>
      <scheme val="minor"/>
    </font>
    <font>
      <strike/>
      <sz val="11"/>
      <color theme="1"/>
      <name val="Calibri"/>
      <family val="2"/>
      <scheme val="minor"/>
    </font>
    <font>
      <u/>
      <sz val="11"/>
      <color theme="1"/>
      <name val="Calibri"/>
      <family val="2"/>
      <scheme val="minor"/>
    </font>
    <font>
      <sz val="11"/>
      <name val="Calibri"/>
      <family val="2"/>
      <scheme val="minor"/>
    </font>
    <font>
      <b/>
      <sz val="11"/>
      <color theme="1"/>
      <name val="Calibri"/>
      <family val="2"/>
      <scheme val="minor"/>
    </font>
    <font>
      <b/>
      <u/>
      <sz val="11"/>
      <color theme="1"/>
      <name val="Calibri"/>
      <family val="2"/>
      <scheme val="minor"/>
    </font>
    <font>
      <b/>
      <sz val="11"/>
      <color theme="9"/>
      <name val="Calibri"/>
      <family val="2"/>
      <scheme val="minor"/>
    </font>
    <font>
      <b/>
      <sz val="11"/>
      <name val="Calibri"/>
      <family val="2"/>
      <scheme val="minor"/>
    </font>
    <font>
      <u/>
      <sz val="11"/>
      <name val="Calibri"/>
      <family val="2"/>
      <scheme val="minor"/>
    </font>
  </fonts>
  <fills count="5">
    <fill>
      <patternFill patternType="none"/>
    </fill>
    <fill>
      <patternFill patternType="gray125"/>
    </fill>
    <fill>
      <patternFill patternType="solid">
        <fgColor theme="1"/>
        <bgColor indexed="64"/>
      </patternFill>
    </fill>
    <fill>
      <patternFill patternType="solid">
        <fgColor theme="7" tint="0.79998168889431442"/>
        <bgColor indexed="64"/>
      </patternFill>
    </fill>
    <fill>
      <patternFill patternType="solid">
        <fgColor theme="2" tint="-9.9978637043366805E-2"/>
        <bgColor indexed="64"/>
      </patternFill>
    </fill>
  </fills>
  <borders count="2">
    <border>
      <left/>
      <right/>
      <top/>
      <bottom/>
      <diagonal/>
    </border>
    <border>
      <left style="thin">
        <color indexed="64"/>
      </left>
      <right style="thin">
        <color indexed="64"/>
      </right>
      <top style="thin">
        <color indexed="64"/>
      </top>
      <bottom style="thin">
        <color indexed="64"/>
      </bottom>
      <diagonal/>
    </border>
  </borders>
  <cellStyleXfs count="1">
    <xf numFmtId="0" fontId="0" fillId="0" borderId="0"/>
  </cellStyleXfs>
  <cellXfs count="9">
    <xf numFmtId="0" fontId="0" fillId="0" borderId="0" xfId="0"/>
    <xf numFmtId="0" fontId="0" fillId="0" borderId="0" xfId="0" applyAlignment="1">
      <alignment horizontal="left" vertical="top" wrapText="1"/>
    </xf>
    <xf numFmtId="0" fontId="1" fillId="0" borderId="0" xfId="0" applyFont="1" applyAlignment="1">
      <alignment horizontal="left" vertical="top" wrapText="1"/>
    </xf>
    <xf numFmtId="0" fontId="1" fillId="2" borderId="1" xfId="0" applyFont="1" applyFill="1" applyBorder="1" applyAlignment="1">
      <alignment horizontal="left" vertical="top" wrapText="1"/>
    </xf>
    <xf numFmtId="0" fontId="0" fillId="0" borderId="1" xfId="0" applyBorder="1" applyAlignment="1">
      <alignment horizontal="left" vertical="top" wrapText="1"/>
    </xf>
    <xf numFmtId="0" fontId="0" fillId="3" borderId="1" xfId="0" applyFill="1" applyBorder="1" applyAlignment="1">
      <alignment horizontal="left" vertical="top" wrapText="1"/>
    </xf>
    <xf numFmtId="0" fontId="0" fillId="4" borderId="1" xfId="0" applyFill="1" applyBorder="1" applyAlignment="1">
      <alignment horizontal="left" vertical="top" wrapText="1"/>
    </xf>
    <xf numFmtId="0" fontId="6" fillId="3" borderId="1" xfId="0" applyFont="1" applyFill="1" applyBorder="1" applyAlignment="1">
      <alignment horizontal="left" vertical="top" wrapText="1"/>
    </xf>
    <xf numFmtId="0" fontId="5" fillId="3" borderId="1" xfId="0" applyFont="1" applyFill="1" applyBorder="1" applyAlignment="1">
      <alignment horizontal="left" vertical="top" wrapText="1"/>
    </xf>
  </cellXfs>
  <cellStyles count="1">
    <cellStyle name="Standaard" xfId="0" builtinId="0"/>
  </cellStyles>
  <dxfs count="0"/>
  <tableStyles count="0" defaultTableStyle="TableStyleMedium2" defaultPivotStyle="PivotStyleLight16"/>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2" /><Relationship Type="http://schemas.openxmlformats.org/officeDocument/2006/relationships/worksheet" Target="worksheets/sheet1.xml" Id="rId1" /><Relationship Type="http://schemas.openxmlformats.org/officeDocument/2006/relationships/sharedStrings" Target="sharedStrings.xml" Id="rId4" /></Relationships>
</file>

<file path=xl/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xl/worksheets/_rels/sheet1.xml.rels><?xml version="1.0" encoding="UTF-8" standalone="yes"?>
<Relationships xmlns="http://schemas.openxmlformats.org/package/2006/relationships"><Relationship Id="rId1" Type="http://schemas.openxmlformats.org/officeDocument/2006/relationships/printerSettings" Target="../printerSettings/printerSettings1.bin"/></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A45DA2A6-670D-490A-A794-C27AC480925F}">
  <dimension ref="A1:E33"/>
  <sheetViews>
    <sheetView tabSelected="1" topLeftCell="D1" zoomScale="90" zoomScaleNormal="90" workbookViewId="0">
      <pane ySplit="1" topLeftCell="A25" activePane="bottomLeft" state="frozen"/>
      <selection pane="bottomLeft" activeCell="E11" sqref="E11"/>
    </sheetView>
  </sheetViews>
  <sheetFormatPr defaultColWidth="9.1796875" defaultRowHeight="14.5" x14ac:dyDescent="0.35"/>
  <cols>
    <col min="1" max="2" width="9.1796875" style="1"/>
    <col min="3" max="3" width="9.453125" style="1" customWidth="1"/>
    <col min="4" max="4" width="133.1796875" style="1" customWidth="1"/>
    <col min="5" max="5" width="203.7265625" style="1" customWidth="1"/>
    <col min="6" max="16384" width="9.1796875" style="1"/>
  </cols>
  <sheetData>
    <row r="1" spans="1:5" s="2" customFormat="1" x14ac:dyDescent="0.35">
      <c r="A1" s="3" t="s">
        <v>0</v>
      </c>
      <c r="B1" s="3" t="s">
        <v>1</v>
      </c>
      <c r="C1" s="3" t="s">
        <v>2</v>
      </c>
      <c r="D1" s="3" t="s">
        <v>3</v>
      </c>
      <c r="E1" s="3" t="s">
        <v>4</v>
      </c>
    </row>
    <row r="2" spans="1:5" ht="254.15" customHeight="1" x14ac:dyDescent="0.35">
      <c r="A2" s="4">
        <v>1</v>
      </c>
      <c r="B2" s="4"/>
      <c r="C2" s="4"/>
      <c r="D2" s="4"/>
      <c r="E2" s="7" t="s">
        <v>5</v>
      </c>
    </row>
    <row r="3" spans="1:5" ht="87" x14ac:dyDescent="0.35">
      <c r="A3" s="4">
        <v>2</v>
      </c>
      <c r="B3" s="4" t="s">
        <v>6</v>
      </c>
      <c r="C3" s="4" t="s">
        <v>7</v>
      </c>
      <c r="D3" s="4" t="s">
        <v>8</v>
      </c>
      <c r="E3" s="7" t="s">
        <v>9</v>
      </c>
    </row>
    <row r="4" spans="1:5" ht="43.5" x14ac:dyDescent="0.35">
      <c r="A4" s="4">
        <v>3</v>
      </c>
      <c r="B4" s="4" t="s">
        <v>6</v>
      </c>
      <c r="C4" s="4">
        <v>44</v>
      </c>
      <c r="D4" s="4" t="s">
        <v>10</v>
      </c>
      <c r="E4" s="5" t="s">
        <v>11</v>
      </c>
    </row>
    <row r="5" spans="1:5" ht="409.5" x14ac:dyDescent="0.35">
      <c r="A5" s="4">
        <v>4</v>
      </c>
      <c r="B5" s="4" t="s">
        <v>6</v>
      </c>
      <c r="C5" s="4">
        <v>44</v>
      </c>
      <c r="D5" s="4" t="s">
        <v>12</v>
      </c>
      <c r="E5" s="5" t="s">
        <v>13</v>
      </c>
    </row>
    <row r="6" spans="1:5" ht="130.5" x14ac:dyDescent="0.35">
      <c r="A6" s="4">
        <v>5</v>
      </c>
      <c r="B6" s="4" t="s">
        <v>6</v>
      </c>
      <c r="C6" s="4">
        <v>44</v>
      </c>
      <c r="D6" s="4" t="s">
        <v>14</v>
      </c>
      <c r="E6" s="5" t="s">
        <v>15</v>
      </c>
    </row>
    <row r="7" spans="1:5" ht="232" x14ac:dyDescent="0.35">
      <c r="A7" s="4">
        <v>6</v>
      </c>
      <c r="B7" s="4" t="s">
        <v>6</v>
      </c>
      <c r="C7" s="4">
        <v>44</v>
      </c>
      <c r="D7" s="4" t="s">
        <v>16</v>
      </c>
      <c r="E7" s="5" t="s">
        <v>17</v>
      </c>
    </row>
    <row r="8" spans="1:5" ht="203" x14ac:dyDescent="0.35">
      <c r="A8" s="4">
        <v>7</v>
      </c>
      <c r="B8" s="4" t="s">
        <v>6</v>
      </c>
      <c r="C8" s="4">
        <v>127</v>
      </c>
      <c r="D8" s="4" t="s">
        <v>18</v>
      </c>
      <c r="E8" s="7" t="s">
        <v>19</v>
      </c>
    </row>
    <row r="9" spans="1:5" ht="58" x14ac:dyDescent="0.35">
      <c r="A9" s="4">
        <v>8</v>
      </c>
      <c r="B9" s="4" t="s">
        <v>6</v>
      </c>
      <c r="C9" s="4">
        <v>129</v>
      </c>
      <c r="D9" s="4" t="s">
        <v>20</v>
      </c>
      <c r="E9" s="5" t="s">
        <v>21</v>
      </c>
    </row>
    <row r="10" spans="1:5" ht="130.5" x14ac:dyDescent="0.35">
      <c r="A10" s="4">
        <v>9</v>
      </c>
      <c r="B10" s="4" t="s">
        <v>6</v>
      </c>
      <c r="C10" s="4">
        <v>132</v>
      </c>
      <c r="D10" s="4" t="s">
        <v>22</v>
      </c>
      <c r="E10" s="5" t="s">
        <v>23</v>
      </c>
    </row>
    <row r="11" spans="1:5" ht="58" x14ac:dyDescent="0.35">
      <c r="A11" s="4">
        <v>10</v>
      </c>
      <c r="B11" s="4" t="s">
        <v>6</v>
      </c>
      <c r="C11" s="4" t="s">
        <v>24</v>
      </c>
      <c r="D11" s="4" t="s">
        <v>25</v>
      </c>
      <c r="E11" s="5" t="s">
        <v>26</v>
      </c>
    </row>
    <row r="12" spans="1:5" ht="87" x14ac:dyDescent="0.35">
      <c r="A12" s="4">
        <v>11</v>
      </c>
      <c r="B12" s="4" t="s">
        <v>6</v>
      </c>
      <c r="C12" s="4" t="s">
        <v>27</v>
      </c>
      <c r="D12" s="4" t="s">
        <v>28</v>
      </c>
      <c r="E12" s="5" t="s">
        <v>29</v>
      </c>
    </row>
    <row r="13" spans="1:5" ht="203" x14ac:dyDescent="0.35">
      <c r="A13" s="4">
        <v>12</v>
      </c>
      <c r="B13" s="4" t="s">
        <v>6</v>
      </c>
      <c r="C13" s="4" t="s">
        <v>30</v>
      </c>
      <c r="D13" s="4" t="s">
        <v>31</v>
      </c>
      <c r="E13" s="5" t="s">
        <v>32</v>
      </c>
    </row>
    <row r="14" spans="1:5" ht="58" x14ac:dyDescent="0.35">
      <c r="A14" s="4">
        <v>13</v>
      </c>
      <c r="B14" s="4" t="s">
        <v>6</v>
      </c>
      <c r="C14" s="4">
        <v>133</v>
      </c>
      <c r="D14" s="4" t="s">
        <v>33</v>
      </c>
      <c r="E14" s="5" t="s">
        <v>34</v>
      </c>
    </row>
    <row r="15" spans="1:5" ht="203" x14ac:dyDescent="0.35">
      <c r="A15" s="4">
        <v>14</v>
      </c>
      <c r="B15" s="4" t="s">
        <v>35</v>
      </c>
      <c r="C15" s="4">
        <v>1</v>
      </c>
      <c r="D15" s="4" t="s">
        <v>36</v>
      </c>
      <c r="E15" s="5" t="s">
        <v>37</v>
      </c>
    </row>
    <row r="16" spans="1:5" ht="101.5" x14ac:dyDescent="0.35">
      <c r="A16" s="4">
        <v>15</v>
      </c>
      <c r="B16" s="4" t="s">
        <v>35</v>
      </c>
      <c r="C16" s="4" t="s">
        <v>38</v>
      </c>
      <c r="D16" s="4" t="s">
        <v>39</v>
      </c>
      <c r="E16" s="5" t="s">
        <v>40</v>
      </c>
    </row>
    <row r="17" spans="1:5" ht="216" customHeight="1" x14ac:dyDescent="0.35">
      <c r="A17" s="4">
        <v>16</v>
      </c>
      <c r="B17" s="4" t="s">
        <v>35</v>
      </c>
      <c r="C17" s="4" t="s">
        <v>41</v>
      </c>
      <c r="D17" s="4" t="s">
        <v>42</v>
      </c>
      <c r="E17" s="5" t="s">
        <v>43</v>
      </c>
    </row>
    <row r="18" spans="1:5" ht="116" x14ac:dyDescent="0.35">
      <c r="A18" s="4">
        <v>17</v>
      </c>
      <c r="B18" s="4" t="s">
        <v>35</v>
      </c>
      <c r="C18" s="4" t="s">
        <v>41</v>
      </c>
      <c r="D18" s="4" t="s">
        <v>44</v>
      </c>
      <c r="E18" s="5" t="s">
        <v>45</v>
      </c>
    </row>
    <row r="19" spans="1:5" ht="145" x14ac:dyDescent="0.35">
      <c r="A19" s="4">
        <v>18</v>
      </c>
      <c r="B19" s="4" t="s">
        <v>35</v>
      </c>
      <c r="C19" s="4" t="s">
        <v>41</v>
      </c>
      <c r="D19" s="4" t="s">
        <v>46</v>
      </c>
      <c r="E19" s="5" t="s">
        <v>43</v>
      </c>
    </row>
    <row r="20" spans="1:5" ht="130.5" x14ac:dyDescent="0.35">
      <c r="A20" s="4">
        <v>19</v>
      </c>
      <c r="B20" s="4" t="s">
        <v>47</v>
      </c>
      <c r="C20" s="4" t="s">
        <v>48</v>
      </c>
      <c r="D20" s="4" t="s">
        <v>49</v>
      </c>
      <c r="E20" s="5" t="s">
        <v>43</v>
      </c>
    </row>
    <row r="21" spans="1:5" ht="174" x14ac:dyDescent="0.35">
      <c r="A21" s="4">
        <v>20</v>
      </c>
      <c r="B21" s="4" t="s">
        <v>47</v>
      </c>
      <c r="C21" s="4" t="s">
        <v>50</v>
      </c>
      <c r="D21" s="4" t="s">
        <v>51</v>
      </c>
      <c r="E21" s="5" t="s">
        <v>43</v>
      </c>
    </row>
    <row r="22" spans="1:5" ht="72.5" x14ac:dyDescent="0.35">
      <c r="A22" s="4">
        <v>21</v>
      </c>
      <c r="B22" s="4" t="s">
        <v>47</v>
      </c>
      <c r="C22" s="4" t="s">
        <v>52</v>
      </c>
      <c r="D22" s="4" t="s">
        <v>53</v>
      </c>
      <c r="E22" s="5" t="s">
        <v>54</v>
      </c>
    </row>
    <row r="23" spans="1:5" ht="72.5" x14ac:dyDescent="0.35">
      <c r="A23" s="4">
        <v>22</v>
      </c>
      <c r="B23" s="4" t="s">
        <v>55</v>
      </c>
      <c r="C23" s="4" t="s">
        <v>52</v>
      </c>
      <c r="D23" s="4" t="s">
        <v>56</v>
      </c>
      <c r="E23" s="6" t="s">
        <v>57</v>
      </c>
    </row>
    <row r="24" spans="1:5" ht="72.5" x14ac:dyDescent="0.35">
      <c r="A24" s="4">
        <v>23</v>
      </c>
      <c r="B24" s="4" t="s">
        <v>55</v>
      </c>
      <c r="C24" s="4" t="s">
        <v>58</v>
      </c>
      <c r="D24" s="4" t="s">
        <v>59</v>
      </c>
      <c r="E24" s="6" t="s">
        <v>57</v>
      </c>
    </row>
    <row r="25" spans="1:5" ht="304.5" x14ac:dyDescent="0.35">
      <c r="A25" s="4">
        <v>24</v>
      </c>
      <c r="B25" s="4" t="s">
        <v>55</v>
      </c>
      <c r="C25" s="4" t="s">
        <v>60</v>
      </c>
      <c r="D25" s="4" t="s">
        <v>61</v>
      </c>
      <c r="E25" s="6" t="s">
        <v>57</v>
      </c>
    </row>
    <row r="26" spans="1:5" ht="43.5" x14ac:dyDescent="0.35">
      <c r="A26" s="4">
        <v>25</v>
      </c>
      <c r="B26" s="4" t="s">
        <v>55</v>
      </c>
      <c r="C26" s="4" t="s">
        <v>50</v>
      </c>
      <c r="D26" s="4" t="s">
        <v>62</v>
      </c>
      <c r="E26" s="6" t="s">
        <v>57</v>
      </c>
    </row>
    <row r="27" spans="1:5" ht="43.5" x14ac:dyDescent="0.35">
      <c r="A27" s="4">
        <v>26</v>
      </c>
      <c r="B27" s="4" t="s">
        <v>55</v>
      </c>
      <c r="C27" s="4" t="s">
        <v>50</v>
      </c>
      <c r="D27" s="4" t="s">
        <v>63</v>
      </c>
      <c r="E27" s="6" t="s">
        <v>57</v>
      </c>
    </row>
    <row r="28" spans="1:5" ht="101.5" x14ac:dyDescent="0.35">
      <c r="A28" s="4">
        <v>27</v>
      </c>
      <c r="B28" s="4" t="s">
        <v>55</v>
      </c>
      <c r="C28" s="4" t="s">
        <v>50</v>
      </c>
      <c r="D28" s="4" t="s">
        <v>64</v>
      </c>
      <c r="E28" s="6" t="s">
        <v>57</v>
      </c>
    </row>
    <row r="29" spans="1:5" ht="290" x14ac:dyDescent="0.35">
      <c r="A29" s="4">
        <v>28</v>
      </c>
      <c r="B29" s="4" t="s">
        <v>55</v>
      </c>
      <c r="C29" s="4" t="s">
        <v>50</v>
      </c>
      <c r="D29" s="4" t="s">
        <v>65</v>
      </c>
      <c r="E29" s="6" t="s">
        <v>57</v>
      </c>
    </row>
    <row r="30" spans="1:5" ht="43.5" x14ac:dyDescent="0.35">
      <c r="A30" s="4">
        <v>29</v>
      </c>
      <c r="B30" s="4" t="s">
        <v>55</v>
      </c>
      <c r="C30" s="4" t="s">
        <v>50</v>
      </c>
      <c r="D30" s="4" t="s">
        <v>66</v>
      </c>
      <c r="E30" s="6" t="s">
        <v>57</v>
      </c>
    </row>
    <row r="31" spans="1:5" ht="319" x14ac:dyDescent="0.35">
      <c r="A31" s="4">
        <v>30</v>
      </c>
      <c r="B31" s="4" t="s">
        <v>67</v>
      </c>
      <c r="C31" s="4">
        <v>1</v>
      </c>
      <c r="D31" s="4" t="s">
        <v>68</v>
      </c>
      <c r="E31" s="8" t="s">
        <v>69</v>
      </c>
    </row>
    <row r="32" spans="1:5" ht="43.5" x14ac:dyDescent="0.35">
      <c r="A32" s="4">
        <v>31</v>
      </c>
      <c r="B32" s="4" t="s">
        <v>70</v>
      </c>
      <c r="C32" s="4">
        <v>6</v>
      </c>
      <c r="D32" s="4" t="s">
        <v>71</v>
      </c>
      <c r="E32" s="5" t="s">
        <v>72</v>
      </c>
    </row>
    <row r="33" spans="1:5" x14ac:dyDescent="0.35">
      <c r="A33" s="4">
        <v>32</v>
      </c>
      <c r="B33" s="4"/>
      <c r="C33" s="4"/>
      <c r="D33" s="4"/>
      <c r="E33" s="5"/>
    </row>
  </sheetData>
  <sortState xmlns:xlrd2="http://schemas.microsoft.com/office/spreadsheetml/2017/richdata2" ref="A2:E33">
    <sortCondition ref="A2:A33"/>
  </sortState>
  <pageMargins left="0.7" right="0.7" top="0.75" bottom="0.75" header="0.3" footer="0.3"/>
  <pageSetup paperSize="9" orientation="portrait" r:id="rId1"/>
</worksheet>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DocSecurity>0</ap:DocSecurity>
  <ap:ScaleCrop>false</ap:ScaleCrop>
  <ap:HeadingPairs>
    <vt:vector baseType="variant" size="2">
      <vt:variant>
        <vt:lpstr>Werkbladen</vt:lpstr>
      </vt:variant>
      <vt:variant>
        <vt:i4>1</vt:i4>
      </vt:variant>
    </vt:vector>
  </ap:HeadingPairs>
  <ap:TitlesOfParts>
    <vt:vector baseType="lpstr" size="1">
      <vt:lpstr>wetsartikel</vt:lpstr>
    </vt:vector>
  </ap:TitlesOfParts>
  <ap:LinksUpToDate>false</ap:LinksUpToDate>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dcterms:created xsi:type="dcterms:W3CDTF">2015-06-05T18:17:20.0000000Z</dcterms:created>
  <dcterms:modified xsi:type="dcterms:W3CDTF">2025-07-11T07:12:58.0000000Z</dcterms:modified>
  <category>------------------------</category>
  <contentStatu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20250204142627746</vt:lpwstr>
  </property>
  <property fmtid="{D5CDD505-2E9C-101B-9397-08002B2CF9AE}" pid="3" name="Order">
    <vt:r8>30500</vt:r8>
  </property>
  <property fmtid="{D5CDD505-2E9C-101B-9397-08002B2CF9AE}" pid="4" name="ContentTypeId">
    <vt:lpwstr>0x0101006FDA79DD9E65584987E21D6942824CF5</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