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16E5" w:rsidP="00CC16E5" w:rsidRDefault="00CC16E5" w14:paraId="699DF470" w14:textId="21586EF6">
      <w:pPr>
        <w:suppressAutoHyphens/>
        <w:rPr>
          <w:b/>
          <w:bCs/>
          <w:szCs w:val="18"/>
        </w:rPr>
      </w:pPr>
      <w:r>
        <w:rPr>
          <w:b/>
          <w:bCs/>
          <w:szCs w:val="18"/>
        </w:rPr>
        <w:t>AH 1134</w:t>
      </w:r>
    </w:p>
    <w:p w:rsidR="00CC16E5" w:rsidP="00CC16E5" w:rsidRDefault="00CC16E5" w14:paraId="61020056" w14:textId="5D9EB2A2">
      <w:pPr>
        <w:suppressAutoHyphens/>
        <w:rPr>
          <w:b/>
          <w:bCs/>
          <w:szCs w:val="18"/>
        </w:rPr>
      </w:pPr>
      <w:r>
        <w:rPr>
          <w:b/>
          <w:bCs/>
          <w:szCs w:val="18"/>
        </w:rPr>
        <w:t>2026Z01628</w:t>
      </w:r>
    </w:p>
    <w:p w:rsidRPr="00CC16E5" w:rsidR="00CC16E5" w:rsidP="00CC16E5" w:rsidRDefault="00CC16E5" w14:paraId="7616BB10" w14:textId="5F2BB7D0">
      <w:pPr>
        <w:rPr>
          <w:sz w:val="24"/>
          <w:szCs w:val="24"/>
        </w:rPr>
      </w:pPr>
      <w:r w:rsidRPr="008257E5">
        <w:rPr>
          <w:bCs/>
          <w:sz w:val="24"/>
          <w:szCs w:val="24"/>
        </w:rPr>
        <w:t xml:space="preserve">Antwoord van staatssecretaris </w:t>
      </w:r>
      <w:r w:rsidRPr="005B1C4F">
        <w:rPr>
          <w:rFonts w:ascii="Times New Roman" w:hAnsi="Times New Roman"/>
          <w:bCs/>
          <w:sz w:val="24"/>
        </w:rPr>
        <w:t xml:space="preserve">Tielen </w:t>
      </w:r>
      <w:r w:rsidRPr="008257E5">
        <w:rPr>
          <w:bCs/>
          <w:sz w:val="24"/>
          <w:szCs w:val="24"/>
        </w:rPr>
        <w:t>(Volksgezondheid, Welzijn en Sport) (ontvangen</w:t>
      </w:r>
      <w:r>
        <w:rPr>
          <w:sz w:val="24"/>
          <w:szCs w:val="24"/>
        </w:rPr>
        <w:t xml:space="preserve"> 18 februari 2026)</w:t>
      </w:r>
    </w:p>
    <w:p w:rsidRPr="001046DE" w:rsidR="00CC16E5" w:rsidP="00CC16E5" w:rsidRDefault="00CC16E5" w14:paraId="6BB76BFD" w14:textId="77777777">
      <w:pPr>
        <w:suppressAutoHyphens/>
        <w:rPr>
          <w:b/>
          <w:bCs/>
          <w:szCs w:val="18"/>
        </w:rPr>
      </w:pPr>
    </w:p>
    <w:p w:rsidR="00CC16E5" w:rsidP="00CC16E5" w:rsidRDefault="00CC16E5" w14:paraId="76B6BA0D" w14:textId="77777777">
      <w:pPr>
        <w:suppressAutoHyphens/>
        <w:rPr>
          <w:szCs w:val="18"/>
        </w:rPr>
      </w:pPr>
      <w:r>
        <w:rPr>
          <w:szCs w:val="18"/>
        </w:rPr>
        <w:t xml:space="preserve">Vraag </w:t>
      </w:r>
      <w:r w:rsidRPr="001046DE">
        <w:rPr>
          <w:szCs w:val="18"/>
        </w:rPr>
        <w:t xml:space="preserve">1. </w:t>
      </w:r>
    </w:p>
    <w:p w:rsidR="00CC16E5" w:rsidP="00CC16E5" w:rsidRDefault="00CC16E5" w14:paraId="5B0C695A" w14:textId="77777777">
      <w:pPr>
        <w:suppressAutoHyphens/>
        <w:rPr>
          <w:szCs w:val="18"/>
        </w:rPr>
      </w:pPr>
    </w:p>
    <w:p w:rsidRPr="001046DE" w:rsidR="00CC16E5" w:rsidP="00CC16E5" w:rsidRDefault="00CC16E5" w14:paraId="06327971" w14:textId="77777777">
      <w:pPr>
        <w:suppressAutoHyphens/>
        <w:rPr>
          <w:szCs w:val="18"/>
        </w:rPr>
      </w:pPr>
      <w:r w:rsidRPr="001046DE">
        <w:rPr>
          <w:szCs w:val="18"/>
        </w:rPr>
        <w:t>Kunt u, in het kader van de beoordeling van de effectiviteit van het overheidsbeleid, wellicht aangeven wat de bijdrage (bij benadering) naar alle waarschijnlijkheid ongeveer is geweest van onderstaande (relatief recente) tabaksmaatregelen met betrekking tot het bereiken van de daarmee beoogde doelen (waaronder in ieder geval tabaksontmoediging)? Zijn de (kwantificeerbare) effecten van deze maatregelen bij het ministerie inmiddels bekend? En geldt dat misschien ook voor de (onbedoelde) neveneffecten (waaronder weglekeffecten naar het buitenland)? Zo nee, is de minister bereid hier onderzoek naar te laten uitvoeren? 1)</w:t>
      </w:r>
      <w:r w:rsidRPr="001046DE">
        <w:rPr>
          <w:szCs w:val="18"/>
        </w:rPr>
        <w:br/>
        <w:t> </w:t>
      </w:r>
      <w:r w:rsidRPr="001046DE">
        <w:rPr>
          <w:szCs w:val="18"/>
        </w:rPr>
        <w:br/>
      </w:r>
      <w:r w:rsidRPr="001046DE">
        <w:rPr>
          <w:i/>
          <w:iCs/>
          <w:szCs w:val="18"/>
        </w:rPr>
        <w:t>1)</w:t>
      </w:r>
      <w:r w:rsidRPr="001046DE">
        <w:rPr>
          <w:szCs w:val="18"/>
        </w:rPr>
        <w:br/>
      </w:r>
      <w:r w:rsidRPr="001046DE">
        <w:rPr>
          <w:i/>
          <w:iCs/>
          <w:szCs w:val="18"/>
        </w:rPr>
        <w:t>1 oktober 2020: standaardverpakkingen sigaretten en rooktabak?</w:t>
      </w:r>
    </w:p>
    <w:p w:rsidRPr="001046DE" w:rsidR="00CC16E5" w:rsidP="00CC16E5" w:rsidRDefault="00CC16E5" w14:paraId="59698C10" w14:textId="77777777">
      <w:pPr>
        <w:suppressAutoHyphens/>
        <w:rPr>
          <w:szCs w:val="18"/>
        </w:rPr>
      </w:pPr>
      <w:r w:rsidRPr="001046DE">
        <w:rPr>
          <w:i/>
          <w:iCs/>
          <w:szCs w:val="18"/>
        </w:rPr>
        <w:t>1 januari 2021: algeheel verbod op rookruimtes?</w:t>
      </w:r>
    </w:p>
    <w:p w:rsidRPr="001046DE" w:rsidR="00CC16E5" w:rsidP="00CC16E5" w:rsidRDefault="00CC16E5" w14:paraId="412F1B80" w14:textId="77777777">
      <w:pPr>
        <w:suppressAutoHyphens/>
        <w:rPr>
          <w:szCs w:val="18"/>
        </w:rPr>
      </w:pPr>
      <w:r w:rsidRPr="001046DE">
        <w:rPr>
          <w:i/>
          <w:iCs/>
          <w:szCs w:val="18"/>
        </w:rPr>
        <w:t>1 januari 2021: uitstalverbod (display ban) van tabaksproducten bij verkooppunten?</w:t>
      </w:r>
    </w:p>
    <w:p w:rsidRPr="001046DE" w:rsidR="00CC16E5" w:rsidP="00CC16E5" w:rsidRDefault="00CC16E5" w14:paraId="473EE799" w14:textId="77777777">
      <w:pPr>
        <w:suppressAutoHyphens/>
        <w:rPr>
          <w:szCs w:val="18"/>
        </w:rPr>
      </w:pPr>
      <w:r w:rsidRPr="001046DE">
        <w:rPr>
          <w:i/>
          <w:iCs/>
          <w:szCs w:val="18"/>
        </w:rPr>
        <w:t>1 januari 2022: verbod op sigarettenautomaten in de horeca?</w:t>
      </w:r>
    </w:p>
    <w:p w:rsidRPr="001046DE" w:rsidR="00CC16E5" w:rsidP="00CC16E5" w:rsidRDefault="00CC16E5" w14:paraId="5347BA36" w14:textId="77777777">
      <w:pPr>
        <w:suppressAutoHyphens/>
        <w:rPr>
          <w:szCs w:val="18"/>
        </w:rPr>
      </w:pPr>
      <w:r w:rsidRPr="001046DE">
        <w:rPr>
          <w:i/>
          <w:iCs/>
          <w:szCs w:val="18"/>
        </w:rPr>
        <w:t>1 juli 2023: verbod op de online verkoop van tabak?</w:t>
      </w:r>
    </w:p>
    <w:p w:rsidRPr="001046DE" w:rsidR="00CC16E5" w:rsidP="00CC16E5" w:rsidRDefault="00CC16E5" w14:paraId="01BF9D76" w14:textId="77777777">
      <w:pPr>
        <w:suppressAutoHyphens/>
        <w:rPr>
          <w:szCs w:val="18"/>
        </w:rPr>
      </w:pPr>
      <w:r w:rsidRPr="001046DE">
        <w:rPr>
          <w:i/>
          <w:iCs/>
          <w:szCs w:val="18"/>
        </w:rPr>
        <w:t>1 juli 2024: verbod op verkoop van tabaksproducten in supermarkten (en horeca)?</w:t>
      </w:r>
    </w:p>
    <w:p w:rsidRPr="001046DE" w:rsidR="00CC16E5" w:rsidP="00CC16E5" w:rsidRDefault="00CC16E5" w14:paraId="2F08644D" w14:textId="77777777">
      <w:pPr>
        <w:suppressAutoHyphens/>
        <w:rPr>
          <w:szCs w:val="18"/>
        </w:rPr>
      </w:pPr>
      <w:r w:rsidRPr="001046DE">
        <w:rPr>
          <w:i/>
          <w:iCs/>
          <w:szCs w:val="18"/>
        </w:rPr>
        <w:t>1 april 2023: accijnsverhoging van 20,7% op sigaretten, 34,6% op rooktabak?</w:t>
      </w:r>
    </w:p>
    <w:p w:rsidRPr="001046DE" w:rsidR="00CC16E5" w:rsidP="00CC16E5" w:rsidRDefault="00CC16E5" w14:paraId="6FFCACCC" w14:textId="77777777">
      <w:pPr>
        <w:suppressAutoHyphens/>
        <w:rPr>
          <w:szCs w:val="18"/>
        </w:rPr>
      </w:pPr>
      <w:r w:rsidRPr="001046DE">
        <w:rPr>
          <w:i/>
          <w:iCs/>
          <w:szCs w:val="18"/>
        </w:rPr>
        <w:t>1 april 2024: accijnsverhoging van 33% op sigaretten, 60,2% op rooktabak?”</w:t>
      </w:r>
      <w:r w:rsidRPr="001046DE">
        <w:rPr>
          <w:szCs w:val="18"/>
        </w:rPr>
        <w:br/>
      </w:r>
    </w:p>
    <w:p w:rsidR="00CC16E5" w:rsidP="00CC16E5" w:rsidRDefault="00CC16E5" w14:paraId="4B7E023F" w14:textId="77777777">
      <w:pPr>
        <w:suppressAutoHyphens/>
        <w:rPr>
          <w:szCs w:val="18"/>
        </w:rPr>
      </w:pPr>
    </w:p>
    <w:p w:rsidR="00CC16E5" w:rsidP="00CC16E5" w:rsidRDefault="00CC16E5" w14:paraId="3C2919B5" w14:textId="77777777">
      <w:pPr>
        <w:suppressAutoHyphens/>
        <w:rPr>
          <w:szCs w:val="18"/>
        </w:rPr>
      </w:pPr>
      <w:r>
        <w:rPr>
          <w:szCs w:val="18"/>
        </w:rPr>
        <w:t>A</w:t>
      </w:r>
      <w:r w:rsidRPr="00374F1B">
        <w:rPr>
          <w:szCs w:val="18"/>
        </w:rPr>
        <w:t>ntwoord</w:t>
      </w:r>
      <w:r>
        <w:rPr>
          <w:szCs w:val="18"/>
        </w:rPr>
        <w:t xml:space="preserve"> 1.</w:t>
      </w:r>
    </w:p>
    <w:p w:rsidRPr="00374F1B" w:rsidR="00CC16E5" w:rsidP="00CC16E5" w:rsidRDefault="00CC16E5" w14:paraId="0FCC0109" w14:textId="77777777">
      <w:pPr>
        <w:suppressAutoHyphens/>
        <w:rPr>
          <w:szCs w:val="18"/>
        </w:rPr>
      </w:pPr>
    </w:p>
    <w:p w:rsidR="00CC16E5" w:rsidP="00CC16E5" w:rsidRDefault="00CC16E5" w14:paraId="2050664D" w14:textId="77777777">
      <w:pPr>
        <w:suppressAutoHyphens/>
        <w:rPr>
          <w:szCs w:val="18"/>
        </w:rPr>
      </w:pPr>
      <w:r w:rsidRPr="00CE3D27">
        <w:rPr>
          <w:szCs w:val="18"/>
        </w:rPr>
        <w:t xml:space="preserve">Het Rijksinstituut voor Volksgezondheid en Milieu (RIVM) </w:t>
      </w:r>
      <w:r>
        <w:rPr>
          <w:szCs w:val="18"/>
        </w:rPr>
        <w:t>heeft in 2024 een doorrekening van</w:t>
      </w:r>
      <w:r w:rsidRPr="00CE3D27">
        <w:rPr>
          <w:szCs w:val="18"/>
        </w:rPr>
        <w:t xml:space="preserve"> de acties uit het Nationaal Preventieakkoord (NPA) </w:t>
      </w:r>
      <w:r>
        <w:rPr>
          <w:szCs w:val="18"/>
        </w:rPr>
        <w:t>gepubliceerd.</w:t>
      </w:r>
      <w:r>
        <w:rPr>
          <w:rStyle w:val="Voetnootmarkering"/>
          <w:szCs w:val="18"/>
        </w:rPr>
        <w:footnoteReference w:id="1"/>
      </w:r>
      <w:r>
        <w:rPr>
          <w:szCs w:val="18"/>
        </w:rPr>
        <w:t xml:space="preserve"> Het doel was </w:t>
      </w:r>
      <w:r w:rsidRPr="00CE3D27">
        <w:rPr>
          <w:szCs w:val="18"/>
        </w:rPr>
        <w:t>om in te schatten of de ambities voor 2040 worden behaald</w:t>
      </w:r>
      <w:r>
        <w:rPr>
          <w:szCs w:val="18"/>
        </w:rPr>
        <w:t>. In h</w:t>
      </w:r>
      <w:r w:rsidRPr="00CE3D27">
        <w:rPr>
          <w:szCs w:val="18"/>
        </w:rPr>
        <w:t xml:space="preserve">et NPA </w:t>
      </w:r>
      <w:r>
        <w:rPr>
          <w:szCs w:val="18"/>
        </w:rPr>
        <w:t xml:space="preserve">is de ambitie van </w:t>
      </w:r>
      <w:r w:rsidRPr="00CE3D27">
        <w:rPr>
          <w:szCs w:val="18"/>
        </w:rPr>
        <w:t>een rookvrije generatie in 2040</w:t>
      </w:r>
      <w:r>
        <w:rPr>
          <w:szCs w:val="18"/>
        </w:rPr>
        <w:t xml:space="preserve"> afgesproken</w:t>
      </w:r>
      <w:r w:rsidRPr="00CE3D27">
        <w:rPr>
          <w:szCs w:val="18"/>
        </w:rPr>
        <w:t xml:space="preserve">. Dat betekent dat in 2040 geen enkele jongere of zwangere meer </w:t>
      </w:r>
      <w:r w:rsidRPr="00194D18">
        <w:rPr>
          <w:szCs w:val="18"/>
        </w:rPr>
        <w:t>rookt. Daarnaast rookt in 2040 nog maximaal 5% van de volwassenen. Het</w:t>
      </w:r>
      <w:r w:rsidRPr="00CE3D27">
        <w:rPr>
          <w:szCs w:val="18"/>
        </w:rPr>
        <w:t xml:space="preserve"> RIVM kon van verschillende </w:t>
      </w:r>
      <w:r w:rsidRPr="00CE3D27">
        <w:rPr>
          <w:szCs w:val="18"/>
        </w:rPr>
        <w:lastRenderedPageBreak/>
        <w:t xml:space="preserve">tabaksmaatregelen </w:t>
      </w:r>
      <w:r>
        <w:rPr>
          <w:szCs w:val="18"/>
        </w:rPr>
        <w:t xml:space="preserve">uit </w:t>
      </w:r>
      <w:r w:rsidRPr="00CE3D27">
        <w:rPr>
          <w:szCs w:val="18"/>
        </w:rPr>
        <w:t xml:space="preserve">het NPA de grootte van het effect en </w:t>
      </w:r>
      <w:r>
        <w:rPr>
          <w:szCs w:val="18"/>
        </w:rPr>
        <w:t xml:space="preserve">het </w:t>
      </w:r>
      <w:r w:rsidRPr="00CE3D27">
        <w:rPr>
          <w:szCs w:val="18"/>
        </w:rPr>
        <w:t xml:space="preserve">bereik vaststellen zodat de impact van de maatregel berekend kon worden. Zo konden bijvoorbeeld de effecten worden berekend van de significante accijnsverhogingen in 2020, 2023 en 2024, het uitstalverbod, </w:t>
      </w:r>
      <w:r>
        <w:rPr>
          <w:szCs w:val="18"/>
        </w:rPr>
        <w:t>standaard</w:t>
      </w:r>
      <w:r w:rsidRPr="00CE3D27">
        <w:rPr>
          <w:szCs w:val="18"/>
        </w:rPr>
        <w:t>verpakkingen, vermindering van verkooppunten, rookvrije omgevingen waar veel kinderen komen, de rookvrije werkomgeving en stoppen-met-rokenzorg.</w:t>
      </w:r>
      <w:r>
        <w:rPr>
          <w:szCs w:val="18"/>
        </w:rPr>
        <w:t xml:space="preserve"> </w:t>
      </w:r>
    </w:p>
    <w:p w:rsidR="00CC16E5" w:rsidP="00CC16E5" w:rsidRDefault="00CC16E5" w14:paraId="47715C02" w14:textId="77777777">
      <w:pPr>
        <w:suppressAutoHyphens/>
        <w:rPr>
          <w:szCs w:val="18"/>
        </w:rPr>
      </w:pPr>
    </w:p>
    <w:p w:rsidR="00CC16E5" w:rsidP="00CC16E5" w:rsidRDefault="00CC16E5" w14:paraId="62E38FDE" w14:textId="77777777">
      <w:pPr>
        <w:suppressAutoHyphens/>
        <w:rPr>
          <w:szCs w:val="18"/>
        </w:rPr>
      </w:pPr>
      <w:r>
        <w:rPr>
          <w:szCs w:val="18"/>
        </w:rPr>
        <w:t xml:space="preserve">In </w:t>
      </w:r>
      <w:r w:rsidRPr="00CE3D27">
        <w:rPr>
          <w:szCs w:val="18"/>
        </w:rPr>
        <w:t xml:space="preserve">het referentiescenario </w:t>
      </w:r>
      <w:r>
        <w:rPr>
          <w:szCs w:val="18"/>
        </w:rPr>
        <w:t xml:space="preserve">daalt </w:t>
      </w:r>
      <w:r w:rsidRPr="00CE3D27">
        <w:rPr>
          <w:szCs w:val="18"/>
        </w:rPr>
        <w:t xml:space="preserve">het percentage </w:t>
      </w:r>
      <w:r w:rsidRPr="00081CBB">
        <w:rPr>
          <w:szCs w:val="18"/>
        </w:rPr>
        <w:t>volwassen rokers</w:t>
      </w:r>
      <w:r w:rsidRPr="00CE3D27">
        <w:rPr>
          <w:szCs w:val="18"/>
        </w:rPr>
        <w:t xml:space="preserve"> tot ongeveer 13% in 2040</w:t>
      </w:r>
      <w:r>
        <w:rPr>
          <w:szCs w:val="18"/>
        </w:rPr>
        <w:t>.</w:t>
      </w:r>
      <w:r w:rsidRPr="00CE3D27">
        <w:rPr>
          <w:szCs w:val="18"/>
        </w:rPr>
        <w:t xml:space="preserve"> </w:t>
      </w:r>
      <w:r>
        <w:rPr>
          <w:szCs w:val="18"/>
        </w:rPr>
        <w:t>T</w:t>
      </w:r>
      <w:r w:rsidRPr="00CE3D27">
        <w:rPr>
          <w:szCs w:val="18"/>
        </w:rPr>
        <w:t>er vergelijking: in 202</w:t>
      </w:r>
      <w:r>
        <w:rPr>
          <w:szCs w:val="18"/>
        </w:rPr>
        <w:t>4</w:t>
      </w:r>
      <w:r w:rsidRPr="00CE3D27">
        <w:rPr>
          <w:szCs w:val="18"/>
        </w:rPr>
        <w:t xml:space="preserve"> rookte 18,</w:t>
      </w:r>
      <w:r>
        <w:rPr>
          <w:szCs w:val="18"/>
        </w:rPr>
        <w:t>2 procent</w:t>
      </w:r>
      <w:r w:rsidRPr="00CE3D27">
        <w:rPr>
          <w:szCs w:val="18"/>
        </w:rPr>
        <w:t xml:space="preserve"> van de volwassenen</w:t>
      </w:r>
      <w:r>
        <w:rPr>
          <w:szCs w:val="18"/>
        </w:rPr>
        <w:t xml:space="preserve"> en in 2018, net voor de start van het NPA, rookte nog 22,4 procent van de volwassenen</w:t>
      </w:r>
      <w:r w:rsidRPr="00CE3D27">
        <w:rPr>
          <w:szCs w:val="18"/>
        </w:rPr>
        <w:t xml:space="preserve">. </w:t>
      </w:r>
      <w:r>
        <w:rPr>
          <w:szCs w:val="18"/>
        </w:rPr>
        <w:t>In het interventiescenario waarin de acties en maatregelen</w:t>
      </w:r>
      <w:r w:rsidRPr="00CE3D27">
        <w:rPr>
          <w:szCs w:val="18"/>
        </w:rPr>
        <w:t xml:space="preserve"> uit het NPA </w:t>
      </w:r>
      <w:r>
        <w:rPr>
          <w:szCs w:val="18"/>
        </w:rPr>
        <w:t xml:space="preserve">zijn opgenomen, </w:t>
      </w:r>
      <w:r w:rsidRPr="00CE3D27">
        <w:rPr>
          <w:szCs w:val="18"/>
        </w:rPr>
        <w:t xml:space="preserve">daalt het percentage </w:t>
      </w:r>
      <w:r>
        <w:rPr>
          <w:szCs w:val="18"/>
        </w:rPr>
        <w:t xml:space="preserve">rokende </w:t>
      </w:r>
      <w:r w:rsidRPr="00CE3D27">
        <w:rPr>
          <w:szCs w:val="18"/>
        </w:rPr>
        <w:t xml:space="preserve">volwassenen </w:t>
      </w:r>
      <w:r>
        <w:rPr>
          <w:szCs w:val="18"/>
        </w:rPr>
        <w:t xml:space="preserve">in 2040 </w:t>
      </w:r>
      <w:r w:rsidRPr="00CE3D27">
        <w:rPr>
          <w:szCs w:val="18"/>
        </w:rPr>
        <w:t>ongeveer 2 tot 3 procentpunt extra ten opzichte van het referentiescenario.</w:t>
      </w:r>
      <w:r>
        <w:rPr>
          <w:szCs w:val="18"/>
        </w:rPr>
        <w:t xml:space="preserve"> H</w:t>
      </w:r>
      <w:r w:rsidRPr="00CE3D27">
        <w:rPr>
          <w:szCs w:val="18"/>
        </w:rPr>
        <w:t xml:space="preserve">et referentiescenario is gebaseerd op de historische trend tussen 2002 en 2018, voordat de acties en maatregelen uit het NPA in gang werden gezet. Er kan </w:t>
      </w:r>
      <w:r>
        <w:rPr>
          <w:szCs w:val="18"/>
        </w:rPr>
        <w:t>w</w:t>
      </w:r>
      <w:r w:rsidRPr="00CE3D27">
        <w:rPr>
          <w:szCs w:val="18"/>
        </w:rPr>
        <w:t xml:space="preserve">orden geconcludeerd dat </w:t>
      </w:r>
      <w:r>
        <w:rPr>
          <w:szCs w:val="18"/>
        </w:rPr>
        <w:t xml:space="preserve">de acties en maatregelen uit </w:t>
      </w:r>
      <w:r w:rsidRPr="00CE3D27">
        <w:rPr>
          <w:szCs w:val="18"/>
        </w:rPr>
        <w:t xml:space="preserve">het NPA effectief </w:t>
      </w:r>
      <w:r>
        <w:rPr>
          <w:szCs w:val="18"/>
        </w:rPr>
        <w:t>zijn</w:t>
      </w:r>
      <w:r w:rsidRPr="00CE3D27">
        <w:rPr>
          <w:szCs w:val="18"/>
        </w:rPr>
        <w:t xml:space="preserve"> om roken terug te dringen. Wel blijkt dat deze acties </w:t>
      </w:r>
      <w:r>
        <w:rPr>
          <w:szCs w:val="18"/>
        </w:rPr>
        <w:t xml:space="preserve">en maatregelen </w:t>
      </w:r>
      <w:r w:rsidRPr="00CE3D27">
        <w:rPr>
          <w:szCs w:val="18"/>
        </w:rPr>
        <w:t>niet voldoende zijn om de ambitie</w:t>
      </w:r>
      <w:r>
        <w:rPr>
          <w:szCs w:val="18"/>
        </w:rPr>
        <w:t xml:space="preserve"> van maximaal 5% van de volwassenen (en geen jongere of zwangere)</w:t>
      </w:r>
      <w:r w:rsidRPr="00CE3D27">
        <w:rPr>
          <w:szCs w:val="18"/>
        </w:rPr>
        <w:t xml:space="preserve"> te halen en dat aanvullende </w:t>
      </w:r>
      <w:r>
        <w:rPr>
          <w:szCs w:val="18"/>
        </w:rPr>
        <w:t>inzet</w:t>
      </w:r>
      <w:r w:rsidRPr="00CE3D27">
        <w:rPr>
          <w:szCs w:val="18"/>
        </w:rPr>
        <w:t xml:space="preserve"> nodig </w:t>
      </w:r>
      <w:r>
        <w:rPr>
          <w:szCs w:val="18"/>
        </w:rPr>
        <w:t>is</w:t>
      </w:r>
      <w:r w:rsidRPr="00CE3D27">
        <w:rPr>
          <w:szCs w:val="18"/>
        </w:rPr>
        <w:t>.</w:t>
      </w:r>
    </w:p>
    <w:p w:rsidR="00CC16E5" w:rsidP="00CC16E5" w:rsidRDefault="00CC16E5" w14:paraId="4F131B01" w14:textId="77777777">
      <w:pPr>
        <w:suppressAutoHyphens/>
        <w:rPr>
          <w:szCs w:val="18"/>
        </w:rPr>
      </w:pPr>
    </w:p>
    <w:p w:rsidR="00CC16E5" w:rsidP="00CC16E5" w:rsidRDefault="00CC16E5" w14:paraId="2AFFC9A9" w14:textId="77777777">
      <w:pPr>
        <w:suppressAutoHyphens/>
        <w:rPr>
          <w:szCs w:val="18"/>
        </w:rPr>
      </w:pPr>
      <w:r>
        <w:rPr>
          <w:szCs w:val="18"/>
        </w:rPr>
        <w:t xml:space="preserve">Verder heeft het </w:t>
      </w:r>
      <w:r w:rsidRPr="00F15580">
        <w:rPr>
          <w:szCs w:val="18"/>
        </w:rPr>
        <w:t xml:space="preserve">Trimbos-instituut </w:t>
      </w:r>
      <w:r>
        <w:rPr>
          <w:szCs w:val="18"/>
        </w:rPr>
        <w:t xml:space="preserve">in 2022 </w:t>
      </w:r>
      <w:r w:rsidRPr="00F15580">
        <w:rPr>
          <w:szCs w:val="18"/>
        </w:rPr>
        <w:t xml:space="preserve">de effectiviteit </w:t>
      </w:r>
      <w:r>
        <w:rPr>
          <w:szCs w:val="18"/>
        </w:rPr>
        <w:t xml:space="preserve">onderzocht </w:t>
      </w:r>
      <w:r w:rsidRPr="00F15580">
        <w:rPr>
          <w:szCs w:val="18"/>
        </w:rPr>
        <w:t xml:space="preserve">van </w:t>
      </w:r>
      <w:r>
        <w:rPr>
          <w:szCs w:val="18"/>
        </w:rPr>
        <w:t>acties en maatregelen uit</w:t>
      </w:r>
      <w:r w:rsidRPr="00F15580">
        <w:rPr>
          <w:szCs w:val="18"/>
        </w:rPr>
        <w:t xml:space="preserve"> het N</w:t>
      </w:r>
      <w:r>
        <w:rPr>
          <w:szCs w:val="18"/>
        </w:rPr>
        <w:t xml:space="preserve">PA </w:t>
      </w:r>
      <w:r w:rsidRPr="00F15580">
        <w:rPr>
          <w:szCs w:val="18"/>
        </w:rPr>
        <w:t>die gericht zijn op het terugdringen van het aantal jeugdige en volwassen rokers.</w:t>
      </w:r>
      <w:r>
        <w:rPr>
          <w:rStyle w:val="Voetnootmarkering"/>
          <w:szCs w:val="18"/>
        </w:rPr>
        <w:footnoteReference w:id="2"/>
      </w:r>
      <w:r>
        <w:rPr>
          <w:szCs w:val="18"/>
        </w:rPr>
        <w:t xml:space="preserve"> Het onderzoek is uitgevoerd naar a</w:t>
      </w:r>
      <w:r w:rsidRPr="00F15580">
        <w:rPr>
          <w:szCs w:val="18"/>
        </w:rPr>
        <w:t>anleiding</w:t>
      </w:r>
      <w:r>
        <w:rPr>
          <w:szCs w:val="18"/>
        </w:rPr>
        <w:t xml:space="preserve"> van</w:t>
      </w:r>
      <w:r w:rsidRPr="00F15580">
        <w:rPr>
          <w:szCs w:val="18"/>
        </w:rPr>
        <w:t xml:space="preserve"> de motie van het lid Maeijer van 28 juni 2021</w:t>
      </w:r>
      <w:r>
        <w:rPr>
          <w:szCs w:val="18"/>
        </w:rPr>
        <w:t>.</w:t>
      </w:r>
      <w:r>
        <w:rPr>
          <w:rStyle w:val="Voetnootmarkering"/>
          <w:szCs w:val="18"/>
        </w:rPr>
        <w:footnoteReference w:id="3"/>
      </w:r>
      <w:r w:rsidRPr="00F15580">
        <w:rPr>
          <w:szCs w:val="18"/>
        </w:rPr>
        <w:t xml:space="preserve"> Het Trimbos-instituut concludeer</w:t>
      </w:r>
      <w:r>
        <w:rPr>
          <w:szCs w:val="18"/>
        </w:rPr>
        <w:t>de</w:t>
      </w:r>
      <w:r w:rsidRPr="00F15580">
        <w:rPr>
          <w:szCs w:val="18"/>
        </w:rPr>
        <w:t xml:space="preserve"> dat de maatregelen die de </w:t>
      </w:r>
      <w:r>
        <w:rPr>
          <w:szCs w:val="18"/>
        </w:rPr>
        <w:t>R</w:t>
      </w:r>
      <w:r w:rsidRPr="00F15580">
        <w:rPr>
          <w:szCs w:val="18"/>
        </w:rPr>
        <w:t>ijksoverheid in het kader van het N</w:t>
      </w:r>
      <w:r>
        <w:rPr>
          <w:szCs w:val="18"/>
        </w:rPr>
        <w:t>PA</w:t>
      </w:r>
      <w:r w:rsidRPr="00F15580">
        <w:rPr>
          <w:szCs w:val="18"/>
        </w:rPr>
        <w:t xml:space="preserve"> </w:t>
      </w:r>
      <w:r>
        <w:rPr>
          <w:szCs w:val="18"/>
        </w:rPr>
        <w:t>heeft</w:t>
      </w:r>
      <w:r w:rsidRPr="00F15580">
        <w:rPr>
          <w:szCs w:val="18"/>
        </w:rPr>
        <w:t xml:space="preserve"> genomen, direct of indirect bijdragen aan het verlagen van de rookprevalentie onder volwassenen en jongeren. Dit gebeurt onder andere door het aantal stoppogingen te verhogen, de stopmotivatie te verhogen, de manier waarop stoppen-met-rokenzorg gegeven wordt te versterken, de blootstelling aan tweede-handsrook te verminderen of door het bewustzijn van de schadelijkheid van roken te vergroten.</w:t>
      </w:r>
    </w:p>
    <w:p w:rsidR="00CC16E5" w:rsidP="00CC16E5" w:rsidRDefault="00CC16E5" w14:paraId="31E81922" w14:textId="77777777">
      <w:pPr>
        <w:suppressAutoHyphens/>
        <w:rPr>
          <w:szCs w:val="18"/>
        </w:rPr>
      </w:pPr>
    </w:p>
    <w:p w:rsidR="00CC16E5" w:rsidP="00CC16E5" w:rsidRDefault="00CC16E5" w14:paraId="301904CB" w14:textId="77777777">
      <w:pPr>
        <w:suppressAutoHyphens/>
        <w:rPr>
          <w:szCs w:val="18"/>
        </w:rPr>
      </w:pPr>
      <w:r>
        <w:rPr>
          <w:szCs w:val="18"/>
        </w:rPr>
        <w:t xml:space="preserve">Het kabinet heeft verder bij het onderzoek naar de gevolgen van het beleid ook oog voor ongewenste gevolgen. Zo heeft het kabinet de gedragseffecten van de </w:t>
      </w:r>
      <w:r w:rsidRPr="00CE3D27">
        <w:rPr>
          <w:szCs w:val="18"/>
        </w:rPr>
        <w:t>accijnsverhogingen in 2020, 2023 en 2024</w:t>
      </w:r>
      <w:r>
        <w:rPr>
          <w:szCs w:val="18"/>
        </w:rPr>
        <w:t xml:space="preserve"> apart laten onderzoeken en daarbij bleek dat deze prijsmaatregelen naast het gewenste gedragseffect (stoppen met roken) ook ongewenste gedragseffecten hadden zoals overstappen op goedkopere rookwaren of kopen over de grens. Ook zijn </w:t>
      </w:r>
      <w:r w:rsidRPr="00696047">
        <w:rPr>
          <w:szCs w:val="18"/>
        </w:rPr>
        <w:t>Empty Pack Survey</w:t>
      </w:r>
      <w:r>
        <w:rPr>
          <w:szCs w:val="18"/>
        </w:rPr>
        <w:t>s uitgevoerd waarbij onder andere naar de illegale markt wordt gekeken. Uw Kamer is over deze onderzoeken geïnformeerd.</w:t>
      </w:r>
      <w:r>
        <w:rPr>
          <w:rStyle w:val="Voetnootmarkering"/>
          <w:szCs w:val="18"/>
        </w:rPr>
        <w:footnoteReference w:id="4"/>
      </w:r>
      <w:r>
        <w:rPr>
          <w:szCs w:val="18"/>
        </w:rPr>
        <w:t xml:space="preserve"> Een andere maatregel in dit opzicht is het verbod op e-</w:t>
      </w:r>
      <w:r>
        <w:rPr>
          <w:szCs w:val="18"/>
        </w:rPr>
        <w:lastRenderedPageBreak/>
        <w:t>sigaretten met smaken anders dan tabakssmaak. U</w:t>
      </w:r>
      <w:r w:rsidRPr="00203036">
        <w:rPr>
          <w:szCs w:val="18"/>
        </w:rPr>
        <w:t>it eerste resultaten van RIVM-onderzoek</w:t>
      </w:r>
      <w:r>
        <w:rPr>
          <w:szCs w:val="18"/>
        </w:rPr>
        <w:t xml:space="preserve"> naar de effecten van dit verbod bleek</w:t>
      </w:r>
      <w:r w:rsidRPr="00203036">
        <w:rPr>
          <w:szCs w:val="18"/>
        </w:rPr>
        <w:t xml:space="preserve"> dat 22% van de onderzochte respondenten gestopt is met vapen</w:t>
      </w:r>
      <w:r>
        <w:rPr>
          <w:szCs w:val="18"/>
        </w:rPr>
        <w:t>,</w:t>
      </w:r>
      <w:r w:rsidRPr="00203036">
        <w:rPr>
          <w:szCs w:val="18"/>
        </w:rPr>
        <w:t xml:space="preserve"> maar </w:t>
      </w:r>
      <w:r>
        <w:rPr>
          <w:szCs w:val="18"/>
        </w:rPr>
        <w:t>ook dat bepaalde gebruikers uitwijken naar e-sigaretten met smaken uit het buitenland.</w:t>
      </w:r>
      <w:r>
        <w:rPr>
          <w:rStyle w:val="Voetnootmarkering"/>
          <w:szCs w:val="18"/>
        </w:rPr>
        <w:footnoteReference w:id="5"/>
      </w:r>
      <w:r>
        <w:rPr>
          <w:szCs w:val="18"/>
        </w:rPr>
        <w:t xml:space="preserve"> Het kabinet laat de markt van illegale e-sigaretten verder onderzoeken en de resultaten worden dit kwartaal met u gedeeld. </w:t>
      </w:r>
    </w:p>
    <w:p w:rsidR="00CC16E5" w:rsidP="00CC16E5" w:rsidRDefault="00CC16E5" w14:paraId="4AD9B89C" w14:textId="77777777">
      <w:pPr>
        <w:suppressAutoHyphens/>
        <w:rPr>
          <w:szCs w:val="18"/>
        </w:rPr>
      </w:pPr>
    </w:p>
    <w:p w:rsidRPr="001046DE" w:rsidR="00CC16E5" w:rsidP="00CC16E5" w:rsidRDefault="00CC16E5" w14:paraId="1D8C22D9" w14:textId="77777777">
      <w:pPr>
        <w:suppressAutoHyphens/>
        <w:rPr>
          <w:szCs w:val="18"/>
        </w:rPr>
      </w:pPr>
      <w:r>
        <w:rPr>
          <w:szCs w:val="18"/>
        </w:rPr>
        <w:t>Al met al zijn er voldoende gegevens beschikbaar over de effectiviteit van het ingezette beleid, inclusief eventuele ongewenste gevolgen, en loopt er ook nog verder onderzoek. Aanvullend onderzoek is daarom naar mijn mening nu niet nodig.</w:t>
      </w:r>
    </w:p>
    <w:p w:rsidR="00CC16E5" w:rsidP="00CC16E5" w:rsidRDefault="00CC16E5" w14:paraId="2421A112" w14:textId="77777777">
      <w:pPr>
        <w:suppressAutoHyphens/>
      </w:pPr>
    </w:p>
    <w:p w:rsidR="00A07136" w:rsidRDefault="00A07136" w14:paraId="392CF8E5" w14:textId="77777777"/>
    <w:sectPr w:rsidR="00A07136" w:rsidSect="00CC16E5">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B7CD3" w14:textId="77777777" w:rsidR="00CC16E5" w:rsidRDefault="00CC16E5" w:rsidP="00CC16E5">
      <w:pPr>
        <w:spacing w:after="0" w:line="240" w:lineRule="auto"/>
      </w:pPr>
      <w:r>
        <w:separator/>
      </w:r>
    </w:p>
  </w:endnote>
  <w:endnote w:type="continuationSeparator" w:id="0">
    <w:p w14:paraId="6608C14F" w14:textId="77777777" w:rsidR="00CC16E5" w:rsidRDefault="00CC16E5" w:rsidP="00CC1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ED51E" w14:textId="77777777" w:rsidR="00CC16E5" w:rsidRPr="00CC16E5" w:rsidRDefault="00CC16E5" w:rsidP="00CC16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C171E" w14:textId="77777777" w:rsidR="00CC16E5" w:rsidRPr="00CC16E5" w:rsidRDefault="00CC16E5" w:rsidP="00CC16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E54B" w14:textId="77777777" w:rsidR="00CC16E5" w:rsidRPr="00CC16E5" w:rsidRDefault="00CC16E5" w:rsidP="00CC16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05B3E" w14:textId="77777777" w:rsidR="00CC16E5" w:rsidRDefault="00CC16E5" w:rsidP="00CC16E5">
      <w:pPr>
        <w:spacing w:after="0" w:line="240" w:lineRule="auto"/>
      </w:pPr>
      <w:r>
        <w:separator/>
      </w:r>
    </w:p>
  </w:footnote>
  <w:footnote w:type="continuationSeparator" w:id="0">
    <w:p w14:paraId="5DF99012" w14:textId="77777777" w:rsidR="00CC16E5" w:rsidRDefault="00CC16E5" w:rsidP="00CC16E5">
      <w:pPr>
        <w:spacing w:after="0" w:line="240" w:lineRule="auto"/>
      </w:pPr>
      <w:r>
        <w:continuationSeparator/>
      </w:r>
    </w:p>
  </w:footnote>
  <w:footnote w:id="1">
    <w:p w14:paraId="16F6E3C5" w14:textId="77777777" w:rsidR="00CC16E5" w:rsidRPr="00A21E22" w:rsidRDefault="00CC16E5" w:rsidP="00CC16E5">
      <w:pPr>
        <w:pStyle w:val="Voetnoottekst"/>
        <w:ind w:left="142" w:hanging="142"/>
        <w:rPr>
          <w:sz w:val="16"/>
          <w:szCs w:val="16"/>
        </w:rPr>
      </w:pPr>
      <w:r w:rsidRPr="00A21E22">
        <w:rPr>
          <w:rStyle w:val="Voetnootmarkering"/>
          <w:sz w:val="16"/>
          <w:szCs w:val="16"/>
        </w:rPr>
        <w:footnoteRef/>
      </w:r>
      <w:r w:rsidRPr="00A21E22">
        <w:rPr>
          <w:sz w:val="16"/>
          <w:szCs w:val="16"/>
        </w:rPr>
        <w:t xml:space="preserve"> Kamerstukken II, 2023/24, 32 793, nr. 711</w:t>
      </w:r>
    </w:p>
  </w:footnote>
  <w:footnote w:id="2">
    <w:p w14:paraId="188CBC55" w14:textId="77777777" w:rsidR="00CC16E5" w:rsidRPr="00A21E22" w:rsidRDefault="00CC16E5" w:rsidP="00CC16E5">
      <w:pPr>
        <w:pStyle w:val="Voetnoottekst"/>
        <w:ind w:left="142" w:hanging="142"/>
        <w:rPr>
          <w:sz w:val="16"/>
          <w:szCs w:val="16"/>
        </w:rPr>
      </w:pPr>
      <w:r w:rsidRPr="00A21E22">
        <w:rPr>
          <w:rStyle w:val="Voetnootmarkering"/>
          <w:sz w:val="16"/>
          <w:szCs w:val="16"/>
        </w:rPr>
        <w:footnoteRef/>
      </w:r>
      <w:r w:rsidRPr="00A21E22">
        <w:rPr>
          <w:sz w:val="16"/>
          <w:szCs w:val="16"/>
        </w:rPr>
        <w:t xml:space="preserve"> </w:t>
      </w:r>
      <w:r w:rsidRPr="00A21E22">
        <w:rPr>
          <w:sz w:val="16"/>
          <w:szCs w:val="16"/>
        </w:rPr>
        <w:tab/>
        <w:t>Kamerstukken II 2021/22, 32 793, nr. 606</w:t>
      </w:r>
    </w:p>
  </w:footnote>
  <w:footnote w:id="3">
    <w:p w14:paraId="6A21D275" w14:textId="77777777" w:rsidR="00CC16E5" w:rsidRPr="00A21E22" w:rsidRDefault="00CC16E5" w:rsidP="00CC16E5">
      <w:pPr>
        <w:pStyle w:val="Voetnoottekst"/>
        <w:ind w:left="142" w:hanging="142"/>
        <w:rPr>
          <w:sz w:val="16"/>
          <w:szCs w:val="16"/>
        </w:rPr>
      </w:pPr>
      <w:r w:rsidRPr="00A21E22">
        <w:rPr>
          <w:rStyle w:val="Voetnootmarkering"/>
          <w:sz w:val="16"/>
          <w:szCs w:val="16"/>
        </w:rPr>
        <w:footnoteRef/>
      </w:r>
      <w:r w:rsidRPr="00A21E22">
        <w:rPr>
          <w:sz w:val="16"/>
          <w:szCs w:val="16"/>
        </w:rPr>
        <w:t xml:space="preserve"> </w:t>
      </w:r>
      <w:r w:rsidRPr="00A21E22">
        <w:rPr>
          <w:sz w:val="16"/>
          <w:szCs w:val="16"/>
        </w:rPr>
        <w:tab/>
        <w:t>Kamerstukken II 2021/22,  35 504, nr. 11</w:t>
      </w:r>
    </w:p>
  </w:footnote>
  <w:footnote w:id="4">
    <w:p w14:paraId="2E93BA95" w14:textId="77777777" w:rsidR="00CC16E5" w:rsidRPr="00A21E22" w:rsidRDefault="00CC16E5" w:rsidP="00CC16E5">
      <w:pPr>
        <w:pStyle w:val="Voetnoottekst"/>
        <w:ind w:left="142" w:hanging="142"/>
        <w:rPr>
          <w:sz w:val="16"/>
          <w:szCs w:val="16"/>
        </w:rPr>
      </w:pPr>
      <w:r w:rsidRPr="00A21E22">
        <w:rPr>
          <w:rStyle w:val="Voetnootmarkering"/>
          <w:sz w:val="16"/>
          <w:szCs w:val="16"/>
        </w:rPr>
        <w:footnoteRef/>
      </w:r>
      <w:r w:rsidRPr="00A21E22">
        <w:rPr>
          <w:sz w:val="16"/>
          <w:szCs w:val="16"/>
        </w:rPr>
        <w:t xml:space="preserve"> </w:t>
      </w:r>
      <w:r w:rsidRPr="00A21E22">
        <w:rPr>
          <w:sz w:val="16"/>
          <w:szCs w:val="16"/>
        </w:rPr>
        <w:tab/>
        <w:t>Kamerstukken II 2020/21, 32 011, nr. 86; Kamerstukken II 2023/2024, 32 011, nr. 112; Kamerstukken II 2024/2025, 32 011, nr. 121</w:t>
      </w:r>
    </w:p>
  </w:footnote>
  <w:footnote w:id="5">
    <w:p w14:paraId="7469A511" w14:textId="77777777" w:rsidR="00CC16E5" w:rsidRPr="00A21E22" w:rsidRDefault="00CC16E5" w:rsidP="00CC16E5">
      <w:pPr>
        <w:pStyle w:val="Voetnoottekst"/>
        <w:ind w:left="142" w:hanging="142"/>
        <w:rPr>
          <w:sz w:val="16"/>
          <w:szCs w:val="16"/>
        </w:rPr>
      </w:pPr>
      <w:r w:rsidRPr="00A21E22">
        <w:rPr>
          <w:rStyle w:val="Voetnootmarkering"/>
          <w:sz w:val="16"/>
          <w:szCs w:val="16"/>
        </w:rPr>
        <w:footnoteRef/>
      </w:r>
      <w:r w:rsidRPr="00A21E22">
        <w:rPr>
          <w:sz w:val="16"/>
          <w:szCs w:val="16"/>
        </w:rPr>
        <w:t xml:space="preserve"> </w:t>
      </w:r>
      <w:r w:rsidRPr="00A21E22">
        <w:rPr>
          <w:sz w:val="16"/>
          <w:szCs w:val="16"/>
        </w:rPr>
        <w:tab/>
        <w:t xml:space="preserve">RIVM, 2025. Twee op de vijf vermindert gebruik e-sigaretten na invoering smaakjesverbod. Beschikbaar via: </w:t>
      </w:r>
      <w:hyperlink r:id="rId1" w:history="1">
        <w:r w:rsidRPr="00A21E22">
          <w:rPr>
            <w:rStyle w:val="Hyperlink"/>
            <w:sz w:val="16"/>
            <w:szCs w:val="16"/>
          </w:rPr>
          <w:t>https://www.rivm.nl/nieuws/twee-op-vijf-vermindert-gebruik-e-sigaretten-na-invoering-smaakjesverbod</w:t>
        </w:r>
      </w:hyperlink>
      <w:r w:rsidRPr="00A21E22">
        <w:rPr>
          <w:sz w:val="16"/>
          <w:szCs w:val="16"/>
        </w:rPr>
        <w:t xml:space="preserve"> </w:t>
      </w:r>
    </w:p>
    <w:p w14:paraId="13EE6D32" w14:textId="77777777" w:rsidR="00CC16E5" w:rsidRPr="00A21E22" w:rsidRDefault="00CC16E5" w:rsidP="00CC16E5">
      <w:pPr>
        <w:pStyle w:val="Voetnoottekst"/>
        <w:rPr>
          <w:sz w:val="16"/>
          <w:szCs w:val="16"/>
        </w:rPr>
      </w:pPr>
      <w:r w:rsidRPr="00A21E22">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D9982" w14:textId="77777777" w:rsidR="00CC16E5" w:rsidRPr="00CC16E5" w:rsidRDefault="00CC16E5" w:rsidP="00CC16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E05E" w14:textId="77777777" w:rsidR="00CC16E5" w:rsidRPr="00CC16E5" w:rsidRDefault="00CC16E5" w:rsidP="00CC16E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3ABD9" w14:textId="77777777" w:rsidR="00CC16E5" w:rsidRPr="00CC16E5" w:rsidRDefault="00CC16E5" w:rsidP="00CC16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6E5"/>
    <w:rsid w:val="007A1F3D"/>
    <w:rsid w:val="00A07136"/>
    <w:rsid w:val="00CC16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C17F9"/>
  <w15:chartTrackingRefBased/>
  <w15:docId w15:val="{7A19F88E-5100-4CCF-9AA5-1FA676D67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16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C16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C16E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C16E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C16E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C16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C16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C16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C16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16E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C16E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C16E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C16E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C16E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C16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C16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C16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C16E5"/>
    <w:rPr>
      <w:rFonts w:eastAsiaTheme="majorEastAsia" w:cstheme="majorBidi"/>
      <w:color w:val="272727" w:themeColor="text1" w:themeTint="D8"/>
    </w:rPr>
  </w:style>
  <w:style w:type="paragraph" w:styleId="Titel">
    <w:name w:val="Title"/>
    <w:basedOn w:val="Standaard"/>
    <w:next w:val="Standaard"/>
    <w:link w:val="TitelChar"/>
    <w:uiPriority w:val="10"/>
    <w:qFormat/>
    <w:rsid w:val="00CC16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16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16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C16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16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C16E5"/>
    <w:rPr>
      <w:i/>
      <w:iCs/>
      <w:color w:val="404040" w:themeColor="text1" w:themeTint="BF"/>
    </w:rPr>
  </w:style>
  <w:style w:type="paragraph" w:styleId="Lijstalinea">
    <w:name w:val="List Paragraph"/>
    <w:basedOn w:val="Standaard"/>
    <w:uiPriority w:val="34"/>
    <w:qFormat/>
    <w:rsid w:val="00CC16E5"/>
    <w:pPr>
      <w:ind w:left="720"/>
      <w:contextualSpacing/>
    </w:pPr>
  </w:style>
  <w:style w:type="character" w:styleId="Intensievebenadrukking">
    <w:name w:val="Intense Emphasis"/>
    <w:basedOn w:val="Standaardalinea-lettertype"/>
    <w:uiPriority w:val="21"/>
    <w:qFormat/>
    <w:rsid w:val="00CC16E5"/>
    <w:rPr>
      <w:i/>
      <w:iCs/>
      <w:color w:val="2F5496" w:themeColor="accent1" w:themeShade="BF"/>
    </w:rPr>
  </w:style>
  <w:style w:type="paragraph" w:styleId="Duidelijkcitaat">
    <w:name w:val="Intense Quote"/>
    <w:basedOn w:val="Standaard"/>
    <w:next w:val="Standaard"/>
    <w:link w:val="DuidelijkcitaatChar"/>
    <w:uiPriority w:val="30"/>
    <w:qFormat/>
    <w:rsid w:val="00CC16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C16E5"/>
    <w:rPr>
      <w:i/>
      <w:iCs/>
      <w:color w:val="2F5496" w:themeColor="accent1" w:themeShade="BF"/>
    </w:rPr>
  </w:style>
  <w:style w:type="character" w:styleId="Intensieveverwijzing">
    <w:name w:val="Intense Reference"/>
    <w:basedOn w:val="Standaardalinea-lettertype"/>
    <w:uiPriority w:val="32"/>
    <w:qFormat/>
    <w:rsid w:val="00CC16E5"/>
    <w:rPr>
      <w:b/>
      <w:bCs/>
      <w:smallCaps/>
      <w:color w:val="2F5496" w:themeColor="accent1" w:themeShade="BF"/>
      <w:spacing w:val="5"/>
    </w:rPr>
  </w:style>
  <w:style w:type="paragraph" w:styleId="Voetnoottekst">
    <w:name w:val="footnote text"/>
    <w:basedOn w:val="Standaard"/>
    <w:link w:val="VoetnoottekstChar"/>
    <w:uiPriority w:val="99"/>
    <w:semiHidden/>
    <w:rsid w:val="00CC16E5"/>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CC16E5"/>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CC16E5"/>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CC16E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CC16E5"/>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CC16E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CC16E5"/>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CC16E5"/>
    <w:rPr>
      <w:vertAlign w:val="superscript"/>
    </w:rPr>
  </w:style>
  <w:style w:type="character" w:styleId="Hyperlink">
    <w:name w:val="Hyperlink"/>
    <w:basedOn w:val="Standaardalinea-lettertype"/>
    <w:uiPriority w:val="99"/>
    <w:unhideWhenUsed/>
    <w:rsid w:val="00CC16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vm.nl/nieuws/twee-op-vijf-vermindert-gebruik-e-sigaretten-na-invoering-smaakjesverbo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794</ap:Words>
  <ap:Characters>4369</ap:Characters>
  <ap:DocSecurity>0</ap:DocSecurity>
  <ap:Lines>36</ap:Lines>
  <ap:Paragraphs>10</ap:Paragraphs>
  <ap:ScaleCrop>false</ap:ScaleCrop>
  <ap:LinksUpToDate>false</ap:LinksUpToDate>
  <ap:CharactersWithSpaces>5153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2026-02-18T16:07:00.0000000Z</dcterms:created>
  <dcterms:modified xsi:type="dcterms:W3CDTF">2026-02-18T16:07:00.0000000Z</dcterms:modified>
  <version/>
  <category/>
</coreProperties>
</file>