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1E0" w:firstRow="1" w:lastRow="1" w:firstColumn="1" w:lastColumn="1" w:noHBand="0" w:noVBand="0"/>
      </w:tblPr>
      <w:tblGrid>
        <w:gridCol w:w="2742"/>
        <w:gridCol w:w="6162"/>
      </w:tblGrid>
      <w:tr w:rsidRPr="00D27AE1" w:rsidR="00FC395F" w:rsidTr="00A41631" w14:paraId="5BD32A40" w14:textId="77777777">
        <w:trPr>
          <w:trHeight w:val="1059"/>
        </w:trPr>
        <w:tc>
          <w:tcPr>
            <w:tcW w:w="8904" w:type="dxa"/>
            <w:gridSpan w:val="2"/>
            <w:tcBorders>
              <w:left w:val="nil"/>
            </w:tcBorders>
            <w:shd w:val="clear" w:color="auto" w:fill="7A7A7A"/>
            <w:vAlign w:val="center"/>
          </w:tcPr>
          <w:p w:rsidRPr="00D27AE1" w:rsidR="00FC395F" w:rsidP="00DE6D27" w:rsidRDefault="00FC395F" w14:paraId="27F28BC4" w14:textId="77777777">
            <w:pPr>
              <w:pStyle w:val="TableParagraph"/>
              <w:tabs>
                <w:tab w:val="left" w:pos="2060"/>
              </w:tabs>
              <w:ind w:left="103"/>
              <w:rPr>
                <w:rFonts w:cstheme="minorHAnsi"/>
                <w:b/>
                <w:color w:val="FFFFFF"/>
                <w:sz w:val="20"/>
                <w:szCs w:val="20"/>
              </w:rPr>
            </w:pPr>
            <w:r w:rsidRPr="00D27AE1">
              <w:rPr>
                <w:rFonts w:cstheme="minorHAnsi"/>
                <w:b/>
                <w:color w:val="FFFFFF"/>
                <w:sz w:val="20"/>
                <w:szCs w:val="20"/>
              </w:rPr>
              <w:t>Beleidskeuzes uitgelegd</w:t>
            </w:r>
          </w:p>
          <w:p w:rsidRPr="00D27AE1" w:rsidR="00FC395F" w:rsidP="00DE6D27" w:rsidRDefault="00FC395F" w14:paraId="1EE8961A" w14:textId="77777777">
            <w:pPr>
              <w:pStyle w:val="TableParagraph"/>
              <w:tabs>
                <w:tab w:val="left" w:pos="2060"/>
              </w:tabs>
              <w:rPr>
                <w:rFonts w:cstheme="minorHAnsi"/>
                <w:color w:val="FFFFFF" w:themeColor="background1"/>
                <w:sz w:val="20"/>
                <w:szCs w:val="20"/>
              </w:rPr>
            </w:pPr>
            <w:r>
              <w:rPr>
                <w:rFonts w:cstheme="minorHAnsi"/>
                <w:b/>
                <w:color w:val="FFFFFF" w:themeColor="background1"/>
                <w:sz w:val="20"/>
                <w:szCs w:val="20"/>
              </w:rPr>
              <w:t xml:space="preserve"> </w:t>
            </w:r>
            <w:r w:rsidRPr="00D27AE1">
              <w:rPr>
                <w:rFonts w:cstheme="minorHAnsi"/>
                <w:i/>
                <w:color w:val="FFFFFF" w:themeColor="background1"/>
                <w:sz w:val="20"/>
                <w:szCs w:val="20"/>
              </w:rPr>
              <w:t>Onderbouwing doeltreffendheid, doelmatigheid en evaluatie (CW3.1)</w:t>
            </w:r>
          </w:p>
        </w:tc>
      </w:tr>
      <w:tr w:rsidRPr="00D27AE1" w:rsidR="00FC395F" w:rsidTr="00A41631" w14:paraId="5C14EB59" w14:textId="77777777">
        <w:trPr>
          <w:trHeight w:val="666"/>
        </w:trPr>
        <w:tc>
          <w:tcPr>
            <w:tcW w:w="2742" w:type="dxa"/>
            <w:tcBorders>
              <w:left w:val="nil"/>
            </w:tcBorders>
            <w:shd w:val="clear" w:color="auto" w:fill="7A7A7A"/>
          </w:tcPr>
          <w:p w:rsidRPr="002C7109" w:rsidR="00FC395F" w:rsidP="00DE6D27" w:rsidRDefault="00FC395F" w14:paraId="4F08CC0A" w14:textId="77777777">
            <w:pPr>
              <w:pStyle w:val="TableParagraph"/>
              <w:tabs>
                <w:tab w:val="left" w:pos="2060"/>
              </w:tabs>
              <w:ind w:left="103"/>
              <w:rPr>
                <w:rFonts w:cstheme="minorHAnsi"/>
                <w:b/>
                <w:color w:val="FFFFFF"/>
                <w:sz w:val="20"/>
                <w:szCs w:val="20"/>
              </w:rPr>
            </w:pPr>
          </w:p>
          <w:p w:rsidRPr="00D27AE1" w:rsidR="00FC395F" w:rsidP="00DE6D27" w:rsidRDefault="00FC395F" w14:paraId="1F887FF7" w14:textId="77777777">
            <w:pPr>
              <w:pStyle w:val="TableParagraph"/>
              <w:tabs>
                <w:tab w:val="left" w:pos="2060"/>
              </w:tabs>
              <w:ind w:left="103"/>
              <w:rPr>
                <w:rFonts w:cstheme="minorHAnsi"/>
                <w:b/>
                <w:sz w:val="20"/>
                <w:szCs w:val="20"/>
              </w:rPr>
            </w:pPr>
            <w:r w:rsidRPr="00D27AE1">
              <w:rPr>
                <w:rFonts w:cstheme="minorHAnsi"/>
                <w:b/>
                <w:color w:val="FFFFFF"/>
                <w:sz w:val="20"/>
                <w:szCs w:val="20"/>
              </w:rPr>
              <w:t>Doel</w:t>
            </w:r>
            <w:r>
              <w:rPr>
                <w:rFonts w:cstheme="minorHAnsi"/>
                <w:b/>
                <w:color w:val="FFFFFF"/>
                <w:sz w:val="20"/>
                <w:szCs w:val="20"/>
              </w:rPr>
              <w:t>(</w:t>
            </w:r>
            <w:r w:rsidRPr="00D27AE1">
              <w:rPr>
                <w:rFonts w:cstheme="minorHAnsi"/>
                <w:b/>
                <w:color w:val="FFFFFF"/>
                <w:sz w:val="20"/>
                <w:szCs w:val="20"/>
              </w:rPr>
              <w:t>en</w:t>
            </w:r>
            <w:r>
              <w:rPr>
                <w:rFonts w:cstheme="minorHAnsi"/>
                <w:b/>
                <w:color w:val="FFFFFF"/>
                <w:sz w:val="20"/>
                <w:szCs w:val="20"/>
              </w:rPr>
              <w:t xml:space="preserve">) </w:t>
            </w:r>
          </w:p>
        </w:tc>
        <w:tc>
          <w:tcPr>
            <w:tcW w:w="6162" w:type="dxa"/>
            <w:tcBorders>
              <w:right w:val="nil"/>
            </w:tcBorders>
            <w:shd w:val="clear" w:color="auto" w:fill="DBDBDB"/>
            <w:vAlign w:val="center"/>
          </w:tcPr>
          <w:p w:rsidRPr="006C1A5D" w:rsidR="006C1A5D" w:rsidP="006C1A5D" w:rsidRDefault="006C1A5D" w14:paraId="3F96F8B8" w14:textId="77777777">
            <w:pPr>
              <w:tabs>
                <w:tab w:val="left" w:pos="2550"/>
              </w:tabs>
              <w:rPr>
                <w:sz w:val="20"/>
                <w:szCs w:val="16"/>
              </w:rPr>
            </w:pPr>
            <w:r w:rsidRPr="006C1A5D">
              <w:rPr>
                <w:sz w:val="20"/>
                <w:szCs w:val="16"/>
              </w:rPr>
              <w:t>Met de middelen voor standaardisatie gegevensuitwisseling in de zorg wordt beoogd om de ‘basis op orde’ te brengen voor gegevensuitwisseling tussen patiënt/cliënt en zorgverleners onderling. Daarnaast wordt gewerkt aan een goed functionerende persoonlijke gezondheidsomgeving (PGO) en het daaraan verbonden mijn gezondheidsoverzicht (MGO).</w:t>
            </w:r>
          </w:p>
          <w:p w:rsidRPr="006C1A5D" w:rsidR="006C1A5D" w:rsidP="006C1A5D" w:rsidRDefault="006C1A5D" w14:paraId="1DD07925" w14:textId="77777777">
            <w:pPr>
              <w:pStyle w:val="Lijstalinea"/>
              <w:tabs>
                <w:tab w:val="left" w:pos="2550"/>
              </w:tabs>
              <w:rPr>
                <w:sz w:val="20"/>
                <w:szCs w:val="16"/>
              </w:rPr>
            </w:pPr>
          </w:p>
          <w:p w:rsidRPr="006C1A5D" w:rsidR="006C1A5D" w:rsidP="006C1A5D" w:rsidRDefault="006C1A5D" w14:paraId="61C45329" w14:textId="77777777">
            <w:pPr>
              <w:tabs>
                <w:tab w:val="left" w:pos="2550"/>
              </w:tabs>
              <w:rPr>
                <w:sz w:val="20"/>
                <w:szCs w:val="16"/>
              </w:rPr>
            </w:pPr>
            <w:r w:rsidRPr="006C1A5D">
              <w:rPr>
                <w:sz w:val="20"/>
                <w:szCs w:val="16"/>
              </w:rPr>
              <w:t xml:space="preserve">Het verbeteren en vereenvoudigen van elektronische gegevensuitwisseling tussen zorgaanbieders onderling en met patiënten zal op termijn leiden tot een verlaging van administratieve lasten en daarmee bijdragen aan de maatschappelijke opgave om passende en toegankelijke zorg te kunnen verlenen aan iedereen die dat nodig heeft. Daarnaast is een goede digitale gegevensuitwisseling randvoorwaardelijk voor het gebruik van innovatieve AI- en ICT-oplossingen. </w:t>
            </w:r>
          </w:p>
          <w:p w:rsidRPr="00D27AE1" w:rsidR="00FC395F" w:rsidP="00DE6D27" w:rsidRDefault="00FC395F" w14:paraId="277C0693" w14:textId="77777777">
            <w:pPr>
              <w:pStyle w:val="TableParagraph"/>
              <w:tabs>
                <w:tab w:val="left" w:pos="2060"/>
              </w:tabs>
              <w:spacing w:before="10" w:line="218" w:lineRule="exact"/>
              <w:ind w:left="101" w:right="154"/>
              <w:rPr>
                <w:rFonts w:cstheme="minorHAnsi"/>
                <w:sz w:val="20"/>
                <w:szCs w:val="20"/>
              </w:rPr>
            </w:pPr>
          </w:p>
        </w:tc>
      </w:tr>
      <w:tr w:rsidRPr="00D27AE1" w:rsidR="00FC395F" w:rsidTr="00A41631" w14:paraId="3674B8A4" w14:textId="77777777">
        <w:trPr>
          <w:trHeight w:val="694"/>
        </w:trPr>
        <w:tc>
          <w:tcPr>
            <w:tcW w:w="2742" w:type="dxa"/>
            <w:tcBorders>
              <w:left w:val="nil"/>
            </w:tcBorders>
            <w:shd w:val="clear" w:color="auto" w:fill="7A7A7A"/>
          </w:tcPr>
          <w:p w:rsidRPr="00D27AE1" w:rsidR="00FC395F" w:rsidP="00DE6D27" w:rsidRDefault="00FC395F" w14:paraId="2995AD25" w14:textId="77777777">
            <w:pPr>
              <w:pStyle w:val="TableParagraph"/>
              <w:tabs>
                <w:tab w:val="left" w:pos="2060"/>
              </w:tabs>
              <w:ind w:left="103" w:right="231"/>
              <w:rPr>
                <w:rFonts w:cstheme="minorHAnsi"/>
                <w:b/>
                <w:color w:val="FFFFFF"/>
                <w:sz w:val="20"/>
                <w:szCs w:val="20"/>
              </w:rPr>
            </w:pPr>
          </w:p>
          <w:p w:rsidRPr="00D27AE1" w:rsidR="00FC395F" w:rsidP="00DE6D27" w:rsidRDefault="00FC395F" w14:paraId="6E2028EC" w14:textId="77777777">
            <w:pPr>
              <w:pStyle w:val="TableParagraph"/>
              <w:tabs>
                <w:tab w:val="left" w:pos="2060"/>
              </w:tabs>
              <w:ind w:left="103" w:right="231"/>
              <w:rPr>
                <w:rFonts w:cstheme="minorHAnsi"/>
                <w:b/>
                <w:sz w:val="20"/>
                <w:szCs w:val="20"/>
              </w:rPr>
            </w:pPr>
            <w:r w:rsidRPr="00D27AE1">
              <w:rPr>
                <w:rFonts w:cstheme="minorHAnsi"/>
                <w:b/>
                <w:color w:val="FFFFFF"/>
                <w:sz w:val="20"/>
                <w:szCs w:val="20"/>
              </w:rPr>
              <w:t>Beleidsinstrument(en)</w:t>
            </w:r>
          </w:p>
        </w:tc>
        <w:tc>
          <w:tcPr>
            <w:tcW w:w="6162" w:type="dxa"/>
            <w:tcBorders>
              <w:right w:val="nil"/>
            </w:tcBorders>
            <w:shd w:val="clear" w:color="auto" w:fill="DBDBDB"/>
            <w:vAlign w:val="center"/>
          </w:tcPr>
          <w:p w:rsidRPr="006C1A5D" w:rsidR="006C1A5D" w:rsidP="006C1A5D" w:rsidRDefault="006C1A5D" w14:paraId="49D1F71E" w14:textId="77777777">
            <w:pPr>
              <w:tabs>
                <w:tab w:val="left" w:pos="2550"/>
              </w:tabs>
              <w:rPr>
                <w:sz w:val="20"/>
                <w:szCs w:val="16"/>
              </w:rPr>
            </w:pPr>
            <w:r w:rsidRPr="006C1A5D">
              <w:rPr>
                <w:sz w:val="20"/>
                <w:szCs w:val="16"/>
              </w:rPr>
              <w:t>De onderliggende programma’s worden gefinancierd door een combinatie van subsidies, opdrachten en bijdragen aan agentschappen.</w:t>
            </w:r>
          </w:p>
          <w:p w:rsidRPr="00D27AE1" w:rsidR="00FC395F" w:rsidP="006C1A5D" w:rsidRDefault="00FC395F" w14:paraId="62CEE6AF" w14:textId="0B835EA1">
            <w:pPr>
              <w:pStyle w:val="TableParagraph"/>
              <w:tabs>
                <w:tab w:val="left" w:pos="2060"/>
              </w:tabs>
              <w:spacing w:line="218" w:lineRule="exact"/>
              <w:ind w:right="543"/>
              <w:rPr>
                <w:rFonts w:cstheme="minorHAnsi"/>
                <w:sz w:val="20"/>
                <w:szCs w:val="20"/>
              </w:rPr>
            </w:pPr>
          </w:p>
        </w:tc>
      </w:tr>
      <w:tr w:rsidRPr="00D27AE1" w:rsidR="00FC395F" w:rsidTr="00A41631" w14:paraId="05565188" w14:textId="77777777">
        <w:trPr>
          <w:trHeight w:val="805"/>
        </w:trPr>
        <w:tc>
          <w:tcPr>
            <w:tcW w:w="2742" w:type="dxa"/>
            <w:tcBorders>
              <w:left w:val="nil"/>
            </w:tcBorders>
            <w:shd w:val="clear" w:color="auto" w:fill="7A7A7A"/>
          </w:tcPr>
          <w:p w:rsidRPr="00D27AE1" w:rsidR="00FC395F" w:rsidP="00DE6D27" w:rsidRDefault="00FC395F" w14:paraId="36DC4917" w14:textId="75754663">
            <w:pPr>
              <w:pStyle w:val="TableParagraph"/>
              <w:tabs>
                <w:tab w:val="left" w:pos="2060"/>
              </w:tabs>
              <w:spacing w:before="144" w:line="242" w:lineRule="auto"/>
              <w:ind w:left="103" w:right="506"/>
              <w:rPr>
                <w:rFonts w:cstheme="minorHAnsi"/>
                <w:b/>
                <w:sz w:val="20"/>
                <w:szCs w:val="20"/>
              </w:rPr>
            </w:pPr>
            <w:r w:rsidRPr="00D27AE1">
              <w:rPr>
                <w:rFonts w:cstheme="minorHAnsi"/>
                <w:b/>
                <w:color w:val="FFFFFF"/>
                <w:sz w:val="20"/>
                <w:szCs w:val="20"/>
              </w:rPr>
              <w:t>Financiële gevolgen voor het Rijk</w:t>
            </w:r>
          </w:p>
        </w:tc>
        <w:tc>
          <w:tcPr>
            <w:tcW w:w="6162" w:type="dxa"/>
            <w:tcBorders>
              <w:right w:val="nil"/>
            </w:tcBorders>
            <w:shd w:val="clear" w:color="auto" w:fill="DBDBDB"/>
            <w:vAlign w:val="center"/>
          </w:tcPr>
          <w:p w:rsidRPr="00A77630" w:rsidR="006C1A5D" w:rsidP="006C1A5D" w:rsidRDefault="006C1A5D" w14:paraId="7BD75C98" w14:textId="0DA94F1E">
            <w:pPr>
              <w:tabs>
                <w:tab w:val="left" w:pos="2550"/>
              </w:tabs>
            </w:pPr>
            <w:r>
              <w:rPr>
                <w:sz w:val="20"/>
                <w:szCs w:val="20"/>
              </w:rPr>
              <w:t>In de budgettaire bijlage van het coalitieakkoord 2021-2025 is tot en met 2028 en bedrag beschikbaar gemaakt van €1,4 miljard op een aanvullende post bij Min</w:t>
            </w:r>
            <w:r w:rsidRPr="006C1A5D">
              <w:rPr>
                <w:sz w:val="20"/>
                <w:szCs w:val="20"/>
              </w:rPr>
              <w:t>Fin</w:t>
            </w:r>
            <w:r w:rsidRPr="00A77630">
              <w:t xml:space="preserve">. </w:t>
            </w:r>
            <w:r w:rsidRPr="006C1A5D">
              <w:rPr>
                <w:sz w:val="20"/>
                <w:szCs w:val="20"/>
              </w:rPr>
              <w:t xml:space="preserve">Uitname uit deze middelen geschiedt gefaseerd door (meerjaren)plannen van VWS die door </w:t>
            </w:r>
            <w:r>
              <w:rPr>
                <w:sz w:val="20"/>
                <w:szCs w:val="20"/>
              </w:rPr>
              <w:t>MinFin</w:t>
            </w:r>
            <w:r w:rsidRPr="006C1A5D">
              <w:rPr>
                <w:sz w:val="20"/>
                <w:szCs w:val="20"/>
              </w:rPr>
              <w:t xml:space="preserve"> worden beoordeeld. </w:t>
            </w:r>
          </w:p>
          <w:p w:rsidR="006C1A5D" w:rsidP="006C1A5D" w:rsidRDefault="006C1A5D" w14:paraId="27BBE394" w14:textId="100830BA">
            <w:pPr>
              <w:pStyle w:val="TableParagraph"/>
              <w:tabs>
                <w:tab w:val="left" w:pos="2060"/>
              </w:tabs>
              <w:spacing w:before="3" w:line="218" w:lineRule="exact"/>
              <w:ind w:right="945"/>
              <w:rPr>
                <w:sz w:val="20"/>
                <w:szCs w:val="20"/>
              </w:rPr>
            </w:pPr>
            <w:r w:rsidRPr="006C1A5D">
              <w:rPr>
                <w:noProof/>
                <w:sz w:val="20"/>
                <w:szCs w:val="20"/>
              </w:rPr>
              <w:drawing>
                <wp:anchor distT="0" distB="0" distL="114300" distR="114300" simplePos="0" relativeHeight="251658240" behindDoc="0" locked="0" layoutInCell="1" allowOverlap="1" wp14:editId="3F89FA6B" wp14:anchorId="1292D8CC">
                  <wp:simplePos x="0" y="0"/>
                  <wp:positionH relativeFrom="column">
                    <wp:posOffset>52070</wp:posOffset>
                  </wp:positionH>
                  <wp:positionV relativeFrom="paragraph">
                    <wp:posOffset>97155</wp:posOffset>
                  </wp:positionV>
                  <wp:extent cx="3713480" cy="1022985"/>
                  <wp:effectExtent l="0" t="0" r="1270" b="5715"/>
                  <wp:wrapNone/>
                  <wp:docPr id="13933844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8440" name=""/>
                          <pic:cNvPicPr/>
                        </pic:nvPicPr>
                        <pic:blipFill>
                          <a:blip r:embed="rId5">
                            <a:extLst>
                              <a:ext uri="{28A0092B-C50C-407E-A947-70E740481C1C}">
                                <a14:useLocalDpi xmlns:a14="http://schemas.microsoft.com/office/drawing/2010/main" val="0"/>
                              </a:ext>
                            </a:extLst>
                          </a:blip>
                          <a:stretch>
                            <a:fillRect/>
                          </a:stretch>
                        </pic:blipFill>
                        <pic:spPr>
                          <a:xfrm>
                            <a:off x="0" y="0"/>
                            <a:ext cx="3713480" cy="1022985"/>
                          </a:xfrm>
                          <a:prstGeom prst="rect">
                            <a:avLst/>
                          </a:prstGeom>
                        </pic:spPr>
                      </pic:pic>
                    </a:graphicData>
                  </a:graphic>
                  <wp14:sizeRelH relativeFrom="margin">
                    <wp14:pctWidth>0</wp14:pctWidth>
                  </wp14:sizeRelH>
                  <wp14:sizeRelV relativeFrom="margin">
                    <wp14:pctHeight>0</wp14:pctHeight>
                  </wp14:sizeRelV>
                </wp:anchor>
              </w:drawing>
            </w:r>
          </w:p>
          <w:p w:rsidR="006C1A5D" w:rsidP="006C1A5D" w:rsidRDefault="006C1A5D" w14:paraId="19675FD8" w14:textId="799527BB">
            <w:pPr>
              <w:pStyle w:val="TableParagraph"/>
              <w:tabs>
                <w:tab w:val="left" w:pos="2060"/>
              </w:tabs>
              <w:spacing w:before="3" w:line="218" w:lineRule="exact"/>
              <w:ind w:right="945"/>
              <w:rPr>
                <w:sz w:val="20"/>
                <w:szCs w:val="20"/>
              </w:rPr>
            </w:pPr>
          </w:p>
          <w:p w:rsidR="006C1A5D" w:rsidP="006C1A5D" w:rsidRDefault="006C1A5D" w14:paraId="4F20BC8F" w14:textId="276558F6">
            <w:pPr>
              <w:pStyle w:val="TableParagraph"/>
              <w:tabs>
                <w:tab w:val="left" w:pos="2060"/>
              </w:tabs>
              <w:spacing w:before="3" w:line="218" w:lineRule="exact"/>
              <w:ind w:right="945"/>
              <w:rPr>
                <w:sz w:val="20"/>
                <w:szCs w:val="20"/>
              </w:rPr>
            </w:pPr>
          </w:p>
          <w:p w:rsidR="006C1A5D" w:rsidP="006C1A5D" w:rsidRDefault="006C1A5D" w14:paraId="1F4BFFAA" w14:textId="11B3ED25">
            <w:pPr>
              <w:pStyle w:val="TableParagraph"/>
              <w:tabs>
                <w:tab w:val="left" w:pos="2060"/>
              </w:tabs>
              <w:spacing w:before="3" w:line="218" w:lineRule="exact"/>
              <w:ind w:right="945"/>
              <w:rPr>
                <w:sz w:val="20"/>
                <w:szCs w:val="20"/>
              </w:rPr>
            </w:pPr>
          </w:p>
          <w:p w:rsidR="006C1A5D" w:rsidP="006C1A5D" w:rsidRDefault="006C1A5D" w14:paraId="15D78E33" w14:textId="2BA6D84D">
            <w:pPr>
              <w:pStyle w:val="TableParagraph"/>
              <w:tabs>
                <w:tab w:val="left" w:pos="2060"/>
              </w:tabs>
              <w:spacing w:before="3" w:line="218" w:lineRule="exact"/>
              <w:ind w:right="945"/>
              <w:rPr>
                <w:sz w:val="20"/>
                <w:szCs w:val="20"/>
              </w:rPr>
            </w:pPr>
          </w:p>
          <w:p w:rsidR="006C1A5D" w:rsidP="006C1A5D" w:rsidRDefault="006C1A5D" w14:paraId="32EE8A07" w14:textId="77777777">
            <w:pPr>
              <w:pStyle w:val="TableParagraph"/>
              <w:tabs>
                <w:tab w:val="left" w:pos="2060"/>
              </w:tabs>
              <w:spacing w:before="3" w:line="218" w:lineRule="exact"/>
              <w:ind w:right="945"/>
              <w:rPr>
                <w:sz w:val="20"/>
                <w:szCs w:val="20"/>
              </w:rPr>
            </w:pPr>
          </w:p>
          <w:p w:rsidR="006C1A5D" w:rsidP="006C1A5D" w:rsidRDefault="006C1A5D" w14:paraId="0C815FE9" w14:textId="77777777">
            <w:pPr>
              <w:pStyle w:val="TableParagraph"/>
              <w:tabs>
                <w:tab w:val="left" w:pos="2060"/>
              </w:tabs>
              <w:spacing w:before="3" w:line="218" w:lineRule="exact"/>
              <w:ind w:right="945"/>
              <w:rPr>
                <w:sz w:val="20"/>
                <w:szCs w:val="20"/>
              </w:rPr>
            </w:pPr>
          </w:p>
          <w:p w:rsidR="006C1A5D" w:rsidP="006C1A5D" w:rsidRDefault="006C1A5D" w14:paraId="03ADE686" w14:textId="77777777">
            <w:pPr>
              <w:pStyle w:val="TableParagraph"/>
              <w:tabs>
                <w:tab w:val="left" w:pos="2060"/>
              </w:tabs>
              <w:spacing w:before="3" w:line="218" w:lineRule="exact"/>
              <w:ind w:right="945"/>
              <w:rPr>
                <w:sz w:val="20"/>
                <w:szCs w:val="20"/>
              </w:rPr>
            </w:pPr>
          </w:p>
          <w:p w:rsidR="006C1A5D" w:rsidP="006C1A5D" w:rsidRDefault="006C1A5D" w14:paraId="363F1478" w14:textId="4C1AFE8A">
            <w:pPr>
              <w:pStyle w:val="TableParagraph"/>
              <w:tabs>
                <w:tab w:val="left" w:pos="2060"/>
              </w:tabs>
              <w:spacing w:before="3" w:line="218" w:lineRule="exact"/>
              <w:ind w:right="945"/>
              <w:rPr>
                <w:sz w:val="20"/>
                <w:szCs w:val="20"/>
              </w:rPr>
            </w:pPr>
          </w:p>
          <w:p w:rsidR="006C1A5D" w:rsidP="006C1A5D" w:rsidRDefault="006C1A5D" w14:paraId="1E00E333" w14:textId="2A69EAE6">
            <w:pPr>
              <w:pStyle w:val="TableParagraph"/>
              <w:tabs>
                <w:tab w:val="left" w:pos="2060"/>
              </w:tabs>
              <w:spacing w:before="3" w:line="218" w:lineRule="exact"/>
              <w:ind w:right="945"/>
              <w:rPr>
                <w:sz w:val="20"/>
                <w:szCs w:val="20"/>
              </w:rPr>
            </w:pPr>
            <w:r w:rsidRPr="006C1A5D">
              <w:rPr>
                <w:sz w:val="20"/>
                <w:szCs w:val="20"/>
              </w:rPr>
              <w:t>Tot nu toe zijn niet alle beschikbare middelen overgeheveld van de aanvullende post van het Ministerie van Financiën naar het ministerie van VWS. In onderling overleg worden middelen overgeheveld wanneer beleidsactiviteiten voldoende uitgewerkt zijn en doelmatig- en doeltreffend aannemelijk zijn.</w:t>
            </w:r>
          </w:p>
          <w:p w:rsidR="006C1A5D" w:rsidP="006C1A5D" w:rsidRDefault="006C1A5D" w14:paraId="153C3B79" w14:textId="0C3172E7">
            <w:pPr>
              <w:pStyle w:val="TableParagraph"/>
              <w:tabs>
                <w:tab w:val="left" w:pos="2060"/>
              </w:tabs>
              <w:spacing w:before="3" w:line="218" w:lineRule="exact"/>
              <w:ind w:right="945"/>
              <w:rPr>
                <w:sz w:val="20"/>
                <w:szCs w:val="20"/>
              </w:rPr>
            </w:pPr>
          </w:p>
          <w:p w:rsidR="008D782A" w:rsidP="006C1A5D" w:rsidRDefault="006C1A5D" w14:paraId="627E529D" w14:textId="4D397E9A">
            <w:pPr>
              <w:pStyle w:val="TableParagraph"/>
              <w:tabs>
                <w:tab w:val="left" w:pos="2060"/>
              </w:tabs>
              <w:spacing w:before="3" w:line="218" w:lineRule="exact"/>
              <w:ind w:right="945"/>
              <w:rPr>
                <w:sz w:val="20"/>
                <w:szCs w:val="20"/>
              </w:rPr>
            </w:pPr>
            <w:r>
              <w:rPr>
                <w:sz w:val="20"/>
                <w:szCs w:val="20"/>
              </w:rPr>
              <w:t xml:space="preserve">Aan deze investering zit een besparing gekoppeld van €113 miljoen in 2027, oplopend tot €340 miljoen structureel vanaf 2029. </w:t>
            </w:r>
          </w:p>
          <w:p w:rsidR="008D782A" w:rsidP="006C1A5D" w:rsidRDefault="008D782A" w14:paraId="33C6D186" w14:textId="77777777">
            <w:pPr>
              <w:pStyle w:val="TableParagraph"/>
              <w:tabs>
                <w:tab w:val="left" w:pos="2060"/>
              </w:tabs>
              <w:spacing w:before="3" w:line="218" w:lineRule="exact"/>
              <w:ind w:right="945"/>
              <w:rPr>
                <w:sz w:val="20"/>
                <w:szCs w:val="20"/>
              </w:rPr>
            </w:pPr>
          </w:p>
          <w:p w:rsidR="008D782A" w:rsidP="008D782A" w:rsidRDefault="008D782A" w14:paraId="3C0481C6" w14:textId="0EA60EC5">
            <w:pPr>
              <w:rPr>
                <w:sz w:val="20"/>
                <w:szCs w:val="16"/>
              </w:rPr>
            </w:pPr>
            <w:r w:rsidRPr="008D782A">
              <w:rPr>
                <w:sz w:val="20"/>
                <w:szCs w:val="16"/>
              </w:rPr>
              <w:t>VWS financiert vanuit de CA-middelen primair de ontwikkeling van centrale, generieke voorzieningen voor gegevensuitwisseling, zoals infrastructuur en standaarden. Sommige programma’s brengen echter structurele beheer- en uitvoeringskosten met zich mee, die niet blijvend uit deze tijdelijke middelen kunnen worden gedekt.</w:t>
            </w:r>
          </w:p>
          <w:p w:rsidRPr="008D782A" w:rsidR="008D782A" w:rsidP="008D782A" w:rsidRDefault="008D782A" w14:paraId="231C3185" w14:textId="77777777">
            <w:pPr>
              <w:rPr>
                <w:sz w:val="20"/>
                <w:szCs w:val="16"/>
              </w:rPr>
            </w:pPr>
          </w:p>
          <w:p w:rsidR="008D782A" w:rsidP="008D782A" w:rsidRDefault="008D782A" w14:paraId="4B7520B0" w14:textId="59F74B5C">
            <w:pPr>
              <w:pStyle w:val="TableParagraph"/>
              <w:tabs>
                <w:tab w:val="left" w:pos="2060"/>
              </w:tabs>
              <w:spacing w:before="3" w:line="218" w:lineRule="exact"/>
              <w:ind w:right="945"/>
              <w:rPr>
                <w:sz w:val="20"/>
                <w:szCs w:val="20"/>
              </w:rPr>
            </w:pPr>
            <w:r w:rsidRPr="008D782A">
              <w:rPr>
                <w:sz w:val="20"/>
                <w:szCs w:val="20"/>
              </w:rPr>
              <w:t>Een deel van de dekking voor deze structurele kosten is reeds in de augustusbesluitvorming 2024 voorzien en opgenomen in de meerjarenplannen van VWS</w:t>
            </w:r>
          </w:p>
          <w:p w:rsidR="008D782A" w:rsidP="008D782A" w:rsidRDefault="008D782A" w14:paraId="47A0B588" w14:textId="4FB33F77">
            <w:pPr>
              <w:pStyle w:val="TableParagraph"/>
              <w:tabs>
                <w:tab w:val="left" w:pos="2060"/>
              </w:tabs>
              <w:spacing w:before="3" w:line="218" w:lineRule="exact"/>
              <w:ind w:right="945"/>
              <w:rPr>
                <w:sz w:val="18"/>
                <w:szCs w:val="20"/>
              </w:rPr>
            </w:pPr>
            <w:r w:rsidRPr="008D782A">
              <w:rPr>
                <w:noProof/>
                <w:sz w:val="20"/>
                <w:szCs w:val="20"/>
              </w:rPr>
              <w:drawing>
                <wp:anchor distT="0" distB="0" distL="114300" distR="114300" simplePos="0" relativeHeight="251659264" behindDoc="0" locked="0" layoutInCell="1" allowOverlap="1" wp14:editId="12884220" wp14:anchorId="62D4AA45">
                  <wp:simplePos x="0" y="0"/>
                  <wp:positionH relativeFrom="column">
                    <wp:posOffset>97155</wp:posOffset>
                  </wp:positionH>
                  <wp:positionV relativeFrom="paragraph">
                    <wp:posOffset>100330</wp:posOffset>
                  </wp:positionV>
                  <wp:extent cx="3503295" cy="768985"/>
                  <wp:effectExtent l="0" t="0" r="1905" b="0"/>
                  <wp:wrapNone/>
                  <wp:docPr id="15863339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333986" name=""/>
                          <pic:cNvPicPr/>
                        </pic:nvPicPr>
                        <pic:blipFill>
                          <a:blip r:embed="rId6">
                            <a:extLst>
                              <a:ext uri="{28A0092B-C50C-407E-A947-70E740481C1C}">
                                <a14:useLocalDpi xmlns:a14="http://schemas.microsoft.com/office/drawing/2010/main" val="0"/>
                              </a:ext>
                            </a:extLst>
                          </a:blip>
                          <a:stretch>
                            <a:fillRect/>
                          </a:stretch>
                        </pic:blipFill>
                        <pic:spPr>
                          <a:xfrm>
                            <a:off x="0" y="0"/>
                            <a:ext cx="3503295" cy="768985"/>
                          </a:xfrm>
                          <a:prstGeom prst="rect">
                            <a:avLst/>
                          </a:prstGeom>
                        </pic:spPr>
                      </pic:pic>
                    </a:graphicData>
                  </a:graphic>
                  <wp14:sizeRelH relativeFrom="margin">
                    <wp14:pctWidth>0</wp14:pctWidth>
                  </wp14:sizeRelH>
                  <wp14:sizeRelV relativeFrom="margin">
                    <wp14:pctHeight>0</wp14:pctHeight>
                  </wp14:sizeRelV>
                </wp:anchor>
              </w:drawing>
            </w:r>
          </w:p>
          <w:p w:rsidR="008D782A" w:rsidP="008D782A" w:rsidRDefault="008D782A" w14:paraId="52CB0DC8" w14:textId="521A22BB">
            <w:pPr>
              <w:pStyle w:val="TableParagraph"/>
              <w:tabs>
                <w:tab w:val="left" w:pos="2060"/>
              </w:tabs>
              <w:spacing w:before="3" w:line="218" w:lineRule="exact"/>
              <w:ind w:right="945"/>
              <w:rPr>
                <w:sz w:val="18"/>
                <w:szCs w:val="20"/>
              </w:rPr>
            </w:pPr>
          </w:p>
          <w:p w:rsidR="008D782A" w:rsidP="008D782A" w:rsidRDefault="008D782A" w14:paraId="73DA420B" w14:textId="77777777">
            <w:pPr>
              <w:pStyle w:val="TableParagraph"/>
              <w:tabs>
                <w:tab w:val="left" w:pos="2060"/>
              </w:tabs>
              <w:spacing w:before="3" w:line="218" w:lineRule="exact"/>
              <w:ind w:right="945"/>
              <w:rPr>
                <w:sz w:val="18"/>
                <w:szCs w:val="20"/>
              </w:rPr>
            </w:pPr>
          </w:p>
          <w:p w:rsidRPr="008D782A" w:rsidR="008D782A" w:rsidP="008D782A" w:rsidRDefault="008D782A" w14:paraId="739B50D7" w14:textId="77777777">
            <w:pPr>
              <w:pStyle w:val="TableParagraph"/>
              <w:tabs>
                <w:tab w:val="left" w:pos="2060"/>
              </w:tabs>
              <w:spacing w:before="3" w:line="218" w:lineRule="exact"/>
              <w:ind w:right="945"/>
              <w:rPr>
                <w:sz w:val="18"/>
                <w:szCs w:val="18"/>
              </w:rPr>
            </w:pPr>
          </w:p>
          <w:p w:rsidR="008D782A" w:rsidP="006C1A5D" w:rsidRDefault="008D782A" w14:paraId="3BCECACA" w14:textId="2F88D08F">
            <w:pPr>
              <w:pStyle w:val="TableParagraph"/>
              <w:tabs>
                <w:tab w:val="left" w:pos="2060"/>
              </w:tabs>
              <w:spacing w:before="3" w:line="218" w:lineRule="exact"/>
              <w:ind w:right="945"/>
              <w:rPr>
                <w:sz w:val="20"/>
                <w:szCs w:val="20"/>
              </w:rPr>
            </w:pPr>
          </w:p>
          <w:p w:rsidR="008D782A" w:rsidP="006C1A5D" w:rsidRDefault="008D782A" w14:paraId="35400BBE" w14:textId="01542968">
            <w:pPr>
              <w:pStyle w:val="TableParagraph"/>
              <w:tabs>
                <w:tab w:val="left" w:pos="2060"/>
              </w:tabs>
              <w:spacing w:before="3" w:line="218" w:lineRule="exact"/>
              <w:ind w:right="945"/>
              <w:rPr>
                <w:sz w:val="20"/>
                <w:szCs w:val="20"/>
              </w:rPr>
            </w:pPr>
          </w:p>
          <w:p w:rsidRPr="00D27AE1" w:rsidR="006C1A5D" w:rsidP="006C1A5D" w:rsidRDefault="006C1A5D" w14:paraId="3BECC535" w14:textId="2B3F4E70">
            <w:pPr>
              <w:pStyle w:val="TableParagraph"/>
              <w:tabs>
                <w:tab w:val="left" w:pos="2060"/>
              </w:tabs>
              <w:spacing w:before="3" w:line="218" w:lineRule="exact"/>
              <w:ind w:right="945"/>
              <w:rPr>
                <w:rFonts w:cstheme="minorHAnsi"/>
                <w:sz w:val="20"/>
                <w:szCs w:val="20"/>
              </w:rPr>
            </w:pPr>
          </w:p>
        </w:tc>
      </w:tr>
      <w:tr w:rsidRPr="00D27AE1" w:rsidR="00FC395F" w:rsidTr="00A41631" w14:paraId="1F8F9B7B" w14:textId="77777777">
        <w:trPr>
          <w:trHeight w:val="891"/>
        </w:trPr>
        <w:tc>
          <w:tcPr>
            <w:tcW w:w="2742" w:type="dxa"/>
            <w:tcBorders>
              <w:left w:val="nil"/>
            </w:tcBorders>
            <w:shd w:val="clear" w:color="auto" w:fill="7A7A7A"/>
          </w:tcPr>
          <w:p w:rsidRPr="00D27AE1" w:rsidR="00FC395F" w:rsidP="00DE6D27" w:rsidRDefault="00FC395F" w14:paraId="5B8288A0" w14:textId="77777777">
            <w:pPr>
              <w:pStyle w:val="TableParagraph"/>
              <w:tabs>
                <w:tab w:val="left" w:pos="2060"/>
              </w:tabs>
              <w:spacing w:before="146"/>
              <w:ind w:left="103" w:right="92"/>
              <w:rPr>
                <w:rFonts w:cstheme="minorHAnsi"/>
                <w:b/>
                <w:sz w:val="20"/>
                <w:szCs w:val="20"/>
              </w:rPr>
            </w:pPr>
            <w:r w:rsidRPr="00D27AE1">
              <w:rPr>
                <w:rFonts w:cstheme="minorHAnsi"/>
                <w:b/>
                <w:color w:val="FFFFFF"/>
                <w:sz w:val="20"/>
                <w:szCs w:val="20"/>
              </w:rPr>
              <w:lastRenderedPageBreak/>
              <w:t>Financiële gevolgen voor maatschappelijke sectoren</w:t>
            </w:r>
            <w:r>
              <w:rPr>
                <w:rFonts w:cstheme="minorHAnsi"/>
                <w:b/>
                <w:color w:val="FFFFFF"/>
                <w:sz w:val="20"/>
                <w:szCs w:val="20"/>
              </w:rPr>
              <w:t xml:space="preserve"> </w:t>
            </w:r>
          </w:p>
        </w:tc>
        <w:tc>
          <w:tcPr>
            <w:tcW w:w="6162" w:type="dxa"/>
            <w:tcBorders>
              <w:right w:val="nil"/>
            </w:tcBorders>
            <w:shd w:val="clear" w:color="auto" w:fill="DBDBDB"/>
            <w:vAlign w:val="center"/>
          </w:tcPr>
          <w:p w:rsidRPr="006C1A5D" w:rsidR="006C1A5D" w:rsidP="006C1A5D" w:rsidRDefault="006C1A5D" w14:paraId="1B2165F9" w14:textId="7819F082">
            <w:pPr>
              <w:tabs>
                <w:tab w:val="left" w:pos="2550"/>
              </w:tabs>
              <w:rPr>
                <w:sz w:val="20"/>
                <w:szCs w:val="16"/>
              </w:rPr>
            </w:pPr>
            <w:r w:rsidRPr="006C1A5D">
              <w:rPr>
                <w:sz w:val="20"/>
                <w:szCs w:val="16"/>
              </w:rPr>
              <w:t>De kosten ten behoeve van centrale activiteiten (zoals generieke functies, landelijk dekkend netwerk, beheer standaarden) worden voornamelijk gedragen door het Ministerie van VWS. De kosten ten behoeve van decentrale activiteiten (zoals de functionele implementatie van gegevensuitwisselingen) komen in beginsel ten laste van de zorgaanbieder, waarbij geldt:</w:t>
            </w:r>
          </w:p>
          <w:p w:rsidRPr="006C1A5D" w:rsidR="006C1A5D" w:rsidP="006C1A5D" w:rsidRDefault="006C1A5D" w14:paraId="4526D4CD" w14:textId="77777777">
            <w:pPr>
              <w:tabs>
                <w:tab w:val="left" w:pos="2550"/>
              </w:tabs>
              <w:rPr>
                <w:sz w:val="20"/>
                <w:szCs w:val="16"/>
              </w:rPr>
            </w:pPr>
          </w:p>
          <w:p w:rsidRPr="006C1A5D" w:rsidR="006C1A5D" w:rsidP="006C1A5D" w:rsidRDefault="006C1A5D" w14:paraId="6B51D1ED" w14:textId="6383C9C7">
            <w:pPr>
              <w:pStyle w:val="Lijstalinea"/>
              <w:numPr>
                <w:ilvl w:val="0"/>
                <w:numId w:val="3"/>
              </w:numPr>
              <w:tabs>
                <w:tab w:val="left" w:pos="2550"/>
              </w:tabs>
              <w:rPr>
                <w:sz w:val="20"/>
                <w:szCs w:val="16"/>
              </w:rPr>
            </w:pPr>
            <w:r w:rsidRPr="006C1A5D">
              <w:rPr>
                <w:sz w:val="20"/>
                <w:szCs w:val="16"/>
              </w:rPr>
              <w:t>Kosten die vallen onder bedrijfsvoeringskosten komen ten laste van de zorgaanbieder (zoals scholingskosten, etc.)</w:t>
            </w:r>
          </w:p>
          <w:p w:rsidRPr="006C1A5D" w:rsidR="006C1A5D" w:rsidP="006C1A5D" w:rsidRDefault="006C1A5D" w14:paraId="3CEF7473" w14:textId="085D77EF">
            <w:pPr>
              <w:pStyle w:val="Lijstalinea"/>
              <w:numPr>
                <w:ilvl w:val="0"/>
                <w:numId w:val="3"/>
              </w:numPr>
              <w:tabs>
                <w:tab w:val="left" w:pos="2550"/>
              </w:tabs>
              <w:rPr>
                <w:sz w:val="20"/>
                <w:szCs w:val="16"/>
              </w:rPr>
            </w:pPr>
            <w:r w:rsidRPr="006C1A5D">
              <w:rPr>
                <w:sz w:val="20"/>
                <w:szCs w:val="16"/>
              </w:rPr>
              <w:t>Indien zowel de kosten als baten bij de zorgaanbieder liggen, is de zorgaanbieder zelf verantwoordelijk voor financiering.</w:t>
            </w:r>
          </w:p>
          <w:p w:rsidRPr="006C1A5D" w:rsidR="006C1A5D" w:rsidP="006C1A5D" w:rsidRDefault="006C1A5D" w14:paraId="4953234A" w14:textId="56848F2F">
            <w:pPr>
              <w:pStyle w:val="Lijstalinea"/>
              <w:numPr>
                <w:ilvl w:val="0"/>
                <w:numId w:val="3"/>
              </w:numPr>
              <w:tabs>
                <w:tab w:val="left" w:pos="2550"/>
              </w:tabs>
              <w:rPr>
                <w:sz w:val="20"/>
                <w:szCs w:val="16"/>
              </w:rPr>
            </w:pPr>
            <w:r w:rsidRPr="006C1A5D">
              <w:rPr>
                <w:sz w:val="20"/>
                <w:szCs w:val="16"/>
              </w:rPr>
              <w:t>Daar waar een mismatch tussen baten en lasten is, wordt bekeken welke aanvullende (financierings)mogelijkheden er zijn om de gegevensuitwisseling in kwestie te kunnen realiseren. Bij deze weging wordt gekeken of mogelijk steun nodig is vanuit de overheid en of deze steun doelmatig en doeltreffend zou zijn.</w:t>
            </w:r>
          </w:p>
          <w:p w:rsidRPr="006C1A5D" w:rsidR="00FC395F" w:rsidP="006C1A5D" w:rsidRDefault="006C1A5D" w14:paraId="22C7460D" w14:textId="77777777">
            <w:pPr>
              <w:pStyle w:val="TableParagraph"/>
              <w:numPr>
                <w:ilvl w:val="0"/>
                <w:numId w:val="3"/>
              </w:numPr>
              <w:tabs>
                <w:tab w:val="left" w:pos="2060"/>
              </w:tabs>
              <w:ind w:right="308"/>
              <w:rPr>
                <w:rFonts w:cstheme="minorHAnsi"/>
                <w:sz w:val="20"/>
                <w:szCs w:val="20"/>
              </w:rPr>
            </w:pPr>
            <w:r w:rsidRPr="006C1A5D">
              <w:rPr>
                <w:sz w:val="20"/>
                <w:szCs w:val="20"/>
              </w:rPr>
              <w:t>Daar waar vertraging ontstaat bij het succesvol maken van de gegevensuitwisseling, wordt gekeken welke aanvullende (financierings)mogelijkheden er zijn om de gegevensuitwisseling in kwestie te realiseren.</w:t>
            </w:r>
          </w:p>
          <w:p w:rsidRPr="00D27AE1" w:rsidR="006C1A5D" w:rsidP="006C1A5D" w:rsidRDefault="006C1A5D" w14:paraId="39C04123" w14:textId="0518C2F7">
            <w:pPr>
              <w:pStyle w:val="TableParagraph"/>
              <w:tabs>
                <w:tab w:val="left" w:pos="2060"/>
              </w:tabs>
              <w:ind w:left="720" w:right="308"/>
              <w:rPr>
                <w:rFonts w:cstheme="minorHAnsi"/>
                <w:sz w:val="20"/>
                <w:szCs w:val="20"/>
              </w:rPr>
            </w:pPr>
          </w:p>
        </w:tc>
      </w:tr>
      <w:tr w:rsidRPr="00D27AE1" w:rsidR="00A41631" w:rsidTr="00A41631" w14:paraId="0A1FB0D1" w14:textId="77777777">
        <w:trPr>
          <w:trHeight w:val="955"/>
        </w:trPr>
        <w:tc>
          <w:tcPr>
            <w:tcW w:w="2742" w:type="dxa"/>
            <w:tcBorders>
              <w:left w:val="nil"/>
            </w:tcBorders>
            <w:shd w:val="clear" w:color="auto" w:fill="7A7A7A"/>
          </w:tcPr>
          <w:p w:rsidRPr="00D27AE1" w:rsidR="00A41631" w:rsidP="00A41631" w:rsidRDefault="00A41631" w14:paraId="634C8743" w14:textId="77777777">
            <w:pPr>
              <w:pStyle w:val="TableParagraph"/>
              <w:tabs>
                <w:tab w:val="left" w:pos="2060"/>
              </w:tabs>
              <w:spacing w:before="141"/>
              <w:ind w:left="103" w:right="829"/>
              <w:rPr>
                <w:rFonts w:cstheme="minorHAnsi"/>
                <w:b/>
                <w:sz w:val="20"/>
                <w:szCs w:val="20"/>
              </w:rPr>
            </w:pPr>
            <w:r w:rsidRPr="00D27AE1">
              <w:rPr>
                <w:rFonts w:cstheme="minorHAnsi"/>
                <w:b/>
                <w:color w:val="FFFFFF"/>
                <w:sz w:val="20"/>
                <w:szCs w:val="20"/>
              </w:rPr>
              <w:t>Nagestreefde doeltreffendheid</w:t>
            </w:r>
          </w:p>
        </w:tc>
        <w:tc>
          <w:tcPr>
            <w:tcW w:w="6162" w:type="dxa"/>
            <w:tcBorders>
              <w:right w:val="nil"/>
            </w:tcBorders>
            <w:shd w:val="clear" w:color="auto" w:fill="DBDBDB"/>
            <w:vAlign w:val="center"/>
          </w:tcPr>
          <w:p w:rsidRPr="00A36659" w:rsidR="00A41631" w:rsidP="00A41631" w:rsidRDefault="00A41631" w14:paraId="02B8AF30" w14:textId="77777777">
            <w:pPr>
              <w:tabs>
                <w:tab w:val="left" w:pos="2550"/>
              </w:tabs>
              <w:rPr>
                <w:sz w:val="20"/>
                <w:szCs w:val="20"/>
              </w:rPr>
            </w:pPr>
            <w:r w:rsidRPr="00A36659">
              <w:rPr>
                <w:sz w:val="20"/>
                <w:szCs w:val="16"/>
              </w:rPr>
              <w:t xml:space="preserve">De activiteiten binnen de thema’s ‘basis’, ‘randvoorwaarden gegevensuitwisseling’ en ‘regievoering’ zijn essentieel om de basis voor standaardisatie en gegevensuitwisseling versneld op orde te krijgen. Dit is </w:t>
            </w:r>
            <w:r w:rsidRPr="00A36659">
              <w:rPr>
                <w:sz w:val="20"/>
                <w:szCs w:val="20"/>
              </w:rPr>
              <w:t xml:space="preserve">nodig om gegevensuitwisseling effectief te laten slagen. </w:t>
            </w:r>
          </w:p>
          <w:p w:rsidRPr="00A36659" w:rsidR="00A41631" w:rsidP="00A41631" w:rsidRDefault="00A41631" w14:paraId="022582A2" w14:textId="77777777">
            <w:pPr>
              <w:tabs>
                <w:tab w:val="left" w:pos="2550"/>
              </w:tabs>
              <w:rPr>
                <w:sz w:val="20"/>
                <w:szCs w:val="20"/>
              </w:rPr>
            </w:pPr>
          </w:p>
          <w:p w:rsidRPr="00A36659" w:rsidR="00A41631" w:rsidP="00A41631" w:rsidRDefault="00A41631" w14:paraId="74112B2F" w14:textId="77777777">
            <w:pPr>
              <w:tabs>
                <w:tab w:val="left" w:pos="2550"/>
              </w:tabs>
              <w:rPr>
                <w:sz w:val="20"/>
                <w:szCs w:val="20"/>
              </w:rPr>
            </w:pPr>
            <w:r w:rsidRPr="00A36659">
              <w:rPr>
                <w:sz w:val="20"/>
                <w:szCs w:val="20"/>
              </w:rPr>
              <w:t>De activiteiten binnen de implementatie van gegevensuitwisseling zijn gericht op de ondersteuning van zorgverleners, zodat daadwerkelijke gegevensuitwisseling plaatsvindt.</w:t>
            </w:r>
          </w:p>
          <w:p w:rsidRPr="00A36659" w:rsidR="00A41631" w:rsidP="00A41631" w:rsidRDefault="00A41631" w14:paraId="51B2B2F6" w14:textId="77777777">
            <w:pPr>
              <w:tabs>
                <w:tab w:val="left" w:pos="2550"/>
              </w:tabs>
              <w:rPr>
                <w:sz w:val="20"/>
                <w:szCs w:val="20"/>
              </w:rPr>
            </w:pPr>
          </w:p>
          <w:p w:rsidR="00A41631" w:rsidP="00A41631" w:rsidRDefault="00A41631" w14:paraId="4F887A88" w14:textId="77777777">
            <w:pPr>
              <w:tabs>
                <w:tab w:val="left" w:pos="2550"/>
              </w:tabs>
              <w:rPr>
                <w:sz w:val="20"/>
                <w:szCs w:val="20"/>
              </w:rPr>
            </w:pPr>
            <w:r w:rsidRPr="00A36659">
              <w:rPr>
                <w:sz w:val="20"/>
                <w:szCs w:val="20"/>
              </w:rPr>
              <w:t>Activiteiten met betrekking tot organisatie en monitoring zijn noodzakelijk om de aangevraagde en toegewezen middelen gestructureerd toe te kennen en om de beoogde resultaten te monitoren en te realiseren</w:t>
            </w:r>
          </w:p>
          <w:p w:rsidR="00A41631" w:rsidP="00A41631" w:rsidRDefault="00A41631" w14:paraId="41D19437" w14:textId="77777777">
            <w:pPr>
              <w:tabs>
                <w:tab w:val="left" w:pos="2550"/>
              </w:tabs>
              <w:rPr>
                <w:sz w:val="20"/>
                <w:szCs w:val="20"/>
              </w:rPr>
            </w:pPr>
          </w:p>
          <w:p w:rsidRPr="00FC5542" w:rsidR="00A41631" w:rsidP="00A41631" w:rsidRDefault="00A41631" w14:paraId="202FCF89" w14:textId="77777777">
            <w:pPr>
              <w:autoSpaceDN/>
              <w:spacing w:line="240" w:lineRule="atLeast"/>
              <w:textAlignment w:val="auto"/>
              <w:rPr>
                <w:rFonts w:eastAsia="Times New Roman" w:cs="Times New Roman"/>
                <w:noProof/>
                <w:sz w:val="20"/>
                <w:szCs w:val="24"/>
              </w:rPr>
            </w:pPr>
            <w:r>
              <w:rPr>
                <w:rFonts w:eastAsia="Times New Roman" w:cs="Times New Roman"/>
                <w:noProof/>
                <w:sz w:val="20"/>
                <w:szCs w:val="24"/>
              </w:rPr>
              <w:t>Hierbij wordt gewerkt aan</w:t>
            </w:r>
            <w:r w:rsidRPr="001A6F00">
              <w:rPr>
                <w:rFonts w:eastAsia="Times New Roman" w:cs="Times New Roman"/>
                <w:noProof/>
                <w:sz w:val="20"/>
                <w:szCs w:val="24"/>
              </w:rPr>
              <w:t>:</w:t>
            </w:r>
          </w:p>
          <w:p w:rsidR="00A41631" w:rsidP="00A41631" w:rsidRDefault="00A41631" w14:paraId="65396E2B" w14:textId="77777777">
            <w:pPr>
              <w:numPr>
                <w:ilvl w:val="0"/>
                <w:numId w:val="5"/>
              </w:numPr>
              <w:autoSpaceDN/>
              <w:spacing w:line="240" w:lineRule="atLeast"/>
              <w:textAlignment w:val="auto"/>
              <w:rPr>
                <w:rFonts w:eastAsia="Times New Roman" w:cs="Times New Roman"/>
                <w:noProof/>
                <w:sz w:val="20"/>
                <w:szCs w:val="24"/>
              </w:rPr>
            </w:pPr>
            <w:r>
              <w:rPr>
                <w:rFonts w:eastAsia="Times New Roman" w:cs="Times New Roman"/>
                <w:noProof/>
                <w:sz w:val="20"/>
                <w:szCs w:val="24"/>
              </w:rPr>
              <w:t xml:space="preserve">Ontwikkeling, opschaling en inrichting van een landelijk dekkend netwerk van infrastructuren </w:t>
            </w:r>
          </w:p>
          <w:p w:rsidR="00A41631" w:rsidP="00A41631" w:rsidRDefault="00A41631" w14:paraId="674458B0" w14:textId="77777777">
            <w:pPr>
              <w:numPr>
                <w:ilvl w:val="0"/>
                <w:numId w:val="5"/>
              </w:numPr>
              <w:autoSpaceDN/>
              <w:spacing w:line="240" w:lineRule="atLeast"/>
              <w:textAlignment w:val="auto"/>
              <w:rPr>
                <w:rFonts w:eastAsia="Times New Roman" w:cs="Times New Roman"/>
                <w:noProof/>
                <w:sz w:val="20"/>
                <w:szCs w:val="24"/>
              </w:rPr>
            </w:pPr>
            <w:r>
              <w:rPr>
                <w:rFonts w:eastAsia="Times New Roman" w:cs="Times New Roman"/>
                <w:noProof/>
                <w:sz w:val="20"/>
                <w:szCs w:val="24"/>
              </w:rPr>
              <w:t>Zes geprioriteerde generieke functies.</w:t>
            </w:r>
          </w:p>
          <w:p w:rsidR="00A41631" w:rsidP="00A41631" w:rsidRDefault="00A41631" w14:paraId="440B3573" w14:textId="77777777">
            <w:pPr>
              <w:numPr>
                <w:ilvl w:val="0"/>
                <w:numId w:val="5"/>
              </w:numPr>
              <w:autoSpaceDN/>
              <w:spacing w:line="240" w:lineRule="atLeast"/>
              <w:textAlignment w:val="auto"/>
              <w:rPr>
                <w:rFonts w:eastAsia="Times New Roman" w:cs="Times New Roman"/>
                <w:noProof/>
                <w:sz w:val="20"/>
                <w:szCs w:val="24"/>
              </w:rPr>
            </w:pPr>
            <w:r>
              <w:rPr>
                <w:rFonts w:eastAsia="Times New Roman" w:cs="Times New Roman"/>
                <w:noProof/>
                <w:sz w:val="20"/>
                <w:szCs w:val="24"/>
              </w:rPr>
              <w:t>Eenheid van taal en techniek</w:t>
            </w:r>
          </w:p>
          <w:p w:rsidR="00A41631" w:rsidP="00A41631" w:rsidRDefault="00A41631" w14:paraId="7D0E4AA0" w14:textId="77777777">
            <w:pPr>
              <w:numPr>
                <w:ilvl w:val="0"/>
                <w:numId w:val="5"/>
              </w:numPr>
              <w:autoSpaceDN/>
              <w:spacing w:line="240" w:lineRule="atLeast"/>
              <w:textAlignment w:val="auto"/>
              <w:rPr>
                <w:rFonts w:eastAsia="Times New Roman" w:cs="Times New Roman"/>
                <w:noProof/>
                <w:sz w:val="20"/>
                <w:szCs w:val="24"/>
              </w:rPr>
            </w:pPr>
            <w:r>
              <w:rPr>
                <w:rFonts w:eastAsia="Times New Roman" w:cs="Times New Roman"/>
                <w:noProof/>
                <w:sz w:val="20"/>
                <w:szCs w:val="24"/>
              </w:rPr>
              <w:t>Implementatie van de 5 onder de Wegiz geprioriteerde gegevensuitwisselingen; medicatieoverdracht, basisgegevensset zorg, acute zorg, beeldbeschikbaarheid en verpleegkundige overdracht</w:t>
            </w:r>
          </w:p>
          <w:p w:rsidR="00A41631" w:rsidP="00A41631" w:rsidRDefault="00A41631" w14:paraId="2851D1C4" w14:textId="77777777">
            <w:pPr>
              <w:numPr>
                <w:ilvl w:val="0"/>
                <w:numId w:val="5"/>
              </w:numPr>
              <w:autoSpaceDN/>
              <w:spacing w:line="240" w:lineRule="atLeast"/>
              <w:textAlignment w:val="auto"/>
              <w:rPr>
                <w:rFonts w:eastAsia="Times New Roman" w:cs="Times New Roman"/>
                <w:noProof/>
                <w:sz w:val="20"/>
                <w:szCs w:val="24"/>
              </w:rPr>
            </w:pPr>
            <w:r>
              <w:rPr>
                <w:rFonts w:eastAsia="Times New Roman" w:cs="Times New Roman"/>
                <w:noProof/>
                <w:sz w:val="20"/>
                <w:szCs w:val="24"/>
              </w:rPr>
              <w:t>Doorontwikkeling van de persoonlijke gezondheidsomgeving (PGO) en het daarbij horende MijnGezondheidsoverzicht (MGO)</w:t>
            </w:r>
          </w:p>
          <w:p w:rsidR="00A41631" w:rsidP="00A41631" w:rsidRDefault="00A41631" w14:paraId="65E90692" w14:textId="77777777">
            <w:pPr>
              <w:numPr>
                <w:ilvl w:val="0"/>
                <w:numId w:val="5"/>
              </w:numPr>
              <w:autoSpaceDN/>
              <w:spacing w:line="240" w:lineRule="atLeast"/>
              <w:textAlignment w:val="auto"/>
              <w:rPr>
                <w:rFonts w:eastAsia="Times New Roman" w:cs="Times New Roman"/>
                <w:noProof/>
                <w:sz w:val="20"/>
                <w:szCs w:val="24"/>
              </w:rPr>
            </w:pPr>
            <w:r>
              <w:rPr>
                <w:rFonts w:eastAsia="Times New Roman" w:cs="Times New Roman"/>
                <w:noProof/>
                <w:sz w:val="20"/>
                <w:szCs w:val="24"/>
              </w:rPr>
              <w:t>Verbeteren en doorontwikkelen van informatievoorziening in de Nederlandse gemeenten Bonaire, Sint Eustatius en Saba (BES-eilanden) in Caribisch Nederlang,</w:t>
            </w:r>
          </w:p>
          <w:p w:rsidR="00A41631" w:rsidP="00A41631" w:rsidRDefault="00A41631" w14:paraId="37ADFBFC" w14:textId="77777777">
            <w:pPr>
              <w:numPr>
                <w:ilvl w:val="0"/>
                <w:numId w:val="5"/>
              </w:numPr>
              <w:autoSpaceDN/>
              <w:spacing w:line="240" w:lineRule="atLeast"/>
              <w:textAlignment w:val="auto"/>
              <w:rPr>
                <w:rFonts w:eastAsia="Times New Roman" w:cs="Times New Roman"/>
                <w:noProof/>
                <w:sz w:val="20"/>
                <w:szCs w:val="24"/>
              </w:rPr>
            </w:pPr>
            <w:r>
              <w:rPr>
                <w:rFonts w:eastAsia="Times New Roman" w:cs="Times New Roman"/>
                <w:noProof/>
                <w:sz w:val="20"/>
                <w:szCs w:val="24"/>
              </w:rPr>
              <w:t>Voorbereiding op de implementatie van de EU-verordening ‘European Health Data Space’ (EHDS),</w:t>
            </w:r>
          </w:p>
          <w:p w:rsidR="00A41631" w:rsidP="00A41631" w:rsidRDefault="00A41631" w14:paraId="28A8D06F" w14:textId="77777777">
            <w:pPr>
              <w:numPr>
                <w:ilvl w:val="0"/>
                <w:numId w:val="5"/>
              </w:numPr>
              <w:autoSpaceDN/>
              <w:spacing w:line="240" w:lineRule="atLeast"/>
              <w:textAlignment w:val="auto"/>
              <w:rPr>
                <w:rFonts w:eastAsia="Times New Roman" w:cs="Times New Roman"/>
                <w:noProof/>
                <w:sz w:val="20"/>
                <w:szCs w:val="24"/>
              </w:rPr>
            </w:pPr>
            <w:r>
              <w:rPr>
                <w:rFonts w:eastAsia="Times New Roman" w:cs="Times New Roman"/>
                <w:noProof/>
                <w:sz w:val="20"/>
                <w:szCs w:val="24"/>
              </w:rPr>
              <w:t>Verder zijn er middelen beschikbaar gesteld aan het Nationaal ICT Instituut in de Zorg (Nictiz) om op bovengenoemde tereinen te ondersteunen.</w:t>
            </w:r>
          </w:p>
          <w:p w:rsidRPr="00A36659" w:rsidR="00A41631" w:rsidP="00A41631" w:rsidRDefault="00A41631" w14:paraId="6F50FCA7" w14:textId="77777777">
            <w:pPr>
              <w:tabs>
                <w:tab w:val="left" w:pos="2550"/>
              </w:tabs>
              <w:rPr>
                <w:sz w:val="20"/>
                <w:szCs w:val="20"/>
              </w:rPr>
            </w:pPr>
          </w:p>
          <w:p w:rsidRPr="00D27AE1" w:rsidR="00A41631" w:rsidP="00A41631" w:rsidRDefault="00A41631" w14:paraId="09EDFD6B" w14:textId="4F4123B7">
            <w:pPr>
              <w:pStyle w:val="TableParagraph"/>
              <w:tabs>
                <w:tab w:val="left" w:pos="2060"/>
              </w:tabs>
              <w:spacing w:before="4" w:line="218" w:lineRule="exact"/>
              <w:ind w:right="166"/>
              <w:rPr>
                <w:rFonts w:cstheme="minorHAnsi"/>
                <w:sz w:val="20"/>
                <w:szCs w:val="20"/>
              </w:rPr>
            </w:pPr>
          </w:p>
        </w:tc>
      </w:tr>
      <w:tr w:rsidRPr="00D27AE1" w:rsidR="00FC395F" w:rsidTr="00A41631" w14:paraId="4577928E" w14:textId="77777777">
        <w:trPr>
          <w:trHeight w:val="983"/>
        </w:trPr>
        <w:tc>
          <w:tcPr>
            <w:tcW w:w="2742" w:type="dxa"/>
            <w:tcBorders>
              <w:left w:val="nil"/>
            </w:tcBorders>
            <w:shd w:val="clear" w:color="auto" w:fill="7A7A7A"/>
          </w:tcPr>
          <w:p w:rsidRPr="00D27AE1" w:rsidR="00FC395F" w:rsidP="00DE6D27" w:rsidRDefault="00FC395F" w14:paraId="7CCEE537" w14:textId="77777777">
            <w:pPr>
              <w:pStyle w:val="TableParagraph"/>
              <w:tabs>
                <w:tab w:val="left" w:pos="2060"/>
              </w:tabs>
              <w:rPr>
                <w:rFonts w:cstheme="minorHAnsi"/>
                <w:i/>
                <w:sz w:val="20"/>
                <w:szCs w:val="20"/>
              </w:rPr>
            </w:pPr>
          </w:p>
          <w:p w:rsidRPr="00D27AE1" w:rsidR="00FC395F" w:rsidP="00DE6D27" w:rsidRDefault="00FC395F" w14:paraId="283C5E07" w14:textId="77777777">
            <w:pPr>
              <w:pStyle w:val="TableParagraph"/>
              <w:tabs>
                <w:tab w:val="left" w:pos="2060"/>
              </w:tabs>
              <w:ind w:left="103" w:right="1066"/>
              <w:rPr>
                <w:rFonts w:cstheme="minorHAnsi"/>
                <w:b/>
                <w:sz w:val="20"/>
                <w:szCs w:val="20"/>
              </w:rPr>
            </w:pPr>
            <w:r w:rsidRPr="00D27AE1">
              <w:rPr>
                <w:rFonts w:cstheme="minorHAnsi"/>
                <w:b/>
                <w:color w:val="FFFFFF"/>
                <w:sz w:val="20"/>
                <w:szCs w:val="20"/>
              </w:rPr>
              <w:t>Nagestreefde doelmatigheid</w:t>
            </w:r>
          </w:p>
        </w:tc>
        <w:tc>
          <w:tcPr>
            <w:tcW w:w="6162" w:type="dxa"/>
            <w:tcBorders>
              <w:right w:val="nil"/>
            </w:tcBorders>
            <w:shd w:val="clear" w:color="auto" w:fill="DBDBDB"/>
            <w:vAlign w:val="center"/>
          </w:tcPr>
          <w:p w:rsidRPr="00A36659" w:rsidR="00A41631" w:rsidP="00A41631" w:rsidRDefault="00A41631" w14:paraId="78B447B7" w14:textId="77777777">
            <w:pPr>
              <w:tabs>
                <w:tab w:val="left" w:pos="2550"/>
              </w:tabs>
              <w:rPr>
                <w:sz w:val="20"/>
                <w:szCs w:val="16"/>
              </w:rPr>
            </w:pPr>
            <w:r w:rsidRPr="00A36659">
              <w:rPr>
                <w:sz w:val="20"/>
                <w:szCs w:val="16"/>
              </w:rPr>
              <w:t xml:space="preserve">Om een vollediger en reëler beeld te krijgen van de totale kosten die samenhangen met een landelijk dekkend en goed functionerend wegennet voor gegevensuitwisseling, is aan meerdere partijen gevraagd om hier onderzoek naar uit te voeren. De opgeleverde rapporten schatten dat de eerder genoemde componenten die noodzakelijk zijn en in samenhang moeten worden geregeld: (1) generieke voorzieningen; (2) standaardisatieafspraken; en (3) het verbinden van infrastructuur. </w:t>
            </w:r>
          </w:p>
          <w:p w:rsidRPr="00A36659" w:rsidR="00A41631" w:rsidP="00A41631" w:rsidRDefault="00A41631" w14:paraId="3730222E" w14:textId="77777777">
            <w:pPr>
              <w:pStyle w:val="Lijstalinea"/>
              <w:tabs>
                <w:tab w:val="left" w:pos="2550"/>
              </w:tabs>
              <w:rPr>
                <w:sz w:val="20"/>
                <w:szCs w:val="16"/>
              </w:rPr>
            </w:pPr>
          </w:p>
          <w:p w:rsidR="00A41631" w:rsidP="00A41631" w:rsidRDefault="00A41631" w14:paraId="4C9C0B5D" w14:textId="77777777">
            <w:pPr>
              <w:tabs>
                <w:tab w:val="left" w:pos="2550"/>
              </w:tabs>
              <w:rPr>
                <w:sz w:val="20"/>
                <w:szCs w:val="16"/>
              </w:rPr>
            </w:pPr>
            <w:r w:rsidRPr="00A36659">
              <w:rPr>
                <w:sz w:val="20"/>
                <w:szCs w:val="16"/>
              </w:rPr>
              <w:t>Enkel focussen op één systeem is daarmee niet doelmatig. Ook inzet op generieke functies en standaardisatie is nodig. Zoals beschreven in de NVS worden gegevens losgekoppeld van systemen en wordt ingezet op vastgestelde normen en standaarden, gemeenschappelijke voorzieningen en diensten, gestandaardiseerde koppelingen (API's) en een vastgesteld stelsel van onderling verbonden infrastructuren.</w:t>
            </w:r>
          </w:p>
          <w:p w:rsidR="00A41631" w:rsidP="00A41631" w:rsidRDefault="00A41631" w14:paraId="196CC1A9" w14:textId="77777777">
            <w:pPr>
              <w:tabs>
                <w:tab w:val="left" w:pos="2550"/>
              </w:tabs>
              <w:rPr>
                <w:sz w:val="20"/>
                <w:szCs w:val="16"/>
              </w:rPr>
            </w:pPr>
          </w:p>
          <w:p w:rsidRPr="00BA181C" w:rsidR="00A41631" w:rsidP="00A41631" w:rsidRDefault="00A41631" w14:paraId="7C4E1FD2" w14:textId="77777777">
            <w:pPr>
              <w:autoSpaceDN/>
              <w:spacing w:line="240" w:lineRule="auto"/>
              <w:textAlignment w:val="auto"/>
              <w:rPr>
                <w:rFonts w:eastAsia="Times New Roman" w:cs="Times New Roman"/>
                <w:sz w:val="20"/>
              </w:rPr>
            </w:pPr>
            <w:r w:rsidRPr="00BA181C">
              <w:rPr>
                <w:rFonts w:eastAsia="Times New Roman" w:cs="Times New Roman"/>
                <w:sz w:val="20"/>
              </w:rPr>
              <w:t>De afspraken uit het Coalitieakkoord zijn vertaald naar een Meerjarige Uitwerking.</w:t>
            </w:r>
            <w:r>
              <w:rPr>
                <w:rFonts w:eastAsia="Times New Roman" w:cs="Times New Roman"/>
                <w:sz w:val="20"/>
              </w:rPr>
              <w:t xml:space="preserve"> </w:t>
            </w:r>
            <w:r w:rsidRPr="00BA181C">
              <w:rPr>
                <w:rFonts w:eastAsia="Times New Roman" w:cs="Times New Roman"/>
                <w:sz w:val="20"/>
              </w:rPr>
              <w:t>Daarin wordt aansluiting gezocht bij bestaande afspraken zoals het Kader Passende Zorg, IZA, Programma Elektronische gegevensuitwisseling in de zorg (Meerjarenagenda Wegiz), Informatieplan VWS. De doelstellingen zijn geijkt aan de Nationale Visie en Strategie</w:t>
            </w:r>
          </w:p>
          <w:p w:rsidRPr="00D27AE1" w:rsidR="00FC395F" w:rsidP="00DE6D27" w:rsidRDefault="00FC395F" w14:paraId="2EEFED83" w14:textId="05D0CFD3">
            <w:pPr>
              <w:pStyle w:val="TableParagraph"/>
              <w:tabs>
                <w:tab w:val="left" w:pos="2060"/>
              </w:tabs>
              <w:spacing w:line="213" w:lineRule="exact"/>
              <w:ind w:left="101"/>
              <w:rPr>
                <w:rFonts w:cstheme="minorHAnsi"/>
                <w:sz w:val="20"/>
                <w:szCs w:val="20"/>
              </w:rPr>
            </w:pPr>
          </w:p>
        </w:tc>
      </w:tr>
      <w:tr w:rsidRPr="00D27AE1" w:rsidR="00FC395F" w:rsidTr="00A41631" w14:paraId="62B7B647" w14:textId="77777777">
        <w:trPr>
          <w:trHeight w:val="983"/>
        </w:trPr>
        <w:tc>
          <w:tcPr>
            <w:tcW w:w="2742" w:type="dxa"/>
            <w:tcBorders>
              <w:left w:val="nil"/>
            </w:tcBorders>
            <w:shd w:val="clear" w:color="auto" w:fill="7A7A7A"/>
          </w:tcPr>
          <w:p w:rsidRPr="002C7109" w:rsidR="00FC395F" w:rsidP="00DE6D27" w:rsidRDefault="00FC395F" w14:paraId="173E34DE" w14:textId="77777777">
            <w:pPr>
              <w:pStyle w:val="TableParagraph"/>
              <w:tabs>
                <w:tab w:val="left" w:pos="2060"/>
              </w:tabs>
              <w:ind w:left="103" w:right="1066"/>
              <w:rPr>
                <w:rFonts w:cstheme="minorHAnsi"/>
                <w:b/>
                <w:color w:val="FFFFFF"/>
                <w:sz w:val="20"/>
                <w:szCs w:val="20"/>
              </w:rPr>
            </w:pPr>
          </w:p>
          <w:p w:rsidRPr="00D27AE1" w:rsidR="00FC395F" w:rsidP="00DE6D27" w:rsidRDefault="00FC395F" w14:paraId="487EF5F9" w14:textId="77777777">
            <w:pPr>
              <w:pStyle w:val="TableParagraph"/>
              <w:tabs>
                <w:tab w:val="left" w:pos="2060"/>
              </w:tabs>
              <w:ind w:left="103" w:right="1066"/>
              <w:rPr>
                <w:rFonts w:cstheme="minorHAnsi"/>
                <w:i/>
                <w:sz w:val="20"/>
                <w:szCs w:val="20"/>
              </w:rPr>
            </w:pPr>
            <w:r w:rsidRPr="00D27AE1">
              <w:rPr>
                <w:rFonts w:cstheme="minorHAnsi"/>
                <w:b/>
                <w:color w:val="FFFFFF"/>
                <w:sz w:val="20"/>
                <w:szCs w:val="20"/>
              </w:rPr>
              <w:t>Evaluatieparagraaf</w:t>
            </w:r>
          </w:p>
        </w:tc>
        <w:tc>
          <w:tcPr>
            <w:tcW w:w="6162" w:type="dxa"/>
            <w:tcBorders>
              <w:right w:val="nil"/>
            </w:tcBorders>
            <w:shd w:val="clear" w:color="auto" w:fill="DBDBDB"/>
            <w:vAlign w:val="center"/>
          </w:tcPr>
          <w:p w:rsidR="00A41631" w:rsidP="00A41631" w:rsidRDefault="00A41631" w14:paraId="53738129" w14:textId="77777777">
            <w:pPr>
              <w:tabs>
                <w:tab w:val="left" w:pos="2550"/>
              </w:tabs>
              <w:rPr>
                <w:sz w:val="20"/>
                <w:szCs w:val="16"/>
              </w:rPr>
            </w:pPr>
            <w:r w:rsidRPr="006C1A5D">
              <w:rPr>
                <w:sz w:val="20"/>
                <w:szCs w:val="16"/>
              </w:rPr>
              <w:t xml:space="preserve">De organisatie en monitoring wordt ingericht om de voortgang en het behalen van de doelstellingen nauwgezet te volgen. Een groot deel van de activiteiten overlapt met de afspraken uit het IZA en het AZWA. Voor die onderdelen wordt uitgegaan van de monitoring en evaluatie binnen het IZA. Daarnaast levert de projectorganisatie extra capaciteit om versnelling van de beleidsagenda te ondersteunen. </w:t>
            </w:r>
          </w:p>
          <w:p w:rsidR="00A41631" w:rsidP="00A41631" w:rsidRDefault="00A41631" w14:paraId="112EEBEC" w14:textId="77777777">
            <w:pPr>
              <w:tabs>
                <w:tab w:val="left" w:pos="2550"/>
              </w:tabs>
              <w:rPr>
                <w:sz w:val="20"/>
                <w:szCs w:val="16"/>
              </w:rPr>
            </w:pPr>
          </w:p>
          <w:p w:rsidRPr="006C1A5D" w:rsidR="00A41631" w:rsidP="00A41631" w:rsidRDefault="00A41631" w14:paraId="501D7109" w14:textId="77777777">
            <w:pPr>
              <w:tabs>
                <w:tab w:val="left" w:pos="2550"/>
              </w:tabs>
              <w:rPr>
                <w:sz w:val="20"/>
                <w:szCs w:val="16"/>
              </w:rPr>
            </w:pPr>
            <w:r w:rsidRPr="00781415">
              <w:rPr>
                <w:sz w:val="20"/>
                <w:szCs w:val="16"/>
              </w:rPr>
              <w:t>De evaluatie en monitoring</w:t>
            </w:r>
            <w:r>
              <w:rPr>
                <w:sz w:val="20"/>
                <w:szCs w:val="16"/>
              </w:rPr>
              <w:t xml:space="preserve"> van de overkoepelende doelstelling</w:t>
            </w:r>
            <w:r w:rsidRPr="00781415">
              <w:rPr>
                <w:sz w:val="20"/>
                <w:szCs w:val="16"/>
              </w:rPr>
              <w:t xml:space="preserve"> wordt afgestemd op de verschillende onderdelen. Voor de middelen uit deze aanvullende post wordt aangesloten op de Strategische Evaluatie Agenda (SEA).</w:t>
            </w:r>
            <w:r>
              <w:rPr>
                <w:sz w:val="20"/>
                <w:szCs w:val="16"/>
              </w:rPr>
              <w:t xml:space="preserve"> Hierin wordt jaarlijks de voortgang van de plannen uiteengezet.</w:t>
            </w:r>
          </w:p>
          <w:p w:rsidRPr="00D27AE1" w:rsidR="00FC395F" w:rsidP="00DE6D27" w:rsidRDefault="00FC395F" w14:paraId="49AF3CAE" w14:textId="4D30E287">
            <w:pPr>
              <w:pStyle w:val="TableParagraph"/>
              <w:tabs>
                <w:tab w:val="left" w:pos="2060"/>
              </w:tabs>
              <w:spacing w:line="213" w:lineRule="exact"/>
              <w:ind w:left="101"/>
              <w:rPr>
                <w:rFonts w:cstheme="minorHAnsi"/>
                <w:sz w:val="20"/>
                <w:szCs w:val="20"/>
              </w:rPr>
            </w:pPr>
          </w:p>
        </w:tc>
      </w:tr>
    </w:tbl>
    <w:p w:rsidR="00B06701" w:rsidRDefault="00B06701" w14:paraId="3CD89E2E" w14:textId="77777777"/>
    <w:sectPr w:rsidR="00B06701"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DFB842"/>
    <w:multiLevelType w:val="multilevel"/>
    <w:tmpl w:val="ED87C30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37FC02AA"/>
    <w:multiLevelType w:val="hybridMultilevel"/>
    <w:tmpl w:val="C6729FC0"/>
    <w:lvl w:ilvl="0" w:tplc="863AF14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5D6375B"/>
    <w:multiLevelType w:val="hybridMultilevel"/>
    <w:tmpl w:val="BEB832CE"/>
    <w:lvl w:ilvl="0" w:tplc="90DAA75E">
      <w:start w:val="4"/>
      <w:numFmt w:val="bullet"/>
      <w:lvlText w:val="-"/>
      <w:lvlJc w:val="left"/>
      <w:pPr>
        <w:ind w:left="1440" w:hanging="360"/>
      </w:pPr>
      <w:rPr>
        <w:rFonts w:ascii="Verdana" w:eastAsia="DejaVu Sans" w:hAnsi="Verdana" w:cs="Lohit Hin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58FB584A"/>
    <w:multiLevelType w:val="hybridMultilevel"/>
    <w:tmpl w:val="0A640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DBC34C0"/>
    <w:multiLevelType w:val="hybridMultilevel"/>
    <w:tmpl w:val="70806C86"/>
    <w:lvl w:ilvl="0" w:tplc="73760926">
      <w:numFmt w:val="bullet"/>
      <w:lvlText w:val="-"/>
      <w:lvlJc w:val="left"/>
      <w:pPr>
        <w:ind w:left="720" w:hanging="360"/>
      </w:pPr>
      <w:rPr>
        <w:rFonts w:ascii="Calibri" w:eastAsia="DejaVu San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6448718">
    <w:abstractNumId w:val="3"/>
  </w:num>
  <w:num w:numId="2" w16cid:durableId="646322586">
    <w:abstractNumId w:val="2"/>
  </w:num>
  <w:num w:numId="3" w16cid:durableId="1693995701">
    <w:abstractNumId w:val="4"/>
  </w:num>
  <w:num w:numId="4" w16cid:durableId="1834448982">
    <w:abstractNumId w:val="0"/>
  </w:num>
  <w:num w:numId="5" w16cid:durableId="1781948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95F"/>
    <w:rsid w:val="000E4C56"/>
    <w:rsid w:val="001E6A24"/>
    <w:rsid w:val="0024730E"/>
    <w:rsid w:val="002D7EAA"/>
    <w:rsid w:val="0052121C"/>
    <w:rsid w:val="006C1A5D"/>
    <w:rsid w:val="008D782A"/>
    <w:rsid w:val="00A36659"/>
    <w:rsid w:val="00A41631"/>
    <w:rsid w:val="00A757AD"/>
    <w:rsid w:val="00AE65C7"/>
    <w:rsid w:val="00B06701"/>
    <w:rsid w:val="00CB4141"/>
    <w:rsid w:val="00FC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7C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C395F"/>
    <w:pPr>
      <w:autoSpaceDN w:val="0"/>
      <w:spacing w:after="0" w:line="240" w:lineRule="exact"/>
      <w:textAlignment w:val="baseline"/>
    </w:pPr>
    <w:rPr>
      <w:rFonts w:eastAsia="DejaVu Sans" w:cs="Lohit Hindi"/>
      <w:color w:val="000000"/>
      <w:szCs w:val="18"/>
      <w:lang w:val="nl-NL" w:eastAsia="nl-NL"/>
    </w:rPr>
  </w:style>
  <w:style w:type="paragraph" w:styleId="Kop2">
    <w:name w:val="heading 2"/>
    <w:basedOn w:val="Standaard"/>
    <w:next w:val="Standaard"/>
    <w:link w:val="Kop2Char"/>
    <w:uiPriority w:val="9"/>
    <w:semiHidden/>
    <w:unhideWhenUsed/>
    <w:qFormat/>
    <w:rsid w:val="006C1A5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rsid w:val="00FC395F"/>
    <w:pPr>
      <w:widowControl w:val="0"/>
      <w:autoSpaceDE w:val="0"/>
      <w:autoSpaceDN w:val="0"/>
      <w:spacing w:after="0" w:line="240" w:lineRule="auto"/>
    </w:pPr>
    <w:rPr>
      <w:rFonts w:asciiTheme="minorHAnsi" w:hAnsiTheme="minorHAnsi"/>
      <w:sz w:val="22"/>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FC395F"/>
    <w:pPr>
      <w:widowControl w:val="0"/>
      <w:autoSpaceDE w:val="0"/>
      <w:spacing w:line="240" w:lineRule="auto"/>
      <w:textAlignment w:val="auto"/>
    </w:pPr>
    <w:rPr>
      <w:rFonts w:eastAsia="Verdana" w:cs="Verdana"/>
      <w:color w:val="auto"/>
      <w:sz w:val="22"/>
      <w:szCs w:val="22"/>
      <w:lang w:eastAsia="en-US"/>
    </w:rPr>
  </w:style>
  <w:style w:type="paragraph" w:styleId="Lijstalinea">
    <w:name w:val="List Paragraph"/>
    <w:basedOn w:val="Standaard"/>
    <w:uiPriority w:val="34"/>
    <w:qFormat/>
    <w:rsid w:val="006C1A5D"/>
    <w:pPr>
      <w:ind w:left="720"/>
      <w:contextualSpacing/>
    </w:pPr>
  </w:style>
  <w:style w:type="character" w:customStyle="1" w:styleId="Kop2Char">
    <w:name w:val="Kop 2 Char"/>
    <w:basedOn w:val="Standaardalinea-lettertype"/>
    <w:link w:val="Kop2"/>
    <w:uiPriority w:val="9"/>
    <w:semiHidden/>
    <w:rsid w:val="006C1A5D"/>
    <w:rPr>
      <w:rFonts w:asciiTheme="majorHAnsi" w:eastAsiaTheme="majorEastAsia" w:hAnsiTheme="majorHAnsi" w:cstheme="majorBidi"/>
      <w:color w:val="2E74B5" w:themeColor="accent1" w:themeShade="BF"/>
      <w:sz w:val="32"/>
      <w:szCs w:val="32"/>
      <w:lang w:val="nl-NL" w:eastAsia="nl-NL"/>
    </w:rPr>
  </w:style>
  <w:style w:type="numbering" w:customStyle="1" w:styleId="Genummerdelijst">
    <w:name w:val="Genummerde lijst"/>
    <w:rsid w:val="008D782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1068</ap:Words>
  <ap:Characters>5879</ap:Characters>
  <ap:DocSecurity>0</ap:DocSecurity>
  <ap:Lines>48</ap:Lines>
  <ap:Paragraphs>13</ap:Paragraphs>
  <ap:ScaleCrop>false</ap:ScaleCrop>
  <ap:LinksUpToDate>false</ap:LinksUpToDate>
  <ap:CharactersWithSpaces>6934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2026-02-19T11:03:00.0000000Z</dcterms:created>
  <dcterms:modified xsi:type="dcterms:W3CDTF">2026-02-19T11:03:00.0000000Z</dcterms:modified>
  <version/>
  <category/>
</coreProperties>
</file>