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2B8" w:rsidRDefault="006F0CAB" w14:paraId="360BD291" w14:textId="15A984CD">
      <w:r>
        <w:t>Geachte voorzitter</w:t>
      </w:r>
      <w:r w:rsidR="005D5C24">
        <w:t>,</w:t>
      </w:r>
      <w:r>
        <w:br/>
      </w:r>
      <w:r>
        <w:br/>
        <w:t>Hierbij bie</w:t>
      </w:r>
      <w:r w:rsidR="00D85758">
        <w:t>den wij</w:t>
      </w:r>
      <w:r>
        <w:t xml:space="preserve"> u de antwoorden aan op de schriftelijke vragen gesteld door de leden Van der Werf (D66), Bamenga (D66) en Boswijk (CDA) over het verbieden van hulporganisaties in Gaza en de Westelijke Jordaanoever.</w:t>
      </w:r>
      <w:r w:rsidR="00837141">
        <w:t xml:space="preserve"> </w:t>
      </w:r>
      <w:r>
        <w:t>Deze vragen werden ingezonden op 31 december 2025 met kenmerk 2025Z22744.</w:t>
      </w:r>
    </w:p>
    <w:p w:rsidR="00B772B8" w:rsidRDefault="00B772B8" w14:paraId="360BD293" w14:textId="77777777"/>
    <w:p w:rsidR="00B772B8" w:rsidRDefault="00B772B8" w14:paraId="360BD294"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5"/>
        <w:gridCol w:w="3766"/>
      </w:tblGrid>
      <w:tr w:rsidR="00B93BB6" w:rsidTr="00B93BB6" w14:paraId="07865C82" w14:textId="77777777">
        <w:tc>
          <w:tcPr>
            <w:tcW w:w="3765" w:type="dxa"/>
          </w:tcPr>
          <w:p w:rsidR="00B93BB6" w:rsidRDefault="00B93BB6" w14:paraId="53F8B76C" w14:textId="77777777">
            <w:r>
              <w:t>De minister van Buitenlandse Zaken,</w:t>
            </w:r>
          </w:p>
          <w:p w:rsidR="00B93BB6" w:rsidRDefault="00B93BB6" w14:paraId="5E48710D" w14:textId="77777777"/>
          <w:p w:rsidR="00B93BB6" w:rsidRDefault="00B93BB6" w14:paraId="741AEF58" w14:textId="77777777"/>
          <w:p w:rsidR="00B93BB6" w:rsidRDefault="00B93BB6" w14:paraId="2F672DBD" w14:textId="77777777"/>
          <w:p w:rsidR="00B93BB6" w:rsidRDefault="00B93BB6" w14:paraId="0A460ECB" w14:textId="77777777"/>
          <w:p w:rsidR="00B93BB6" w:rsidRDefault="00B93BB6" w14:paraId="195218AB" w14:textId="77777777"/>
          <w:p w:rsidR="00B93BB6" w:rsidRDefault="00B93BB6" w14:paraId="563F749F" w14:textId="284B91BE">
            <w:r>
              <w:t>D.M. van Weel</w:t>
            </w:r>
          </w:p>
        </w:tc>
        <w:tc>
          <w:tcPr>
            <w:tcW w:w="3766" w:type="dxa"/>
          </w:tcPr>
          <w:p w:rsidR="008919B4" w:rsidP="00B93BB6" w:rsidRDefault="00B93BB6" w14:paraId="235A6C3D" w14:textId="77777777">
            <w:r>
              <w:t xml:space="preserve">Staatssecretaris Buitenlandse Handel </w:t>
            </w:r>
          </w:p>
          <w:p w:rsidR="00B93BB6" w:rsidP="00B93BB6" w:rsidRDefault="00B93BB6" w14:paraId="2AE78D89" w14:textId="3C83B242">
            <w:r>
              <w:t>en Ontwikkelingshulp,</w:t>
            </w:r>
          </w:p>
          <w:p w:rsidR="00B93BB6" w:rsidP="00B93BB6" w:rsidRDefault="00B93BB6" w14:paraId="3F4F32D4" w14:textId="77777777"/>
          <w:p w:rsidR="00B93BB6" w:rsidP="00B93BB6" w:rsidRDefault="00B93BB6" w14:paraId="150C09F1" w14:textId="77777777"/>
          <w:p w:rsidR="00B93BB6" w:rsidP="00B93BB6" w:rsidRDefault="00B93BB6" w14:paraId="5A6961E7" w14:textId="77777777"/>
          <w:p w:rsidR="00B93BB6" w:rsidP="00B93BB6" w:rsidRDefault="00B93BB6" w14:paraId="338858D1" w14:textId="77777777"/>
          <w:p w:rsidR="00B93BB6" w:rsidP="00B93BB6" w:rsidRDefault="00B93BB6" w14:paraId="5B69DE6A" w14:textId="61133144">
            <w:r>
              <w:t>Aukje de Vries</w:t>
            </w:r>
          </w:p>
        </w:tc>
      </w:tr>
    </w:tbl>
    <w:p w:rsidR="00B772B8" w:rsidRDefault="00B772B8" w14:paraId="360BD295" w14:textId="77777777"/>
    <w:p w:rsidR="00B772B8" w:rsidRDefault="00B772B8" w14:paraId="360BD296" w14:textId="77777777"/>
    <w:p w:rsidR="00B772B8" w:rsidP="006F0CAB" w:rsidRDefault="006F0CAB" w14:paraId="360BD298" w14:textId="69B25555">
      <w:pPr>
        <w:ind w:left="3540" w:hanging="3540"/>
      </w:pPr>
      <w:r>
        <w:br w:type="page"/>
      </w:r>
    </w:p>
    <w:p w:rsidR="00B772B8" w:rsidRDefault="006F0CAB" w14:paraId="360BD299" w14:textId="015EB0E3">
      <w:r>
        <w:rPr>
          <w:b/>
        </w:rPr>
        <w:lastRenderedPageBreak/>
        <w:t xml:space="preserve">Antwoorden van de </w:t>
      </w:r>
      <w:r w:rsidR="00B93BB6">
        <w:rPr>
          <w:b/>
        </w:rPr>
        <w:t>m</w:t>
      </w:r>
      <w:r>
        <w:rPr>
          <w:b/>
        </w:rPr>
        <w:t xml:space="preserve">inister van Buitenlandse Zaken en de </w:t>
      </w:r>
      <w:r w:rsidR="00B93BB6">
        <w:rPr>
          <w:b/>
        </w:rPr>
        <w:t>s</w:t>
      </w:r>
      <w:r>
        <w:rPr>
          <w:b/>
        </w:rPr>
        <w:t>taatssecretaris Buitenlandse Handel en Ontwikkelingshulp op vragen van de leden Van der Werf (D66), Bamenga (D66) en Boswijk (CDA) over het verbieden van hulporganisaties in Gaza en de Westelijke Jordaanoever</w:t>
      </w:r>
    </w:p>
    <w:p w:rsidR="00B772B8" w:rsidRDefault="00B772B8" w14:paraId="360BD29A" w14:textId="77777777"/>
    <w:p w:rsidRPr="006F0CAB" w:rsidR="00B772B8" w:rsidRDefault="006F0CAB" w14:paraId="360BD29B" w14:textId="45DC993F">
      <w:pPr>
        <w:rPr>
          <w:color w:val="FF0000"/>
        </w:rPr>
      </w:pPr>
      <w:r>
        <w:rPr>
          <w:b/>
        </w:rPr>
        <w:t xml:space="preserve">Vraag 1 </w:t>
      </w:r>
    </w:p>
    <w:p w:rsidR="00B772B8" w:rsidRDefault="006F0CAB" w14:paraId="360BD29D" w14:textId="47F8B105">
      <w:r w:rsidRPr="006F0CAB">
        <w:t>Heeft u kennisgenomen van recente berichtgeving, waarin wordt gemeld dat Israël tientallen internationale hulporganisaties, waaronder Artsen zonder Grenzen, Save the Children, CARE en Oxfam Novib, per 1 januari de toegang tot Gaza en de Westelijke Jordaanoever ontzegt? Wat is uw beoordeling van deze ontwikkeling?</w:t>
      </w:r>
    </w:p>
    <w:p w:rsidR="006F0CAB" w:rsidRDefault="006F0CAB" w14:paraId="2571D8FE" w14:textId="77777777"/>
    <w:p w:rsidR="00B772B8" w:rsidRDefault="006F0CAB" w14:paraId="360BD29E" w14:textId="77777777">
      <w:r>
        <w:rPr>
          <w:b/>
        </w:rPr>
        <w:t>Antwoord</w:t>
      </w:r>
    </w:p>
    <w:p w:rsidRPr="000233E7" w:rsidR="00023E7D" w:rsidP="000233E7" w:rsidRDefault="008C6607" w14:paraId="17D7FC73" w14:textId="49557CC0">
      <w:pPr>
        <w:rPr>
          <w:bCs/>
        </w:rPr>
      </w:pPr>
      <w:r>
        <w:t>Ja.</w:t>
      </w:r>
      <w:r w:rsidRPr="00023E7D">
        <w:t xml:space="preserve"> </w:t>
      </w:r>
      <w:r w:rsidRPr="002E5140">
        <w:t xml:space="preserve">Het besluit van Israël om verschillende internationale ngo’s te weren is zorgwekkend en zal </w:t>
      </w:r>
      <w:r>
        <w:t xml:space="preserve">negatieve </w:t>
      </w:r>
      <w:r w:rsidRPr="002E5140">
        <w:t>consequenties hebben voor de hulpverlening in de bezette Palestijnse gebieden</w:t>
      </w:r>
      <w:r>
        <w:t xml:space="preserve">. </w:t>
      </w:r>
      <w:r w:rsidRPr="005C39A9" w:rsidR="000233E7">
        <w:rPr>
          <w:bCs/>
        </w:rPr>
        <w:t>Nederland neemt Israëlische veiligheidszorgen serieus en heeft meermaals verzocht of de Israëlische autoriteiten in gesprek kunnen gaan met de ngo’s hierover. Het besluit om de registratie van deze internationale ngo’s niet te verlenen, zonder hierover met hen in gesprek te gaan, ziet het kabinet niet als de juiste weg voorwaarts.</w:t>
      </w:r>
      <w:r w:rsidR="000233E7">
        <w:rPr>
          <w:bCs/>
        </w:rPr>
        <w:t xml:space="preserve"> </w:t>
      </w:r>
      <w:r>
        <w:t xml:space="preserve">Het Israëlische besluit raakt onder meer </w:t>
      </w:r>
      <w:r w:rsidRPr="002E5140">
        <w:t xml:space="preserve">Nederlandse </w:t>
      </w:r>
      <w:r>
        <w:t xml:space="preserve">partners van de </w:t>
      </w:r>
      <w:r w:rsidRPr="00837141">
        <w:rPr>
          <w:i/>
          <w:iCs/>
        </w:rPr>
        <w:t>Dutch Relief Alliance</w:t>
      </w:r>
      <w:r>
        <w:t>. Nederland onderhoudt nauw contact met deze organisaties om de consequenties voor de humanitaire hulpverlening zo goed mogelijk in kaart te brengen.</w:t>
      </w:r>
    </w:p>
    <w:p w:rsidR="004B3F7A" w:rsidRDefault="004B3F7A" w14:paraId="2F36B04F" w14:textId="53FC8CC9"/>
    <w:p w:rsidRPr="006F0CAB" w:rsidR="00B772B8" w:rsidP="00F817F2" w:rsidRDefault="006F0CAB" w14:paraId="360BD2A1" w14:textId="42993064">
      <w:pPr>
        <w:rPr>
          <w:color w:val="FF0000"/>
        </w:rPr>
      </w:pPr>
      <w:r>
        <w:rPr>
          <w:b/>
        </w:rPr>
        <w:t xml:space="preserve">Vraag 2 </w:t>
      </w:r>
    </w:p>
    <w:p w:rsidR="00B772B8" w:rsidRDefault="006F0CAB" w14:paraId="360BD2A3" w14:textId="01B5ABBE">
      <w:r w:rsidRPr="006F0CAB">
        <w:t>Deelt u de kwalificatie van landen als het Verenigd Koninkrijk, Frankrijk, Canada, Noorwegen en Japan dat de humanitaire situatie in Gaza opnieuw is verslechterd en inmiddels als catastrofaal moet worden aangemerkt? Zo ja, welke consequenties verbindt u daaraan? Zo nee, waarom niet?</w:t>
      </w:r>
    </w:p>
    <w:p w:rsidR="006F0CAB" w:rsidRDefault="006F0CAB" w14:paraId="4490411C" w14:textId="77777777"/>
    <w:p w:rsidR="00B772B8" w:rsidRDefault="006F0CAB" w14:paraId="360BD2A4" w14:textId="77777777">
      <w:r>
        <w:rPr>
          <w:b/>
        </w:rPr>
        <w:t>Antwoord</w:t>
      </w:r>
    </w:p>
    <w:p w:rsidR="008E6E7E" w:rsidP="008E6E7E" w:rsidRDefault="008E6E7E" w14:paraId="22384911" w14:textId="19D38513">
      <w:r w:rsidRPr="00A24888">
        <w:t>Sinds het staakt-het-vuren is de invoer van voedselhulp</w:t>
      </w:r>
      <w:r>
        <w:t xml:space="preserve"> </w:t>
      </w:r>
      <w:r w:rsidRPr="00A24888">
        <w:t xml:space="preserve">verbeterd </w:t>
      </w:r>
      <w:r>
        <w:t>waardoor een hongersnood kon worden afgewend. Tegelijkertijd blijft d</w:t>
      </w:r>
      <w:r w:rsidRPr="00CE0330">
        <w:t>e situatie fragiel</w:t>
      </w:r>
      <w:r>
        <w:t xml:space="preserve">, ook qua voedselzekerheid, en zien we nog steeds </w:t>
      </w:r>
      <w:r w:rsidRPr="00CE0330">
        <w:t xml:space="preserve">tekorten op </w:t>
      </w:r>
      <w:r>
        <w:t xml:space="preserve">gebieden als </w:t>
      </w:r>
      <w:r w:rsidRPr="00CE0330">
        <w:t>gezondheidszorg</w:t>
      </w:r>
      <w:r>
        <w:t xml:space="preserve">, water en sanitaire voorzieningen. Er is een tekort aan onderdak en mensen zijn onvoldoende beschermd tegen </w:t>
      </w:r>
      <w:r w:rsidRPr="005C39A9" w:rsidR="00EA76CB">
        <w:t>voorkomende</w:t>
      </w:r>
      <w:r w:rsidR="00EA76CB">
        <w:t xml:space="preserve"> </w:t>
      </w:r>
      <w:r w:rsidRPr="00CE0330">
        <w:t>hevige regenval en dalende temperaturen.</w:t>
      </w:r>
      <w:r>
        <w:t xml:space="preserve"> Nederland blijft Isra</w:t>
      </w:r>
      <w:r w:rsidRPr="000202D5">
        <w:t>ël</w:t>
      </w:r>
      <w:r>
        <w:t xml:space="preserve">, zowel op bilateraal als multilateraal vlak, oproepen </w:t>
      </w:r>
      <w:r w:rsidRPr="00337058">
        <w:t>t</w:t>
      </w:r>
      <w:r>
        <w:t>ot volledige, ongehinderde en veilige humanitaire toegang voor professionele en gemandateerde organisaties, waaronder de VN, de Rode Kruis- en Rode Halve Maanbeweging en internationale ngo’s.</w:t>
      </w:r>
    </w:p>
    <w:p w:rsidR="00B772B8" w:rsidRDefault="00B772B8" w14:paraId="360BD2A6" w14:textId="77777777"/>
    <w:p w:rsidRPr="006F0CAB" w:rsidR="00B772B8" w:rsidRDefault="006F0CAB" w14:paraId="360BD2A7" w14:textId="7E5925F3">
      <w:pPr>
        <w:rPr>
          <w:color w:val="FF0000"/>
        </w:rPr>
      </w:pPr>
      <w:r>
        <w:rPr>
          <w:b/>
        </w:rPr>
        <w:t xml:space="preserve">Vraag 3 </w:t>
      </w:r>
    </w:p>
    <w:p w:rsidR="00B772B8" w:rsidRDefault="006F0CAB" w14:paraId="360BD2A9" w14:textId="728F9986">
      <w:r w:rsidRPr="006F0CAB">
        <w:t>Bent u bekend met de open brief van de ministers van Buitenlandse Zaken van onder meer Frankrijk, Canada, het Verenigd Koninkrijk, Japan en Noorwegen, waarin Israël wordt opgeroepen het besluit terug te draaien om humanitaire hulporganisaties te weren uit Gaza? Waarom heeft Nederland zich tot op heden niet bij deze verklaring aangesloten en bent u bereid dit alsnog te doen? Zo ja, op welke termijn? Zo nee, waarom niet?</w:t>
      </w:r>
    </w:p>
    <w:p w:rsidR="006F0CAB" w:rsidRDefault="006F0CAB" w14:paraId="788969EF" w14:textId="77777777"/>
    <w:p w:rsidR="00B772B8" w:rsidRDefault="006F0CAB" w14:paraId="360BD2AA" w14:textId="038A7A0E">
      <w:r>
        <w:rPr>
          <w:b/>
        </w:rPr>
        <w:t>Antwoord</w:t>
      </w:r>
    </w:p>
    <w:p w:rsidRPr="005C39A9" w:rsidR="00EC034F" w:rsidP="00EC034F" w:rsidRDefault="00EC034F" w14:paraId="208E5CD8" w14:textId="6B021AB6">
      <w:r>
        <w:t>De staatssecretaris Buitenlandse Handel en Ontwikkelingshulp sprak publiekelijk haar zorgen uit over dit specifieke Israëlische besluit. H</w:t>
      </w:r>
      <w:bookmarkStart w:name="_Hlk219127069" w:id="0"/>
      <w:r>
        <w:t>et kabinet</w:t>
      </w:r>
      <w:r w:rsidRPr="002E5140">
        <w:t xml:space="preserve"> </w:t>
      </w:r>
      <w:r>
        <w:t>spant zich</w:t>
      </w:r>
      <w:r w:rsidRPr="002E5140">
        <w:t xml:space="preserve"> </w:t>
      </w:r>
      <w:r>
        <w:t>in</w:t>
      </w:r>
      <w:r w:rsidRPr="002E5140">
        <w:t xml:space="preserve"> om </w:t>
      </w:r>
      <w:r w:rsidRPr="002E5140">
        <w:lastRenderedPageBreak/>
        <w:t>hulporganisaties zo goed mogelijk te ondersteunen</w:t>
      </w:r>
      <w:r>
        <w:t>.</w:t>
      </w:r>
      <w:r w:rsidRPr="006C1A08">
        <w:t xml:space="preserve"> </w:t>
      </w:r>
      <w:r>
        <w:t>Dat doet het zowel voor als achter de schermen. Hierbij weegt het kabinet voortdurend wat de meest effectieve wijze is om boodschappen over te brengen</w:t>
      </w:r>
      <w:r w:rsidR="00D90591">
        <w:t>.</w:t>
      </w:r>
      <w:r>
        <w:t xml:space="preserve"> </w:t>
      </w:r>
      <w:r w:rsidRPr="005C39A9" w:rsidR="00D90591">
        <w:t>Deze afweging is dan ook gemaakt met betrekking tot het wel of niet ondertekenen van de open brief.</w:t>
      </w:r>
    </w:p>
    <w:p w:rsidRPr="005C39A9" w:rsidR="00EC034F" w:rsidP="00EC034F" w:rsidRDefault="00EC034F" w14:paraId="108C8597" w14:textId="77777777"/>
    <w:p w:rsidR="00EC034F" w:rsidP="00B55268" w:rsidRDefault="00B55268" w14:paraId="79EDB164" w14:textId="1B66B9C9">
      <w:r w:rsidRPr="005C39A9">
        <w:t xml:space="preserve">Zoals tevens toegelicht in de Kamerbrief van 30 januari jl. over de stand van zaken omtrent de medische capaciteit in de Gazastrook en de regio, nam de </w:t>
      </w:r>
      <w:r w:rsidRPr="005C39A9" w:rsidR="00EC034F">
        <w:t>minister van Buitenlandse Zaken</w:t>
      </w:r>
      <w:r w:rsidRPr="005C39A9" w:rsidR="005C39A9">
        <w:t xml:space="preserve"> </w:t>
      </w:r>
      <w:r w:rsidRPr="005C39A9" w:rsidR="00EC034F">
        <w:t>na het besluit van Israël op 31 december jl. telefonisch contact op met de Israëlische minister van Buitenlandse Zaken, en heeft zijn zorgen ook in november benadrukt tijdens zijn bezoek aan Israël.</w:t>
      </w:r>
      <w:r w:rsidRPr="005C39A9">
        <w:rPr>
          <w:rStyle w:val="FootnoteReference"/>
        </w:rPr>
        <w:footnoteReference w:id="2"/>
      </w:r>
      <w:r w:rsidR="00EC034F">
        <w:t xml:space="preserve"> Eerder was Nederland medeondertekenaar van</w:t>
      </w:r>
      <w:r w:rsidRPr="008A4811" w:rsidR="00EC034F">
        <w:t xml:space="preserve"> het </w:t>
      </w:r>
      <w:r w:rsidRPr="008A4811" w:rsidR="00EC034F">
        <w:rPr>
          <w:i/>
          <w:iCs/>
        </w:rPr>
        <w:t>Foreign Ministers</w:t>
      </w:r>
      <w:r w:rsidR="00EC034F">
        <w:rPr>
          <w:i/>
          <w:iCs/>
        </w:rPr>
        <w:t xml:space="preserve">’ </w:t>
      </w:r>
      <w:r w:rsidR="00B33E57">
        <w:t>s</w:t>
      </w:r>
      <w:r w:rsidRPr="00B33E57" w:rsidR="00EC034F">
        <w:t xml:space="preserve">tatement </w:t>
      </w:r>
      <w:r w:rsidRPr="008A4811" w:rsidR="00EC034F">
        <w:t xml:space="preserve">van augustus </w:t>
      </w:r>
      <w:r w:rsidR="00EC034F">
        <w:t>2025, en onderstreepte het zorgen over de wetgeving tijdens de Europese Raad.</w:t>
      </w:r>
      <w:r w:rsidR="00EC034F">
        <w:rPr>
          <w:rStyle w:val="FootnoteReference"/>
        </w:rPr>
        <w:footnoteReference w:id="3"/>
      </w:r>
    </w:p>
    <w:p w:rsidR="00EC034F" w:rsidP="00EC034F" w:rsidRDefault="00EC034F" w14:paraId="2EBB4ABB" w14:textId="77777777"/>
    <w:p w:rsidR="00F817F2" w:rsidP="00EC034F" w:rsidRDefault="00EC034F" w14:paraId="74563228" w14:textId="622EB615">
      <w:r>
        <w:t>Het kabinet zal er bij Israël op blijven aandringen om de VN, Rode Kruis- en Halve Maanbeweging en internationale ngo’s, waaronder de vertrouwde humanitaire partners van Nederland, ongehinderde toegang te verschaffen tot de bezette Palestijnse gebieden.</w:t>
      </w:r>
      <w:bookmarkEnd w:id="0"/>
    </w:p>
    <w:p w:rsidR="00EC034F" w:rsidP="00EC034F" w:rsidRDefault="00EC034F" w14:paraId="41B107A2" w14:textId="77777777">
      <w:pPr>
        <w:rPr>
          <w:b/>
        </w:rPr>
      </w:pPr>
    </w:p>
    <w:p w:rsidRPr="006F0CAB" w:rsidR="00B772B8" w:rsidRDefault="006F0CAB" w14:paraId="360BD2AD" w14:textId="7249C1D0">
      <w:pPr>
        <w:rPr>
          <w:color w:val="FF0000"/>
        </w:rPr>
      </w:pPr>
      <w:r>
        <w:rPr>
          <w:b/>
        </w:rPr>
        <w:t xml:space="preserve">Vraag 4 </w:t>
      </w:r>
    </w:p>
    <w:p w:rsidR="00B772B8" w:rsidRDefault="006F0CAB" w14:paraId="360BD2AF" w14:textId="7CDC7761">
      <w:r w:rsidRPr="006F0CAB">
        <w:t>Acht u het aanvaardbaar dat hulporganisaties die levensreddende medische zorg, voedselhulp en onderdak bieden, hun werkzaamheden moeten staken terwijl miljoenen Palestijnen, met name in de winterperiode, afhankelijk zijn van deze hulp? Welke risico’s ziet u hierbij voor ondervoeding, ziekte, hongersnood en onderkoeling, gezien het feit dat veel mensen in provisorische tentenkampen leven die al meerdere overstromingen en noodweer hebben moeten doorstaan?</w:t>
      </w:r>
    </w:p>
    <w:p w:rsidR="00F76F68" w:rsidRDefault="00F76F68" w14:paraId="45C81110" w14:textId="77777777"/>
    <w:p w:rsidRPr="006F0CAB" w:rsidR="00B772B8" w:rsidRDefault="006F0CAB" w14:paraId="360BD2B3" w14:textId="431BAE42">
      <w:pPr>
        <w:rPr>
          <w:color w:val="FF0000"/>
        </w:rPr>
      </w:pPr>
      <w:bookmarkStart w:name="_Hlk220658856" w:id="1"/>
      <w:r>
        <w:rPr>
          <w:b/>
        </w:rPr>
        <w:t xml:space="preserve">Vraag 5 </w:t>
      </w:r>
    </w:p>
    <w:p w:rsidR="00B772B8" w:rsidRDefault="006F0CAB" w14:paraId="360BD2B5" w14:textId="418DE284">
      <w:r w:rsidRPr="006F0CAB">
        <w:t>Deelt u de zorg dat deze Israëlische maatregelen tot gevolg kunnen hebben dat naar schatting één op de drie zorginstellingen in Gaza moet sluiten en dat de humanitaire hulpverlening grotendeels kan instorten? Zo ja, welke stappen acht u noodzakelijk om dit te voorkomen?</w:t>
      </w:r>
      <w:r w:rsidR="00B406EB">
        <w:t xml:space="preserve"> </w:t>
      </w:r>
    </w:p>
    <w:p w:rsidR="003B05BB" w:rsidRDefault="003B05BB" w14:paraId="266517EF" w14:textId="77777777"/>
    <w:p w:rsidR="003B05BB" w:rsidP="003B05BB" w:rsidRDefault="006F0CAB" w14:paraId="1990E622" w14:textId="6AB23EE3">
      <w:r w:rsidDel="001E35A9">
        <w:rPr>
          <w:b/>
        </w:rPr>
        <w:t>Antwoord</w:t>
      </w:r>
      <w:r w:rsidR="003B05BB">
        <w:rPr>
          <w:b/>
        </w:rPr>
        <w:t xml:space="preserve"> </w:t>
      </w:r>
      <w:r w:rsidR="007A4357">
        <w:rPr>
          <w:b/>
        </w:rPr>
        <w:t>vragen 4 en 5</w:t>
      </w:r>
    </w:p>
    <w:p w:rsidR="006F0CAB" w:rsidP="006F0CAB" w:rsidRDefault="001B6686" w14:paraId="21F8EE21" w14:textId="357407BF">
      <w:bookmarkStart w:name="_Hlk221531855" w:id="2"/>
      <w:bookmarkEnd w:id="1"/>
      <w:r w:rsidRPr="001B6686">
        <w:t>Het besluit van Israël om verschillende internationale ngo’s te weren is zorgwekkend</w:t>
      </w:r>
      <w:r w:rsidR="00634570">
        <w:t>.</w:t>
      </w:r>
      <w:r w:rsidRPr="001B6686">
        <w:t xml:space="preserve"> </w:t>
      </w:r>
      <w:bookmarkEnd w:id="2"/>
      <w:r w:rsidRPr="001B6686">
        <w:t xml:space="preserve">Hierover onderhoudt Nederland contact met de betreffende hulporganisaties. </w:t>
      </w:r>
      <w:bookmarkStart w:name="_Hlk221531884" w:id="3"/>
      <w:r w:rsidRPr="001B6686">
        <w:t xml:space="preserve">Gezien de hoge humanitaire noden zijn alle professionele hulporganisaties op dit moment hard nodig. Nederland neemt Israëlische veiligheidszorgen serieus maar ziet het besluit om de registratie van deze internationale ngo’s niet te verlenen niet als de juiste weg voorwaarts, en roept Israël op het besluit </w:t>
      </w:r>
      <w:r w:rsidR="00F8642D">
        <w:t xml:space="preserve">terug te draaien </w:t>
      </w:r>
      <w:r w:rsidRPr="001B6686">
        <w:t>om</w:t>
      </w:r>
      <w:r w:rsidR="00F8642D">
        <w:t xml:space="preserve"> professionele en gemandateerde hulporganisaties, waaronder</w:t>
      </w:r>
      <w:r w:rsidRPr="001B6686">
        <w:t xml:space="preserve"> vertrouwde Nederlandse humanitaire partnerorganisaties</w:t>
      </w:r>
      <w:r w:rsidR="00F8642D">
        <w:t>,</w:t>
      </w:r>
      <w:r w:rsidRPr="001B6686">
        <w:t xml:space="preserve"> te weigeren. Daarbij blijft Nederland oproepen tot naleving van het humanitair oorlogsrecht.</w:t>
      </w:r>
      <w:bookmarkEnd w:id="3"/>
    </w:p>
    <w:p w:rsidR="005B04FF" w:rsidP="004B3F7A" w:rsidRDefault="005B04FF" w14:paraId="39F9D119" w14:textId="77777777">
      <w:pPr>
        <w:tabs>
          <w:tab w:val="left" w:pos="5142"/>
        </w:tabs>
        <w:rPr>
          <w:b/>
        </w:rPr>
      </w:pPr>
    </w:p>
    <w:p w:rsidRPr="006F0CAB" w:rsidR="006F0CAB" w:rsidP="004B3F7A" w:rsidRDefault="006F0CAB" w14:paraId="65D4208F" w14:textId="4C001386">
      <w:pPr>
        <w:tabs>
          <w:tab w:val="left" w:pos="5142"/>
        </w:tabs>
        <w:rPr>
          <w:color w:val="FF0000"/>
        </w:rPr>
      </w:pPr>
      <w:r>
        <w:rPr>
          <w:b/>
        </w:rPr>
        <w:t>Vraag 6</w:t>
      </w:r>
      <w:r w:rsidR="004B3F7A">
        <w:rPr>
          <w:b/>
          <w:color w:val="FF0000"/>
        </w:rPr>
        <w:tab/>
      </w:r>
    </w:p>
    <w:p w:rsidR="006F0CAB" w:rsidRDefault="006F0CAB" w14:paraId="431F1151" w14:textId="45820FDC">
      <w:r w:rsidRPr="006F0CAB">
        <w:t xml:space="preserve">Welke concrete stappen zet u op dit moment, bilateraal of in EU-verband, om te voorkomen dat de toegang van hulporganisaties per 1 januari daadwerkelijk wordt </w:t>
      </w:r>
      <w:r w:rsidRPr="006F0CAB">
        <w:lastRenderedPageBreak/>
        <w:t>stopgezet en om ervoor te zorgen dat levensreddende humanitaire hulp doorgang kan blijven vinden?</w:t>
      </w:r>
    </w:p>
    <w:p w:rsidR="006F0CAB" w:rsidRDefault="006F0CAB" w14:paraId="0FF4B31F" w14:textId="77777777"/>
    <w:p w:rsidR="006F0CAB" w:rsidP="006F0CAB" w:rsidRDefault="006F0CAB" w14:paraId="595F736C" w14:textId="5A72D093">
      <w:r>
        <w:rPr>
          <w:b/>
        </w:rPr>
        <w:t>Antwoord</w:t>
      </w:r>
      <w:r w:rsidR="001E35A9">
        <w:rPr>
          <w:b/>
        </w:rPr>
        <w:t xml:space="preserve"> </w:t>
      </w:r>
    </w:p>
    <w:p w:rsidR="00FB7E4D" w:rsidP="00025124" w:rsidRDefault="003B05BB" w14:paraId="353C6A0F" w14:textId="2DCB1FF6">
      <w:bookmarkStart w:name="_Hlk218768915" w:id="4"/>
      <w:r>
        <w:t xml:space="preserve">Zie </w:t>
      </w:r>
      <w:r w:rsidR="00F077B9">
        <w:t xml:space="preserve">het </w:t>
      </w:r>
      <w:r>
        <w:t xml:space="preserve">antwoord </w:t>
      </w:r>
      <w:r w:rsidR="00F077B9">
        <w:t xml:space="preserve">op </w:t>
      </w:r>
      <w:r>
        <w:t>vraag 3.</w:t>
      </w:r>
    </w:p>
    <w:bookmarkEnd w:id="4"/>
    <w:p w:rsidR="00B93BB6" w:rsidP="006F0CAB" w:rsidRDefault="00B93BB6" w14:paraId="10A21720" w14:textId="77777777">
      <w:pPr>
        <w:rPr>
          <w:b/>
        </w:rPr>
      </w:pPr>
    </w:p>
    <w:p w:rsidRPr="006F0CAB" w:rsidR="006F0CAB" w:rsidP="006F0CAB" w:rsidRDefault="006F0CAB" w14:paraId="453D0B37" w14:textId="355DDF6C">
      <w:pPr>
        <w:rPr>
          <w:color w:val="FF0000"/>
        </w:rPr>
      </w:pPr>
      <w:r>
        <w:rPr>
          <w:b/>
        </w:rPr>
        <w:t xml:space="preserve">Vraag 7 </w:t>
      </w:r>
    </w:p>
    <w:p w:rsidR="006F0CAB" w:rsidRDefault="006F0CAB" w14:paraId="21D77631" w14:textId="643EFE59">
      <w:r w:rsidRPr="006F0CAB">
        <w:t>Hoe beoordeelt u het nieuwe Israëlische registratieproces voor humanitaire ngo’s, waarbij organisaties uitgebreide personeels- en familiegegevens moeten aanleveren en kunnen worden afgewezen op basis van politieke uitingen van individuele medewerkers?</w:t>
      </w:r>
    </w:p>
    <w:p w:rsidR="00467167" w:rsidRDefault="00467167" w14:paraId="299AE686" w14:textId="77777777"/>
    <w:p w:rsidR="00467167" w:rsidRDefault="00467167" w14:paraId="4189B729" w14:textId="061B5797">
      <w:pPr>
        <w:rPr>
          <w:b/>
          <w:bCs/>
        </w:rPr>
      </w:pPr>
      <w:r>
        <w:rPr>
          <w:b/>
          <w:bCs/>
        </w:rPr>
        <w:t>Antwoord</w:t>
      </w:r>
    </w:p>
    <w:p w:rsidRPr="00467167" w:rsidR="00467167" w:rsidRDefault="00467167" w14:paraId="1659213D" w14:textId="2AC401C5">
      <w:r>
        <w:t xml:space="preserve">Het verzoek van Israël aan de internationale ngo’s om ook persoonsgegevens van stafleden en hun families te delen strookt volgens de Nederlandse Autoriteit Persoonsgegevens hoogstwaarschijnlijk niet met de Algemene Verordening Gegevensbescherming (AVG). </w:t>
      </w:r>
      <w:r w:rsidRPr="005C39A9" w:rsidR="00634570">
        <w:rPr>
          <w:bCs/>
        </w:rPr>
        <w:t>Nederland neemt Israëlische veiligheidszorgen serieus maar ziet het besluit om de registratie van deze internationale ngo’s niet te verlenen niet als de juiste weg voorwaarts</w:t>
      </w:r>
      <w:r w:rsidRPr="005C39A9" w:rsidR="004B678E">
        <w:rPr>
          <w:bCs/>
        </w:rPr>
        <w:t>.</w:t>
      </w:r>
    </w:p>
    <w:p w:rsidR="003F61EB" w:rsidP="003F61EB" w:rsidRDefault="003F61EB" w14:paraId="0B4182E3" w14:textId="77777777">
      <w:pPr>
        <w:rPr>
          <w:b/>
        </w:rPr>
      </w:pPr>
    </w:p>
    <w:p w:rsidRPr="006F0CAB" w:rsidR="003F61EB" w:rsidP="003F61EB" w:rsidRDefault="003F61EB" w14:paraId="213D9C35" w14:textId="40B217A2">
      <w:pPr>
        <w:rPr>
          <w:color w:val="FF0000"/>
        </w:rPr>
      </w:pPr>
      <w:r>
        <w:rPr>
          <w:b/>
        </w:rPr>
        <w:t xml:space="preserve">Vraag 8 </w:t>
      </w:r>
    </w:p>
    <w:p w:rsidRPr="00D90591" w:rsidR="003F61EB" w:rsidP="003F61EB" w:rsidRDefault="003F61EB" w14:paraId="539E5659" w14:textId="77777777">
      <w:r w:rsidRPr="006F0CAB">
        <w:t>Deelt u de opvatting dat deze registratie-eisen de humanitaire hulp politiseren en daarmee strijdig zijn met de humanitaire beginselen van neutraliteit, onafhankelijkheid en onpartijdigheid? Zo nee, waarom niet?</w:t>
      </w:r>
    </w:p>
    <w:p w:rsidR="006F0CAB" w:rsidRDefault="006F0CAB" w14:paraId="168C342A" w14:textId="77777777"/>
    <w:p w:rsidRPr="005C39A9" w:rsidR="00A528B1" w:rsidP="00467167" w:rsidRDefault="006F0CAB" w14:paraId="0318FD6F" w14:textId="7A6A583A">
      <w:r>
        <w:rPr>
          <w:b/>
        </w:rPr>
        <w:t>Antwoord</w:t>
      </w:r>
    </w:p>
    <w:p w:rsidRPr="00467167" w:rsidR="00A528B1" w:rsidP="00467167" w:rsidRDefault="00A528B1" w14:paraId="74014E55" w14:textId="302B988C">
      <w:r w:rsidRPr="005C39A9">
        <w:t xml:space="preserve">De gevolgen van de herregistratieplicht voor de humanitaire hulpverlening baart het kabinet zorgen. </w:t>
      </w:r>
      <w:r w:rsidRPr="005C39A9" w:rsidR="00C674B6">
        <w:t>Nationale</w:t>
      </w:r>
      <w:r w:rsidRPr="005C39A9">
        <w:t xml:space="preserve"> wetgeving </w:t>
      </w:r>
      <w:r w:rsidRPr="005C39A9" w:rsidR="006643F4">
        <w:t xml:space="preserve">ontheft </w:t>
      </w:r>
      <w:r w:rsidRPr="005C39A9" w:rsidR="00C674B6">
        <w:t xml:space="preserve">staten </w:t>
      </w:r>
      <w:r w:rsidRPr="005C39A9">
        <w:t xml:space="preserve">niet van </w:t>
      </w:r>
      <w:r w:rsidRPr="005C39A9" w:rsidR="00C674B6">
        <w:t>hun</w:t>
      </w:r>
      <w:r w:rsidRPr="005C39A9">
        <w:t xml:space="preserve"> verplichtingen onder het </w:t>
      </w:r>
      <w:r w:rsidRPr="005C39A9" w:rsidR="00C674B6">
        <w:t xml:space="preserve">internationaal recht, waaronder het </w:t>
      </w:r>
      <w:r w:rsidRPr="005C39A9">
        <w:t xml:space="preserve">humanitair oorlogsrecht, </w:t>
      </w:r>
      <w:r w:rsidRPr="005C39A9" w:rsidR="00C674B6">
        <w:t xml:space="preserve">zoals </w:t>
      </w:r>
      <w:r w:rsidRPr="005C39A9">
        <w:t xml:space="preserve">de verantwoordelijkheid om de </w:t>
      </w:r>
      <w:r w:rsidRPr="005C39A9" w:rsidR="00C674B6">
        <w:t>burger</w:t>
      </w:r>
      <w:r w:rsidRPr="005C39A9">
        <w:t xml:space="preserve">bevolking in </w:t>
      </w:r>
      <w:r w:rsidRPr="005C39A9" w:rsidR="00C674B6">
        <w:t>bezet gebied</w:t>
      </w:r>
      <w:r w:rsidRPr="005C39A9">
        <w:t xml:space="preserve"> toegang te bieden tot essentiële goederen en de levering daarvan door derden niet onnodig te belemmeren. </w:t>
      </w:r>
    </w:p>
    <w:p w:rsidR="006F0CAB" w:rsidP="006F0CAB" w:rsidRDefault="006F0CAB" w14:paraId="59FCD6DC" w14:textId="77777777"/>
    <w:p w:rsidRPr="006F0CAB" w:rsidR="006F0CAB" w:rsidP="006F0CAB" w:rsidRDefault="006F0CAB" w14:paraId="38B352D2" w14:textId="01448FEA">
      <w:pPr>
        <w:rPr>
          <w:color w:val="FF0000"/>
        </w:rPr>
      </w:pPr>
      <w:bookmarkStart w:name="_Hlk218769673" w:id="5"/>
      <w:r>
        <w:rPr>
          <w:b/>
        </w:rPr>
        <w:t xml:space="preserve">Vraag 9 </w:t>
      </w:r>
    </w:p>
    <w:p w:rsidR="006F0CAB" w:rsidP="006F0CAB" w:rsidRDefault="006F0CAB" w14:paraId="527D098C" w14:textId="3AC13D70">
      <w:r w:rsidRPr="006F0CAB">
        <w:t>Hoe beoordeelt u de nieuwe Israëlische wetgeving tegen de United Nations Relief and Works Agency for Palestine Refugees in the Near East (UNRWA) in het licht van de bindende uitspraken van het Internationaal Gerechtshof, waarin expliciet is vastgesteld dat Israël verplicht is de werkzaamheden van UNRWA te faciliteren en niet te belemmeren? Acht u deze wetgeving verenigbaar met het internationaal recht?</w:t>
      </w:r>
    </w:p>
    <w:p w:rsidR="008919B4" w:rsidP="006F0CAB" w:rsidRDefault="008919B4" w14:paraId="6BEF1086" w14:textId="77777777"/>
    <w:p w:rsidR="005057B0" w:rsidP="005057B0" w:rsidRDefault="006F0CAB" w14:paraId="771A682E" w14:textId="4DFBDFED">
      <w:r>
        <w:rPr>
          <w:b/>
        </w:rPr>
        <w:t>Antwoord</w:t>
      </w:r>
    </w:p>
    <w:p w:rsidR="005057B0" w:rsidP="005057B0" w:rsidRDefault="005057B0" w14:paraId="4B1BA798" w14:textId="234DA6E2">
      <w:r w:rsidRPr="00D668C0">
        <w:t xml:space="preserve">Adviezen van het IGH zijn niet juridisch bindend, maar wel gezaghebbend omdat het voornaamste gerechtelijke orgaan van de </w:t>
      </w:r>
      <w:r>
        <w:t>VN</w:t>
      </w:r>
      <w:r w:rsidRPr="00D668C0">
        <w:t xml:space="preserve"> </w:t>
      </w:r>
      <w:r>
        <w:t>d</w:t>
      </w:r>
      <w:r w:rsidRPr="00D668C0">
        <w:t>aarin een uiteenzetting geeft van het geldend internationaal recht</w:t>
      </w:r>
      <w:r>
        <w:t xml:space="preserve">. Nederland volgt het advies van het IGH, en hiermee </w:t>
      </w:r>
      <w:r w:rsidDel="00146D45">
        <w:t xml:space="preserve">de conclusie van het Hof dat de twee door Israël aangenomen wetten </w:t>
      </w:r>
      <w:r>
        <w:t xml:space="preserve">in oktober 2024 </w:t>
      </w:r>
      <w:r w:rsidDel="00146D45">
        <w:t>niet verenigbaar zijn met de verplichtingen van Israël ten aanzien van de bezette Palestijnse gebieden, waaronder zijn verplichtingen onder het VN-Handvest.</w:t>
      </w:r>
      <w:r>
        <w:t xml:space="preserve"> Ook de recent aangenomen wetgeving (2025)</w:t>
      </w:r>
      <w:r w:rsidR="00774743">
        <w:t xml:space="preserve"> in het verlengde hiervan</w:t>
      </w:r>
      <w:r>
        <w:t xml:space="preserve"> </w:t>
      </w:r>
      <w:r w:rsidR="00AE3729">
        <w:t>strookt niet</w:t>
      </w:r>
      <w:r>
        <w:t xml:space="preserve"> met het advies van het IGH. </w:t>
      </w:r>
    </w:p>
    <w:p w:rsidR="005C39A9" w:rsidP="009B717F" w:rsidRDefault="005C39A9" w14:paraId="2F8C3E23" w14:textId="77777777">
      <w:pPr>
        <w:spacing w:line="240" w:lineRule="auto"/>
        <w:rPr>
          <w:b/>
        </w:rPr>
      </w:pPr>
    </w:p>
    <w:p w:rsidR="005C39A9" w:rsidP="009B717F" w:rsidRDefault="005C39A9" w14:paraId="3DFCE3BA" w14:textId="77777777">
      <w:pPr>
        <w:spacing w:line="240" w:lineRule="auto"/>
        <w:rPr>
          <w:b/>
        </w:rPr>
      </w:pPr>
    </w:p>
    <w:p w:rsidR="005C39A9" w:rsidP="009B717F" w:rsidRDefault="005C39A9" w14:paraId="4220EB32" w14:textId="77777777">
      <w:pPr>
        <w:spacing w:line="240" w:lineRule="auto"/>
        <w:rPr>
          <w:b/>
        </w:rPr>
      </w:pPr>
    </w:p>
    <w:p w:rsidRPr="009B717F" w:rsidR="006F0CAB" w:rsidP="009B717F" w:rsidRDefault="006F0CAB" w14:paraId="79045AB3" w14:textId="03EBA493">
      <w:pPr>
        <w:spacing w:line="240" w:lineRule="auto"/>
        <w:rPr>
          <w:b/>
        </w:rPr>
      </w:pPr>
      <w:r>
        <w:rPr>
          <w:b/>
        </w:rPr>
        <w:lastRenderedPageBreak/>
        <w:t xml:space="preserve">Vraag 10 </w:t>
      </w:r>
    </w:p>
    <w:p w:rsidR="006F0CAB" w:rsidP="006F0CAB" w:rsidRDefault="006F0CAB" w14:paraId="31CEF4A5" w14:textId="77777777">
      <w:r w:rsidRPr="006F0CAB">
        <w:t>Deelt u de opvatting dat het uitsluiten van UNRWA van de VN-Conventie inzake Privileges en Immuniteiten, het afsluiten van water, elektriciteit en communicatie en het dreigen met onteigening van VN-eigendom een ernstige schending vormt van de verplichtingen van Israël als VN-lidstaat en een gevaarlijk precedent schept voor de bescherming van VN-organisaties wereldwijd?</w:t>
      </w:r>
    </w:p>
    <w:p w:rsidR="006F0CAB" w:rsidP="006F0CAB" w:rsidRDefault="006F0CAB" w14:paraId="654E6A37" w14:textId="77777777"/>
    <w:p w:rsidR="006F0CAB" w:rsidP="006F0CAB" w:rsidRDefault="006F0CAB" w14:paraId="2E30C6A8" w14:textId="138B627F">
      <w:r>
        <w:rPr>
          <w:b/>
        </w:rPr>
        <w:t>Antwoord</w:t>
      </w:r>
    </w:p>
    <w:bookmarkEnd w:id="5"/>
    <w:p w:rsidRPr="00003B21" w:rsidR="00A528B1" w:rsidP="000365D9" w:rsidRDefault="000365D9" w14:paraId="3F416C3F" w14:textId="46881D05">
      <w:pPr>
        <w:rPr>
          <w:b/>
          <w:bCs/>
        </w:rPr>
      </w:pPr>
      <w:r w:rsidRPr="00003B21">
        <w:t xml:space="preserve">In het kader van een bezetting oefent een bezettende macht rechtsmacht en controle uit over het bezette gebied. Het International Gerechtshof benoemt in zijn advies van 22 oktober 2025 in dit kader ook de verplichting om de privileges en immuniteiten van de VN in bezet gebied te respecteren (art. 105 VN Handvest). Dit ziet ook op UNRWA. </w:t>
      </w:r>
      <w:r w:rsidRPr="00003B21">
        <w:rPr>
          <w:rStyle w:val="CommentReference"/>
          <w:sz w:val="18"/>
          <w:szCs w:val="18"/>
        </w:rPr>
        <w:t>Op grond van deze verplichtingen is het</w:t>
      </w:r>
      <w:r w:rsidRPr="00003B21">
        <w:t xml:space="preserve"> Israël niet toegestaan om dergelijke beperkende maatregelen te nemen tegen VN eigendom, inclusief de gebouwen in de bezette Palestijnse Gebieden.</w:t>
      </w:r>
      <w:r w:rsidRPr="00003B21" w:rsidR="004B678E">
        <w:t xml:space="preserve"> </w:t>
      </w:r>
      <w:r w:rsidRPr="005C39A9" w:rsidR="00A528B1">
        <w:t>Zie de kabinetsreactie van 21 januari jl.</w:t>
      </w:r>
      <w:r w:rsidRPr="005C39A9" w:rsidR="00A528B1">
        <w:rPr>
          <w:rFonts w:ascii="Calibri" w:hAnsi="Calibri" w:cs="Calibri"/>
          <w:sz w:val="38"/>
          <w:szCs w:val="38"/>
        </w:rPr>
        <w:t xml:space="preserve"> </w:t>
      </w:r>
      <w:r w:rsidRPr="005C39A9" w:rsidR="00A528B1">
        <w:t>op de sloop van het UNRWA-hoofdkantoor in Oost-Jeruzalem door Israël.</w:t>
      </w:r>
      <w:r w:rsidRPr="005C39A9" w:rsidR="009D14E2">
        <w:rPr>
          <w:rStyle w:val="FootnoteReference"/>
        </w:rPr>
        <w:footnoteReference w:id="4"/>
      </w:r>
    </w:p>
    <w:p w:rsidR="006F0CAB" w:rsidP="006F0CAB" w:rsidRDefault="006F0CAB" w14:paraId="1CE605FD" w14:textId="77777777"/>
    <w:p w:rsidRPr="006F0CAB" w:rsidR="006F0CAB" w:rsidP="006F0CAB" w:rsidRDefault="006F0CAB" w14:paraId="3F807D72" w14:textId="13BA7E52">
      <w:pPr>
        <w:rPr>
          <w:color w:val="FF0000"/>
        </w:rPr>
      </w:pPr>
      <w:r>
        <w:rPr>
          <w:b/>
        </w:rPr>
        <w:t xml:space="preserve">Vraag 11 </w:t>
      </w:r>
    </w:p>
    <w:p w:rsidR="006F0CAB" w:rsidP="006F0CAB" w:rsidRDefault="006F0CAB" w14:paraId="2DF761FB" w14:textId="77777777">
      <w:r w:rsidRPr="006F0CAB">
        <w:t>Bent u bereid deze kwestie met urgentie te agenderen binnen Europa en in VN-verband om gezamenlijk druk uit te oefenen, opdat humanitaire hulp niet verder wordt belemmerd? Welke concrete stappen heeft u hiertoe reeds ondernomen?</w:t>
      </w:r>
    </w:p>
    <w:p w:rsidR="006F0CAB" w:rsidP="006F0CAB" w:rsidRDefault="006F0CAB" w14:paraId="76C0B3A5" w14:textId="77777777"/>
    <w:p w:rsidR="006F0CAB" w:rsidP="006F0CAB" w:rsidRDefault="006F0CAB" w14:paraId="0B840092" w14:textId="51459DB9">
      <w:r>
        <w:rPr>
          <w:b/>
        </w:rPr>
        <w:t>Antwoord</w:t>
      </w:r>
    </w:p>
    <w:p w:rsidR="006F0CAB" w:rsidP="006F0CAB" w:rsidRDefault="00AD2860" w14:paraId="17A8597D" w14:textId="22A926F8">
      <w:r>
        <w:t xml:space="preserve">Zie </w:t>
      </w:r>
      <w:r w:rsidR="00F077B9">
        <w:t xml:space="preserve">het </w:t>
      </w:r>
      <w:r>
        <w:t>antwoord op vraag 5 en 6.</w:t>
      </w:r>
    </w:p>
    <w:p w:rsidR="00AD2860" w:rsidP="006F0CAB" w:rsidRDefault="00AD2860" w14:paraId="47665139" w14:textId="77777777"/>
    <w:p w:rsidRPr="006F0CAB" w:rsidR="006F0CAB" w:rsidP="006F0CAB" w:rsidRDefault="006F0CAB" w14:paraId="307DD904" w14:textId="748CCFDA">
      <w:pPr>
        <w:rPr>
          <w:color w:val="FF0000"/>
        </w:rPr>
      </w:pPr>
      <w:r>
        <w:rPr>
          <w:b/>
        </w:rPr>
        <w:t xml:space="preserve">Vraag 12 </w:t>
      </w:r>
    </w:p>
    <w:p w:rsidR="006F0CAB" w:rsidP="006F0CAB" w:rsidRDefault="006F0CAB" w14:paraId="14EFFC83" w14:textId="77777777">
      <w:r w:rsidRPr="006F0CAB">
        <w:t>Welke gevolgen heeft het weren van een aanzienlijk deel van de hulporganisaties volgens u voor de naleving door Israël van zijn verplichtingen onder het internationaal humanitair recht, waaronder de plicht van een bezettende macht om humanitaire hulp toe te laten?</w:t>
      </w:r>
    </w:p>
    <w:p w:rsidR="005B04FF" w:rsidP="006F0CAB" w:rsidRDefault="005B04FF" w14:paraId="3E8C440A" w14:textId="77777777"/>
    <w:p w:rsidR="003C1837" w:rsidP="00F5641A" w:rsidRDefault="006F0CAB" w14:paraId="315DFEEA" w14:textId="2AA2D867">
      <w:r>
        <w:rPr>
          <w:b/>
        </w:rPr>
        <w:t>Antwoord</w:t>
      </w:r>
    </w:p>
    <w:p w:rsidRPr="005B04FF" w:rsidR="003C1837" w:rsidP="00F5641A" w:rsidRDefault="00F5641A" w14:paraId="1A4C67BE" w14:textId="3D379C84">
      <w:pPr>
        <w:rPr>
          <w:highlight w:val="yellow"/>
        </w:rPr>
      </w:pPr>
      <w:r>
        <w:t xml:space="preserve">In het IGH-advies van </w:t>
      </w:r>
      <w:r w:rsidRPr="00D50C2C">
        <w:t xml:space="preserve">22 oktober 2025 over de verplichtingen van Israël ten aanzien van de aanwezigheid en activiteiten van de Verenigde Naties </w:t>
      </w:r>
      <w:r>
        <w:t xml:space="preserve">en </w:t>
      </w:r>
      <w:r w:rsidRPr="00D50C2C">
        <w:t xml:space="preserve">andere internationale organisaties in de bezette Palestijnse Gebieden </w:t>
      </w:r>
      <w:r>
        <w:t xml:space="preserve">oordeelt het Hof dat Israël, </w:t>
      </w:r>
      <w:r w:rsidRPr="00D50C2C">
        <w:t>als bezettende macht, zijn verplichtingen onder het humanitair oorlogsrecht moet naleven</w:t>
      </w:r>
      <w:r w:rsidR="003C1837">
        <w:t>.</w:t>
      </w:r>
      <w:r w:rsidRPr="00D50C2C">
        <w:t xml:space="preserve"> </w:t>
      </w:r>
      <w:r w:rsidRPr="005C39A9" w:rsidR="003C1837">
        <w:t xml:space="preserve">Indien het gevolg is dat de burgerbevolking in de bezette Palestijnse gebieden onvoldoende voorzien is van essentiële levensbehoeften, dan schendt Israël verplichtingen onder het humanitair oorlogsrecht. </w:t>
      </w:r>
    </w:p>
    <w:p w:rsidR="006C155C" w:rsidP="006F0CAB" w:rsidRDefault="006C155C" w14:paraId="124D910B" w14:textId="766F976B"/>
    <w:p w:rsidRPr="006F0CAB" w:rsidR="006F0CAB" w:rsidP="006F0CAB" w:rsidRDefault="006F0CAB" w14:paraId="01EBA3D6" w14:textId="22F1155A">
      <w:pPr>
        <w:rPr>
          <w:color w:val="FF0000"/>
        </w:rPr>
      </w:pPr>
      <w:r>
        <w:rPr>
          <w:b/>
        </w:rPr>
        <w:t xml:space="preserve">Vraag 13 </w:t>
      </w:r>
    </w:p>
    <w:p w:rsidR="006F0CAB" w:rsidP="006F0CAB" w:rsidRDefault="006F0CAB" w14:paraId="5BA36F88" w14:textId="4207BD9A">
      <w:r w:rsidRPr="006F0CAB">
        <w:t>Kunt u toezeggen de Kamer op zeer korte termijn te informeren over de inzet van Nederland in de komende dagen en weken, gezien de acute deadline van 1 januari en de directe gevolgen voor honderdduizenden mensen die afhankelijk zijn van humanitaire hulp?</w:t>
      </w:r>
    </w:p>
    <w:p w:rsidR="005C39A9" w:rsidP="006F0CAB" w:rsidRDefault="005C39A9" w14:paraId="57BC4751" w14:textId="77777777">
      <w:pPr>
        <w:rPr>
          <w:b/>
        </w:rPr>
      </w:pPr>
    </w:p>
    <w:p w:rsidR="006F0CAB" w:rsidP="006F0CAB" w:rsidRDefault="006F0CAB" w14:paraId="4FEBC289" w14:textId="57775B86">
      <w:r>
        <w:rPr>
          <w:b/>
        </w:rPr>
        <w:t>Antwoord</w:t>
      </w:r>
    </w:p>
    <w:p w:rsidR="004B678E" w:rsidP="004B678E" w:rsidRDefault="003C1837" w14:paraId="4AC58C21" w14:textId="42760C11">
      <w:r w:rsidRPr="005C39A9">
        <w:t xml:space="preserve">De keuze over </w:t>
      </w:r>
      <w:r w:rsidRPr="005C39A9" w:rsidR="000233E7">
        <w:t>het verder informeren</w:t>
      </w:r>
      <w:r w:rsidRPr="005C39A9">
        <w:t xml:space="preserve"> van de Kamer wordt overgelaten aan het inkomende kabinet.</w:t>
      </w:r>
    </w:p>
    <w:sectPr w:rsidR="004B678E" w:rsidSect="00CB4FD1">
      <w:headerReference w:type="default" r:id="rId14"/>
      <w:footerReference w:type="default" r:id="rId15"/>
      <w:headerReference w:type="first" r:id="rId16"/>
      <w:footerReference w:type="first" r:id="rId17"/>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53C8" w14:textId="77777777" w:rsidR="00F777E6" w:rsidRDefault="00F777E6">
      <w:pPr>
        <w:spacing w:line="240" w:lineRule="auto"/>
      </w:pPr>
      <w:r>
        <w:separator/>
      </w:r>
    </w:p>
  </w:endnote>
  <w:endnote w:type="continuationSeparator" w:id="0">
    <w:p w14:paraId="51D16BB9" w14:textId="77777777" w:rsidR="00F777E6" w:rsidRDefault="00F777E6">
      <w:pPr>
        <w:spacing w:line="240" w:lineRule="auto"/>
      </w:pPr>
      <w:r>
        <w:continuationSeparator/>
      </w:r>
    </w:p>
  </w:endnote>
  <w:endnote w:type="continuationNotice" w:id="1">
    <w:p w14:paraId="2E183BE0" w14:textId="77777777" w:rsidR="00F777E6" w:rsidRDefault="00F777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749048"/>
      <w:docPartObj>
        <w:docPartGallery w:val="Page Numbers (Bottom of Page)"/>
        <w:docPartUnique/>
      </w:docPartObj>
    </w:sdtPr>
    <w:sdtContent>
      <w:p w14:paraId="7A053530" w14:textId="024D5ADB" w:rsidR="00BF5E6B" w:rsidRDefault="00BF5E6B">
        <w:pPr>
          <w:pStyle w:val="Footer"/>
          <w:jc w:val="center"/>
        </w:pPr>
        <w:r>
          <w:fldChar w:fldCharType="begin"/>
        </w:r>
        <w:r>
          <w:instrText>PAGE   \* MERGEFORMAT</w:instrText>
        </w:r>
        <w:r>
          <w:fldChar w:fldCharType="separate"/>
        </w:r>
        <w:r>
          <w:t>2</w:t>
        </w:r>
        <w:r>
          <w:fldChar w:fldCharType="end"/>
        </w:r>
      </w:p>
    </w:sdtContent>
  </w:sdt>
  <w:p w14:paraId="25D9B4E3" w14:textId="77777777" w:rsidR="00266135" w:rsidRDefault="0026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745066"/>
      <w:docPartObj>
        <w:docPartGallery w:val="Page Numbers (Bottom of Page)"/>
        <w:docPartUnique/>
      </w:docPartObj>
    </w:sdtPr>
    <w:sdtContent>
      <w:p w14:paraId="5EEEFC2E" w14:textId="1CD7BD38" w:rsidR="008919B4" w:rsidRDefault="008919B4">
        <w:pPr>
          <w:pStyle w:val="Footer"/>
          <w:jc w:val="center"/>
        </w:pPr>
        <w:r>
          <w:fldChar w:fldCharType="begin"/>
        </w:r>
        <w:r>
          <w:instrText>PAGE   \* MERGEFORMAT</w:instrText>
        </w:r>
        <w:r>
          <w:fldChar w:fldCharType="separate"/>
        </w:r>
        <w:r>
          <w:t>2</w:t>
        </w:r>
        <w:r>
          <w:fldChar w:fldCharType="end"/>
        </w:r>
      </w:p>
    </w:sdtContent>
  </w:sdt>
  <w:p w14:paraId="6A13F247" w14:textId="77777777" w:rsidR="008919B4" w:rsidRDefault="00891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D2A7" w14:textId="77777777" w:rsidR="00F777E6" w:rsidRDefault="00F777E6">
      <w:pPr>
        <w:spacing w:line="240" w:lineRule="auto"/>
      </w:pPr>
      <w:r>
        <w:separator/>
      </w:r>
    </w:p>
  </w:footnote>
  <w:footnote w:type="continuationSeparator" w:id="0">
    <w:p w14:paraId="62D7C3AA" w14:textId="77777777" w:rsidR="00F777E6" w:rsidRDefault="00F777E6">
      <w:pPr>
        <w:spacing w:line="240" w:lineRule="auto"/>
      </w:pPr>
      <w:r>
        <w:continuationSeparator/>
      </w:r>
    </w:p>
  </w:footnote>
  <w:footnote w:type="continuationNotice" w:id="1">
    <w:p w14:paraId="0E2545B6" w14:textId="77777777" w:rsidR="00F777E6" w:rsidRDefault="00F777E6">
      <w:pPr>
        <w:spacing w:line="240" w:lineRule="auto"/>
      </w:pPr>
    </w:p>
  </w:footnote>
  <w:footnote w:id="2">
    <w:p w14:paraId="18A2312F" w14:textId="2597DC7B" w:rsidR="00B55268" w:rsidRDefault="00B55268">
      <w:pPr>
        <w:pStyle w:val="FootnoteText"/>
      </w:pPr>
      <w:r w:rsidRPr="005C39A9">
        <w:rPr>
          <w:rStyle w:val="FootnoteReference"/>
          <w:sz w:val="16"/>
          <w:szCs w:val="16"/>
        </w:rPr>
        <w:footnoteRef/>
      </w:r>
      <w:r w:rsidRPr="005C39A9">
        <w:rPr>
          <w:rStyle w:val="FootnoteReference"/>
          <w:sz w:val="16"/>
          <w:szCs w:val="16"/>
        </w:rPr>
        <w:t xml:space="preserve"> </w:t>
      </w:r>
      <w:r w:rsidRPr="005C39A9">
        <w:rPr>
          <w:sz w:val="16"/>
          <w:szCs w:val="16"/>
        </w:rPr>
        <w:t>Kamerstuk 23432</w:t>
      </w:r>
      <w:r w:rsidR="009D14E2" w:rsidRPr="005C39A9">
        <w:rPr>
          <w:sz w:val="16"/>
          <w:szCs w:val="16"/>
        </w:rPr>
        <w:t>,</w:t>
      </w:r>
      <w:r w:rsidRPr="005C39A9">
        <w:rPr>
          <w:sz w:val="16"/>
          <w:szCs w:val="16"/>
        </w:rPr>
        <w:t xml:space="preserve"> nr. 629</w:t>
      </w:r>
      <w:r w:rsidRPr="00B55268">
        <w:rPr>
          <w:sz w:val="16"/>
          <w:szCs w:val="16"/>
        </w:rPr>
        <w:t xml:space="preserve"> </w:t>
      </w:r>
    </w:p>
  </w:footnote>
  <w:footnote w:id="3">
    <w:p w14:paraId="350C2EC7" w14:textId="5F2F812A" w:rsidR="00EC034F" w:rsidRPr="00712985" w:rsidRDefault="00EC034F" w:rsidP="00EC034F">
      <w:pPr>
        <w:pStyle w:val="FootnoteText"/>
      </w:pPr>
      <w:r w:rsidRPr="00832082">
        <w:rPr>
          <w:rStyle w:val="FootnoteReference"/>
          <w:sz w:val="16"/>
          <w:szCs w:val="16"/>
        </w:rPr>
        <w:footnoteRef/>
      </w:r>
      <w:r w:rsidRPr="00832082">
        <w:rPr>
          <w:sz w:val="16"/>
          <w:szCs w:val="16"/>
        </w:rPr>
        <w:t xml:space="preserve"> </w:t>
      </w:r>
      <w:r w:rsidRPr="00712985">
        <w:rPr>
          <w:sz w:val="16"/>
          <w:szCs w:val="16"/>
        </w:rPr>
        <w:t>Europese Raadsconclusies, 18 december 2025,</w:t>
      </w:r>
      <w:r w:rsidR="00712985">
        <w:rPr>
          <w:sz w:val="16"/>
          <w:szCs w:val="16"/>
        </w:rPr>
        <w:t xml:space="preserve"> </w:t>
      </w:r>
      <w:r w:rsidR="00712985" w:rsidRPr="00712985">
        <w:rPr>
          <w:sz w:val="16"/>
          <w:szCs w:val="16"/>
        </w:rPr>
        <w:t>https://www.consilium.europa.eu/media/di5jkh3t/nl-20251218-european-council-conclusions.pdf</w:t>
      </w:r>
    </w:p>
  </w:footnote>
  <w:footnote w:id="4">
    <w:p w14:paraId="6ECE3430" w14:textId="1E3BF85D" w:rsidR="009D14E2" w:rsidRPr="009D14E2" w:rsidRDefault="009D14E2">
      <w:pPr>
        <w:pStyle w:val="FootnoteText"/>
      </w:pPr>
      <w:r>
        <w:rPr>
          <w:rStyle w:val="FootnoteReference"/>
        </w:rPr>
        <w:footnoteRef/>
      </w:r>
      <w:r>
        <w:t xml:space="preserve"> </w:t>
      </w:r>
      <w:r w:rsidR="00736A91" w:rsidRPr="00736A91">
        <w:rPr>
          <w:sz w:val="16"/>
          <w:szCs w:val="16"/>
        </w:rPr>
        <w:t>Kamerstuk</w:t>
      </w:r>
      <w:r w:rsidR="00736A91">
        <w:rPr>
          <w:sz w:val="16"/>
          <w:szCs w:val="16"/>
        </w:rPr>
        <w:t xml:space="preserve"> </w:t>
      </w:r>
      <w:r w:rsidR="008553C3" w:rsidRPr="008553C3">
        <w:rPr>
          <w:sz w:val="16"/>
          <w:szCs w:val="16"/>
        </w:rPr>
        <w:t>26150</w:t>
      </w:r>
      <w:r w:rsidR="00736A91">
        <w:rPr>
          <w:sz w:val="16"/>
          <w:szCs w:val="16"/>
        </w:rPr>
        <w:t>, nr. 242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D2B8" w14:textId="6C7C3704" w:rsidR="00B772B8" w:rsidRDefault="006F0CAB">
    <w:r>
      <w:rPr>
        <w:noProof/>
      </w:rPr>
      <mc:AlternateContent>
        <mc:Choice Requires="wps">
          <w:drawing>
            <wp:anchor distT="0" distB="0" distL="0" distR="0" simplePos="0" relativeHeight="251658240" behindDoc="0" locked="1" layoutInCell="1" allowOverlap="1" wp14:anchorId="360BD2BC" wp14:editId="46106F09">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360BD2EC" w14:textId="77777777" w:rsidR="00B772B8" w:rsidRDefault="006F0CAB">
                          <w:pPr>
                            <w:pStyle w:val="Referentiegegevensbold"/>
                          </w:pPr>
                          <w:r>
                            <w:t>Ministerie van Buitenlandse Zaken</w:t>
                          </w:r>
                        </w:p>
                        <w:p w14:paraId="360BD2ED" w14:textId="77777777" w:rsidR="00B772B8" w:rsidRDefault="00B772B8">
                          <w:pPr>
                            <w:pStyle w:val="WitregelW2"/>
                          </w:pPr>
                        </w:p>
                        <w:p w14:paraId="360BD2EE" w14:textId="77777777" w:rsidR="00B772B8" w:rsidRDefault="006F0CAB">
                          <w:pPr>
                            <w:pStyle w:val="Referentiegegevensbold"/>
                          </w:pPr>
                          <w:r>
                            <w:t>Onze referentie</w:t>
                          </w:r>
                        </w:p>
                        <w:p w14:paraId="360BD2EF" w14:textId="77777777" w:rsidR="00B772B8" w:rsidRDefault="006F0CAB">
                          <w:pPr>
                            <w:pStyle w:val="Referentiegegevens"/>
                          </w:pPr>
                          <w:r>
                            <w:t>BZ2523740</w:t>
                          </w:r>
                        </w:p>
                      </w:txbxContent>
                    </wps:txbx>
                    <wps:bodyPr vert="horz" wrap="square" lIns="0" tIns="0" rIns="0" bIns="0" anchor="t" anchorCtr="0"/>
                  </wps:wsp>
                </a:graphicData>
              </a:graphic>
              <wp14:sizeRelH relativeFrom="margin">
                <wp14:pctWidth>0</wp14:pctWidth>
              </wp14:sizeRelH>
            </wp:anchor>
          </w:drawing>
        </mc:Choice>
        <mc:Fallback>
          <w:pict>
            <v:shapetype w14:anchorId="360BD2BC"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360BD2EC" w14:textId="77777777" w:rsidR="00B772B8" w:rsidRDefault="006F0CAB">
                    <w:pPr>
                      <w:pStyle w:val="Referentiegegevensbold"/>
                    </w:pPr>
                    <w:r>
                      <w:t>Ministerie van Buitenlandse Zaken</w:t>
                    </w:r>
                  </w:p>
                  <w:p w14:paraId="360BD2ED" w14:textId="77777777" w:rsidR="00B772B8" w:rsidRDefault="00B772B8">
                    <w:pPr>
                      <w:pStyle w:val="WitregelW2"/>
                    </w:pPr>
                  </w:p>
                  <w:p w14:paraId="360BD2EE" w14:textId="77777777" w:rsidR="00B772B8" w:rsidRDefault="006F0CAB">
                    <w:pPr>
                      <w:pStyle w:val="Referentiegegevensbold"/>
                    </w:pPr>
                    <w:r>
                      <w:t>Onze referentie</w:t>
                    </w:r>
                  </w:p>
                  <w:p w14:paraId="360BD2EF" w14:textId="77777777" w:rsidR="00B772B8" w:rsidRDefault="006F0CAB">
                    <w:pPr>
                      <w:pStyle w:val="Referentiegegevens"/>
                    </w:pPr>
                    <w:r>
                      <w:t>BZ2523740</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60BD2BE" wp14:editId="360BD2BF">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60BD2F0" w14:textId="1EAE43C2" w:rsidR="00B772B8" w:rsidRDefault="00B772B8">
                          <w:pPr>
                            <w:pStyle w:val="Rubricering"/>
                          </w:pPr>
                        </w:p>
                      </w:txbxContent>
                    </wps:txbx>
                    <wps:bodyPr vert="horz" wrap="square" lIns="0" tIns="0" rIns="0" bIns="0" anchor="t" anchorCtr="0"/>
                  </wps:wsp>
                </a:graphicData>
              </a:graphic>
            </wp:anchor>
          </w:drawing>
        </mc:Choice>
        <mc:Fallback>
          <w:pict>
            <v:shape w14:anchorId="360BD2BE"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60BD2F0" w14:textId="1EAE43C2" w:rsidR="00B772B8" w:rsidRDefault="00B772B8">
                    <w:pPr>
                      <w:pStyle w:val="Rubricering"/>
                    </w:pPr>
                  </w:p>
                </w:txbxContent>
              </v:textbox>
              <w10:wrap anchorx="page" anchory="page"/>
              <w10:anchorlock/>
            </v:shape>
          </w:pict>
        </mc:Fallback>
      </mc:AlternateContent>
    </w:r>
  </w:p>
  <w:p w14:paraId="3AA956B1" w14:textId="77777777" w:rsidR="00B772B8" w:rsidRDefault="00B772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D2BA" w14:textId="77777777" w:rsidR="00B772B8" w:rsidRDefault="006F0CAB">
    <w:pPr>
      <w:spacing w:after="7131" w:line="14" w:lineRule="exact"/>
    </w:pPr>
    <w:r>
      <w:rPr>
        <w:noProof/>
      </w:rPr>
      <mc:AlternateContent>
        <mc:Choice Requires="wps">
          <w:drawing>
            <wp:anchor distT="0" distB="0" distL="0" distR="0" simplePos="0" relativeHeight="251658242" behindDoc="0" locked="1" layoutInCell="1" allowOverlap="1" wp14:anchorId="360BD2C2" wp14:editId="360BD2C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60BD2F2" w14:textId="77777777" w:rsidR="006F0CAB" w:rsidRDefault="006F0CAB"/>
                      </w:txbxContent>
                    </wps:txbx>
                    <wps:bodyPr vert="horz" wrap="square" lIns="0" tIns="0" rIns="0" bIns="0" anchor="t" anchorCtr="0"/>
                  </wps:wsp>
                </a:graphicData>
              </a:graphic>
            </wp:anchor>
          </w:drawing>
        </mc:Choice>
        <mc:Fallback>
          <w:pict>
            <v:shapetype w14:anchorId="360BD2C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60BD2F2" w14:textId="77777777" w:rsidR="006F0CAB" w:rsidRDefault="006F0CAB"/>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60BD2C4" wp14:editId="360BD2C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0BD2D3" w14:textId="77777777" w:rsidR="00B772B8" w:rsidRDefault="006F0CA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60BD2C4"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60BD2D3" w14:textId="77777777" w:rsidR="00B772B8" w:rsidRDefault="006F0CA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60BD2C6" wp14:editId="360BD2C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5C2349A" w14:textId="4A823CAE" w:rsidR="007339E2" w:rsidRDefault="007339E2" w:rsidP="007339E2">
                          <w:r>
                            <w:t>Datum</w:t>
                          </w:r>
                          <w:r w:rsidR="005C39A9">
                            <w:t xml:space="preserve"> 19</w:t>
                          </w:r>
                          <w:r>
                            <w:t xml:space="preserve"> februari 2026</w:t>
                          </w:r>
                        </w:p>
                        <w:p w14:paraId="74DF11B8" w14:textId="52981302" w:rsidR="007339E2" w:rsidRDefault="007339E2" w:rsidP="007339E2">
                          <w:r>
                            <w:t>Betreft Beantwoording vragen van de leden Van der Werf (D66), Bamenga (D66) en Boswijk (CDA) over het verbieden van hulporganisaties in Gaza en de Westelijke Jordaanoever</w:t>
                          </w:r>
                        </w:p>
                        <w:p w14:paraId="360BD2DC" w14:textId="77777777" w:rsidR="00B772B8" w:rsidRDefault="00B772B8"/>
                      </w:txbxContent>
                    </wps:txbx>
                    <wps:bodyPr vert="horz" wrap="square" lIns="0" tIns="0" rIns="0" bIns="0" anchor="t" anchorCtr="0"/>
                  </wps:wsp>
                </a:graphicData>
              </a:graphic>
            </wp:anchor>
          </w:drawing>
        </mc:Choice>
        <mc:Fallback>
          <w:pict>
            <v:shape w14:anchorId="360BD2C6"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5C2349A" w14:textId="4A823CAE" w:rsidR="007339E2" w:rsidRDefault="007339E2" w:rsidP="007339E2">
                    <w:r>
                      <w:t>Datum</w:t>
                    </w:r>
                    <w:r w:rsidR="005C39A9">
                      <w:t xml:space="preserve"> 19</w:t>
                    </w:r>
                    <w:r>
                      <w:t xml:space="preserve"> februari 2026</w:t>
                    </w:r>
                  </w:p>
                  <w:p w14:paraId="74DF11B8" w14:textId="52981302" w:rsidR="007339E2" w:rsidRDefault="007339E2" w:rsidP="007339E2">
                    <w:r>
                      <w:t>Betreft Beantwoording vragen van de leden Van der Werf (D66), Bamenga (D66) en Boswijk (CDA) over het verbieden van hulporganisaties in Gaza en de Westelijke Jordaanoever</w:t>
                    </w:r>
                  </w:p>
                  <w:p w14:paraId="360BD2DC" w14:textId="77777777" w:rsidR="00B772B8" w:rsidRDefault="00B772B8"/>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60BD2C8" wp14:editId="484E8890">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360BD2DE" w14:textId="10B93E36" w:rsidR="00B772B8" w:rsidRDefault="006F0CAB" w:rsidP="005B04FF">
                          <w:pPr>
                            <w:pStyle w:val="Referentiegegevensbold"/>
                          </w:pPr>
                          <w:r>
                            <w:t>Ministerie van Buitenlandse Zaken</w:t>
                          </w:r>
                        </w:p>
                        <w:p w14:paraId="360BD2DF" w14:textId="44E1CCC9" w:rsidR="00B772B8" w:rsidRPr="00B93BB6" w:rsidRDefault="00B93BB6">
                          <w:pPr>
                            <w:pStyle w:val="Referentiegegevens"/>
                          </w:pPr>
                          <w:r w:rsidRPr="00B93BB6">
                            <w:t>Rijnstraat 8</w:t>
                          </w:r>
                        </w:p>
                        <w:p w14:paraId="551DA903" w14:textId="379A0A6D" w:rsidR="00B93BB6" w:rsidRPr="00B93BB6" w:rsidRDefault="00B93BB6" w:rsidP="00B93BB6">
                          <w:pPr>
                            <w:rPr>
                              <w:sz w:val="13"/>
                              <w:szCs w:val="13"/>
                              <w:lang w:val="da-DK"/>
                            </w:rPr>
                          </w:pPr>
                          <w:r w:rsidRPr="00B93BB6">
                            <w:rPr>
                              <w:sz w:val="13"/>
                              <w:szCs w:val="13"/>
                              <w:lang w:val="da-DK"/>
                            </w:rPr>
                            <w:t>2515XP Den Haag</w:t>
                          </w:r>
                        </w:p>
                        <w:p w14:paraId="20A98B80" w14:textId="1C8FA9CD" w:rsidR="00B93BB6" w:rsidRPr="00B93BB6" w:rsidRDefault="00B93BB6" w:rsidP="00B93BB6">
                          <w:pPr>
                            <w:rPr>
                              <w:sz w:val="13"/>
                              <w:szCs w:val="13"/>
                              <w:lang w:val="da-DK"/>
                            </w:rPr>
                          </w:pPr>
                          <w:r w:rsidRPr="00B93BB6">
                            <w:rPr>
                              <w:sz w:val="13"/>
                              <w:szCs w:val="13"/>
                              <w:lang w:val="da-DK"/>
                            </w:rPr>
                            <w:t>Postbus 20061</w:t>
                          </w:r>
                        </w:p>
                        <w:p w14:paraId="00DC9B45" w14:textId="241B90E8" w:rsidR="00B93BB6" w:rsidRPr="00B93BB6" w:rsidRDefault="00B93BB6" w:rsidP="00B93BB6">
                          <w:pPr>
                            <w:rPr>
                              <w:sz w:val="13"/>
                              <w:szCs w:val="13"/>
                              <w:lang w:val="da-DK"/>
                            </w:rPr>
                          </w:pPr>
                          <w:r w:rsidRPr="00B93BB6">
                            <w:rPr>
                              <w:sz w:val="13"/>
                              <w:szCs w:val="13"/>
                              <w:lang w:val="da-DK"/>
                            </w:rPr>
                            <w:t>Nederland</w:t>
                          </w:r>
                        </w:p>
                        <w:p w14:paraId="360BD2E0" w14:textId="77777777" w:rsidR="00B772B8" w:rsidRPr="00B93BB6" w:rsidRDefault="006F0CAB">
                          <w:pPr>
                            <w:pStyle w:val="Referentiegegevens"/>
                            <w:rPr>
                              <w:lang w:val="da-DK"/>
                            </w:rPr>
                          </w:pPr>
                          <w:r w:rsidRPr="00B93BB6">
                            <w:rPr>
                              <w:lang w:val="da-DK"/>
                            </w:rPr>
                            <w:t>www.minbuza.nl</w:t>
                          </w:r>
                        </w:p>
                        <w:p w14:paraId="360BD2E1" w14:textId="77777777" w:rsidR="00B772B8" w:rsidRPr="00B93BB6" w:rsidRDefault="00B772B8">
                          <w:pPr>
                            <w:pStyle w:val="WitregelW2"/>
                            <w:rPr>
                              <w:lang w:val="da-DK"/>
                            </w:rPr>
                          </w:pPr>
                        </w:p>
                        <w:p w14:paraId="360BD2E2" w14:textId="77777777" w:rsidR="00B772B8" w:rsidRDefault="006F0CAB">
                          <w:pPr>
                            <w:pStyle w:val="Referentiegegevensbold"/>
                          </w:pPr>
                          <w:r>
                            <w:t>Onze referentie</w:t>
                          </w:r>
                        </w:p>
                        <w:p w14:paraId="360BD2E3" w14:textId="77777777" w:rsidR="00B772B8" w:rsidRDefault="006F0CAB">
                          <w:pPr>
                            <w:pStyle w:val="Referentiegegevens"/>
                          </w:pPr>
                          <w:r>
                            <w:t>BZ2523740</w:t>
                          </w:r>
                        </w:p>
                        <w:p w14:paraId="360BD2E4" w14:textId="77777777" w:rsidR="00B772B8" w:rsidRDefault="00B772B8">
                          <w:pPr>
                            <w:pStyle w:val="WitregelW1"/>
                          </w:pPr>
                        </w:p>
                        <w:p w14:paraId="360BD2E5" w14:textId="77777777" w:rsidR="00B772B8" w:rsidRDefault="006F0CAB">
                          <w:pPr>
                            <w:pStyle w:val="Referentiegegevensbold"/>
                          </w:pPr>
                          <w:r>
                            <w:t>Uw referentie</w:t>
                          </w:r>
                        </w:p>
                        <w:p w14:paraId="360BD2E6" w14:textId="77777777" w:rsidR="00B772B8" w:rsidRDefault="006F0CAB">
                          <w:pPr>
                            <w:pStyle w:val="Referentiegegevens"/>
                          </w:pPr>
                          <w:r>
                            <w:t>2025Z22744</w:t>
                          </w:r>
                        </w:p>
                        <w:p w14:paraId="360BD2E7" w14:textId="77777777" w:rsidR="00B772B8" w:rsidRDefault="00B772B8">
                          <w:pPr>
                            <w:pStyle w:val="WitregelW1"/>
                          </w:pPr>
                        </w:p>
                        <w:p w14:paraId="360BD2E8" w14:textId="77777777" w:rsidR="00B772B8" w:rsidRDefault="006F0CAB">
                          <w:pPr>
                            <w:pStyle w:val="Referentiegegevensbold"/>
                          </w:pPr>
                          <w:r>
                            <w:t>Bijlage(n)</w:t>
                          </w:r>
                        </w:p>
                        <w:p w14:paraId="360BD2E9" w14:textId="77777777" w:rsidR="00B772B8" w:rsidRDefault="006F0CA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60BD2C8" id="41b10cd4-80a4-11ea-b356-6230a4311406" o:spid="_x0000_s1031" type="#_x0000_t202" style="position:absolute;margin-left:466.5pt;margin-top:155pt;width:106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KMnlySUAQAAFQMA&#10;AA4AAAAAAAAAAAAAAAAALgIAAGRycy9lMm9Eb2MueG1sUEsBAi0AFAAGAAgAAAAhAA5LwEjhAAAA&#10;DQEAAA8AAAAAAAAAAAAAAAAA7gMAAGRycy9kb3ducmV2LnhtbFBLBQYAAAAABAAEAPMAAAD8BAAA&#10;AAA=&#10;" filled="f" stroked="f">
              <v:textbox inset="0,0,0,0">
                <w:txbxContent>
                  <w:p w14:paraId="360BD2DE" w14:textId="10B93E36" w:rsidR="00B772B8" w:rsidRDefault="006F0CAB" w:rsidP="005B04FF">
                    <w:pPr>
                      <w:pStyle w:val="Referentiegegevensbold"/>
                    </w:pPr>
                    <w:r>
                      <w:t>Ministerie van Buitenlandse Zaken</w:t>
                    </w:r>
                  </w:p>
                  <w:p w14:paraId="360BD2DF" w14:textId="44E1CCC9" w:rsidR="00B772B8" w:rsidRPr="00B93BB6" w:rsidRDefault="00B93BB6">
                    <w:pPr>
                      <w:pStyle w:val="Referentiegegevens"/>
                    </w:pPr>
                    <w:r w:rsidRPr="00B93BB6">
                      <w:t>Rijnstraat 8</w:t>
                    </w:r>
                  </w:p>
                  <w:p w14:paraId="551DA903" w14:textId="379A0A6D" w:rsidR="00B93BB6" w:rsidRPr="00B93BB6" w:rsidRDefault="00B93BB6" w:rsidP="00B93BB6">
                    <w:pPr>
                      <w:rPr>
                        <w:sz w:val="13"/>
                        <w:szCs w:val="13"/>
                        <w:lang w:val="da-DK"/>
                      </w:rPr>
                    </w:pPr>
                    <w:r w:rsidRPr="00B93BB6">
                      <w:rPr>
                        <w:sz w:val="13"/>
                        <w:szCs w:val="13"/>
                        <w:lang w:val="da-DK"/>
                      </w:rPr>
                      <w:t>2515XP Den Haag</w:t>
                    </w:r>
                  </w:p>
                  <w:p w14:paraId="20A98B80" w14:textId="1C8FA9CD" w:rsidR="00B93BB6" w:rsidRPr="00B93BB6" w:rsidRDefault="00B93BB6" w:rsidP="00B93BB6">
                    <w:pPr>
                      <w:rPr>
                        <w:sz w:val="13"/>
                        <w:szCs w:val="13"/>
                        <w:lang w:val="da-DK"/>
                      </w:rPr>
                    </w:pPr>
                    <w:r w:rsidRPr="00B93BB6">
                      <w:rPr>
                        <w:sz w:val="13"/>
                        <w:szCs w:val="13"/>
                        <w:lang w:val="da-DK"/>
                      </w:rPr>
                      <w:t>Postbus 20061</w:t>
                    </w:r>
                  </w:p>
                  <w:p w14:paraId="00DC9B45" w14:textId="241B90E8" w:rsidR="00B93BB6" w:rsidRPr="00B93BB6" w:rsidRDefault="00B93BB6" w:rsidP="00B93BB6">
                    <w:pPr>
                      <w:rPr>
                        <w:sz w:val="13"/>
                        <w:szCs w:val="13"/>
                        <w:lang w:val="da-DK"/>
                      </w:rPr>
                    </w:pPr>
                    <w:r w:rsidRPr="00B93BB6">
                      <w:rPr>
                        <w:sz w:val="13"/>
                        <w:szCs w:val="13"/>
                        <w:lang w:val="da-DK"/>
                      </w:rPr>
                      <w:t>Nederland</w:t>
                    </w:r>
                  </w:p>
                  <w:p w14:paraId="360BD2E0" w14:textId="77777777" w:rsidR="00B772B8" w:rsidRPr="00B93BB6" w:rsidRDefault="006F0CAB">
                    <w:pPr>
                      <w:pStyle w:val="Referentiegegevens"/>
                      <w:rPr>
                        <w:lang w:val="da-DK"/>
                      </w:rPr>
                    </w:pPr>
                    <w:r w:rsidRPr="00B93BB6">
                      <w:rPr>
                        <w:lang w:val="da-DK"/>
                      </w:rPr>
                      <w:t>www.minbuza.nl</w:t>
                    </w:r>
                  </w:p>
                  <w:p w14:paraId="360BD2E1" w14:textId="77777777" w:rsidR="00B772B8" w:rsidRPr="00B93BB6" w:rsidRDefault="00B772B8">
                    <w:pPr>
                      <w:pStyle w:val="WitregelW2"/>
                      <w:rPr>
                        <w:lang w:val="da-DK"/>
                      </w:rPr>
                    </w:pPr>
                  </w:p>
                  <w:p w14:paraId="360BD2E2" w14:textId="77777777" w:rsidR="00B772B8" w:rsidRDefault="006F0CAB">
                    <w:pPr>
                      <w:pStyle w:val="Referentiegegevensbold"/>
                    </w:pPr>
                    <w:r>
                      <w:t>Onze referentie</w:t>
                    </w:r>
                  </w:p>
                  <w:p w14:paraId="360BD2E3" w14:textId="77777777" w:rsidR="00B772B8" w:rsidRDefault="006F0CAB">
                    <w:pPr>
                      <w:pStyle w:val="Referentiegegevens"/>
                    </w:pPr>
                    <w:r>
                      <w:t>BZ2523740</w:t>
                    </w:r>
                  </w:p>
                  <w:p w14:paraId="360BD2E4" w14:textId="77777777" w:rsidR="00B772B8" w:rsidRDefault="00B772B8">
                    <w:pPr>
                      <w:pStyle w:val="WitregelW1"/>
                    </w:pPr>
                  </w:p>
                  <w:p w14:paraId="360BD2E5" w14:textId="77777777" w:rsidR="00B772B8" w:rsidRDefault="006F0CAB">
                    <w:pPr>
                      <w:pStyle w:val="Referentiegegevensbold"/>
                    </w:pPr>
                    <w:r>
                      <w:t>Uw referentie</w:t>
                    </w:r>
                  </w:p>
                  <w:p w14:paraId="360BD2E6" w14:textId="77777777" w:rsidR="00B772B8" w:rsidRDefault="006F0CAB">
                    <w:pPr>
                      <w:pStyle w:val="Referentiegegevens"/>
                    </w:pPr>
                    <w:r>
                      <w:t>2025Z22744</w:t>
                    </w:r>
                  </w:p>
                  <w:p w14:paraId="360BD2E7" w14:textId="77777777" w:rsidR="00B772B8" w:rsidRDefault="00B772B8">
                    <w:pPr>
                      <w:pStyle w:val="WitregelW1"/>
                    </w:pPr>
                  </w:p>
                  <w:p w14:paraId="360BD2E8" w14:textId="77777777" w:rsidR="00B772B8" w:rsidRDefault="006F0CAB">
                    <w:pPr>
                      <w:pStyle w:val="Referentiegegevensbold"/>
                    </w:pPr>
                    <w:r>
                      <w:t>Bijlage(n)</w:t>
                    </w:r>
                  </w:p>
                  <w:p w14:paraId="360BD2E9" w14:textId="77777777" w:rsidR="00B772B8" w:rsidRDefault="006F0CA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60BD2CA" wp14:editId="360BD2CB">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60BD2EA" w14:textId="5D2D942D" w:rsidR="00B772B8" w:rsidRDefault="00B772B8">
                          <w:pPr>
                            <w:pStyle w:val="Rubricering"/>
                          </w:pPr>
                        </w:p>
                      </w:txbxContent>
                    </wps:txbx>
                    <wps:bodyPr vert="horz" wrap="square" lIns="0" tIns="0" rIns="0" bIns="0" anchor="t" anchorCtr="0"/>
                  </wps:wsp>
                </a:graphicData>
              </a:graphic>
            </wp:anchor>
          </w:drawing>
        </mc:Choice>
        <mc:Fallback>
          <w:pict>
            <v:shape w14:anchorId="360BD2CA" id="41b10d26-80a4-11ea-b356-6230a4311406" o:spid="_x0000_s1032" type="#_x0000_t202" style="position:absolute;margin-left:79.35pt;margin-top:802.75pt;width:377pt;height:19.8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EVGwimUAQAAFAMA&#10;AA4AAAAAAAAAAAAAAAAALgIAAGRycy9lMm9Eb2MueG1sUEsBAi0AFAAGAAgAAAAhACdp8OrhAAAA&#10;DQEAAA8AAAAAAAAAAAAAAAAA7gMAAGRycy9kb3ducmV2LnhtbFBLBQYAAAAABAAEAPMAAAD8BAAA&#10;AAA=&#10;" filled="f" stroked="f">
              <v:textbox inset="0,0,0,0">
                <w:txbxContent>
                  <w:p w14:paraId="360BD2EA" w14:textId="5D2D942D" w:rsidR="00B772B8" w:rsidRDefault="00B772B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60BD2CC" wp14:editId="360BD2C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0BD2F8" w14:textId="77777777" w:rsidR="006F0CAB" w:rsidRDefault="006F0CAB"/>
                      </w:txbxContent>
                    </wps:txbx>
                    <wps:bodyPr vert="horz" wrap="square" lIns="0" tIns="0" rIns="0" bIns="0" anchor="t" anchorCtr="0"/>
                  </wps:wsp>
                </a:graphicData>
              </a:graphic>
            </wp:anchor>
          </w:drawing>
        </mc:Choice>
        <mc:Fallback>
          <w:pict>
            <v:shape w14:anchorId="360BD2CC" id="41b10d73-80a4-11ea-b356-6230a4311406" o:spid="_x0000_s1033"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360BD2F8" w14:textId="77777777" w:rsidR="006F0CAB" w:rsidRDefault="006F0CAB"/>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60BD2CE" wp14:editId="360BD2C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0BD2FA" w14:textId="77777777" w:rsidR="006F0CAB" w:rsidRDefault="006F0CAB"/>
                      </w:txbxContent>
                    </wps:txbx>
                    <wps:bodyPr vert="horz" wrap="square" lIns="0" tIns="0" rIns="0" bIns="0" anchor="t" anchorCtr="0"/>
                  </wps:wsp>
                </a:graphicData>
              </a:graphic>
            </wp:anchor>
          </w:drawing>
        </mc:Choice>
        <mc:Fallback>
          <w:pict>
            <v:shape w14:anchorId="360BD2CE" id="41b10dc3-80a4-11ea-b356-6230a4311406"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60BD2FA" w14:textId="77777777" w:rsidR="006F0CAB" w:rsidRDefault="006F0CA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60BD2D0" wp14:editId="360BD2D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0BD2EB" w14:textId="4F10AD40" w:rsidR="00B772B8" w:rsidRDefault="006F0CAB">
                          <w:pPr>
                            <w:spacing w:line="240" w:lineRule="auto"/>
                          </w:pPr>
                          <w:r>
                            <w:rPr>
                              <w:noProof/>
                            </w:rPr>
                            <w:drawing>
                              <wp:inline distT="0" distB="0" distL="0" distR="0" wp14:anchorId="13360671" wp14:editId="360BD2F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0BD2D0" id="41b10edc-80a4-11ea-b356-6230a4311406"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60BD2EB" w14:textId="4F10AD40" w:rsidR="00B772B8" w:rsidRDefault="006F0CAB">
                    <w:pPr>
                      <w:spacing w:line="240" w:lineRule="auto"/>
                    </w:pPr>
                    <w:r>
                      <w:rPr>
                        <w:noProof/>
                      </w:rPr>
                      <w:drawing>
                        <wp:inline distT="0" distB="0" distL="0" distR="0" wp14:anchorId="13360671" wp14:editId="360BD2F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6E3632"/>
    <w:multiLevelType w:val="multilevel"/>
    <w:tmpl w:val="F4F0A81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C30F4F1"/>
    <w:multiLevelType w:val="multilevel"/>
    <w:tmpl w:val="B111741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8754EB1"/>
    <w:multiLevelType w:val="multilevel"/>
    <w:tmpl w:val="5410EFE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239960"/>
    <w:multiLevelType w:val="multilevel"/>
    <w:tmpl w:val="921A808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3907D0D"/>
    <w:multiLevelType w:val="hybridMultilevel"/>
    <w:tmpl w:val="7A8CA8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6BE7D14"/>
    <w:multiLevelType w:val="hybridMultilevel"/>
    <w:tmpl w:val="352C69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41A08D"/>
    <w:multiLevelType w:val="multilevel"/>
    <w:tmpl w:val="A3AC009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 w15:restartNumberingAfterBreak="0">
    <w:nsid w:val="75E81E02"/>
    <w:multiLevelType w:val="hybridMultilevel"/>
    <w:tmpl w:val="CF0239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09878948">
    <w:abstractNumId w:val="6"/>
  </w:num>
  <w:num w:numId="2" w16cid:durableId="1341157216">
    <w:abstractNumId w:val="1"/>
  </w:num>
  <w:num w:numId="3" w16cid:durableId="275869178">
    <w:abstractNumId w:val="3"/>
  </w:num>
  <w:num w:numId="4" w16cid:durableId="490683725">
    <w:abstractNumId w:val="0"/>
  </w:num>
  <w:num w:numId="5" w16cid:durableId="954747478">
    <w:abstractNumId w:val="2"/>
  </w:num>
  <w:num w:numId="6" w16cid:durableId="2006935796">
    <w:abstractNumId w:val="4"/>
  </w:num>
  <w:num w:numId="7" w16cid:durableId="1509104481">
    <w:abstractNumId w:val="7"/>
  </w:num>
  <w:num w:numId="8" w16cid:durableId="146753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2B8"/>
    <w:rsid w:val="00001CB3"/>
    <w:rsid w:val="000036A1"/>
    <w:rsid w:val="00003801"/>
    <w:rsid w:val="00003B21"/>
    <w:rsid w:val="00005446"/>
    <w:rsid w:val="000202D5"/>
    <w:rsid w:val="000224E5"/>
    <w:rsid w:val="000233E7"/>
    <w:rsid w:val="00023E7D"/>
    <w:rsid w:val="00025124"/>
    <w:rsid w:val="000365D9"/>
    <w:rsid w:val="00041C72"/>
    <w:rsid w:val="00047D0A"/>
    <w:rsid w:val="000619A4"/>
    <w:rsid w:val="000628B7"/>
    <w:rsid w:val="00076D56"/>
    <w:rsid w:val="00077FB8"/>
    <w:rsid w:val="00083ACF"/>
    <w:rsid w:val="000869BA"/>
    <w:rsid w:val="00087241"/>
    <w:rsid w:val="00090B93"/>
    <w:rsid w:val="00096FF4"/>
    <w:rsid w:val="000A1C83"/>
    <w:rsid w:val="000B3289"/>
    <w:rsid w:val="000B6F80"/>
    <w:rsid w:val="000C194A"/>
    <w:rsid w:val="000C6836"/>
    <w:rsid w:val="000C7BC4"/>
    <w:rsid w:val="000E1AFF"/>
    <w:rsid w:val="000E21CC"/>
    <w:rsid w:val="000F284A"/>
    <w:rsid w:val="000F2DD3"/>
    <w:rsid w:val="000F41B8"/>
    <w:rsid w:val="000F4A9C"/>
    <w:rsid w:val="000F6D9E"/>
    <w:rsid w:val="00105744"/>
    <w:rsid w:val="00105A9F"/>
    <w:rsid w:val="001062C5"/>
    <w:rsid w:val="001103B3"/>
    <w:rsid w:val="00115F51"/>
    <w:rsid w:val="00120BC0"/>
    <w:rsid w:val="00126432"/>
    <w:rsid w:val="0012794B"/>
    <w:rsid w:val="001326F4"/>
    <w:rsid w:val="00133E00"/>
    <w:rsid w:val="00134957"/>
    <w:rsid w:val="00142972"/>
    <w:rsid w:val="00146D45"/>
    <w:rsid w:val="00151574"/>
    <w:rsid w:val="00152973"/>
    <w:rsid w:val="00160665"/>
    <w:rsid w:val="0017193F"/>
    <w:rsid w:val="00182703"/>
    <w:rsid w:val="00182818"/>
    <w:rsid w:val="001852CE"/>
    <w:rsid w:val="00192A8B"/>
    <w:rsid w:val="00197478"/>
    <w:rsid w:val="00197E46"/>
    <w:rsid w:val="001A03BA"/>
    <w:rsid w:val="001A490E"/>
    <w:rsid w:val="001A6BAD"/>
    <w:rsid w:val="001B08AE"/>
    <w:rsid w:val="001B5BEF"/>
    <w:rsid w:val="001B6007"/>
    <w:rsid w:val="001B6686"/>
    <w:rsid w:val="001C41E2"/>
    <w:rsid w:val="001C42B1"/>
    <w:rsid w:val="001C7B68"/>
    <w:rsid w:val="001D0AED"/>
    <w:rsid w:val="001E1507"/>
    <w:rsid w:val="001E19CE"/>
    <w:rsid w:val="001E35A9"/>
    <w:rsid w:val="001E4D05"/>
    <w:rsid w:val="001F777D"/>
    <w:rsid w:val="00204727"/>
    <w:rsid w:val="00204971"/>
    <w:rsid w:val="00205C49"/>
    <w:rsid w:val="002109FD"/>
    <w:rsid w:val="00215977"/>
    <w:rsid w:val="002216AA"/>
    <w:rsid w:val="00221D96"/>
    <w:rsid w:val="00222310"/>
    <w:rsid w:val="00222614"/>
    <w:rsid w:val="002259B0"/>
    <w:rsid w:val="00225D8B"/>
    <w:rsid w:val="002346E9"/>
    <w:rsid w:val="00250B8E"/>
    <w:rsid w:val="0026435D"/>
    <w:rsid w:val="002659F4"/>
    <w:rsid w:val="00266135"/>
    <w:rsid w:val="00273412"/>
    <w:rsid w:val="00274DE8"/>
    <w:rsid w:val="00281ED7"/>
    <w:rsid w:val="00284C99"/>
    <w:rsid w:val="0028731D"/>
    <w:rsid w:val="002918A9"/>
    <w:rsid w:val="00295D1F"/>
    <w:rsid w:val="0029705C"/>
    <w:rsid w:val="002A2F0D"/>
    <w:rsid w:val="002A3F34"/>
    <w:rsid w:val="002A6629"/>
    <w:rsid w:val="002B3C37"/>
    <w:rsid w:val="002B4B38"/>
    <w:rsid w:val="002B4C52"/>
    <w:rsid w:val="002B79FE"/>
    <w:rsid w:val="002C39F7"/>
    <w:rsid w:val="002D1B8B"/>
    <w:rsid w:val="002D2B22"/>
    <w:rsid w:val="002D30D5"/>
    <w:rsid w:val="002D312D"/>
    <w:rsid w:val="002D3EBA"/>
    <w:rsid w:val="002E021C"/>
    <w:rsid w:val="002E31A6"/>
    <w:rsid w:val="002E5222"/>
    <w:rsid w:val="002E5E55"/>
    <w:rsid w:val="002E7742"/>
    <w:rsid w:val="002F70DB"/>
    <w:rsid w:val="0030630D"/>
    <w:rsid w:val="00306DB2"/>
    <w:rsid w:val="003130C5"/>
    <w:rsid w:val="0031315C"/>
    <w:rsid w:val="00317710"/>
    <w:rsid w:val="00322927"/>
    <w:rsid w:val="0032517E"/>
    <w:rsid w:val="003307A3"/>
    <w:rsid w:val="00334FC6"/>
    <w:rsid w:val="00337058"/>
    <w:rsid w:val="003610D8"/>
    <w:rsid w:val="00362A7C"/>
    <w:rsid w:val="00364CF6"/>
    <w:rsid w:val="00365B1D"/>
    <w:rsid w:val="00367711"/>
    <w:rsid w:val="00370963"/>
    <w:rsid w:val="0037165F"/>
    <w:rsid w:val="00376771"/>
    <w:rsid w:val="00383A0C"/>
    <w:rsid w:val="003867C4"/>
    <w:rsid w:val="00392E3A"/>
    <w:rsid w:val="00393C55"/>
    <w:rsid w:val="003A1DB1"/>
    <w:rsid w:val="003A26FB"/>
    <w:rsid w:val="003A70A8"/>
    <w:rsid w:val="003B05BB"/>
    <w:rsid w:val="003B0E3D"/>
    <w:rsid w:val="003B2E5F"/>
    <w:rsid w:val="003C071E"/>
    <w:rsid w:val="003C1837"/>
    <w:rsid w:val="003C1B87"/>
    <w:rsid w:val="003C3DE3"/>
    <w:rsid w:val="003C4CBE"/>
    <w:rsid w:val="003C5F23"/>
    <w:rsid w:val="003C7193"/>
    <w:rsid w:val="003D0BFB"/>
    <w:rsid w:val="003D7759"/>
    <w:rsid w:val="003E1108"/>
    <w:rsid w:val="003E76BA"/>
    <w:rsid w:val="003F0621"/>
    <w:rsid w:val="003F4A88"/>
    <w:rsid w:val="003F61EB"/>
    <w:rsid w:val="00403A91"/>
    <w:rsid w:val="00403DEC"/>
    <w:rsid w:val="00413F3D"/>
    <w:rsid w:val="00416FED"/>
    <w:rsid w:val="0041786D"/>
    <w:rsid w:val="00417954"/>
    <w:rsid w:val="004237F7"/>
    <w:rsid w:val="00423FA1"/>
    <w:rsid w:val="00425A8C"/>
    <w:rsid w:val="00441F67"/>
    <w:rsid w:val="00442905"/>
    <w:rsid w:val="00442953"/>
    <w:rsid w:val="00451563"/>
    <w:rsid w:val="00451C6F"/>
    <w:rsid w:val="00451FAA"/>
    <w:rsid w:val="00452D3B"/>
    <w:rsid w:val="004619F1"/>
    <w:rsid w:val="00467167"/>
    <w:rsid w:val="00467503"/>
    <w:rsid w:val="00470E3C"/>
    <w:rsid w:val="00473E8E"/>
    <w:rsid w:val="004761F3"/>
    <w:rsid w:val="0047731D"/>
    <w:rsid w:val="00477CAE"/>
    <w:rsid w:val="00480F72"/>
    <w:rsid w:val="00483417"/>
    <w:rsid w:val="00487066"/>
    <w:rsid w:val="004921B2"/>
    <w:rsid w:val="004938EB"/>
    <w:rsid w:val="00494A26"/>
    <w:rsid w:val="00497437"/>
    <w:rsid w:val="00497728"/>
    <w:rsid w:val="004A46D3"/>
    <w:rsid w:val="004A54C0"/>
    <w:rsid w:val="004A67C2"/>
    <w:rsid w:val="004B26D4"/>
    <w:rsid w:val="004B2D98"/>
    <w:rsid w:val="004B3F7A"/>
    <w:rsid w:val="004B437C"/>
    <w:rsid w:val="004B678E"/>
    <w:rsid w:val="004B7C76"/>
    <w:rsid w:val="004C6FE9"/>
    <w:rsid w:val="004D3157"/>
    <w:rsid w:val="004D3FB1"/>
    <w:rsid w:val="004E2A63"/>
    <w:rsid w:val="005023B1"/>
    <w:rsid w:val="00504DBD"/>
    <w:rsid w:val="005057B0"/>
    <w:rsid w:val="005125ED"/>
    <w:rsid w:val="0051371E"/>
    <w:rsid w:val="00514008"/>
    <w:rsid w:val="00520B99"/>
    <w:rsid w:val="00526BDF"/>
    <w:rsid w:val="0052742C"/>
    <w:rsid w:val="00530DE7"/>
    <w:rsid w:val="00535588"/>
    <w:rsid w:val="00540DD8"/>
    <w:rsid w:val="00541B18"/>
    <w:rsid w:val="005420C8"/>
    <w:rsid w:val="005514C4"/>
    <w:rsid w:val="0055587D"/>
    <w:rsid w:val="005609A4"/>
    <w:rsid w:val="0056427C"/>
    <w:rsid w:val="00566D8F"/>
    <w:rsid w:val="00574911"/>
    <w:rsid w:val="00574CC6"/>
    <w:rsid w:val="005750EF"/>
    <w:rsid w:val="00580B44"/>
    <w:rsid w:val="00580E0A"/>
    <w:rsid w:val="005B04FF"/>
    <w:rsid w:val="005B2A0D"/>
    <w:rsid w:val="005B4230"/>
    <w:rsid w:val="005B477F"/>
    <w:rsid w:val="005B501D"/>
    <w:rsid w:val="005B58E0"/>
    <w:rsid w:val="005C0266"/>
    <w:rsid w:val="005C2241"/>
    <w:rsid w:val="005C39A9"/>
    <w:rsid w:val="005C4076"/>
    <w:rsid w:val="005C49D8"/>
    <w:rsid w:val="005C7749"/>
    <w:rsid w:val="005D21F4"/>
    <w:rsid w:val="005D5C24"/>
    <w:rsid w:val="005E3BFB"/>
    <w:rsid w:val="005E6838"/>
    <w:rsid w:val="005E7787"/>
    <w:rsid w:val="005F6A22"/>
    <w:rsid w:val="00600FE2"/>
    <w:rsid w:val="00605758"/>
    <w:rsid w:val="006073AB"/>
    <w:rsid w:val="006100BB"/>
    <w:rsid w:val="00620FA0"/>
    <w:rsid w:val="00621B6A"/>
    <w:rsid w:val="006256F8"/>
    <w:rsid w:val="00630BA9"/>
    <w:rsid w:val="00634570"/>
    <w:rsid w:val="006405D7"/>
    <w:rsid w:val="00661A8A"/>
    <w:rsid w:val="006643F4"/>
    <w:rsid w:val="00667E9E"/>
    <w:rsid w:val="00672B2B"/>
    <w:rsid w:val="0067491A"/>
    <w:rsid w:val="0067640B"/>
    <w:rsid w:val="00677222"/>
    <w:rsid w:val="00677D63"/>
    <w:rsid w:val="00693395"/>
    <w:rsid w:val="00695E49"/>
    <w:rsid w:val="006A4099"/>
    <w:rsid w:val="006B2368"/>
    <w:rsid w:val="006B59F2"/>
    <w:rsid w:val="006B7409"/>
    <w:rsid w:val="006B787A"/>
    <w:rsid w:val="006C155C"/>
    <w:rsid w:val="006C1A08"/>
    <w:rsid w:val="006C2DCE"/>
    <w:rsid w:val="006D138C"/>
    <w:rsid w:val="006D221A"/>
    <w:rsid w:val="006D3397"/>
    <w:rsid w:val="006D6BBA"/>
    <w:rsid w:val="006E24E4"/>
    <w:rsid w:val="006E4BC7"/>
    <w:rsid w:val="006E7FDA"/>
    <w:rsid w:val="006F0CAB"/>
    <w:rsid w:val="006F2688"/>
    <w:rsid w:val="006F2FE5"/>
    <w:rsid w:val="006F4E00"/>
    <w:rsid w:val="00712985"/>
    <w:rsid w:val="00713D62"/>
    <w:rsid w:val="007143CF"/>
    <w:rsid w:val="00715E2F"/>
    <w:rsid w:val="00715FB7"/>
    <w:rsid w:val="00716B4C"/>
    <w:rsid w:val="007242C5"/>
    <w:rsid w:val="007308F2"/>
    <w:rsid w:val="007339E2"/>
    <w:rsid w:val="007350E8"/>
    <w:rsid w:val="00736A91"/>
    <w:rsid w:val="007375C3"/>
    <w:rsid w:val="00737E8C"/>
    <w:rsid w:val="00742628"/>
    <w:rsid w:val="007546FA"/>
    <w:rsid w:val="00755F7F"/>
    <w:rsid w:val="00757ED2"/>
    <w:rsid w:val="00763B66"/>
    <w:rsid w:val="00764B6F"/>
    <w:rsid w:val="00766256"/>
    <w:rsid w:val="007719E4"/>
    <w:rsid w:val="00774743"/>
    <w:rsid w:val="00782BFD"/>
    <w:rsid w:val="00782EB6"/>
    <w:rsid w:val="007919F3"/>
    <w:rsid w:val="00796F0E"/>
    <w:rsid w:val="007A4357"/>
    <w:rsid w:val="007C0BC3"/>
    <w:rsid w:val="007D6A2D"/>
    <w:rsid w:val="007E2070"/>
    <w:rsid w:val="007E76B6"/>
    <w:rsid w:val="007F5AD4"/>
    <w:rsid w:val="00800F2B"/>
    <w:rsid w:val="0081029D"/>
    <w:rsid w:val="0081314F"/>
    <w:rsid w:val="00813305"/>
    <w:rsid w:val="008227C5"/>
    <w:rsid w:val="008278FE"/>
    <w:rsid w:val="00832082"/>
    <w:rsid w:val="00833BBB"/>
    <w:rsid w:val="00837141"/>
    <w:rsid w:val="00845789"/>
    <w:rsid w:val="0085467B"/>
    <w:rsid w:val="00854ADD"/>
    <w:rsid w:val="008553C3"/>
    <w:rsid w:val="008640EC"/>
    <w:rsid w:val="00864FB2"/>
    <w:rsid w:val="008705DF"/>
    <w:rsid w:val="008712D1"/>
    <w:rsid w:val="00871D72"/>
    <w:rsid w:val="0087691B"/>
    <w:rsid w:val="00877F70"/>
    <w:rsid w:val="00880E45"/>
    <w:rsid w:val="00882523"/>
    <w:rsid w:val="008858E8"/>
    <w:rsid w:val="008904E3"/>
    <w:rsid w:val="008919B4"/>
    <w:rsid w:val="008950B9"/>
    <w:rsid w:val="00896E47"/>
    <w:rsid w:val="008A28E8"/>
    <w:rsid w:val="008A37FF"/>
    <w:rsid w:val="008A5241"/>
    <w:rsid w:val="008A5590"/>
    <w:rsid w:val="008A61D7"/>
    <w:rsid w:val="008B0EAE"/>
    <w:rsid w:val="008C359D"/>
    <w:rsid w:val="008C4A2D"/>
    <w:rsid w:val="008C51DA"/>
    <w:rsid w:val="008C6607"/>
    <w:rsid w:val="008C700B"/>
    <w:rsid w:val="008D19E1"/>
    <w:rsid w:val="008E0FD0"/>
    <w:rsid w:val="008E2D03"/>
    <w:rsid w:val="008E3DE9"/>
    <w:rsid w:val="008E6E7E"/>
    <w:rsid w:val="008F306E"/>
    <w:rsid w:val="0090396A"/>
    <w:rsid w:val="00905C16"/>
    <w:rsid w:val="00907211"/>
    <w:rsid w:val="009109A2"/>
    <w:rsid w:val="00911FF0"/>
    <w:rsid w:val="009147F8"/>
    <w:rsid w:val="00920651"/>
    <w:rsid w:val="00924402"/>
    <w:rsid w:val="00924CD3"/>
    <w:rsid w:val="0092686F"/>
    <w:rsid w:val="009320C0"/>
    <w:rsid w:val="00933134"/>
    <w:rsid w:val="0093616B"/>
    <w:rsid w:val="00940EFC"/>
    <w:rsid w:val="00942AAD"/>
    <w:rsid w:val="00951F3C"/>
    <w:rsid w:val="00952F40"/>
    <w:rsid w:val="00957EC3"/>
    <w:rsid w:val="00965C81"/>
    <w:rsid w:val="00974F50"/>
    <w:rsid w:val="00975B24"/>
    <w:rsid w:val="00984D2C"/>
    <w:rsid w:val="00986656"/>
    <w:rsid w:val="0099066A"/>
    <w:rsid w:val="009966F7"/>
    <w:rsid w:val="00997E80"/>
    <w:rsid w:val="009A2C32"/>
    <w:rsid w:val="009A7062"/>
    <w:rsid w:val="009B3524"/>
    <w:rsid w:val="009B717F"/>
    <w:rsid w:val="009C0DF0"/>
    <w:rsid w:val="009C41D7"/>
    <w:rsid w:val="009D14E2"/>
    <w:rsid w:val="009D26A6"/>
    <w:rsid w:val="009D6A26"/>
    <w:rsid w:val="009E0C1A"/>
    <w:rsid w:val="009E65C5"/>
    <w:rsid w:val="009F38CB"/>
    <w:rsid w:val="009F43A3"/>
    <w:rsid w:val="009F568E"/>
    <w:rsid w:val="009F7845"/>
    <w:rsid w:val="00A01474"/>
    <w:rsid w:val="00A03D40"/>
    <w:rsid w:val="00A06B32"/>
    <w:rsid w:val="00A07228"/>
    <w:rsid w:val="00A16991"/>
    <w:rsid w:val="00A21F13"/>
    <w:rsid w:val="00A22391"/>
    <w:rsid w:val="00A24888"/>
    <w:rsid w:val="00A3062D"/>
    <w:rsid w:val="00A3140B"/>
    <w:rsid w:val="00A3373D"/>
    <w:rsid w:val="00A40001"/>
    <w:rsid w:val="00A46ADC"/>
    <w:rsid w:val="00A52456"/>
    <w:rsid w:val="00A528B1"/>
    <w:rsid w:val="00A605C2"/>
    <w:rsid w:val="00A70A0D"/>
    <w:rsid w:val="00A723D8"/>
    <w:rsid w:val="00A82150"/>
    <w:rsid w:val="00A863CE"/>
    <w:rsid w:val="00A9660D"/>
    <w:rsid w:val="00AA4A79"/>
    <w:rsid w:val="00AA6D49"/>
    <w:rsid w:val="00AB0EA2"/>
    <w:rsid w:val="00AB4455"/>
    <w:rsid w:val="00AB53BC"/>
    <w:rsid w:val="00AC5113"/>
    <w:rsid w:val="00AC6329"/>
    <w:rsid w:val="00AD1930"/>
    <w:rsid w:val="00AD2860"/>
    <w:rsid w:val="00AD3339"/>
    <w:rsid w:val="00AD72AD"/>
    <w:rsid w:val="00AE1C62"/>
    <w:rsid w:val="00AE2A1C"/>
    <w:rsid w:val="00AE3729"/>
    <w:rsid w:val="00AE70F5"/>
    <w:rsid w:val="00AF0493"/>
    <w:rsid w:val="00AF15D7"/>
    <w:rsid w:val="00AF3AA3"/>
    <w:rsid w:val="00AF3FFE"/>
    <w:rsid w:val="00B051D9"/>
    <w:rsid w:val="00B06031"/>
    <w:rsid w:val="00B14DEA"/>
    <w:rsid w:val="00B16163"/>
    <w:rsid w:val="00B2130B"/>
    <w:rsid w:val="00B2674E"/>
    <w:rsid w:val="00B33E57"/>
    <w:rsid w:val="00B406EB"/>
    <w:rsid w:val="00B42E0A"/>
    <w:rsid w:val="00B52C6D"/>
    <w:rsid w:val="00B544C8"/>
    <w:rsid w:val="00B55268"/>
    <w:rsid w:val="00B772B8"/>
    <w:rsid w:val="00B84657"/>
    <w:rsid w:val="00B8480B"/>
    <w:rsid w:val="00B856B3"/>
    <w:rsid w:val="00B86948"/>
    <w:rsid w:val="00B8714B"/>
    <w:rsid w:val="00B87E07"/>
    <w:rsid w:val="00B93BB6"/>
    <w:rsid w:val="00B97FF1"/>
    <w:rsid w:val="00BA3551"/>
    <w:rsid w:val="00BA4916"/>
    <w:rsid w:val="00BB32C6"/>
    <w:rsid w:val="00BB7CE1"/>
    <w:rsid w:val="00BC219B"/>
    <w:rsid w:val="00BE4AF9"/>
    <w:rsid w:val="00BF4B90"/>
    <w:rsid w:val="00BF5581"/>
    <w:rsid w:val="00BF5E6B"/>
    <w:rsid w:val="00C000AB"/>
    <w:rsid w:val="00C051EB"/>
    <w:rsid w:val="00C0773C"/>
    <w:rsid w:val="00C12473"/>
    <w:rsid w:val="00C227E4"/>
    <w:rsid w:val="00C22960"/>
    <w:rsid w:val="00C23ABE"/>
    <w:rsid w:val="00C24046"/>
    <w:rsid w:val="00C244E0"/>
    <w:rsid w:val="00C32A46"/>
    <w:rsid w:val="00C333E3"/>
    <w:rsid w:val="00C37B2A"/>
    <w:rsid w:val="00C411C7"/>
    <w:rsid w:val="00C43A4D"/>
    <w:rsid w:val="00C43A63"/>
    <w:rsid w:val="00C45B81"/>
    <w:rsid w:val="00C47969"/>
    <w:rsid w:val="00C50455"/>
    <w:rsid w:val="00C56D4F"/>
    <w:rsid w:val="00C6272A"/>
    <w:rsid w:val="00C674B6"/>
    <w:rsid w:val="00C83FA1"/>
    <w:rsid w:val="00C91696"/>
    <w:rsid w:val="00C95208"/>
    <w:rsid w:val="00CB0EDE"/>
    <w:rsid w:val="00CB0F4B"/>
    <w:rsid w:val="00CB1ABA"/>
    <w:rsid w:val="00CB1B19"/>
    <w:rsid w:val="00CB4FD1"/>
    <w:rsid w:val="00CB646B"/>
    <w:rsid w:val="00CC7C04"/>
    <w:rsid w:val="00CD3D42"/>
    <w:rsid w:val="00CE0330"/>
    <w:rsid w:val="00CE2D00"/>
    <w:rsid w:val="00CE3343"/>
    <w:rsid w:val="00CE7635"/>
    <w:rsid w:val="00CF034A"/>
    <w:rsid w:val="00CF1E32"/>
    <w:rsid w:val="00CF37BE"/>
    <w:rsid w:val="00CF55B0"/>
    <w:rsid w:val="00CF6582"/>
    <w:rsid w:val="00CF7B3E"/>
    <w:rsid w:val="00D00505"/>
    <w:rsid w:val="00D01716"/>
    <w:rsid w:val="00D01855"/>
    <w:rsid w:val="00D11502"/>
    <w:rsid w:val="00D15867"/>
    <w:rsid w:val="00D16D2A"/>
    <w:rsid w:val="00D16E41"/>
    <w:rsid w:val="00D204ED"/>
    <w:rsid w:val="00D209F3"/>
    <w:rsid w:val="00D22C37"/>
    <w:rsid w:val="00D26289"/>
    <w:rsid w:val="00D30985"/>
    <w:rsid w:val="00D32639"/>
    <w:rsid w:val="00D37909"/>
    <w:rsid w:val="00D400AD"/>
    <w:rsid w:val="00D45D8C"/>
    <w:rsid w:val="00D50C2C"/>
    <w:rsid w:val="00D54275"/>
    <w:rsid w:val="00D609DD"/>
    <w:rsid w:val="00D62740"/>
    <w:rsid w:val="00D6371F"/>
    <w:rsid w:val="00D65015"/>
    <w:rsid w:val="00D668C0"/>
    <w:rsid w:val="00D7184D"/>
    <w:rsid w:val="00D729C2"/>
    <w:rsid w:val="00D74900"/>
    <w:rsid w:val="00D85281"/>
    <w:rsid w:val="00D85758"/>
    <w:rsid w:val="00D8711A"/>
    <w:rsid w:val="00D8777A"/>
    <w:rsid w:val="00D90591"/>
    <w:rsid w:val="00DA4935"/>
    <w:rsid w:val="00DB7068"/>
    <w:rsid w:val="00DC67C0"/>
    <w:rsid w:val="00DD00FC"/>
    <w:rsid w:val="00DE0B28"/>
    <w:rsid w:val="00DE30E6"/>
    <w:rsid w:val="00DE493D"/>
    <w:rsid w:val="00DF40B7"/>
    <w:rsid w:val="00E066DC"/>
    <w:rsid w:val="00E24382"/>
    <w:rsid w:val="00E307C4"/>
    <w:rsid w:val="00E37259"/>
    <w:rsid w:val="00E37A80"/>
    <w:rsid w:val="00E440DB"/>
    <w:rsid w:val="00E54298"/>
    <w:rsid w:val="00E5636C"/>
    <w:rsid w:val="00E57A48"/>
    <w:rsid w:val="00E6212D"/>
    <w:rsid w:val="00E62EA5"/>
    <w:rsid w:val="00E65101"/>
    <w:rsid w:val="00E661C5"/>
    <w:rsid w:val="00E71340"/>
    <w:rsid w:val="00E71415"/>
    <w:rsid w:val="00E7464D"/>
    <w:rsid w:val="00E925F5"/>
    <w:rsid w:val="00E93EB5"/>
    <w:rsid w:val="00E97F8A"/>
    <w:rsid w:val="00EA00AD"/>
    <w:rsid w:val="00EA76CB"/>
    <w:rsid w:val="00EB1602"/>
    <w:rsid w:val="00EB1A3E"/>
    <w:rsid w:val="00EB314A"/>
    <w:rsid w:val="00EB384B"/>
    <w:rsid w:val="00EB3890"/>
    <w:rsid w:val="00EB4040"/>
    <w:rsid w:val="00EB464D"/>
    <w:rsid w:val="00EB49A5"/>
    <w:rsid w:val="00EC034F"/>
    <w:rsid w:val="00EC1D73"/>
    <w:rsid w:val="00EF1FEB"/>
    <w:rsid w:val="00EF664A"/>
    <w:rsid w:val="00F02308"/>
    <w:rsid w:val="00F03C09"/>
    <w:rsid w:val="00F03E64"/>
    <w:rsid w:val="00F04D71"/>
    <w:rsid w:val="00F077B9"/>
    <w:rsid w:val="00F119DE"/>
    <w:rsid w:val="00F11E03"/>
    <w:rsid w:val="00F14502"/>
    <w:rsid w:val="00F21EFA"/>
    <w:rsid w:val="00F22043"/>
    <w:rsid w:val="00F23751"/>
    <w:rsid w:val="00F34AA1"/>
    <w:rsid w:val="00F34DD9"/>
    <w:rsid w:val="00F3705B"/>
    <w:rsid w:val="00F416FD"/>
    <w:rsid w:val="00F439CB"/>
    <w:rsid w:val="00F45040"/>
    <w:rsid w:val="00F464C4"/>
    <w:rsid w:val="00F46E55"/>
    <w:rsid w:val="00F55A25"/>
    <w:rsid w:val="00F5641A"/>
    <w:rsid w:val="00F61E4D"/>
    <w:rsid w:val="00F65DA6"/>
    <w:rsid w:val="00F66B17"/>
    <w:rsid w:val="00F7122A"/>
    <w:rsid w:val="00F7375C"/>
    <w:rsid w:val="00F76F68"/>
    <w:rsid w:val="00F772CC"/>
    <w:rsid w:val="00F777E6"/>
    <w:rsid w:val="00F77D1C"/>
    <w:rsid w:val="00F80653"/>
    <w:rsid w:val="00F80F8C"/>
    <w:rsid w:val="00F81254"/>
    <w:rsid w:val="00F817F2"/>
    <w:rsid w:val="00F82559"/>
    <w:rsid w:val="00F8642D"/>
    <w:rsid w:val="00FA729F"/>
    <w:rsid w:val="00FB6896"/>
    <w:rsid w:val="00FB7E4D"/>
    <w:rsid w:val="00FC0D1A"/>
    <w:rsid w:val="00FC6D9E"/>
    <w:rsid w:val="00FC79FE"/>
    <w:rsid w:val="00FD521C"/>
    <w:rsid w:val="00FE1122"/>
    <w:rsid w:val="00FF4414"/>
    <w:rsid w:val="00FF5F15"/>
    <w:rsid w:val="0745CFA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BD290"/>
  <w15:docId w15:val="{56845E4D-10EE-46C3-8018-02AD292F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F0CAB"/>
    <w:pPr>
      <w:tabs>
        <w:tab w:val="center" w:pos="4513"/>
        <w:tab w:val="right" w:pos="9026"/>
      </w:tabs>
      <w:spacing w:line="240" w:lineRule="auto"/>
    </w:pPr>
  </w:style>
  <w:style w:type="character" w:customStyle="1" w:styleId="HeaderChar">
    <w:name w:val="Header Char"/>
    <w:basedOn w:val="DefaultParagraphFont"/>
    <w:link w:val="Header"/>
    <w:uiPriority w:val="99"/>
    <w:rsid w:val="006F0CAB"/>
    <w:rPr>
      <w:rFonts w:ascii="Verdana" w:hAnsi="Verdana"/>
      <w:color w:val="000000"/>
      <w:sz w:val="18"/>
      <w:szCs w:val="18"/>
    </w:rPr>
  </w:style>
  <w:style w:type="paragraph" w:styleId="Footer">
    <w:name w:val="footer"/>
    <w:basedOn w:val="Normal"/>
    <w:link w:val="FooterChar"/>
    <w:uiPriority w:val="99"/>
    <w:unhideWhenUsed/>
    <w:rsid w:val="006F0CAB"/>
    <w:pPr>
      <w:tabs>
        <w:tab w:val="center" w:pos="4513"/>
        <w:tab w:val="right" w:pos="9026"/>
      </w:tabs>
      <w:spacing w:line="240" w:lineRule="auto"/>
    </w:pPr>
  </w:style>
  <w:style w:type="character" w:customStyle="1" w:styleId="FooterChar">
    <w:name w:val="Footer Char"/>
    <w:basedOn w:val="DefaultParagraphFont"/>
    <w:link w:val="Footer"/>
    <w:uiPriority w:val="99"/>
    <w:rsid w:val="006F0CAB"/>
    <w:rPr>
      <w:rFonts w:ascii="Verdana" w:hAnsi="Verdana"/>
      <w:color w:val="000000"/>
      <w:sz w:val="18"/>
      <w:szCs w:val="18"/>
    </w:rPr>
  </w:style>
  <w:style w:type="character" w:styleId="CommentReference">
    <w:name w:val="annotation reference"/>
    <w:basedOn w:val="DefaultParagraphFont"/>
    <w:uiPriority w:val="99"/>
    <w:semiHidden/>
    <w:unhideWhenUsed/>
    <w:rsid w:val="00B856B3"/>
    <w:rPr>
      <w:sz w:val="16"/>
      <w:szCs w:val="16"/>
    </w:rPr>
  </w:style>
  <w:style w:type="paragraph" w:styleId="CommentText">
    <w:name w:val="annotation text"/>
    <w:basedOn w:val="Normal"/>
    <w:link w:val="CommentTextChar"/>
    <w:uiPriority w:val="99"/>
    <w:unhideWhenUsed/>
    <w:rsid w:val="00B856B3"/>
    <w:pPr>
      <w:spacing w:line="240" w:lineRule="auto"/>
    </w:pPr>
    <w:rPr>
      <w:sz w:val="20"/>
      <w:szCs w:val="20"/>
    </w:rPr>
  </w:style>
  <w:style w:type="character" w:customStyle="1" w:styleId="CommentTextChar">
    <w:name w:val="Comment Text Char"/>
    <w:basedOn w:val="DefaultParagraphFont"/>
    <w:link w:val="CommentText"/>
    <w:uiPriority w:val="99"/>
    <w:rsid w:val="00B856B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856B3"/>
    <w:rPr>
      <w:b/>
      <w:bCs/>
    </w:rPr>
  </w:style>
  <w:style w:type="character" w:customStyle="1" w:styleId="CommentSubjectChar">
    <w:name w:val="Comment Subject Char"/>
    <w:basedOn w:val="CommentTextChar"/>
    <w:link w:val="CommentSubject"/>
    <w:uiPriority w:val="99"/>
    <w:semiHidden/>
    <w:rsid w:val="00B856B3"/>
    <w:rPr>
      <w:rFonts w:ascii="Verdana" w:hAnsi="Verdana"/>
      <w:b/>
      <w:bCs/>
      <w:color w:val="000000"/>
    </w:rPr>
  </w:style>
  <w:style w:type="paragraph" w:styleId="Revision">
    <w:name w:val="Revision"/>
    <w:hidden/>
    <w:uiPriority w:val="99"/>
    <w:semiHidden/>
    <w:rsid w:val="00A863CE"/>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832082"/>
    <w:pPr>
      <w:spacing w:line="240" w:lineRule="auto"/>
    </w:pPr>
    <w:rPr>
      <w:sz w:val="20"/>
      <w:szCs w:val="20"/>
    </w:rPr>
  </w:style>
  <w:style w:type="character" w:customStyle="1" w:styleId="FootnoteTextChar">
    <w:name w:val="Footnote Text Char"/>
    <w:basedOn w:val="DefaultParagraphFont"/>
    <w:link w:val="FootnoteText"/>
    <w:uiPriority w:val="99"/>
    <w:semiHidden/>
    <w:rsid w:val="00832082"/>
    <w:rPr>
      <w:rFonts w:ascii="Verdana" w:hAnsi="Verdana"/>
      <w:color w:val="000000"/>
    </w:rPr>
  </w:style>
  <w:style w:type="character" w:styleId="FootnoteReference">
    <w:name w:val="footnote reference"/>
    <w:basedOn w:val="DefaultParagraphFont"/>
    <w:uiPriority w:val="99"/>
    <w:semiHidden/>
    <w:unhideWhenUsed/>
    <w:rsid w:val="00832082"/>
    <w:rPr>
      <w:vertAlign w:val="superscript"/>
    </w:rPr>
  </w:style>
  <w:style w:type="character" w:styleId="UnresolvedMention">
    <w:name w:val="Unresolved Mention"/>
    <w:basedOn w:val="DefaultParagraphFont"/>
    <w:uiPriority w:val="99"/>
    <w:semiHidden/>
    <w:unhideWhenUsed/>
    <w:rsid w:val="00832082"/>
    <w:rPr>
      <w:color w:val="605E5C"/>
      <w:shd w:val="clear" w:color="auto" w:fill="E1DFDD"/>
    </w:rPr>
  </w:style>
  <w:style w:type="character" w:styleId="FollowedHyperlink">
    <w:name w:val="FollowedHyperlink"/>
    <w:basedOn w:val="DefaultParagraphFont"/>
    <w:uiPriority w:val="99"/>
    <w:semiHidden/>
    <w:unhideWhenUsed/>
    <w:rsid w:val="00712985"/>
    <w:rPr>
      <w:color w:val="96607D" w:themeColor="followedHyperlink"/>
      <w:u w:val="single"/>
    </w:rPr>
  </w:style>
  <w:style w:type="paragraph" w:styleId="ListParagraph">
    <w:name w:val="List Paragraph"/>
    <w:basedOn w:val="Normal"/>
    <w:uiPriority w:val="34"/>
    <w:semiHidden/>
    <w:rsid w:val="004B6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179">
      <w:bodyDiv w:val="1"/>
      <w:marLeft w:val="0"/>
      <w:marRight w:val="0"/>
      <w:marTop w:val="0"/>
      <w:marBottom w:val="0"/>
      <w:divBdr>
        <w:top w:val="none" w:sz="0" w:space="0" w:color="auto"/>
        <w:left w:val="none" w:sz="0" w:space="0" w:color="auto"/>
        <w:bottom w:val="none" w:sz="0" w:space="0" w:color="auto"/>
        <w:right w:val="none" w:sz="0" w:space="0" w:color="auto"/>
      </w:divBdr>
    </w:div>
    <w:div w:id="101919801">
      <w:bodyDiv w:val="1"/>
      <w:marLeft w:val="0"/>
      <w:marRight w:val="0"/>
      <w:marTop w:val="0"/>
      <w:marBottom w:val="0"/>
      <w:divBdr>
        <w:top w:val="none" w:sz="0" w:space="0" w:color="auto"/>
        <w:left w:val="none" w:sz="0" w:space="0" w:color="auto"/>
        <w:bottom w:val="none" w:sz="0" w:space="0" w:color="auto"/>
        <w:right w:val="none" w:sz="0" w:space="0" w:color="auto"/>
      </w:divBdr>
    </w:div>
    <w:div w:id="186480598">
      <w:bodyDiv w:val="1"/>
      <w:marLeft w:val="0"/>
      <w:marRight w:val="0"/>
      <w:marTop w:val="0"/>
      <w:marBottom w:val="0"/>
      <w:divBdr>
        <w:top w:val="none" w:sz="0" w:space="0" w:color="auto"/>
        <w:left w:val="none" w:sz="0" w:space="0" w:color="auto"/>
        <w:bottom w:val="none" w:sz="0" w:space="0" w:color="auto"/>
        <w:right w:val="none" w:sz="0" w:space="0" w:color="auto"/>
      </w:divBdr>
    </w:div>
    <w:div w:id="355734791">
      <w:bodyDiv w:val="1"/>
      <w:marLeft w:val="0"/>
      <w:marRight w:val="0"/>
      <w:marTop w:val="0"/>
      <w:marBottom w:val="0"/>
      <w:divBdr>
        <w:top w:val="none" w:sz="0" w:space="0" w:color="auto"/>
        <w:left w:val="none" w:sz="0" w:space="0" w:color="auto"/>
        <w:bottom w:val="none" w:sz="0" w:space="0" w:color="auto"/>
        <w:right w:val="none" w:sz="0" w:space="0" w:color="auto"/>
      </w:divBdr>
    </w:div>
    <w:div w:id="386614211">
      <w:bodyDiv w:val="1"/>
      <w:marLeft w:val="0"/>
      <w:marRight w:val="0"/>
      <w:marTop w:val="0"/>
      <w:marBottom w:val="0"/>
      <w:divBdr>
        <w:top w:val="none" w:sz="0" w:space="0" w:color="auto"/>
        <w:left w:val="none" w:sz="0" w:space="0" w:color="auto"/>
        <w:bottom w:val="none" w:sz="0" w:space="0" w:color="auto"/>
        <w:right w:val="none" w:sz="0" w:space="0" w:color="auto"/>
      </w:divBdr>
    </w:div>
    <w:div w:id="926622752">
      <w:bodyDiv w:val="1"/>
      <w:marLeft w:val="0"/>
      <w:marRight w:val="0"/>
      <w:marTop w:val="0"/>
      <w:marBottom w:val="0"/>
      <w:divBdr>
        <w:top w:val="none" w:sz="0" w:space="0" w:color="auto"/>
        <w:left w:val="none" w:sz="0" w:space="0" w:color="auto"/>
        <w:bottom w:val="none" w:sz="0" w:space="0" w:color="auto"/>
        <w:right w:val="none" w:sz="0" w:space="0" w:color="auto"/>
      </w:divBdr>
    </w:div>
    <w:div w:id="938803744">
      <w:bodyDiv w:val="1"/>
      <w:marLeft w:val="0"/>
      <w:marRight w:val="0"/>
      <w:marTop w:val="0"/>
      <w:marBottom w:val="0"/>
      <w:divBdr>
        <w:top w:val="none" w:sz="0" w:space="0" w:color="auto"/>
        <w:left w:val="none" w:sz="0" w:space="0" w:color="auto"/>
        <w:bottom w:val="none" w:sz="0" w:space="0" w:color="auto"/>
        <w:right w:val="none" w:sz="0" w:space="0" w:color="auto"/>
      </w:divBdr>
    </w:div>
    <w:div w:id="1049302290">
      <w:bodyDiv w:val="1"/>
      <w:marLeft w:val="0"/>
      <w:marRight w:val="0"/>
      <w:marTop w:val="0"/>
      <w:marBottom w:val="0"/>
      <w:divBdr>
        <w:top w:val="none" w:sz="0" w:space="0" w:color="auto"/>
        <w:left w:val="none" w:sz="0" w:space="0" w:color="auto"/>
        <w:bottom w:val="none" w:sz="0" w:space="0" w:color="auto"/>
        <w:right w:val="none" w:sz="0" w:space="0" w:color="auto"/>
      </w:divBdr>
    </w:div>
    <w:div w:id="1059863607">
      <w:bodyDiv w:val="1"/>
      <w:marLeft w:val="0"/>
      <w:marRight w:val="0"/>
      <w:marTop w:val="0"/>
      <w:marBottom w:val="0"/>
      <w:divBdr>
        <w:top w:val="none" w:sz="0" w:space="0" w:color="auto"/>
        <w:left w:val="none" w:sz="0" w:space="0" w:color="auto"/>
        <w:bottom w:val="none" w:sz="0" w:space="0" w:color="auto"/>
        <w:right w:val="none" w:sz="0" w:space="0" w:color="auto"/>
      </w:divBdr>
    </w:div>
    <w:div w:id="1280450109">
      <w:bodyDiv w:val="1"/>
      <w:marLeft w:val="0"/>
      <w:marRight w:val="0"/>
      <w:marTop w:val="0"/>
      <w:marBottom w:val="0"/>
      <w:divBdr>
        <w:top w:val="none" w:sz="0" w:space="0" w:color="auto"/>
        <w:left w:val="none" w:sz="0" w:space="0" w:color="auto"/>
        <w:bottom w:val="none" w:sz="0" w:space="0" w:color="auto"/>
        <w:right w:val="none" w:sz="0" w:space="0" w:color="auto"/>
      </w:divBdr>
    </w:div>
    <w:div w:id="1573848824">
      <w:bodyDiv w:val="1"/>
      <w:marLeft w:val="0"/>
      <w:marRight w:val="0"/>
      <w:marTop w:val="0"/>
      <w:marBottom w:val="0"/>
      <w:divBdr>
        <w:top w:val="none" w:sz="0" w:space="0" w:color="auto"/>
        <w:left w:val="none" w:sz="0" w:space="0" w:color="auto"/>
        <w:bottom w:val="none" w:sz="0" w:space="0" w:color="auto"/>
        <w:right w:val="none" w:sz="0" w:space="0" w:color="auto"/>
      </w:divBdr>
    </w:div>
    <w:div w:id="1629777938">
      <w:bodyDiv w:val="1"/>
      <w:marLeft w:val="0"/>
      <w:marRight w:val="0"/>
      <w:marTop w:val="0"/>
      <w:marBottom w:val="0"/>
      <w:divBdr>
        <w:top w:val="none" w:sz="0" w:space="0" w:color="auto"/>
        <w:left w:val="none" w:sz="0" w:space="0" w:color="auto"/>
        <w:bottom w:val="none" w:sz="0" w:space="0" w:color="auto"/>
        <w:right w:val="none" w:sz="0" w:space="0" w:color="auto"/>
      </w:divBdr>
    </w:div>
    <w:div w:id="1668509054">
      <w:bodyDiv w:val="1"/>
      <w:marLeft w:val="0"/>
      <w:marRight w:val="0"/>
      <w:marTop w:val="0"/>
      <w:marBottom w:val="0"/>
      <w:divBdr>
        <w:top w:val="none" w:sz="0" w:space="0" w:color="auto"/>
        <w:left w:val="none" w:sz="0" w:space="0" w:color="auto"/>
        <w:bottom w:val="none" w:sz="0" w:space="0" w:color="auto"/>
        <w:right w:val="none" w:sz="0" w:space="0" w:color="auto"/>
      </w:divBdr>
      <w:divsChild>
        <w:div w:id="633826077">
          <w:marLeft w:val="0"/>
          <w:marRight w:val="0"/>
          <w:marTop w:val="0"/>
          <w:marBottom w:val="0"/>
          <w:divBdr>
            <w:top w:val="none" w:sz="0" w:space="0" w:color="auto"/>
            <w:left w:val="none" w:sz="0" w:space="0" w:color="auto"/>
            <w:bottom w:val="none" w:sz="0" w:space="0" w:color="auto"/>
            <w:right w:val="none" w:sz="0" w:space="0" w:color="auto"/>
          </w:divBdr>
        </w:div>
      </w:divsChild>
    </w:div>
    <w:div w:id="1830898191">
      <w:bodyDiv w:val="1"/>
      <w:marLeft w:val="0"/>
      <w:marRight w:val="0"/>
      <w:marTop w:val="0"/>
      <w:marBottom w:val="0"/>
      <w:divBdr>
        <w:top w:val="none" w:sz="0" w:space="0" w:color="auto"/>
        <w:left w:val="none" w:sz="0" w:space="0" w:color="auto"/>
        <w:bottom w:val="none" w:sz="0" w:space="0" w:color="auto"/>
        <w:right w:val="none" w:sz="0" w:space="0" w:color="auto"/>
      </w:divBdr>
      <w:divsChild>
        <w:div w:id="556860185">
          <w:marLeft w:val="0"/>
          <w:marRight w:val="0"/>
          <w:marTop w:val="0"/>
          <w:marBottom w:val="0"/>
          <w:divBdr>
            <w:top w:val="none" w:sz="0" w:space="0" w:color="auto"/>
            <w:left w:val="none" w:sz="0" w:space="0" w:color="auto"/>
            <w:bottom w:val="none" w:sz="0" w:space="0" w:color="auto"/>
            <w:right w:val="none" w:sz="0" w:space="0" w:color="auto"/>
          </w:divBdr>
        </w:div>
      </w:divsChild>
    </w:div>
    <w:div w:id="2051029902">
      <w:bodyDiv w:val="1"/>
      <w:marLeft w:val="0"/>
      <w:marRight w:val="0"/>
      <w:marTop w:val="0"/>
      <w:marBottom w:val="0"/>
      <w:divBdr>
        <w:top w:val="none" w:sz="0" w:space="0" w:color="auto"/>
        <w:left w:val="none" w:sz="0" w:space="0" w:color="auto"/>
        <w:bottom w:val="none" w:sz="0" w:space="0" w:color="auto"/>
        <w:right w:val="none" w:sz="0" w:space="0" w:color="auto"/>
      </w:divBdr>
    </w:div>
    <w:div w:id="2145924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1717</ap:Words>
  <ap:Characters>9448</ap:Characters>
  <ap:DocSecurity>0</ap:DocSecurity>
  <ap:Lines>78</ap:Lines>
  <ap:Paragraphs>22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Antwoord Kamervragen aan M en R over het verbieden van hulporganisaties in Gaza en de Westelijke Jordaanoever</vt:lpstr>
      <vt:lpstr>Antwoord Kamervragen aan M en R over het verbieden van hulporganisaties in Gaza en de Westelijke Jordaanoever</vt:lpstr>
    </vt:vector>
  </ap:TitlesOfParts>
  <ap:LinksUpToDate>false</ap:LinksUpToDate>
  <ap:CharactersWithSpaces>11143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2026-02-19T13:41:00.0000000Z</lastPrinted>
  <dcterms:created xsi:type="dcterms:W3CDTF">2026-02-19T13:31:00.0000000Z</dcterms:created>
  <dcterms:modified xsi:type="dcterms:W3CDTF">2026-02-19T13:43:00.0000000Z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0x0101009C7CE436063D44E9BE7DC0259EF7C32F006EB9F9836A634AE58B6169785FD3936F004FDA422905ADE145908B4A1A56214C67</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7;#Bilateral relations|8e828a44-eb0b-4edf-ab1e-452fdd040fef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2cf54015-eb43-4450-804d-f69cb72fa1bb</vt:lpwstr>
  </property>
  <property fmtid="{D5CDD505-2E9C-101B-9397-08002B2CF9AE}" pid="23" name="BZDossierTemplate">
    <vt:lpwstr>SchriftelijkeKamervraag</vt:lpwstr>
  </property>
  <property fmtid="{D5CDD505-2E9C-101B-9397-08002B2CF9AE}" pid="24" name="_docset_NoMedatataSyncRequired">
    <vt:lpwstr>False</vt:lpwstr>
  </property>
</Properties>
</file>