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2B52" w:rsidP="00C93BEE" w:rsidRDefault="00D74F08" w14:paraId="10281946" w14:textId="77777777">
      <w:r>
        <w:t>Geachte Voorzitter,</w:t>
      </w:r>
      <w:r>
        <w:br/>
      </w:r>
    </w:p>
    <w:p w:rsidR="00423A19" w:rsidP="00C93BEE" w:rsidRDefault="00D74F08" w14:paraId="599CBF42" w14:textId="6AB1353C">
      <w:r>
        <w:t>Hierbij zend ik u</w:t>
      </w:r>
      <w:r w:rsidR="00922B52">
        <w:t>, mede namens de minister van Infrastructuur en Waterstaat,</w:t>
      </w:r>
      <w:r>
        <w:t xml:space="preserve"> de antwoorden op de vragen van het lid </w:t>
      </w:r>
      <w:r w:rsidR="00922B52">
        <w:t xml:space="preserve">Flach </w:t>
      </w:r>
      <w:r>
        <w:t>(</w:t>
      </w:r>
      <w:r w:rsidR="00922B52">
        <w:t>SGP</w:t>
      </w:r>
      <w:r>
        <w:t xml:space="preserve">) over </w:t>
      </w:r>
      <w:r w:rsidR="00922B52">
        <w:t xml:space="preserve">de bijdrage van de </w:t>
      </w:r>
      <w:r w:rsidRPr="00922B52" w:rsidR="00922B52">
        <w:t>landbouw aan de nutriëntenbelasting van het oppervlaktewater</w:t>
      </w:r>
      <w:r w:rsidRPr="00922B52">
        <w:t xml:space="preserve"> </w:t>
      </w:r>
      <w:r w:rsidRPr="00922B52" w:rsidR="00922B52">
        <w:t>(kenmerk 2026Z00089)</w:t>
      </w:r>
      <w:r w:rsidRPr="00922B52">
        <w:t xml:space="preserve">, ingezonden </w:t>
      </w:r>
      <w:r w:rsidRPr="00922B52" w:rsidR="00922B52">
        <w:t>7 januari 2026</w:t>
      </w:r>
      <w:r w:rsidRPr="00922B52">
        <w:t xml:space="preserve">. </w:t>
      </w:r>
    </w:p>
    <w:p w:rsidR="00922B52" w:rsidP="00C93BEE" w:rsidRDefault="00922B52" w14:paraId="4C6AC84C" w14:textId="77777777">
      <w:pPr>
        <w:rPr>
          <w:rStyle w:val="Zwaar"/>
          <w:b w:val="0"/>
          <w:bCs w:val="0"/>
        </w:rPr>
      </w:pPr>
    </w:p>
    <w:p w:rsidR="00677EFC" w:rsidP="00C93BEE" w:rsidRDefault="00D74F08" w14:paraId="6BD35E17" w14:textId="3938A04F">
      <w:pPr>
        <w:rPr>
          <w:rStyle w:val="Zwaar"/>
          <w:b w:val="0"/>
          <w:bCs w:val="0"/>
        </w:rPr>
      </w:pPr>
      <w:r>
        <w:rPr>
          <w:rStyle w:val="Zwaar"/>
          <w:b w:val="0"/>
          <w:bCs w:val="0"/>
        </w:rPr>
        <w:t>Hoogachtend,</w:t>
      </w:r>
    </w:p>
    <w:p w:rsidRPr="00EC58D9" w:rsidR="00F71F9E" w:rsidP="00C93BEE" w:rsidRDefault="00F71F9E" w14:paraId="26CD9244" w14:textId="77777777"/>
    <w:p w:rsidRPr="00EC58D9" w:rsidR="007239A1" w:rsidP="00C93BEE" w:rsidRDefault="007239A1" w14:paraId="3771028F" w14:textId="77777777"/>
    <w:p w:rsidRPr="00EC58D9" w:rsidR="007239A1" w:rsidP="00C93BEE" w:rsidRDefault="007239A1" w14:paraId="057C0936" w14:textId="77777777"/>
    <w:p w:rsidR="00C93BEE" w:rsidP="00C93BEE" w:rsidRDefault="00C93BEE" w14:paraId="67916761" w14:textId="77777777"/>
    <w:p w:rsidRPr="006A15A5" w:rsidR="007239A1" w:rsidP="00C93BEE" w:rsidRDefault="00D74F08" w14:paraId="027A0741" w14:textId="082DFEB7">
      <w:pPr>
        <w:rPr>
          <w:szCs w:val="18"/>
        </w:rPr>
      </w:pPr>
      <w:r w:rsidRPr="00B11DD6">
        <w:t>Femke Marije Wiersma</w:t>
      </w:r>
    </w:p>
    <w:p w:rsidR="004E505E" w:rsidP="00C93BEE" w:rsidRDefault="00D74F08" w14:paraId="1E7509A7" w14:textId="77777777">
      <w:r w:rsidRPr="00EC58D9">
        <w:t xml:space="preserve">Minister van </w:t>
      </w:r>
      <w:r w:rsidR="00704E60">
        <w:rPr>
          <w:rFonts w:cs="Calibri"/>
          <w:szCs w:val="18"/>
        </w:rPr>
        <w:t>Landbouw, Visserij, Voedselzekerheid en Natuur</w:t>
      </w:r>
    </w:p>
    <w:p w:rsidRPr="00006C01" w:rsidR="00481085" w:rsidP="00C93BEE" w:rsidRDefault="00481085" w14:paraId="0B0018A0" w14:textId="77777777"/>
    <w:p w:rsidR="00C25A1D" w:rsidP="00C93BEE" w:rsidRDefault="00C25A1D" w14:paraId="1DBD6B26" w14:textId="77777777">
      <w:pPr>
        <w:rPr>
          <w:rStyle w:val="Zwaar"/>
          <w:b w:val="0"/>
          <w:bCs w:val="0"/>
        </w:rPr>
      </w:pPr>
    </w:p>
    <w:p w:rsidR="00C25A1D" w:rsidP="00C93BEE" w:rsidRDefault="00D74F08" w14:paraId="06C44D0D" w14:textId="77777777">
      <w:pPr>
        <w:rPr>
          <w:b/>
        </w:rPr>
      </w:pPr>
      <w:r>
        <w:rPr>
          <w:b/>
        </w:rPr>
        <w:br w:type="page"/>
      </w:r>
    </w:p>
    <w:p w:rsidR="00922B52" w:rsidP="001F6691" w:rsidRDefault="00922B52" w14:paraId="7728A3E0" w14:textId="295BED9C">
      <w:pPr>
        <w:pageBreakBefore/>
        <w:spacing w:line="276" w:lineRule="auto"/>
        <w:rPr>
          <w:b/>
          <w:bCs/>
        </w:rPr>
      </w:pPr>
      <w:r w:rsidRPr="250AE766">
        <w:rPr>
          <w:b/>
          <w:bCs/>
        </w:rPr>
        <w:lastRenderedPageBreak/>
        <w:t>2026Z00089</w:t>
      </w:r>
      <w:r w:rsidRPr="250AE766">
        <w:rPr>
          <w:b/>
          <w:bCs/>
        </w:rPr>
        <w:br/>
      </w:r>
    </w:p>
    <w:p w:rsidRPr="00C25A1D" w:rsidR="00C25A1D" w:rsidP="001F6691" w:rsidRDefault="00D74F08" w14:paraId="4C3DB69D" w14:textId="77777777">
      <w:pPr>
        <w:spacing w:line="276" w:lineRule="auto"/>
        <w:rPr>
          <w:rStyle w:val="Zwaar"/>
          <w:b w:val="0"/>
          <w:bCs w:val="0"/>
        </w:rPr>
      </w:pPr>
      <w:r w:rsidRPr="00C25A1D">
        <w:rPr>
          <w:rStyle w:val="Zwaar"/>
          <w:b w:val="0"/>
          <w:bCs w:val="0"/>
        </w:rPr>
        <w:t>1</w:t>
      </w:r>
    </w:p>
    <w:p w:rsidR="00922B52" w:rsidP="001F6691" w:rsidRDefault="00922B52" w14:paraId="374A75C1" w14:textId="0D1B7F68">
      <w:pPr>
        <w:spacing w:line="276" w:lineRule="auto"/>
        <w:rPr>
          <w:szCs w:val="18"/>
        </w:rPr>
      </w:pPr>
      <w:r>
        <w:rPr>
          <w:szCs w:val="18"/>
        </w:rPr>
        <w:t>Heeft u kennisgenomen van het bericht ‘PBL rekent watervervuiling (stikstof en fosfor) uit andere bronnen toe aan landbouw’ en de publicatie van het Compendium voor de Leefomgeving waarnaar wordt verwezen?</w:t>
      </w:r>
      <w:r>
        <w:rPr>
          <w:szCs w:val="18"/>
        </w:rPr>
        <w:br/>
      </w:r>
    </w:p>
    <w:p w:rsidRPr="00C25A1D" w:rsidR="00C25A1D" w:rsidP="001F6691" w:rsidRDefault="00D74F08" w14:paraId="0AE09FB8" w14:textId="463E0654">
      <w:pPr>
        <w:spacing w:line="276" w:lineRule="auto"/>
        <w:rPr>
          <w:b/>
          <w:bCs/>
        </w:rPr>
      </w:pPr>
      <w:r w:rsidRPr="00C25A1D">
        <w:rPr>
          <w:rStyle w:val="Zwaar"/>
          <w:b w:val="0"/>
          <w:bCs w:val="0"/>
        </w:rPr>
        <w:t>Antwoord</w:t>
      </w:r>
    </w:p>
    <w:p w:rsidR="00922B52" w:rsidP="001F6691" w:rsidRDefault="00922B52" w14:paraId="571F5A6F" w14:textId="77777777">
      <w:pPr>
        <w:spacing w:line="276" w:lineRule="auto"/>
        <w:rPr>
          <w:szCs w:val="18"/>
        </w:rPr>
      </w:pPr>
      <w:r>
        <w:rPr>
          <w:szCs w:val="18"/>
        </w:rPr>
        <w:t xml:space="preserve">Ja, ik heb kennis genomen van dit bericht. </w:t>
      </w:r>
    </w:p>
    <w:p w:rsidR="00C25A1D" w:rsidP="001F6691" w:rsidRDefault="00C25A1D" w14:paraId="73460750" w14:textId="77777777">
      <w:pPr>
        <w:spacing w:line="276" w:lineRule="auto"/>
      </w:pPr>
    </w:p>
    <w:p w:rsidR="00C25A1D" w:rsidP="001F6691" w:rsidRDefault="00D74F08" w14:paraId="60937C0D" w14:textId="77777777">
      <w:pPr>
        <w:spacing w:line="276" w:lineRule="auto"/>
      </w:pPr>
      <w:r>
        <w:t>2</w:t>
      </w:r>
    </w:p>
    <w:p w:rsidR="00C25A1D" w:rsidP="001F6691" w:rsidRDefault="00374D64" w14:paraId="5D2B5216" w14:textId="104F9E7A">
      <w:pPr>
        <w:spacing w:line="276" w:lineRule="auto"/>
      </w:pPr>
      <w:r>
        <w:rPr>
          <w:szCs w:val="18"/>
        </w:rPr>
        <w:t>Waarom wordt in de landelijke emissiecijfers, gebaseerd op de Emissieregistratie en weergegeven in het Compendium voor de Leefomgeving, de nutriëntenbelasting van het oppervlaktewater door stikstofdepositie op landbouwgronden, bodemleverantie, kwel en extern inlaatwater op het conto van de landbouw geschreven?</w:t>
      </w:r>
    </w:p>
    <w:p w:rsidR="00374D64" w:rsidP="001F6691" w:rsidRDefault="00374D64" w14:paraId="06DCAAE6" w14:textId="77777777">
      <w:pPr>
        <w:spacing w:line="276" w:lineRule="auto"/>
      </w:pPr>
    </w:p>
    <w:p w:rsidR="00C25A1D" w:rsidP="001F6691" w:rsidRDefault="00D74F08" w14:paraId="61F8F3E0" w14:textId="77777777">
      <w:pPr>
        <w:spacing w:line="276" w:lineRule="auto"/>
      </w:pPr>
      <w:r>
        <w:t>Antwoord</w:t>
      </w:r>
    </w:p>
    <w:p w:rsidR="001F6691" w:rsidP="001F6691" w:rsidRDefault="00374D64" w14:paraId="02E1F75A" w14:textId="5EB14A41">
      <w:pPr>
        <w:spacing w:line="276" w:lineRule="auto"/>
        <w:rPr>
          <w:szCs w:val="18"/>
        </w:rPr>
      </w:pPr>
      <w:r>
        <w:rPr>
          <w:szCs w:val="18"/>
        </w:rPr>
        <w:t>Binnen de Emissieregistratie worden emissies toegerekend aan de verschillende sectoren, zoals landbouw, industrie en verkeer. Daarvoor is het nodig vast te stellen welke bronnen aan de sectoren word</w:t>
      </w:r>
      <w:r w:rsidR="00E94331">
        <w:rPr>
          <w:szCs w:val="18"/>
        </w:rPr>
        <w:t>en</w:t>
      </w:r>
      <w:r>
        <w:rPr>
          <w:szCs w:val="18"/>
        </w:rPr>
        <w:t xml:space="preserve"> toegerekend. </w:t>
      </w:r>
      <w:r w:rsidR="001F6691">
        <w:rPr>
          <w:szCs w:val="18"/>
        </w:rPr>
        <w:t>In de toerekening van bronnen aan sectoren worden ook de minder goed beïnvloedbare bronnen meegerekend, omdat ook deze bronnen een bijdrage leveren aan de totale nutriëntenopgave. Het is echter niet zo dat extern inlaatwater aan de sector landbouw wordt toegerekend.</w:t>
      </w:r>
    </w:p>
    <w:p w:rsidR="001F6691" w:rsidP="001F6691" w:rsidRDefault="001F6691" w14:paraId="750B1A39" w14:textId="77777777">
      <w:pPr>
        <w:spacing w:line="276" w:lineRule="auto"/>
        <w:rPr>
          <w:szCs w:val="18"/>
        </w:rPr>
      </w:pPr>
    </w:p>
    <w:p w:rsidR="00950A87" w:rsidP="00950A87" w:rsidRDefault="00374D64" w14:paraId="41AFA5F0" w14:textId="77777777">
      <w:pPr>
        <w:spacing w:line="276" w:lineRule="auto"/>
        <w:rPr>
          <w:szCs w:val="18"/>
        </w:rPr>
      </w:pPr>
      <w:r>
        <w:rPr>
          <w:szCs w:val="18"/>
        </w:rPr>
        <w:t xml:space="preserve">Voor de sector landbouw is uitgegaan van de uit- en afspoeling van landbouwgronden, direct meemesten van sloten, lozingen vanuit de glastuinbouw en erfemissies. </w:t>
      </w:r>
      <w:r w:rsidR="009C4449">
        <w:rPr>
          <w:szCs w:val="18"/>
        </w:rPr>
        <w:t>In</w:t>
      </w:r>
      <w:r>
        <w:rPr>
          <w:szCs w:val="18"/>
        </w:rPr>
        <w:t xml:space="preserve"> de uit- en afspoeling van landbouwgronden zit ook de bijdrage van kwel en bodemprocessen zoals de mineralisatie van veengrond. </w:t>
      </w:r>
      <w:r w:rsidR="00950A87">
        <w:rPr>
          <w:szCs w:val="18"/>
        </w:rPr>
        <w:t xml:space="preserve">De kennisinstellingen achter Emissieregistratie beargumenteren dat kwel en mineralisatie van veen deels een gevolg zijn van keuzes in het waterbeheer ten behoeve van agrarisch gebruik.Deze bronnen die in de uit- en afspoeling van landbouwgronden zijn opgenomen, worden dus niet volledig aan landbouw toegeschreven. Anderzijds wordt bij de bronnen voor de verontreiniging van oppervlaktewater de post ‘depositie op open water’ apart onderscheiden. Deze post bestaat voor stikstof gemiddeld voor de helft uit stikstof afkomstig van landbouw. </w:t>
      </w:r>
    </w:p>
    <w:p w:rsidR="00950A87" w:rsidP="00950A87" w:rsidRDefault="00950A87" w14:paraId="0A7DB105" w14:textId="77777777">
      <w:pPr>
        <w:spacing w:line="276" w:lineRule="auto"/>
        <w:ind w:left="360"/>
        <w:rPr>
          <w:szCs w:val="18"/>
        </w:rPr>
      </w:pPr>
    </w:p>
    <w:p w:rsidR="00374D64" w:rsidP="001F6691" w:rsidRDefault="00374D64" w14:paraId="14F877CB" w14:textId="0FB1C477">
      <w:pPr>
        <w:spacing w:line="276" w:lineRule="auto"/>
        <w:rPr>
          <w:szCs w:val="18"/>
        </w:rPr>
      </w:pPr>
      <w:r>
        <w:rPr>
          <w:szCs w:val="18"/>
        </w:rPr>
        <w:t xml:space="preserve">De Emissieregistratie maakt een pragmatische keuze om deze bronnen toe te delen aan sectoren. Deze registratie is vooral bedoeld om trendmatige ontwikkelingen weer te geven en niet om op basis van deze toedelingen beleidsmatige keuzes voor afzonderlijke sectoren te maken. Bij de bronnenanalyse (zie het antwoord </w:t>
      </w:r>
      <w:r w:rsidR="00400981">
        <w:rPr>
          <w:szCs w:val="18"/>
        </w:rPr>
        <w:t>op de</w:t>
      </w:r>
      <w:r>
        <w:rPr>
          <w:szCs w:val="18"/>
        </w:rPr>
        <w:t xml:space="preserve"> vragen 7 en 8) was wel het doel om beleidsmatige keuzes te maken. </w:t>
      </w:r>
      <w:r w:rsidRPr="00A15071">
        <w:rPr>
          <w:szCs w:val="18"/>
        </w:rPr>
        <w:t xml:space="preserve">Daarom zijn daarin </w:t>
      </w:r>
      <w:r w:rsidRPr="00A15071" w:rsidR="00A15071">
        <w:rPr>
          <w:szCs w:val="18"/>
        </w:rPr>
        <w:t xml:space="preserve">aanvullende </w:t>
      </w:r>
      <w:r w:rsidRPr="00A15071">
        <w:rPr>
          <w:szCs w:val="18"/>
        </w:rPr>
        <w:t>uitgangspunten gekozen.</w:t>
      </w:r>
    </w:p>
    <w:p w:rsidR="00374D64" w:rsidP="001F6691" w:rsidRDefault="00374D64" w14:paraId="27C9B4EC" w14:textId="77777777">
      <w:pPr>
        <w:spacing w:line="276" w:lineRule="auto"/>
      </w:pPr>
    </w:p>
    <w:p w:rsidR="00C25A1D" w:rsidP="001F6691" w:rsidRDefault="00D74F08" w14:paraId="671E7235" w14:textId="493C3C28">
      <w:pPr>
        <w:spacing w:line="276" w:lineRule="auto"/>
      </w:pPr>
      <w:r>
        <w:t>3</w:t>
      </w:r>
    </w:p>
    <w:p w:rsidR="00C25A1D" w:rsidP="001F6691" w:rsidRDefault="00374D64" w14:paraId="081C3C86" w14:textId="31262B7D">
      <w:pPr>
        <w:spacing w:line="276" w:lineRule="auto"/>
      </w:pPr>
      <w:r>
        <w:rPr>
          <w:szCs w:val="18"/>
        </w:rPr>
        <w:lastRenderedPageBreak/>
        <w:t>Bent u bereid ervoor te zorgen dat in de landelijke emissieregistratie en het Compendium voor de Leefomgeving verschil wordt gemaakt tussen de landbouwbijdrage via bemesting en erfafspoeling enerzijds en stikstofdepositie op landbouwgronden, bodemleverantie, kwel en extern inlaatwater anderzijds?</w:t>
      </w:r>
    </w:p>
    <w:p w:rsidR="00374D64" w:rsidP="001F6691" w:rsidRDefault="00374D64" w14:paraId="5A7866EE" w14:textId="77777777">
      <w:pPr>
        <w:spacing w:line="276" w:lineRule="auto"/>
      </w:pPr>
    </w:p>
    <w:p w:rsidR="00C25A1D" w:rsidP="001F6691" w:rsidRDefault="00D74F08" w14:paraId="3E4A8625" w14:textId="50F1773E">
      <w:pPr>
        <w:spacing w:line="276" w:lineRule="auto"/>
      </w:pPr>
      <w:r>
        <w:t>Antwoord</w:t>
      </w:r>
    </w:p>
    <w:p w:rsidR="00950A87" w:rsidP="00950A87" w:rsidRDefault="00374D64" w14:paraId="0D87F88F" w14:textId="77777777">
      <w:pPr>
        <w:spacing w:line="276" w:lineRule="auto"/>
        <w:rPr>
          <w:rFonts w:asciiTheme="minorHAnsi" w:hAnsiTheme="minorHAnsi"/>
          <w:w w:val="105"/>
          <w:sz w:val="22"/>
          <w:szCs w:val="22"/>
        </w:rPr>
      </w:pPr>
      <w:r>
        <w:rPr>
          <w:szCs w:val="18"/>
        </w:rPr>
        <w:t xml:space="preserve">Zie het antwoord op vraag 2. De instituten die gezamenlijk aan de Emissieregistratie werken (CBS, RIVM, Deltares, WUR en PBL) stellen in onderling overleg vast op welke wijze de emissies worden geregistreerd en toegerekend. </w:t>
      </w:r>
      <w:r w:rsidR="001F6691">
        <w:rPr>
          <w:szCs w:val="18"/>
        </w:rPr>
        <w:t xml:space="preserve">Ik ga er van uit dat deze kennisinstellingen op een eerlijke en betrouwbare wijze inzicht geven in de bijdrage van de verschillende sectoren. </w:t>
      </w:r>
      <w:r w:rsidR="00950A87">
        <w:rPr>
          <w:szCs w:val="18"/>
        </w:rPr>
        <w:t>Ik ga uw verzoek wel overbrengen aan de kennisinstellingen. Het is vervolgens aan hen om te wegen welke informatie betrouwbaar genoeg is om weer te geven. De instituten hebben naar aanleiding van de gerezen vragen, zoals onder andere door Agrifacts zijn gesteld, reeds de omschrijving van de bron landbouwgronden op het Compendium voor de Leefomgeving (CLO) verduidelijkt.</w:t>
      </w:r>
    </w:p>
    <w:p w:rsidR="00374D64" w:rsidP="00B44CDF" w:rsidRDefault="00374D64" w14:paraId="799B2A18" w14:textId="77777777">
      <w:pPr>
        <w:spacing w:line="276" w:lineRule="auto"/>
        <w:rPr>
          <w:szCs w:val="18"/>
        </w:rPr>
      </w:pPr>
    </w:p>
    <w:p w:rsidR="00374D64" w:rsidP="001F6691" w:rsidRDefault="00374D64" w14:paraId="78006DF5" w14:textId="7FE5F210">
      <w:pPr>
        <w:spacing w:line="276" w:lineRule="auto"/>
      </w:pPr>
      <w:r>
        <w:t>4</w:t>
      </w:r>
    </w:p>
    <w:p w:rsidR="00E94331" w:rsidP="001F6691" w:rsidRDefault="00374D64" w14:paraId="737BD6A8" w14:textId="74FE08BF">
      <w:pPr>
        <w:spacing w:line="276" w:lineRule="auto"/>
      </w:pPr>
      <w:r>
        <w:rPr>
          <w:szCs w:val="18"/>
        </w:rPr>
        <w:t>Waarom is in de rapportage op grond van artikel 10 van de Nitraatrichtlijn wat betreft de uit- en afspoeling bij landbouwgronden geen verschil gemaakt tussen de directe bijdrage van bemesting enerzijds en de bijdrage van stikstofdepositie op landbouwgronden, bodemleverantie, kwel en extern inlaatwater anderzijds?</w:t>
      </w:r>
      <w:r>
        <w:rPr>
          <w:szCs w:val="18"/>
        </w:rPr>
        <w:br/>
      </w:r>
    </w:p>
    <w:p w:rsidR="00374D64" w:rsidP="001F6691" w:rsidRDefault="00374D64" w14:paraId="16902BF4" w14:textId="5D968BBE">
      <w:pPr>
        <w:spacing w:line="276" w:lineRule="auto"/>
      </w:pPr>
      <w:r>
        <w:t>Antwoord</w:t>
      </w:r>
    </w:p>
    <w:p w:rsidR="00374D64" w:rsidP="001F6691" w:rsidRDefault="00374D64" w14:paraId="3E080C89" w14:textId="77777777">
      <w:pPr>
        <w:spacing w:line="276" w:lineRule="auto"/>
        <w:rPr>
          <w:szCs w:val="18"/>
        </w:rPr>
      </w:pPr>
      <w:r>
        <w:rPr>
          <w:szCs w:val="18"/>
        </w:rPr>
        <w:t xml:space="preserve">In de Nitraatrapportage wordt gebruik gemaakt van verschillende meetnetten om te rapporteren over de waterkwaliteit in Nederland. In de monitoring van de waterkwaliteit is het niet altijd mogelijk een onderscheid te maken tussen de verschillende bronnen die bijdragen aan de nutriëntenbelasting. </w:t>
      </w:r>
    </w:p>
    <w:p w:rsidR="00374D64" w:rsidP="001F6691" w:rsidRDefault="00374D64" w14:paraId="55D5C0FB" w14:textId="27EF6A6C">
      <w:pPr>
        <w:spacing w:line="276" w:lineRule="auto"/>
        <w:rPr>
          <w:szCs w:val="18"/>
        </w:rPr>
      </w:pPr>
      <w:r>
        <w:rPr>
          <w:szCs w:val="18"/>
        </w:rPr>
        <w:t>Het Landelijk Meetnet effecten Mestbeleid (LMM) is ontwikkeld om het effect van het Nederlandse mestbeleid op de nutriëntenemissies, en vooral de nitraatemissie, uit de landbouw naar het grond- en oppervlaktewater te meten en de effecten van veranderingen in de landbouwpraktijk op deze emissie te volgen. Met het LMM kunnen zo de effecten van de actieprogramma’s in beeld worden gebracht (zie Hoofdstuk 2 in Nitraatrapportage 2024). In het LMM wordt zo dicht mogelijk bij de bron gemeten, namelijk op de landbouwpercelen zelf en in de aangrenzende sloten.</w:t>
      </w:r>
    </w:p>
    <w:p w:rsidR="00C93BEE" w:rsidP="001F6691" w:rsidRDefault="00C93BEE" w14:paraId="13051371" w14:textId="77777777">
      <w:pPr>
        <w:spacing w:line="276" w:lineRule="auto"/>
        <w:rPr>
          <w:szCs w:val="18"/>
        </w:rPr>
      </w:pPr>
    </w:p>
    <w:p w:rsidR="00374D64" w:rsidP="001F6691" w:rsidRDefault="00374D64" w14:paraId="04593587" w14:textId="6703ACB2">
      <w:pPr>
        <w:spacing w:line="276" w:lineRule="auto"/>
        <w:rPr>
          <w:strike/>
          <w:szCs w:val="18"/>
        </w:rPr>
      </w:pPr>
      <w:r>
        <w:rPr>
          <w:szCs w:val="18"/>
        </w:rPr>
        <w:t>Voor de rapportage van het grondwater dieper dan 5 meter onder het maaiveld wordt gebruik gemaakt van het Landelijk Meetnet Grondwaterkwaliteit (LMG). Voor dit meetnet wordt in de monitoringsgegevens een onderscheid gemaakt tussen verschillende typen van landgebruik (voor de Nitraatrapportage wordt voor het LMG onderscheid gemaakt in de categorieën landbouw, natuur en overig). Indien dit het geval is, wordt dit duidelijk aangegeven in de begeleidende tekst.</w:t>
      </w:r>
    </w:p>
    <w:p w:rsidR="00374D64" w:rsidP="001F6691" w:rsidRDefault="00374D64" w14:paraId="3534594D" w14:textId="77777777">
      <w:pPr>
        <w:spacing w:line="276" w:lineRule="auto"/>
        <w:rPr>
          <w:szCs w:val="18"/>
        </w:rPr>
      </w:pPr>
    </w:p>
    <w:p w:rsidR="00374D64" w:rsidP="001F6691" w:rsidRDefault="00374D64" w14:paraId="6D673570" w14:textId="4812CFF1">
      <w:pPr>
        <w:spacing w:line="276" w:lineRule="auto"/>
        <w:rPr>
          <w:szCs w:val="18"/>
        </w:rPr>
      </w:pPr>
      <w:r>
        <w:rPr>
          <w:szCs w:val="18"/>
        </w:rPr>
        <w:t xml:space="preserve">Bij de meetnetten voor het oppervlaktewater is het niet altijd mogelijk dit onderscheid te maken vanwege de specifieke opzet van deze meetnetten, zoals het geval is bij de KRW-monitoringslocaties. Aan het begin van hoofdstuk 6 (zie Figuur 6.1-6.4) van de Nitraatrapportage (over oppervlaktewater) wordt ingegaan </w:t>
      </w:r>
      <w:r>
        <w:rPr>
          <w:szCs w:val="18"/>
        </w:rPr>
        <w:lastRenderedPageBreak/>
        <w:t>op de verschillende bronnen van nutriënten in het oppervlaktewater waarbij o</w:t>
      </w:r>
      <w:r w:rsidR="008D6573">
        <w:rPr>
          <w:szCs w:val="18"/>
        </w:rPr>
        <w:t>nder andere</w:t>
      </w:r>
      <w:r>
        <w:rPr>
          <w:szCs w:val="18"/>
        </w:rPr>
        <w:t xml:space="preserve"> een onderscheid wordt gemaakt tussen uit- en afspoeling vanuit natuurgronden en uit- en afspoeling vanuit landbouwbronnen. Daarnaast worden de monitoringsgegevens over de nutriëntenbelasting en (deels ook voor) eutrofiëring van het oppervlaktewater afzonderlijk getoond voor landbouwspecifiek</w:t>
      </w:r>
      <w:r>
        <w:rPr>
          <w:strike/>
          <w:szCs w:val="18"/>
        </w:rPr>
        <w:t>e</w:t>
      </w:r>
      <w:r>
        <w:rPr>
          <w:szCs w:val="18"/>
        </w:rPr>
        <w:t xml:space="preserve"> oppervlaktewateren, regionale KRW-wateren en KRW-Rijkswateren. Hierbij wordt opgemerkt dat de invloed van belasting vanuit de landbouw op deze wateren afneemt in de volgorde van landbouwsloten, landbouwspecifieke wateren, regionale KRW-wateren en KRW-Rijkswateren.</w:t>
      </w:r>
    </w:p>
    <w:p w:rsidR="00374D64" w:rsidP="001F6691" w:rsidRDefault="00374D64" w14:paraId="708103AF" w14:textId="77777777">
      <w:pPr>
        <w:spacing w:line="276" w:lineRule="auto"/>
      </w:pPr>
    </w:p>
    <w:p w:rsidR="008D6573" w:rsidP="001F6691" w:rsidRDefault="008D6573" w14:paraId="72793C6C" w14:textId="6322A35F">
      <w:pPr>
        <w:spacing w:line="276" w:lineRule="auto"/>
      </w:pPr>
      <w:r>
        <w:t>5</w:t>
      </w:r>
    </w:p>
    <w:p w:rsidR="00E94331" w:rsidP="001F6691" w:rsidRDefault="008D6573" w14:paraId="7A960209" w14:textId="77777777">
      <w:pPr>
        <w:spacing w:line="276" w:lineRule="auto"/>
      </w:pPr>
      <w:r>
        <w:rPr>
          <w:szCs w:val="18"/>
        </w:rPr>
        <w:t>Is de Europese Commissie (EC) geïnformeerd over de landelijke bronnenanalyse van Wageningen Environmental Research en de daarin genoemde relatieve landbouwbijdrage via bemesting en erfafspoeling?</w:t>
      </w:r>
      <w:r>
        <w:rPr>
          <w:szCs w:val="18"/>
        </w:rPr>
        <w:br/>
      </w:r>
    </w:p>
    <w:p w:rsidR="00374D64" w:rsidP="001F6691" w:rsidRDefault="00374D64" w14:paraId="43CD387C" w14:textId="2E5E8160">
      <w:pPr>
        <w:spacing w:line="276" w:lineRule="auto"/>
      </w:pPr>
      <w:r>
        <w:t>Antwoord</w:t>
      </w:r>
    </w:p>
    <w:p w:rsidR="008D6573" w:rsidP="001F6691" w:rsidRDefault="008D6573" w14:paraId="49A002B5" w14:textId="77777777">
      <w:pPr>
        <w:spacing w:line="276" w:lineRule="auto"/>
        <w:rPr>
          <w:szCs w:val="18"/>
        </w:rPr>
      </w:pPr>
      <w:r>
        <w:rPr>
          <w:szCs w:val="18"/>
        </w:rPr>
        <w:t xml:space="preserve">Ja. De Europese Commissie (EC) is op 14 juli 2025 geïnformeerd over de Landelijke bronnenanalyse van Wageningen Environmental Research (WEnR). </w:t>
      </w:r>
    </w:p>
    <w:p w:rsidR="00374D64" w:rsidP="001F6691" w:rsidRDefault="00374D64" w14:paraId="27FEF1C6" w14:textId="77777777">
      <w:pPr>
        <w:spacing w:line="276" w:lineRule="auto"/>
      </w:pPr>
    </w:p>
    <w:p w:rsidR="00374D64" w:rsidP="001F6691" w:rsidRDefault="008D6573" w14:paraId="219DFEDA" w14:textId="2656224C">
      <w:pPr>
        <w:spacing w:line="276" w:lineRule="auto"/>
      </w:pPr>
      <w:r>
        <w:t>6</w:t>
      </w:r>
    </w:p>
    <w:p w:rsidR="008D6573" w:rsidP="001F6691" w:rsidRDefault="008D6573" w14:paraId="08490D7E" w14:textId="179901C9">
      <w:pPr>
        <w:spacing w:line="276" w:lineRule="auto"/>
      </w:pPr>
      <w:r>
        <w:rPr>
          <w:szCs w:val="18"/>
        </w:rPr>
        <w:t>Kunt u aangeven of de landelijke emissiecijfers, gebaseerd op de Emissieregistratie en weergegeven in het Compendium voor de Leefomgeving, een rol hebben gespeeld bij de besluitvorming over en de afwijzing van de derogatie voor Nederland door de EC? Zo ja, welke?</w:t>
      </w:r>
      <w:r>
        <w:rPr>
          <w:szCs w:val="18"/>
        </w:rPr>
        <w:br/>
      </w:r>
    </w:p>
    <w:p w:rsidR="00374D64" w:rsidP="001F6691" w:rsidRDefault="00374D64" w14:paraId="71F8F6B7" w14:textId="261ED7C9">
      <w:pPr>
        <w:spacing w:line="276" w:lineRule="auto"/>
      </w:pPr>
      <w:r>
        <w:t>Antwoord</w:t>
      </w:r>
    </w:p>
    <w:p w:rsidR="001F6691" w:rsidP="001F6691" w:rsidRDefault="001F6691" w14:paraId="14547462" w14:textId="6C1E627F">
      <w:pPr>
        <w:spacing w:line="276" w:lineRule="auto"/>
        <w:rPr>
          <w:szCs w:val="18"/>
        </w:rPr>
      </w:pPr>
      <w:r>
        <w:rPr>
          <w:szCs w:val="18"/>
        </w:rPr>
        <w:t xml:space="preserve">De EC heeft in haar reactie op het verzoek voor een nieuwe derogatie een </w:t>
      </w:r>
      <w:r w:rsidR="00950A87">
        <w:rPr>
          <w:szCs w:val="18"/>
        </w:rPr>
        <w:t xml:space="preserve">eigen </w:t>
      </w:r>
      <w:r>
        <w:rPr>
          <w:szCs w:val="18"/>
        </w:rPr>
        <w:t>analyse opgenomen van de ontwikkeling van de waterkwaliteit</w:t>
      </w:r>
      <w:r>
        <w:rPr>
          <w:rStyle w:val="Voetnootmarkering"/>
          <w:szCs w:val="18"/>
        </w:rPr>
        <w:footnoteReference w:id="1"/>
      </w:r>
      <w:r>
        <w:rPr>
          <w:szCs w:val="18"/>
        </w:rPr>
        <w:t>. De EC heeft zich voor de analyse van de waterkwaliteit in Nederland gebaseerd op monitoringsgegevens die zijn aangeleverd in het kader van de Nitraatrapportage van de periode 2020-2023 en monitoringsgegevens vanuit het LMM</w:t>
      </w:r>
      <w:r>
        <w:rPr>
          <w:rStyle w:val="Voetnootmarkering"/>
          <w:szCs w:val="18"/>
        </w:rPr>
        <w:footnoteReference w:id="2"/>
      </w:r>
      <w:r>
        <w:rPr>
          <w:szCs w:val="18"/>
        </w:rPr>
        <w:t>. Voor wat betreft het aandeel van de verschillende bronnen in de nutriëntenbelasting van het Nederlandse oppervlaktewater wordt in de Nitraatrapportage verwezen naar de Emissieregistratie 2024. Daarnaast wordt in de bijlage bij de brief van Eurocommissaris Roswall ook verwezen naar monitoringsgegevens die zijn aangeleverd in het kader van de Kaderrichtlijn Water.</w:t>
      </w:r>
    </w:p>
    <w:p w:rsidR="001F6691" w:rsidP="001F6691" w:rsidRDefault="001F6691" w14:paraId="12E46A79" w14:textId="77777777">
      <w:pPr>
        <w:spacing w:line="276" w:lineRule="auto"/>
      </w:pPr>
    </w:p>
    <w:p w:rsidR="00374D64" w:rsidP="001F6691" w:rsidRDefault="00416C6F" w14:paraId="390710A4" w14:textId="23266459">
      <w:pPr>
        <w:spacing w:line="276" w:lineRule="auto"/>
      </w:pPr>
      <w:r>
        <w:t>7</w:t>
      </w:r>
    </w:p>
    <w:p w:rsidR="00416C6F" w:rsidP="001F6691" w:rsidRDefault="00416C6F" w14:paraId="46C99857" w14:textId="77777777">
      <w:pPr>
        <w:spacing w:line="276" w:lineRule="auto"/>
        <w:rPr>
          <w:szCs w:val="18"/>
        </w:rPr>
      </w:pPr>
      <w:r>
        <w:rPr>
          <w:szCs w:val="18"/>
        </w:rPr>
        <w:t>Kunt u aangeven in hoeverre de normstelling voor Kaderrichtlijn Water (KRW)-waterlichamen door waterschappen en provincies is gebaseerd op bronnenanalyses?</w:t>
      </w:r>
    </w:p>
    <w:p w:rsidR="001F6691" w:rsidP="001F6691" w:rsidRDefault="001F6691" w14:paraId="3CB70626" w14:textId="77777777">
      <w:pPr>
        <w:spacing w:line="276" w:lineRule="auto"/>
      </w:pPr>
    </w:p>
    <w:p w:rsidR="00416C6F" w:rsidP="001F6691" w:rsidRDefault="00416C6F" w14:paraId="2D7147E4" w14:textId="274FD54F">
      <w:pPr>
        <w:spacing w:line="276" w:lineRule="auto"/>
      </w:pPr>
      <w:r>
        <w:lastRenderedPageBreak/>
        <w:t>8</w:t>
      </w:r>
    </w:p>
    <w:p w:rsidR="00416C6F" w:rsidP="001F6691" w:rsidRDefault="00416C6F" w14:paraId="5A79BE20" w14:textId="77777777">
      <w:pPr>
        <w:spacing w:line="276" w:lineRule="auto"/>
        <w:rPr>
          <w:szCs w:val="18"/>
        </w:rPr>
      </w:pPr>
      <w:r>
        <w:rPr>
          <w:szCs w:val="18"/>
        </w:rPr>
        <w:t>Kunt u aangeven in hoeverre bij de KRW-normstelling onderscheid is gemaakt tussen de daadwerkelijke bijdrage van de landbouw via bemesting en erfafspoeling enerzijds en de bijdrage van stikstofdepositie op landbouwgronden, bodemleverantie, kwel en extern inlaatwater anderzijds?</w:t>
      </w:r>
    </w:p>
    <w:p w:rsidR="00B44CDF" w:rsidP="001F6691" w:rsidRDefault="00B44CDF" w14:paraId="790A121E" w14:textId="77777777">
      <w:pPr>
        <w:spacing w:line="276" w:lineRule="auto"/>
        <w:rPr>
          <w:szCs w:val="18"/>
        </w:rPr>
      </w:pPr>
    </w:p>
    <w:p w:rsidR="00416C6F" w:rsidP="001F6691" w:rsidRDefault="00416C6F" w14:paraId="4D485163" w14:textId="7CA8F69E">
      <w:pPr>
        <w:spacing w:line="276" w:lineRule="auto"/>
        <w:rPr>
          <w:szCs w:val="18"/>
        </w:rPr>
      </w:pPr>
      <w:r>
        <w:rPr>
          <w:szCs w:val="18"/>
        </w:rPr>
        <w:t>Antwoord vragen 7 en 8</w:t>
      </w:r>
    </w:p>
    <w:p w:rsidR="001F6691" w:rsidP="001F6691" w:rsidRDefault="00416C6F" w14:paraId="49DA7E9A" w14:textId="77777777">
      <w:pPr>
        <w:spacing w:line="276" w:lineRule="auto"/>
        <w:rPr>
          <w:szCs w:val="18"/>
        </w:rPr>
      </w:pPr>
      <w:r>
        <w:rPr>
          <w:szCs w:val="18"/>
        </w:rPr>
        <w:t>Regionale overheden mogen bij het afleiden van doelen voor nutriënten rekening houden met natuurlijke processen. Daarvoor zijn handreikingen opgesteld</w:t>
      </w:r>
      <w:r w:rsidRPr="007D1795" w:rsidR="007D1795">
        <w:rPr>
          <w:szCs w:val="18"/>
          <w:vertAlign w:val="superscript"/>
        </w:rPr>
        <w:t>2</w:t>
      </w:r>
      <w:r>
        <w:rPr>
          <w:szCs w:val="18"/>
        </w:rPr>
        <w:t xml:space="preserve">. Zo kan rekening </w:t>
      </w:r>
      <w:r w:rsidR="00E94331">
        <w:rPr>
          <w:szCs w:val="18"/>
        </w:rPr>
        <w:t xml:space="preserve">worden </w:t>
      </w:r>
      <w:r>
        <w:rPr>
          <w:szCs w:val="18"/>
        </w:rPr>
        <w:t>gehouden met de zogenaamde ‘natuurlijke achtergrondbelasting’. Daarbij hebben de waterbeheerders regionale kennis van de verschillende bronnen gebruikt en is er rekening gehouden met de specifieke gebiedskenmerken. De KRW-normstelling is een doelwaarde die past bij wat ecologisch nodig is voor het KRW-waterlichaam. Er bestaat dus geen aparte “norm voor landbouw” en een “norm voor kwel”. Bronnenanalyses helpen bij het bepalen waar de belasting vandaan komt en welke maatregelen nodig zijn.</w:t>
      </w:r>
      <w:r w:rsidR="001F6691">
        <w:rPr>
          <w:szCs w:val="18"/>
        </w:rPr>
        <w:t xml:space="preserve"> Alle waterschappen werken daarbij op basis van een handreikingen die door het Rijk is opgesteld. </w:t>
      </w:r>
    </w:p>
    <w:p w:rsidR="00416C6F" w:rsidP="001F6691" w:rsidRDefault="00416C6F" w14:paraId="7039CCF7" w14:textId="77777777">
      <w:pPr>
        <w:spacing w:line="276" w:lineRule="auto"/>
        <w:rPr>
          <w:szCs w:val="18"/>
        </w:rPr>
      </w:pPr>
    </w:p>
    <w:p w:rsidR="007D1795" w:rsidP="001F6691" w:rsidRDefault="007D1795" w14:paraId="4F40C833" w14:textId="77777777">
      <w:pPr>
        <w:spacing w:line="276" w:lineRule="auto"/>
        <w:rPr>
          <w:szCs w:val="18"/>
        </w:rPr>
      </w:pPr>
      <w:r>
        <w:rPr>
          <w:szCs w:val="18"/>
        </w:rPr>
        <w:t>9</w:t>
      </w:r>
    </w:p>
    <w:p w:rsidRPr="007D1795" w:rsidR="007D1795" w:rsidP="001F6691" w:rsidRDefault="007D1795" w14:paraId="7CA8038C" w14:textId="77777777">
      <w:pPr>
        <w:spacing w:line="276" w:lineRule="auto"/>
        <w:rPr>
          <w:szCs w:val="18"/>
        </w:rPr>
      </w:pPr>
      <w:r w:rsidRPr="007D1795">
        <w:rPr>
          <w:szCs w:val="18"/>
        </w:rPr>
        <w:t>Is voor alle waterlichamen de nutriëntenbelasting van kwelwater en bodemleverantie verrekend in de nutriëntennormen?</w:t>
      </w:r>
    </w:p>
    <w:p w:rsidRPr="007D1795" w:rsidR="007D1795" w:rsidP="001F6691" w:rsidRDefault="00416C6F" w14:paraId="0E228D86" w14:textId="77777777">
      <w:pPr>
        <w:spacing w:line="276" w:lineRule="auto"/>
        <w:rPr>
          <w:szCs w:val="18"/>
        </w:rPr>
      </w:pPr>
      <w:r>
        <w:rPr>
          <w:szCs w:val="18"/>
        </w:rPr>
        <w:br/>
      </w:r>
      <w:r w:rsidRPr="007D1795" w:rsidR="007D1795">
        <w:rPr>
          <w:szCs w:val="18"/>
        </w:rPr>
        <w:t>Antwoord</w:t>
      </w:r>
    </w:p>
    <w:p w:rsidRPr="007D1795" w:rsidR="007D1795" w:rsidP="001F6691" w:rsidRDefault="007D1795" w14:paraId="7C950DEF" w14:textId="1CBD61D4">
      <w:pPr>
        <w:spacing w:line="276" w:lineRule="auto"/>
        <w:rPr>
          <w:szCs w:val="18"/>
        </w:rPr>
      </w:pPr>
      <w:r w:rsidRPr="007D1795">
        <w:rPr>
          <w:szCs w:val="18"/>
        </w:rPr>
        <w:t>Zie het antwoord op de vragen 7 en 8. Als er meer recente en betere informatie beschikbaar is, dan zijn en worden de nutriëntennormen daarop aangepast.</w:t>
      </w:r>
      <w:r w:rsidRPr="007D1795">
        <w:rPr>
          <w:rStyle w:val="Kop2Char"/>
          <w:sz w:val="18"/>
          <w:szCs w:val="18"/>
        </w:rPr>
        <w:t xml:space="preserve"> </w:t>
      </w:r>
      <w:r w:rsidRPr="007D1795">
        <w:rPr>
          <w:rStyle w:val="cf01"/>
          <w:rFonts w:ascii="Verdana" w:hAnsi="Verdana" w:eastAsiaTheme="majorEastAsia"/>
          <w:sz w:val="18"/>
          <w:szCs w:val="18"/>
        </w:rPr>
        <w:t>Ook kan in bepaalde gevallen gebruik worden gemaakt van legitieme uitzonderingen, als KRW</w:t>
      </w:r>
      <w:r>
        <w:rPr>
          <w:rStyle w:val="cf01"/>
          <w:rFonts w:ascii="Verdana" w:hAnsi="Verdana" w:eastAsiaTheme="majorEastAsia"/>
          <w:sz w:val="18"/>
          <w:szCs w:val="18"/>
        </w:rPr>
        <w:t>-</w:t>
      </w:r>
      <w:r w:rsidRPr="007D1795">
        <w:rPr>
          <w:rStyle w:val="cf01"/>
          <w:rFonts w:ascii="Verdana" w:hAnsi="Verdana" w:eastAsiaTheme="majorEastAsia"/>
          <w:sz w:val="18"/>
          <w:szCs w:val="18"/>
        </w:rPr>
        <w:t>normen niet tijdig worden behaald. Zie daarvoor de informatie die door de minister van I</w:t>
      </w:r>
      <w:r>
        <w:rPr>
          <w:rStyle w:val="cf01"/>
          <w:rFonts w:ascii="Verdana" w:hAnsi="Verdana" w:eastAsiaTheme="majorEastAsia"/>
          <w:sz w:val="18"/>
          <w:szCs w:val="18"/>
        </w:rPr>
        <w:t>nfrastructuur en Waterstaat n</w:t>
      </w:r>
      <w:r w:rsidRPr="007D1795">
        <w:rPr>
          <w:rStyle w:val="cf01"/>
          <w:rFonts w:ascii="Verdana" w:hAnsi="Verdana" w:eastAsiaTheme="majorEastAsia"/>
          <w:sz w:val="18"/>
          <w:szCs w:val="18"/>
        </w:rPr>
        <w:t xml:space="preserve">aar </w:t>
      </w:r>
      <w:r>
        <w:rPr>
          <w:rStyle w:val="cf01"/>
          <w:rFonts w:ascii="Verdana" w:hAnsi="Verdana" w:eastAsiaTheme="majorEastAsia"/>
          <w:sz w:val="18"/>
          <w:szCs w:val="18"/>
        </w:rPr>
        <w:t xml:space="preserve">uw </w:t>
      </w:r>
      <w:r w:rsidRPr="007D1795">
        <w:rPr>
          <w:rStyle w:val="cf01"/>
          <w:rFonts w:ascii="Verdana" w:hAnsi="Verdana" w:eastAsiaTheme="majorEastAsia"/>
          <w:sz w:val="18"/>
          <w:szCs w:val="18"/>
        </w:rPr>
        <w:t xml:space="preserve">Kamer is gestuurd, zoals (Kamerstuk 27625, nr. </w:t>
      </w:r>
      <w:hyperlink w:history="1" r:id="rId7">
        <w:r w:rsidRPr="007D1795">
          <w:rPr>
            <w:rStyle w:val="cf01"/>
            <w:rFonts w:ascii="Verdana" w:hAnsi="Verdana" w:eastAsiaTheme="majorEastAsia"/>
            <w:color w:val="0000FF"/>
            <w:sz w:val="18"/>
            <w:szCs w:val="18"/>
            <w:u w:val="single"/>
          </w:rPr>
          <w:t>716</w:t>
        </w:r>
      </w:hyperlink>
      <w:r w:rsidRPr="007D1795">
        <w:rPr>
          <w:rStyle w:val="cf01"/>
          <w:rFonts w:ascii="Verdana" w:hAnsi="Verdana" w:eastAsiaTheme="majorEastAsia"/>
          <w:sz w:val="18"/>
          <w:szCs w:val="18"/>
        </w:rPr>
        <w:t>).</w:t>
      </w:r>
    </w:p>
    <w:p w:rsidRPr="007D1795" w:rsidR="007D1795" w:rsidP="001F6691" w:rsidRDefault="007D1795" w14:paraId="252F1AA7" w14:textId="77777777">
      <w:pPr>
        <w:spacing w:line="276" w:lineRule="auto"/>
        <w:rPr>
          <w:szCs w:val="18"/>
        </w:rPr>
      </w:pPr>
    </w:p>
    <w:p w:rsidR="00416C6F" w:rsidP="001F6691" w:rsidRDefault="007D1795" w14:paraId="69FFFEAF" w14:textId="5B1B3CB2">
      <w:pPr>
        <w:spacing w:line="276" w:lineRule="auto"/>
      </w:pPr>
      <w:r>
        <w:t>10</w:t>
      </w:r>
    </w:p>
    <w:p w:rsidR="007D1795" w:rsidP="001F6691" w:rsidRDefault="007D1795" w14:paraId="1DF2A6F1" w14:textId="77777777">
      <w:pPr>
        <w:spacing w:line="276" w:lineRule="auto"/>
        <w:rPr>
          <w:szCs w:val="18"/>
        </w:rPr>
      </w:pPr>
      <w:r>
        <w:rPr>
          <w:szCs w:val="18"/>
        </w:rPr>
        <w:t>Is het u bekend dat waterschappen en provincies verschillend omgaan met het al dan niet verrekenen van natuurlijke bronnen van nutriëntenbelasting in de normen, waardoor deze normen mogelijk strenger zijn dan nodig is? Hoe waardeert u dat?</w:t>
      </w:r>
    </w:p>
    <w:p w:rsidR="007D1795" w:rsidP="001F6691" w:rsidRDefault="007D1795" w14:paraId="2735CF80" w14:textId="77777777">
      <w:pPr>
        <w:spacing w:line="276" w:lineRule="auto"/>
        <w:rPr>
          <w:szCs w:val="18"/>
        </w:rPr>
      </w:pPr>
    </w:p>
    <w:p w:rsidR="007D1795" w:rsidP="001F6691" w:rsidRDefault="007D1795" w14:paraId="3872C2E5" w14:textId="77777777">
      <w:pPr>
        <w:spacing w:line="276" w:lineRule="auto"/>
        <w:rPr>
          <w:szCs w:val="18"/>
        </w:rPr>
      </w:pPr>
      <w:r>
        <w:rPr>
          <w:szCs w:val="18"/>
        </w:rPr>
        <w:t>Antwoord</w:t>
      </w:r>
    </w:p>
    <w:p w:rsidRPr="001F6691" w:rsidR="001F6691" w:rsidP="001F6691" w:rsidRDefault="007D1795" w14:paraId="2E35A53C" w14:textId="77777777">
      <w:pPr>
        <w:spacing w:line="276" w:lineRule="auto"/>
        <w:rPr>
          <w:szCs w:val="18"/>
        </w:rPr>
      </w:pPr>
      <w:r>
        <w:rPr>
          <w:szCs w:val="18"/>
        </w:rPr>
        <w:t>Zoals in het antwoord op vragen 7 en 8 is aangegeven is er enerzijds sprake van een uniforme werkwijze die in de handreiking is beschreven, en anderzijds kan dit worden ingevuld met gebiedsspecifieke kenmerken. Het is bekend dat er verschillen kunnen optreden in de manier waarop door waterschappen natuurlijke omstandigheden (</w:t>
      </w:r>
      <w:r w:rsidRPr="001F6691">
        <w:rPr>
          <w:szCs w:val="18"/>
        </w:rPr>
        <w:t xml:space="preserve">zoals kwel, bodemtype en hydromorfologie) worden meegewogen in de onderbouwing van KRW-doelen. </w:t>
      </w:r>
      <w:r w:rsidRPr="001F6691" w:rsidR="001F6691">
        <w:rPr>
          <w:szCs w:val="18"/>
          <w:lang w:eastAsia="en-US"/>
        </w:rPr>
        <w:t xml:space="preserve">Dat hangt samen met verschillen in gebiedskenmerken. In het Wetgevingsoverleg Water van 2 februari jl. is door de minister van IenW aan het lid Van der Plas (BBB) toegezegd om de Kamer te informeren over het gesprek met de waterschappen in het Bestuurlijk </w:t>
      </w:r>
      <w:r w:rsidRPr="001F6691" w:rsidR="001F6691">
        <w:rPr>
          <w:szCs w:val="18"/>
          <w:lang w:eastAsia="en-US"/>
        </w:rPr>
        <w:lastRenderedPageBreak/>
        <w:t>Overleg Kaderrichtlijn Water (BO KRW) over het verwerken van natuurlijke achtergrondconcentraties in de KRW-doelen.</w:t>
      </w:r>
    </w:p>
    <w:p w:rsidR="007D1795" w:rsidP="001F6691" w:rsidRDefault="007D1795" w14:paraId="0CD5C202" w14:textId="769CCADF">
      <w:pPr>
        <w:spacing w:line="276" w:lineRule="auto"/>
        <w:rPr>
          <w:szCs w:val="18"/>
        </w:rPr>
      </w:pPr>
      <w:r>
        <w:rPr>
          <w:szCs w:val="18"/>
        </w:rPr>
        <w:br/>
        <w:t>11</w:t>
      </w:r>
    </w:p>
    <w:p w:rsidR="007D1795" w:rsidP="001F6691" w:rsidRDefault="007D1795" w14:paraId="2A0EA370" w14:textId="77777777">
      <w:pPr>
        <w:spacing w:line="276" w:lineRule="auto"/>
        <w:rPr>
          <w:szCs w:val="18"/>
        </w:rPr>
      </w:pPr>
      <w:r>
        <w:rPr>
          <w:szCs w:val="18"/>
        </w:rPr>
        <w:t>Welk ander beleid en andere regelgeving wordt gebaseerd op de eerder genoemde emissiecijfers?</w:t>
      </w:r>
    </w:p>
    <w:p w:rsidR="001F6691" w:rsidP="001F6691" w:rsidRDefault="001F6691" w14:paraId="5118B426" w14:textId="77777777">
      <w:pPr>
        <w:spacing w:line="276" w:lineRule="auto"/>
        <w:rPr>
          <w:szCs w:val="18"/>
        </w:rPr>
      </w:pPr>
    </w:p>
    <w:p w:rsidR="007D1795" w:rsidP="001F6691" w:rsidRDefault="007D1795" w14:paraId="3D9BB17B" w14:textId="7ABA1DDD">
      <w:pPr>
        <w:spacing w:line="276" w:lineRule="auto"/>
        <w:rPr>
          <w:szCs w:val="18"/>
        </w:rPr>
      </w:pPr>
      <w:r>
        <w:rPr>
          <w:szCs w:val="18"/>
        </w:rPr>
        <w:t>Antwoord</w:t>
      </w:r>
    </w:p>
    <w:p w:rsidR="007D1795" w:rsidP="001F6691" w:rsidRDefault="007D1795" w14:paraId="02BC2E5E" w14:textId="334A1F33">
      <w:pPr>
        <w:spacing w:line="276" w:lineRule="auto"/>
        <w:rPr>
          <w:szCs w:val="18"/>
        </w:rPr>
      </w:pPr>
      <w:r>
        <w:rPr>
          <w:szCs w:val="18"/>
        </w:rPr>
        <w:t xml:space="preserve">De Emissieregistratie inventariseert veel gegevens van verschillende bronnen. Dat gaat ook verder dan alleen de bronnen voor water. Deze informatie wordt in veel beleidstrajecten toegepast. </w:t>
      </w:r>
    </w:p>
    <w:p w:rsidR="007D1795" w:rsidP="001F6691" w:rsidRDefault="007D1795" w14:paraId="165D1650" w14:textId="77777777">
      <w:pPr>
        <w:spacing w:line="276" w:lineRule="auto"/>
        <w:rPr>
          <w:szCs w:val="18"/>
        </w:rPr>
      </w:pPr>
    </w:p>
    <w:p w:rsidR="007D1795" w:rsidP="001F6691" w:rsidRDefault="007D1795" w14:paraId="0D4EE8C0" w14:textId="73FDACA0">
      <w:pPr>
        <w:spacing w:line="276" w:lineRule="auto"/>
        <w:rPr>
          <w:szCs w:val="18"/>
        </w:rPr>
      </w:pPr>
      <w:r>
        <w:rPr>
          <w:szCs w:val="18"/>
        </w:rPr>
        <w:t>12</w:t>
      </w:r>
    </w:p>
    <w:p w:rsidR="007D1795" w:rsidP="001F6691" w:rsidRDefault="007D1795" w14:paraId="63F637F0" w14:textId="77777777">
      <w:pPr>
        <w:spacing w:line="276" w:lineRule="auto"/>
        <w:rPr>
          <w:szCs w:val="18"/>
        </w:rPr>
      </w:pPr>
      <w:r>
        <w:rPr>
          <w:szCs w:val="18"/>
        </w:rPr>
        <w:t>Kunt u aangeven wat de belangrijkste verschillen zijn tussen de landelijke bronnenanalyse van Wageningen Environmental Research en de eigen regionale bronnenanalyses van waterschappen? In hoeverre is sprake van verschillen in de toewijzing van bronnen?</w:t>
      </w:r>
    </w:p>
    <w:p w:rsidR="007D1795" w:rsidP="001F6691" w:rsidRDefault="007D1795" w14:paraId="3553956C" w14:textId="77777777">
      <w:pPr>
        <w:spacing w:line="276" w:lineRule="auto"/>
        <w:rPr>
          <w:szCs w:val="18"/>
        </w:rPr>
      </w:pPr>
    </w:p>
    <w:p w:rsidR="007D1795" w:rsidP="001F6691" w:rsidRDefault="007D1795" w14:paraId="67EF3E92" w14:textId="20436D27">
      <w:pPr>
        <w:spacing w:line="276" w:lineRule="auto"/>
        <w:rPr>
          <w:szCs w:val="18"/>
        </w:rPr>
      </w:pPr>
      <w:r>
        <w:rPr>
          <w:szCs w:val="18"/>
        </w:rPr>
        <w:t>Antwoord</w:t>
      </w:r>
    </w:p>
    <w:p w:rsidR="007D1795" w:rsidP="001F6691" w:rsidRDefault="007D1795" w14:paraId="5190B156" w14:textId="63318718">
      <w:pPr>
        <w:spacing w:line="276" w:lineRule="auto"/>
        <w:rPr>
          <w:szCs w:val="18"/>
        </w:rPr>
      </w:pPr>
      <w:r>
        <w:rPr>
          <w:szCs w:val="18"/>
        </w:rPr>
        <w:t xml:space="preserve">Voor het opstellen van de landelijke bronnenanalyse door WEnR is samengewerkt met de waterschappen en is gebruikgemaakt van de data en kennis van de waterschappen en de regionale bronnenanalyses van de waterschappen, indien deze beschikbaar waren. </w:t>
      </w:r>
      <w:r w:rsidR="000145EC">
        <w:rPr>
          <w:szCs w:val="18"/>
        </w:rPr>
        <w:t>Voor d</w:t>
      </w:r>
      <w:r>
        <w:rPr>
          <w:szCs w:val="18"/>
        </w:rPr>
        <w:t xml:space="preserve">e landelijke bronnenanalyse is op een landelijk geharmoniseerde wijze een methodiek gevolgd voor de toewijzing van alle bronnen. De regionale analyses worden uitgevoerd voor een afgebakende regio, met keuzes die bij die regio passen. De regionale analyses verschillen onderling, bijvoorbeeld de wijze waarop wordt omgegaan met het ingelaten water vanuit het hoofdwatersysteem. </w:t>
      </w:r>
    </w:p>
    <w:p w:rsidR="007D1795" w:rsidP="001F6691" w:rsidRDefault="007D1795" w14:paraId="2EFC37A5" w14:textId="77777777">
      <w:pPr>
        <w:spacing w:line="276" w:lineRule="auto"/>
        <w:rPr>
          <w:szCs w:val="18"/>
        </w:rPr>
      </w:pPr>
    </w:p>
    <w:p w:rsidR="007D1795" w:rsidP="001F6691" w:rsidRDefault="007D1795" w14:paraId="4F52199B" w14:textId="6354E987">
      <w:pPr>
        <w:spacing w:line="276" w:lineRule="auto"/>
        <w:rPr>
          <w:szCs w:val="18"/>
        </w:rPr>
      </w:pPr>
      <w:r>
        <w:rPr>
          <w:szCs w:val="18"/>
        </w:rPr>
        <w:t xml:space="preserve">13 </w:t>
      </w:r>
    </w:p>
    <w:p w:rsidR="007D1795" w:rsidP="001F6691" w:rsidRDefault="007D1795" w14:paraId="091257FE" w14:textId="2BDF0D29">
      <w:pPr>
        <w:spacing w:line="276" w:lineRule="auto"/>
        <w:rPr>
          <w:szCs w:val="18"/>
        </w:rPr>
      </w:pPr>
      <w:r>
        <w:rPr>
          <w:szCs w:val="18"/>
        </w:rPr>
        <w:t>Acht u het verstandig om, gelet op de grote verschillen in waterkwaliteitsproblemen en de relatieve bijdrage van landbouwbemesting tussen de verschillende regio’s, in te zetten op het niet aanwijzen van heel Nederland als kwetsbaar gebied op grond van de Nitraatrichtlijn dan wel het vaststellen van verschillende actieprogramma’s voor verschillende regio’s, inclusief eventuele derogaties passend bij de regionale waterkwaliteitsproblematiek?</w:t>
      </w:r>
    </w:p>
    <w:p w:rsidR="007D1795" w:rsidP="001F6691" w:rsidRDefault="007D1795" w14:paraId="44E61D9B" w14:textId="77777777">
      <w:pPr>
        <w:spacing w:line="276" w:lineRule="auto"/>
        <w:rPr>
          <w:szCs w:val="18"/>
        </w:rPr>
      </w:pPr>
    </w:p>
    <w:p w:rsidR="007D1795" w:rsidP="001F6691" w:rsidRDefault="007D1795" w14:paraId="657099FE" w14:textId="7EC54D07">
      <w:pPr>
        <w:spacing w:line="276" w:lineRule="auto"/>
        <w:rPr>
          <w:szCs w:val="18"/>
        </w:rPr>
      </w:pPr>
      <w:r>
        <w:rPr>
          <w:szCs w:val="18"/>
        </w:rPr>
        <w:t>Antwoord</w:t>
      </w:r>
    </w:p>
    <w:p w:rsidR="007D1795" w:rsidP="001F6691" w:rsidRDefault="007D1795" w14:paraId="53B27B8E" w14:textId="77777777">
      <w:pPr>
        <w:spacing w:line="276" w:lineRule="auto"/>
        <w:rPr>
          <w:szCs w:val="18"/>
        </w:rPr>
      </w:pPr>
      <w:r>
        <w:rPr>
          <w:szCs w:val="18"/>
        </w:rPr>
        <w:t xml:space="preserve">Nederland heeft geen kwetsbare zones aangewezen. Conform artikel 3, vijfde lid, van de Nitraatrichtlijn, zijn de verplichtingen die voortvloeien uit de Nitraatrichtlijn op het gehele Nederlandse grondgebied van toepassing. </w:t>
      </w:r>
    </w:p>
    <w:p w:rsidR="007D1795" w:rsidP="001F6691" w:rsidRDefault="007D1795" w14:paraId="013AD680" w14:textId="77777777">
      <w:pPr>
        <w:spacing w:line="276" w:lineRule="auto"/>
        <w:rPr>
          <w:szCs w:val="18"/>
        </w:rPr>
      </w:pPr>
    </w:p>
    <w:p w:rsidRPr="00C93BEE" w:rsidR="009632E6" w:rsidP="001F6691" w:rsidRDefault="007D1795" w14:paraId="4B88FBB9" w14:textId="766B8417">
      <w:pPr>
        <w:spacing w:line="276" w:lineRule="auto"/>
        <w:rPr>
          <w:szCs w:val="18"/>
        </w:rPr>
      </w:pPr>
      <w:r>
        <w:rPr>
          <w:szCs w:val="18"/>
        </w:rPr>
        <w:t>De motie Flach en Grinwis</w:t>
      </w:r>
      <w:r>
        <w:rPr>
          <w:rStyle w:val="Voetnootmarkering"/>
          <w:szCs w:val="18"/>
        </w:rPr>
        <w:footnoteReference w:id="3"/>
      </w:r>
      <w:r>
        <w:rPr>
          <w:szCs w:val="18"/>
        </w:rPr>
        <w:t xml:space="preserve"> verzoekt de regering om bij vaststelling van het 8e actieprogramma Nitraatrichtlijn te bezien of het 8e actieprogramma van toepassing is op het gehele Nederlandse grondgebied. </w:t>
      </w:r>
      <w:r w:rsidR="001F6691">
        <w:rPr>
          <w:szCs w:val="18"/>
        </w:rPr>
        <w:t xml:space="preserve">Lidstaten zijn verplicht op </w:t>
      </w:r>
      <w:r w:rsidR="001F6691">
        <w:rPr>
          <w:szCs w:val="18"/>
        </w:rPr>
        <w:lastRenderedPageBreak/>
        <w:t xml:space="preserve">grond van criteria genoemd in bijlage I van de Nitraatrichtlijn vast te stellen welke wateren door verontreiniging worden beïnvloed en welke wateren zouden kunnen worden beïnvloed indien maatregelen achterwege zouden blijven. </w:t>
      </w:r>
      <w:r>
        <w:rPr>
          <w:szCs w:val="18"/>
        </w:rPr>
        <w:t xml:space="preserve">In de beantwoording op Kamervragen van het lid </w:t>
      </w:r>
      <w:r w:rsidR="00B44CDF">
        <w:rPr>
          <w:szCs w:val="18"/>
        </w:rPr>
        <w:t>D</w:t>
      </w:r>
      <w:r w:rsidR="00950A87">
        <w:rPr>
          <w:szCs w:val="18"/>
        </w:rPr>
        <w:t xml:space="preserve">e </w:t>
      </w:r>
      <w:r>
        <w:rPr>
          <w:szCs w:val="18"/>
        </w:rPr>
        <w:t xml:space="preserve">Vos (Fvd) is reeds aangegeven dat ik in lijn met de motie Flach en Grinwis en conform het Hoofdlijnenakkoord aan de Commissie van Deskundigen Meststoffenwet (CDM) </w:t>
      </w:r>
      <w:r w:rsidR="000145EC">
        <w:rPr>
          <w:szCs w:val="18"/>
        </w:rPr>
        <w:t xml:space="preserve">heb </w:t>
      </w:r>
      <w:r>
        <w:rPr>
          <w:szCs w:val="18"/>
        </w:rPr>
        <w:t>gevraagd om hierover te adviseren</w:t>
      </w:r>
      <w:r>
        <w:rPr>
          <w:rStyle w:val="Voetnootmarkering"/>
          <w:szCs w:val="18"/>
        </w:rPr>
        <w:footnoteReference w:id="4"/>
      </w:r>
      <w:r>
        <w:rPr>
          <w:szCs w:val="18"/>
        </w:rPr>
        <w:t>. Zoals in de brief van 19 december jl. over de voortgang van het 8</w:t>
      </w:r>
      <w:r w:rsidR="000145EC">
        <w:rPr>
          <w:szCs w:val="18"/>
        </w:rPr>
        <w:t>e</w:t>
      </w:r>
      <w:r>
        <w:rPr>
          <w:szCs w:val="18"/>
        </w:rPr>
        <w:t xml:space="preserve"> actieprogramma aan uw Kamer is aangegeven, wordt het vaststellen van het 8e actieprogramma overgelaten aan een nieuw kabinet</w:t>
      </w:r>
      <w:r>
        <w:rPr>
          <w:rStyle w:val="Voetnootmarkering"/>
          <w:szCs w:val="18"/>
        </w:rPr>
        <w:footnoteReference w:id="5"/>
      </w:r>
      <w:r>
        <w:rPr>
          <w:szCs w:val="18"/>
        </w:rPr>
        <w:t xml:space="preserve">. Op </w:t>
      </w:r>
      <w:r w:rsidR="001F6691">
        <w:rPr>
          <w:szCs w:val="18"/>
        </w:rPr>
        <w:t>26 januari 2026</w:t>
      </w:r>
      <w:r>
        <w:rPr>
          <w:szCs w:val="18"/>
        </w:rPr>
        <w:t xml:space="preserve"> is aan uw Kamer de onderliggende informatie over de besluitvorming over het 8e actieprogramma aan uw Kamer toegestuurd. Hierbij is ook het voornoemde advies van de CDM gevoegd. Ik laat de besluitvorming naar aanleiding van dit advies over aan het volgende kabinet</w:t>
      </w:r>
      <w:r w:rsidR="00C93BEE">
        <w:rPr>
          <w:szCs w:val="18"/>
        </w:rPr>
        <w:t>.</w:t>
      </w:r>
    </w:p>
    <w:p w:rsidR="009632E6" w:rsidP="00C93BEE" w:rsidRDefault="009632E6" w14:paraId="612DC26B" w14:textId="77777777"/>
    <w:p w:rsidR="009632E6" w:rsidP="00C93BEE" w:rsidRDefault="009632E6" w14:paraId="33887763" w14:textId="77777777"/>
    <w:p w:rsidR="009632E6" w:rsidP="00C93BEE" w:rsidRDefault="009632E6" w14:paraId="1558D5C0" w14:textId="77777777"/>
    <w:p w:rsidR="009632E6" w:rsidP="00C93BEE" w:rsidRDefault="009632E6" w14:paraId="0C0CF6DA" w14:textId="77777777"/>
    <w:p w:rsidR="009632E6" w:rsidP="00C93BEE" w:rsidRDefault="009632E6" w14:paraId="6866C356" w14:textId="77777777"/>
    <w:p w:rsidR="009632E6" w:rsidP="00C93BEE" w:rsidRDefault="009632E6" w14:paraId="4960B8A5" w14:textId="77777777"/>
    <w:sectPr w:rsidR="009632E6"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2A17C" w14:textId="77777777" w:rsidR="00E9338F" w:rsidRDefault="00E9338F">
      <w:r>
        <w:separator/>
      </w:r>
    </w:p>
    <w:p w14:paraId="2F09F447" w14:textId="77777777" w:rsidR="00E9338F" w:rsidRDefault="00E9338F"/>
  </w:endnote>
  <w:endnote w:type="continuationSeparator" w:id="0">
    <w:p w14:paraId="43F0ACDC" w14:textId="77777777" w:rsidR="00E9338F" w:rsidRDefault="00E9338F">
      <w:r>
        <w:continuationSeparator/>
      </w:r>
    </w:p>
    <w:p w14:paraId="032445BF" w14:textId="77777777" w:rsidR="00E9338F" w:rsidRDefault="00E93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787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47762" w14:paraId="14FD17A5" w14:textId="77777777" w:rsidTr="00CA6A25">
      <w:trPr>
        <w:trHeight w:hRule="exact" w:val="240"/>
      </w:trPr>
      <w:tc>
        <w:tcPr>
          <w:tcW w:w="7601" w:type="dxa"/>
        </w:tcPr>
        <w:p w14:paraId="1260C260" w14:textId="77777777" w:rsidR="00527BD4" w:rsidRDefault="00527BD4" w:rsidP="003F1F6B">
          <w:pPr>
            <w:pStyle w:val="Huisstijl-Rubricering"/>
          </w:pPr>
        </w:p>
      </w:tc>
      <w:tc>
        <w:tcPr>
          <w:tcW w:w="2156" w:type="dxa"/>
        </w:tcPr>
        <w:p w14:paraId="250D9440" w14:textId="229FFE06" w:rsidR="00527BD4" w:rsidRPr="00645414" w:rsidRDefault="00D74F0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12347C">
              <w:t>7</w:t>
            </w:r>
          </w:fldSimple>
        </w:p>
      </w:tc>
    </w:tr>
  </w:tbl>
  <w:p w14:paraId="4C80D7D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47762" w14:paraId="26DFC1A0" w14:textId="77777777" w:rsidTr="00CA6A25">
      <w:trPr>
        <w:trHeight w:hRule="exact" w:val="240"/>
      </w:trPr>
      <w:tc>
        <w:tcPr>
          <w:tcW w:w="7601" w:type="dxa"/>
        </w:tcPr>
        <w:p w14:paraId="2C976E14" w14:textId="77777777" w:rsidR="00527BD4" w:rsidRDefault="00527BD4" w:rsidP="008C356D">
          <w:pPr>
            <w:pStyle w:val="Huisstijl-Rubricering"/>
          </w:pPr>
        </w:p>
      </w:tc>
      <w:tc>
        <w:tcPr>
          <w:tcW w:w="2170" w:type="dxa"/>
        </w:tcPr>
        <w:p w14:paraId="4866B2A2" w14:textId="7D75DC9E" w:rsidR="00527BD4" w:rsidRPr="00ED539E" w:rsidRDefault="00D74F0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12347C">
              <w:t>7</w:t>
            </w:r>
          </w:fldSimple>
        </w:p>
      </w:tc>
    </w:tr>
  </w:tbl>
  <w:p w14:paraId="7113E99E" w14:textId="77777777" w:rsidR="00527BD4" w:rsidRPr="00BC3B53" w:rsidRDefault="00527BD4" w:rsidP="008C356D">
    <w:pPr>
      <w:pStyle w:val="Voettekst"/>
      <w:spacing w:line="240" w:lineRule="auto"/>
      <w:rPr>
        <w:sz w:val="2"/>
        <w:szCs w:val="2"/>
      </w:rPr>
    </w:pPr>
  </w:p>
  <w:p w14:paraId="23F6521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AB453" w14:textId="77777777" w:rsidR="00E9338F" w:rsidRDefault="00E9338F">
      <w:r>
        <w:separator/>
      </w:r>
    </w:p>
    <w:p w14:paraId="4CE498B6" w14:textId="77777777" w:rsidR="00E9338F" w:rsidRDefault="00E9338F"/>
  </w:footnote>
  <w:footnote w:type="continuationSeparator" w:id="0">
    <w:p w14:paraId="7A3A365A" w14:textId="77777777" w:rsidR="00E9338F" w:rsidRDefault="00E9338F">
      <w:r>
        <w:continuationSeparator/>
      </w:r>
    </w:p>
    <w:p w14:paraId="2644180D" w14:textId="77777777" w:rsidR="00E9338F" w:rsidRDefault="00E9338F"/>
  </w:footnote>
  <w:footnote w:id="1">
    <w:p w14:paraId="07018A14" w14:textId="77777777" w:rsidR="001F6691" w:rsidRDefault="001F6691" w:rsidP="001F6691">
      <w:pPr>
        <w:pStyle w:val="Voetnoottekst"/>
        <w:rPr>
          <w:szCs w:val="13"/>
        </w:rPr>
      </w:pPr>
      <w:r>
        <w:rPr>
          <w:rStyle w:val="Voetnootmarkering"/>
          <w:szCs w:val="13"/>
        </w:rPr>
        <w:footnoteRef/>
      </w:r>
      <w:r>
        <w:rPr>
          <w:szCs w:val="13"/>
        </w:rPr>
        <w:t xml:space="preserve"> Kamerstukken vergaderjaar 2025-2026, 33037, nr. 637</w:t>
      </w:r>
    </w:p>
    <w:p w14:paraId="611AD6C3" w14:textId="77777777" w:rsidR="001F6691" w:rsidRDefault="001F6691" w:rsidP="001F6691">
      <w:pPr>
        <w:pStyle w:val="Voetnoottekst"/>
        <w:rPr>
          <w:szCs w:val="13"/>
        </w:rPr>
      </w:pPr>
      <w:r>
        <w:rPr>
          <w:szCs w:val="13"/>
          <w:vertAlign w:val="superscript"/>
        </w:rPr>
        <w:t>2</w:t>
      </w:r>
      <w:hyperlink r:id="rId1" w:history="1">
        <w:r>
          <w:rPr>
            <w:rStyle w:val="Hyperlink"/>
            <w:szCs w:val="13"/>
          </w:rPr>
          <w:t>https://www.stowa.nl/nieuws/handreiking_krw_doelen</w:t>
        </w:r>
      </w:hyperlink>
      <w:r>
        <w:rPr>
          <w:szCs w:val="13"/>
        </w:rPr>
        <w:t xml:space="preserve"> en </w:t>
      </w:r>
      <w:hyperlink r:id="rId2" w:history="1">
        <w:r>
          <w:rPr>
            <w:rStyle w:val="Hyperlink"/>
            <w:szCs w:val="13"/>
          </w:rPr>
          <w:t>https://iplo.nl/thema/water/documenten/oppervlaktewaterkwaliteit/kaderrichtlijn-water/uitvoering-krw/krw-impulsprogramma/handreiking-technische-doelaanpassing/</w:t>
        </w:r>
      </w:hyperlink>
    </w:p>
  </w:footnote>
  <w:footnote w:id="2">
    <w:p w14:paraId="5DADEB34" w14:textId="77777777" w:rsidR="001F6691" w:rsidRDefault="001F6691" w:rsidP="001F6691">
      <w:pPr>
        <w:pStyle w:val="Voetnoottekst"/>
        <w:rPr>
          <w:rFonts w:asciiTheme="minorHAnsi" w:hAnsiTheme="minorHAnsi"/>
          <w:szCs w:val="13"/>
        </w:rPr>
      </w:pPr>
    </w:p>
  </w:footnote>
  <w:footnote w:id="3">
    <w:p w14:paraId="3F7D2C9A" w14:textId="77777777" w:rsidR="007D1795" w:rsidRPr="00C93BEE" w:rsidRDefault="007D1795" w:rsidP="007D1795">
      <w:pPr>
        <w:pStyle w:val="Voetnoottekst"/>
        <w:rPr>
          <w:szCs w:val="13"/>
        </w:rPr>
      </w:pPr>
      <w:r w:rsidRPr="00C93BEE">
        <w:rPr>
          <w:rStyle w:val="Voetnootmarkering"/>
          <w:szCs w:val="13"/>
        </w:rPr>
        <w:footnoteRef/>
      </w:r>
      <w:r w:rsidRPr="00C93BEE">
        <w:rPr>
          <w:szCs w:val="13"/>
        </w:rPr>
        <w:t xml:space="preserve"> Kamerstukken II, 2024/25, 28973, nr. 278.</w:t>
      </w:r>
    </w:p>
  </w:footnote>
  <w:footnote w:id="4">
    <w:p w14:paraId="4024E19E" w14:textId="77777777" w:rsidR="007D1795" w:rsidRPr="00C93BEE" w:rsidRDefault="007D1795" w:rsidP="007D1795">
      <w:pPr>
        <w:pStyle w:val="Voetnoottekst"/>
        <w:rPr>
          <w:szCs w:val="13"/>
        </w:rPr>
      </w:pPr>
      <w:r w:rsidRPr="00C93BEE">
        <w:rPr>
          <w:rStyle w:val="Voetnootmarkering"/>
          <w:szCs w:val="13"/>
        </w:rPr>
        <w:footnoteRef/>
      </w:r>
      <w:r w:rsidRPr="00C93BEE">
        <w:rPr>
          <w:szCs w:val="13"/>
        </w:rPr>
        <w:t xml:space="preserve"> Kamerstukken II, 2025/26, Aanhangsel, 766</w:t>
      </w:r>
    </w:p>
  </w:footnote>
  <w:footnote w:id="5">
    <w:p w14:paraId="61F043C9" w14:textId="77777777" w:rsidR="007D1795" w:rsidRPr="00C93BEE" w:rsidRDefault="007D1795" w:rsidP="007D1795">
      <w:pPr>
        <w:pStyle w:val="Voetnoottekst"/>
        <w:rPr>
          <w:szCs w:val="13"/>
        </w:rPr>
      </w:pPr>
      <w:r w:rsidRPr="00C93BEE">
        <w:rPr>
          <w:rStyle w:val="Voetnootmarkering"/>
          <w:szCs w:val="13"/>
        </w:rPr>
        <w:footnoteRef/>
      </w:r>
      <w:r w:rsidRPr="00C93BEE">
        <w:rPr>
          <w:szCs w:val="13"/>
        </w:rPr>
        <w:t xml:space="preserve"> Kamerstukken II, 2025/26, 33037, 635.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47762" w14:paraId="778E9166" w14:textId="77777777" w:rsidTr="00A50CF6">
      <w:tc>
        <w:tcPr>
          <w:tcW w:w="2156" w:type="dxa"/>
        </w:tcPr>
        <w:p w14:paraId="18B875DE" w14:textId="77777777" w:rsidR="00527BD4" w:rsidRPr="005819CE" w:rsidRDefault="00D74F08" w:rsidP="00A50CF6">
          <w:pPr>
            <w:pStyle w:val="Huisstijl-Adres"/>
            <w:rPr>
              <w:b/>
            </w:rPr>
          </w:pPr>
          <w:r>
            <w:rPr>
              <w:b/>
            </w:rPr>
            <w:t>Directoraat-generaal Agro</w:t>
          </w:r>
          <w:r w:rsidRPr="005819CE">
            <w:rPr>
              <w:b/>
            </w:rPr>
            <w:br/>
          </w:r>
        </w:p>
      </w:tc>
    </w:tr>
    <w:tr w:rsidR="00E47762" w14:paraId="741C4BB8" w14:textId="77777777" w:rsidTr="00A50CF6">
      <w:trPr>
        <w:trHeight w:hRule="exact" w:val="200"/>
      </w:trPr>
      <w:tc>
        <w:tcPr>
          <w:tcW w:w="2156" w:type="dxa"/>
        </w:tcPr>
        <w:p w14:paraId="336CE865" w14:textId="77777777" w:rsidR="00527BD4" w:rsidRPr="005819CE" w:rsidRDefault="00527BD4" w:rsidP="00A50CF6"/>
      </w:tc>
    </w:tr>
    <w:tr w:rsidR="00E47762" w14:paraId="4900A58A" w14:textId="77777777" w:rsidTr="00502512">
      <w:trPr>
        <w:trHeight w:hRule="exact" w:val="774"/>
      </w:trPr>
      <w:tc>
        <w:tcPr>
          <w:tcW w:w="2156" w:type="dxa"/>
        </w:tcPr>
        <w:p w14:paraId="7C91DAA9" w14:textId="77777777" w:rsidR="00527BD4" w:rsidRDefault="00D74F08" w:rsidP="003A5290">
          <w:pPr>
            <w:pStyle w:val="Huisstijl-Kopje"/>
          </w:pPr>
          <w:r>
            <w:t>Ons kenmerk</w:t>
          </w:r>
        </w:p>
        <w:p w14:paraId="027E7950" w14:textId="69C00461" w:rsidR="00527BD4" w:rsidRPr="005819CE" w:rsidRDefault="00D74F08" w:rsidP="00C93BEE">
          <w:pPr>
            <w:pStyle w:val="Huisstijl-Kopje"/>
          </w:pPr>
          <w:r>
            <w:rPr>
              <w:b w:val="0"/>
            </w:rPr>
            <w:t>DGA</w:t>
          </w:r>
          <w:r w:rsidRPr="00502512">
            <w:rPr>
              <w:b w:val="0"/>
            </w:rPr>
            <w:t xml:space="preserve"> / </w:t>
          </w:r>
          <w:r w:rsidR="00C93BEE" w:rsidRPr="00C93BEE">
            <w:rPr>
              <w:b w:val="0"/>
            </w:rPr>
            <w:t>103719473</w:t>
          </w:r>
        </w:p>
      </w:tc>
    </w:tr>
  </w:tbl>
  <w:p w14:paraId="38DB70CF" w14:textId="77777777" w:rsidR="00527BD4" w:rsidRDefault="00527BD4" w:rsidP="008C356D"/>
  <w:p w14:paraId="55837F3A" w14:textId="77777777" w:rsidR="00527BD4" w:rsidRPr="00740712" w:rsidRDefault="00527BD4" w:rsidP="008C356D"/>
  <w:p w14:paraId="30B4BF98" w14:textId="77777777" w:rsidR="00527BD4" w:rsidRPr="00217880" w:rsidRDefault="00527BD4" w:rsidP="008C356D">
    <w:pPr>
      <w:spacing w:line="0" w:lineRule="atLeast"/>
      <w:rPr>
        <w:sz w:val="2"/>
        <w:szCs w:val="2"/>
      </w:rPr>
    </w:pPr>
  </w:p>
  <w:p w14:paraId="2126F6CC" w14:textId="77777777" w:rsidR="00527BD4" w:rsidRDefault="00527BD4" w:rsidP="004F44C2">
    <w:pPr>
      <w:pStyle w:val="Koptekst"/>
      <w:rPr>
        <w:rFonts w:cs="Verdana-Bold"/>
        <w:b/>
        <w:bCs/>
        <w:smallCaps/>
        <w:szCs w:val="18"/>
      </w:rPr>
    </w:pPr>
  </w:p>
  <w:p w14:paraId="6ED6BC02" w14:textId="77777777" w:rsidR="00527BD4" w:rsidRDefault="00527BD4" w:rsidP="004F44C2"/>
  <w:p w14:paraId="3EF79901" w14:textId="77777777" w:rsidR="00527BD4" w:rsidRPr="00740712" w:rsidRDefault="00527BD4" w:rsidP="004F44C2"/>
  <w:p w14:paraId="3BB5940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47762" w14:paraId="69C7EACA" w14:textId="77777777" w:rsidTr="00751A6A">
      <w:trPr>
        <w:trHeight w:val="2636"/>
      </w:trPr>
      <w:tc>
        <w:tcPr>
          <w:tcW w:w="737" w:type="dxa"/>
        </w:tcPr>
        <w:p w14:paraId="56671D5C" w14:textId="77777777" w:rsidR="00527BD4" w:rsidRDefault="00527BD4" w:rsidP="00D0609E">
          <w:pPr>
            <w:framePr w:w="6340" w:h="2750" w:hRule="exact" w:hSpace="180" w:wrap="around" w:vAnchor="page" w:hAnchor="text" w:x="3873" w:y="-140"/>
            <w:spacing w:line="240" w:lineRule="auto"/>
          </w:pPr>
        </w:p>
      </w:tc>
      <w:tc>
        <w:tcPr>
          <w:tcW w:w="5156" w:type="dxa"/>
        </w:tcPr>
        <w:p w14:paraId="4CDE4776" w14:textId="77777777" w:rsidR="00527BD4" w:rsidRDefault="00D74F08"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305CF731" wp14:editId="7983D0D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6684912" w14:textId="77777777" w:rsidR="003E0C4D" w:rsidRDefault="003E0C4D" w:rsidP="00D0609E">
          <w:pPr>
            <w:framePr w:w="6340" w:h="2750" w:hRule="exact" w:hSpace="180" w:wrap="around" w:vAnchor="page" w:hAnchor="text" w:x="3873" w:y="-140"/>
            <w:spacing w:line="240" w:lineRule="auto"/>
          </w:pPr>
        </w:p>
      </w:tc>
    </w:tr>
  </w:tbl>
  <w:p w14:paraId="35872A84" w14:textId="77777777" w:rsidR="00527BD4" w:rsidRDefault="00527BD4" w:rsidP="00D0609E">
    <w:pPr>
      <w:framePr w:w="6340" w:h="2750" w:hRule="exact" w:hSpace="180" w:wrap="around" w:vAnchor="page" w:hAnchor="text" w:x="3873" w:y="-140"/>
    </w:pPr>
  </w:p>
  <w:p w14:paraId="1D76C95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47762" w:rsidRPr="00C93BEE" w14:paraId="747D7075" w14:textId="77777777" w:rsidTr="00A50CF6">
      <w:tc>
        <w:tcPr>
          <w:tcW w:w="2160" w:type="dxa"/>
        </w:tcPr>
        <w:p w14:paraId="71170211" w14:textId="77777777" w:rsidR="00527BD4" w:rsidRPr="005819CE" w:rsidRDefault="00D74F08" w:rsidP="00A50CF6">
          <w:pPr>
            <w:pStyle w:val="Huisstijl-Adres"/>
            <w:rPr>
              <w:b/>
            </w:rPr>
          </w:pPr>
          <w:r>
            <w:rPr>
              <w:b/>
            </w:rPr>
            <w:t>Directoraat-generaal Agro</w:t>
          </w:r>
          <w:r w:rsidRPr="005819CE">
            <w:rPr>
              <w:b/>
            </w:rPr>
            <w:br/>
          </w:r>
        </w:p>
        <w:p w14:paraId="1AB742DC" w14:textId="77777777" w:rsidR="00527BD4" w:rsidRPr="00BE5ED9" w:rsidRDefault="00D74F08" w:rsidP="00A50CF6">
          <w:pPr>
            <w:pStyle w:val="Huisstijl-Adres"/>
          </w:pPr>
          <w:r>
            <w:rPr>
              <w:b/>
            </w:rPr>
            <w:t>Bezoekadres</w:t>
          </w:r>
          <w:r>
            <w:rPr>
              <w:b/>
            </w:rPr>
            <w:br/>
          </w:r>
          <w:r>
            <w:t>Bezuidenhoutseweg 73</w:t>
          </w:r>
          <w:r w:rsidRPr="005819CE">
            <w:br/>
          </w:r>
          <w:r>
            <w:t>2594 AC Den Haag</w:t>
          </w:r>
        </w:p>
        <w:p w14:paraId="038CAEFE" w14:textId="77777777" w:rsidR="00EF495B" w:rsidRDefault="00D74F08" w:rsidP="0098788A">
          <w:pPr>
            <w:pStyle w:val="Huisstijl-Adres"/>
          </w:pPr>
          <w:r>
            <w:rPr>
              <w:b/>
            </w:rPr>
            <w:t>Postadres</w:t>
          </w:r>
          <w:r>
            <w:rPr>
              <w:b/>
            </w:rPr>
            <w:br/>
          </w:r>
          <w:r>
            <w:t>Postbus 20401</w:t>
          </w:r>
          <w:r w:rsidRPr="005819CE">
            <w:br/>
            <w:t>2500 E</w:t>
          </w:r>
          <w:r>
            <w:t>K</w:t>
          </w:r>
          <w:r w:rsidRPr="005819CE">
            <w:t xml:space="preserve"> Den Haag</w:t>
          </w:r>
        </w:p>
        <w:p w14:paraId="4721FB2C" w14:textId="77777777" w:rsidR="00556BEE" w:rsidRPr="005B3814" w:rsidRDefault="00D74F08" w:rsidP="0098788A">
          <w:pPr>
            <w:pStyle w:val="Huisstijl-Adres"/>
          </w:pPr>
          <w:r>
            <w:rPr>
              <w:b/>
            </w:rPr>
            <w:t>Overheidsidentificatienr</w:t>
          </w:r>
          <w:r>
            <w:rPr>
              <w:b/>
            </w:rPr>
            <w:br/>
          </w:r>
          <w:r w:rsidR="00BA129E">
            <w:rPr>
              <w:rFonts w:cs="Agrofont"/>
              <w:iCs/>
            </w:rPr>
            <w:t>00000001858272854000</w:t>
          </w:r>
        </w:p>
        <w:p w14:paraId="5CDF1034" w14:textId="444112D9" w:rsidR="00527BD4" w:rsidRPr="00C93BEE" w:rsidRDefault="00D74F0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E47762" w:rsidRPr="00C93BEE" w14:paraId="1C5AAF02" w14:textId="77777777" w:rsidTr="00A50CF6">
      <w:trPr>
        <w:trHeight w:hRule="exact" w:val="200"/>
      </w:trPr>
      <w:tc>
        <w:tcPr>
          <w:tcW w:w="2160" w:type="dxa"/>
        </w:tcPr>
        <w:p w14:paraId="0B5022FB" w14:textId="77777777" w:rsidR="00527BD4" w:rsidRPr="001F6691" w:rsidRDefault="00527BD4" w:rsidP="00A50CF6"/>
      </w:tc>
    </w:tr>
    <w:tr w:rsidR="00E47762" w14:paraId="0F1781D0" w14:textId="77777777" w:rsidTr="00A50CF6">
      <w:tc>
        <w:tcPr>
          <w:tcW w:w="2160" w:type="dxa"/>
        </w:tcPr>
        <w:p w14:paraId="5DF89F90" w14:textId="77777777" w:rsidR="000C0163" w:rsidRPr="005819CE" w:rsidRDefault="00D74F08" w:rsidP="000C0163">
          <w:pPr>
            <w:pStyle w:val="Huisstijl-Kopje"/>
          </w:pPr>
          <w:r>
            <w:t>Ons kenmerk</w:t>
          </w:r>
          <w:r w:rsidRPr="005819CE">
            <w:t xml:space="preserve"> </w:t>
          </w:r>
        </w:p>
        <w:p w14:paraId="260E4E3A" w14:textId="77777777" w:rsidR="000C0163" w:rsidRPr="005819CE" w:rsidRDefault="00D74F08" w:rsidP="000C0163">
          <w:pPr>
            <w:pStyle w:val="Huisstijl-Gegeven"/>
          </w:pPr>
          <w:r>
            <w:t>DGA /</w:t>
          </w:r>
          <w:r w:rsidR="00CC7BA8">
            <w:t xml:space="preserve"> </w:t>
          </w:r>
          <w:r>
            <w:t>103719473</w:t>
          </w:r>
        </w:p>
        <w:p w14:paraId="0DDBC4AA" w14:textId="77777777" w:rsidR="00527BD4" w:rsidRPr="005819CE" w:rsidRDefault="00D74F08" w:rsidP="00A50CF6">
          <w:pPr>
            <w:pStyle w:val="Huisstijl-Kopje"/>
          </w:pPr>
          <w:r>
            <w:t>Uw kenmerk</w:t>
          </w:r>
        </w:p>
        <w:p w14:paraId="53D78BB5" w14:textId="45EA7DA3" w:rsidR="00527BD4" w:rsidRPr="005819CE" w:rsidRDefault="00C93BEE" w:rsidP="00A50CF6">
          <w:pPr>
            <w:pStyle w:val="Huisstijl-Gegeven"/>
          </w:pPr>
          <w:r w:rsidRPr="00922B52">
            <w:t>2026Z00089</w:t>
          </w:r>
        </w:p>
      </w:tc>
    </w:tr>
  </w:tbl>
  <w:p w14:paraId="13DBCC7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47762" w14:paraId="7AE128C7" w14:textId="77777777" w:rsidTr="009E2051">
      <w:trPr>
        <w:trHeight w:val="400"/>
      </w:trPr>
      <w:tc>
        <w:tcPr>
          <w:tcW w:w="7520" w:type="dxa"/>
          <w:gridSpan w:val="2"/>
        </w:tcPr>
        <w:p w14:paraId="723F20FB" w14:textId="77777777" w:rsidR="00527BD4" w:rsidRPr="00BC3B53" w:rsidRDefault="00D74F08" w:rsidP="00A50CF6">
          <w:pPr>
            <w:pStyle w:val="Huisstijl-Retouradres"/>
          </w:pPr>
          <w:r>
            <w:t>&gt; Retouradres Postbus 20401 2500 EK Den Haag</w:t>
          </w:r>
        </w:p>
      </w:tc>
    </w:tr>
    <w:tr w:rsidR="00E47762" w14:paraId="613916BF" w14:textId="77777777" w:rsidTr="009E2051">
      <w:tc>
        <w:tcPr>
          <w:tcW w:w="7520" w:type="dxa"/>
          <w:gridSpan w:val="2"/>
        </w:tcPr>
        <w:p w14:paraId="2AE65434" w14:textId="77777777" w:rsidR="00527BD4" w:rsidRPr="00983E8F" w:rsidRDefault="00527BD4" w:rsidP="00A50CF6">
          <w:pPr>
            <w:pStyle w:val="Huisstijl-Rubricering"/>
          </w:pPr>
        </w:p>
      </w:tc>
    </w:tr>
    <w:tr w:rsidR="00E47762" w14:paraId="236B4495" w14:textId="77777777" w:rsidTr="009E2051">
      <w:trPr>
        <w:trHeight w:hRule="exact" w:val="2440"/>
      </w:trPr>
      <w:tc>
        <w:tcPr>
          <w:tcW w:w="7520" w:type="dxa"/>
          <w:gridSpan w:val="2"/>
        </w:tcPr>
        <w:p w14:paraId="662A7EA4" w14:textId="77777777" w:rsidR="00527BD4" w:rsidRDefault="00D74F08" w:rsidP="00A50CF6">
          <w:pPr>
            <w:pStyle w:val="Huisstijl-NAW"/>
          </w:pPr>
          <w:r>
            <w:t xml:space="preserve">De Voorzitter van de Tweede Kamer </w:t>
          </w:r>
        </w:p>
        <w:p w14:paraId="074950F1" w14:textId="77777777" w:rsidR="00D87195" w:rsidRDefault="00D74F08" w:rsidP="00D87195">
          <w:pPr>
            <w:pStyle w:val="Huisstijl-NAW"/>
          </w:pPr>
          <w:r>
            <w:t>der Staten-Generaal</w:t>
          </w:r>
        </w:p>
        <w:p w14:paraId="22B2EE97" w14:textId="77777777" w:rsidR="005C769E" w:rsidRDefault="00D74F08" w:rsidP="005C769E">
          <w:pPr>
            <w:rPr>
              <w:szCs w:val="18"/>
            </w:rPr>
          </w:pPr>
          <w:r>
            <w:rPr>
              <w:szCs w:val="18"/>
            </w:rPr>
            <w:t>Prinses Irenestraat 6</w:t>
          </w:r>
        </w:p>
        <w:p w14:paraId="4577E3CF" w14:textId="77777777" w:rsidR="005C769E" w:rsidRDefault="00D74F08" w:rsidP="005C769E">
          <w:pPr>
            <w:pStyle w:val="Huisstijl-NAW"/>
          </w:pPr>
          <w:r>
            <w:t>2595 BD  DEN HAAG</w:t>
          </w:r>
        </w:p>
      </w:tc>
    </w:tr>
    <w:tr w:rsidR="00E47762" w14:paraId="69001C33" w14:textId="77777777" w:rsidTr="009E2051">
      <w:trPr>
        <w:trHeight w:hRule="exact" w:val="400"/>
      </w:trPr>
      <w:tc>
        <w:tcPr>
          <w:tcW w:w="7520" w:type="dxa"/>
          <w:gridSpan w:val="2"/>
        </w:tcPr>
        <w:p w14:paraId="6532CD7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47762" w14:paraId="1AA30F10" w14:textId="77777777" w:rsidTr="009E2051">
      <w:trPr>
        <w:trHeight w:val="240"/>
      </w:trPr>
      <w:tc>
        <w:tcPr>
          <w:tcW w:w="900" w:type="dxa"/>
        </w:tcPr>
        <w:p w14:paraId="4446BA8D" w14:textId="77777777" w:rsidR="00527BD4" w:rsidRPr="007709EF" w:rsidRDefault="00D74F08" w:rsidP="00A50CF6">
          <w:pPr>
            <w:rPr>
              <w:szCs w:val="18"/>
            </w:rPr>
          </w:pPr>
          <w:r>
            <w:rPr>
              <w:szCs w:val="18"/>
            </w:rPr>
            <w:t>Datum</w:t>
          </w:r>
        </w:p>
      </w:tc>
      <w:tc>
        <w:tcPr>
          <w:tcW w:w="6620" w:type="dxa"/>
        </w:tcPr>
        <w:p w14:paraId="686F8DE2" w14:textId="69534917" w:rsidR="00527BD4" w:rsidRPr="007709EF" w:rsidRDefault="00D74F08" w:rsidP="00A50CF6">
          <w:r>
            <w:t>19 februari 2026</w:t>
          </w:r>
        </w:p>
      </w:tc>
    </w:tr>
    <w:tr w:rsidR="00E47762" w14:paraId="381129E5" w14:textId="77777777" w:rsidTr="009E2051">
      <w:trPr>
        <w:trHeight w:val="240"/>
      </w:trPr>
      <w:tc>
        <w:tcPr>
          <w:tcW w:w="900" w:type="dxa"/>
        </w:tcPr>
        <w:p w14:paraId="7C85AB3B" w14:textId="77777777" w:rsidR="00527BD4" w:rsidRPr="007709EF" w:rsidRDefault="00D74F08" w:rsidP="00A50CF6">
          <w:pPr>
            <w:rPr>
              <w:szCs w:val="18"/>
            </w:rPr>
          </w:pPr>
          <w:r>
            <w:rPr>
              <w:szCs w:val="18"/>
            </w:rPr>
            <w:t>Betreft</w:t>
          </w:r>
        </w:p>
      </w:tc>
      <w:tc>
        <w:tcPr>
          <w:tcW w:w="6620" w:type="dxa"/>
        </w:tcPr>
        <w:p w14:paraId="2F06EF25" w14:textId="06681CC7" w:rsidR="00527BD4" w:rsidRPr="007709EF" w:rsidRDefault="00C93BEE" w:rsidP="00A50CF6">
          <w:r>
            <w:t>Beantwoording vragen over de bijdrage van de landbouw aan de nutriëntenbelasting van het oppervlaktewater</w:t>
          </w:r>
        </w:p>
      </w:tc>
    </w:tr>
  </w:tbl>
  <w:p w14:paraId="05810CA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160E3D8">
      <w:start w:val="1"/>
      <w:numFmt w:val="bullet"/>
      <w:pStyle w:val="Lijstopsomteken"/>
      <w:lvlText w:val="•"/>
      <w:lvlJc w:val="left"/>
      <w:pPr>
        <w:tabs>
          <w:tab w:val="num" w:pos="227"/>
        </w:tabs>
        <w:ind w:left="227" w:hanging="227"/>
      </w:pPr>
      <w:rPr>
        <w:rFonts w:ascii="Verdana" w:hAnsi="Verdana" w:hint="default"/>
        <w:sz w:val="18"/>
        <w:szCs w:val="18"/>
      </w:rPr>
    </w:lvl>
    <w:lvl w:ilvl="1" w:tplc="8BA0F282" w:tentative="1">
      <w:start w:val="1"/>
      <w:numFmt w:val="bullet"/>
      <w:lvlText w:val="o"/>
      <w:lvlJc w:val="left"/>
      <w:pPr>
        <w:tabs>
          <w:tab w:val="num" w:pos="1440"/>
        </w:tabs>
        <w:ind w:left="1440" w:hanging="360"/>
      </w:pPr>
      <w:rPr>
        <w:rFonts w:ascii="Courier New" w:hAnsi="Courier New" w:cs="Courier New" w:hint="default"/>
      </w:rPr>
    </w:lvl>
    <w:lvl w:ilvl="2" w:tplc="ECAAF2FC" w:tentative="1">
      <w:start w:val="1"/>
      <w:numFmt w:val="bullet"/>
      <w:lvlText w:val=""/>
      <w:lvlJc w:val="left"/>
      <w:pPr>
        <w:tabs>
          <w:tab w:val="num" w:pos="2160"/>
        </w:tabs>
        <w:ind w:left="2160" w:hanging="360"/>
      </w:pPr>
      <w:rPr>
        <w:rFonts w:ascii="Wingdings" w:hAnsi="Wingdings" w:hint="default"/>
      </w:rPr>
    </w:lvl>
    <w:lvl w:ilvl="3" w:tplc="38DE1658" w:tentative="1">
      <w:start w:val="1"/>
      <w:numFmt w:val="bullet"/>
      <w:lvlText w:val=""/>
      <w:lvlJc w:val="left"/>
      <w:pPr>
        <w:tabs>
          <w:tab w:val="num" w:pos="2880"/>
        </w:tabs>
        <w:ind w:left="2880" w:hanging="360"/>
      </w:pPr>
      <w:rPr>
        <w:rFonts w:ascii="Symbol" w:hAnsi="Symbol" w:hint="default"/>
      </w:rPr>
    </w:lvl>
    <w:lvl w:ilvl="4" w:tplc="857E9306" w:tentative="1">
      <w:start w:val="1"/>
      <w:numFmt w:val="bullet"/>
      <w:lvlText w:val="o"/>
      <w:lvlJc w:val="left"/>
      <w:pPr>
        <w:tabs>
          <w:tab w:val="num" w:pos="3600"/>
        </w:tabs>
        <w:ind w:left="3600" w:hanging="360"/>
      </w:pPr>
      <w:rPr>
        <w:rFonts w:ascii="Courier New" w:hAnsi="Courier New" w:cs="Courier New" w:hint="default"/>
      </w:rPr>
    </w:lvl>
    <w:lvl w:ilvl="5" w:tplc="F4F26F6C" w:tentative="1">
      <w:start w:val="1"/>
      <w:numFmt w:val="bullet"/>
      <w:lvlText w:val=""/>
      <w:lvlJc w:val="left"/>
      <w:pPr>
        <w:tabs>
          <w:tab w:val="num" w:pos="4320"/>
        </w:tabs>
        <w:ind w:left="4320" w:hanging="360"/>
      </w:pPr>
      <w:rPr>
        <w:rFonts w:ascii="Wingdings" w:hAnsi="Wingdings" w:hint="default"/>
      </w:rPr>
    </w:lvl>
    <w:lvl w:ilvl="6" w:tplc="EA402534" w:tentative="1">
      <w:start w:val="1"/>
      <w:numFmt w:val="bullet"/>
      <w:lvlText w:val=""/>
      <w:lvlJc w:val="left"/>
      <w:pPr>
        <w:tabs>
          <w:tab w:val="num" w:pos="5040"/>
        </w:tabs>
        <w:ind w:left="5040" w:hanging="360"/>
      </w:pPr>
      <w:rPr>
        <w:rFonts w:ascii="Symbol" w:hAnsi="Symbol" w:hint="default"/>
      </w:rPr>
    </w:lvl>
    <w:lvl w:ilvl="7" w:tplc="88D0042A" w:tentative="1">
      <w:start w:val="1"/>
      <w:numFmt w:val="bullet"/>
      <w:lvlText w:val="o"/>
      <w:lvlJc w:val="left"/>
      <w:pPr>
        <w:tabs>
          <w:tab w:val="num" w:pos="5760"/>
        </w:tabs>
        <w:ind w:left="5760" w:hanging="360"/>
      </w:pPr>
      <w:rPr>
        <w:rFonts w:ascii="Courier New" w:hAnsi="Courier New" w:cs="Courier New" w:hint="default"/>
      </w:rPr>
    </w:lvl>
    <w:lvl w:ilvl="8" w:tplc="01FC66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9CABD92">
      <w:start w:val="1"/>
      <w:numFmt w:val="bullet"/>
      <w:pStyle w:val="Lijstopsomteken2"/>
      <w:lvlText w:val="–"/>
      <w:lvlJc w:val="left"/>
      <w:pPr>
        <w:tabs>
          <w:tab w:val="num" w:pos="227"/>
        </w:tabs>
        <w:ind w:left="227" w:firstLine="0"/>
      </w:pPr>
      <w:rPr>
        <w:rFonts w:ascii="Verdana" w:hAnsi="Verdana" w:hint="default"/>
      </w:rPr>
    </w:lvl>
    <w:lvl w:ilvl="1" w:tplc="423077E8" w:tentative="1">
      <w:start w:val="1"/>
      <w:numFmt w:val="bullet"/>
      <w:lvlText w:val="o"/>
      <w:lvlJc w:val="left"/>
      <w:pPr>
        <w:tabs>
          <w:tab w:val="num" w:pos="1440"/>
        </w:tabs>
        <w:ind w:left="1440" w:hanging="360"/>
      </w:pPr>
      <w:rPr>
        <w:rFonts w:ascii="Courier New" w:hAnsi="Courier New" w:cs="Courier New" w:hint="default"/>
      </w:rPr>
    </w:lvl>
    <w:lvl w:ilvl="2" w:tplc="7406ADE8" w:tentative="1">
      <w:start w:val="1"/>
      <w:numFmt w:val="bullet"/>
      <w:lvlText w:val=""/>
      <w:lvlJc w:val="left"/>
      <w:pPr>
        <w:tabs>
          <w:tab w:val="num" w:pos="2160"/>
        </w:tabs>
        <w:ind w:left="2160" w:hanging="360"/>
      </w:pPr>
      <w:rPr>
        <w:rFonts w:ascii="Wingdings" w:hAnsi="Wingdings" w:hint="default"/>
      </w:rPr>
    </w:lvl>
    <w:lvl w:ilvl="3" w:tplc="45CAA916" w:tentative="1">
      <w:start w:val="1"/>
      <w:numFmt w:val="bullet"/>
      <w:lvlText w:val=""/>
      <w:lvlJc w:val="left"/>
      <w:pPr>
        <w:tabs>
          <w:tab w:val="num" w:pos="2880"/>
        </w:tabs>
        <w:ind w:left="2880" w:hanging="360"/>
      </w:pPr>
      <w:rPr>
        <w:rFonts w:ascii="Symbol" w:hAnsi="Symbol" w:hint="default"/>
      </w:rPr>
    </w:lvl>
    <w:lvl w:ilvl="4" w:tplc="634AA00C" w:tentative="1">
      <w:start w:val="1"/>
      <w:numFmt w:val="bullet"/>
      <w:lvlText w:val="o"/>
      <w:lvlJc w:val="left"/>
      <w:pPr>
        <w:tabs>
          <w:tab w:val="num" w:pos="3600"/>
        </w:tabs>
        <w:ind w:left="3600" w:hanging="360"/>
      </w:pPr>
      <w:rPr>
        <w:rFonts w:ascii="Courier New" w:hAnsi="Courier New" w:cs="Courier New" w:hint="default"/>
      </w:rPr>
    </w:lvl>
    <w:lvl w:ilvl="5" w:tplc="83D4F55A" w:tentative="1">
      <w:start w:val="1"/>
      <w:numFmt w:val="bullet"/>
      <w:lvlText w:val=""/>
      <w:lvlJc w:val="left"/>
      <w:pPr>
        <w:tabs>
          <w:tab w:val="num" w:pos="4320"/>
        </w:tabs>
        <w:ind w:left="4320" w:hanging="360"/>
      </w:pPr>
      <w:rPr>
        <w:rFonts w:ascii="Wingdings" w:hAnsi="Wingdings" w:hint="default"/>
      </w:rPr>
    </w:lvl>
    <w:lvl w:ilvl="6" w:tplc="478AD182" w:tentative="1">
      <w:start w:val="1"/>
      <w:numFmt w:val="bullet"/>
      <w:lvlText w:val=""/>
      <w:lvlJc w:val="left"/>
      <w:pPr>
        <w:tabs>
          <w:tab w:val="num" w:pos="5040"/>
        </w:tabs>
        <w:ind w:left="5040" w:hanging="360"/>
      </w:pPr>
      <w:rPr>
        <w:rFonts w:ascii="Symbol" w:hAnsi="Symbol" w:hint="default"/>
      </w:rPr>
    </w:lvl>
    <w:lvl w:ilvl="7" w:tplc="E4DA2EE2" w:tentative="1">
      <w:start w:val="1"/>
      <w:numFmt w:val="bullet"/>
      <w:lvlText w:val="o"/>
      <w:lvlJc w:val="left"/>
      <w:pPr>
        <w:tabs>
          <w:tab w:val="num" w:pos="5760"/>
        </w:tabs>
        <w:ind w:left="5760" w:hanging="360"/>
      </w:pPr>
      <w:rPr>
        <w:rFonts w:ascii="Courier New" w:hAnsi="Courier New" w:cs="Courier New" w:hint="default"/>
      </w:rPr>
    </w:lvl>
    <w:lvl w:ilvl="8" w:tplc="EC2E44C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570A48"/>
    <w:multiLevelType w:val="hybridMultilevel"/>
    <w:tmpl w:val="D3806F7A"/>
    <w:lvl w:ilvl="0" w:tplc="E94CC04C">
      <w:start w:val="1"/>
      <w:numFmt w:val="decimal"/>
      <w:lvlText w:val="%1."/>
      <w:lvlJc w:val="left"/>
      <w:pPr>
        <w:ind w:left="720" w:hanging="360"/>
      </w:pPr>
    </w:lvl>
    <w:lvl w:ilvl="1" w:tplc="B1D60B7A">
      <w:start w:val="1"/>
      <w:numFmt w:val="lowerLetter"/>
      <w:lvlText w:val="%2."/>
      <w:lvlJc w:val="left"/>
      <w:pPr>
        <w:ind w:left="1440" w:hanging="360"/>
      </w:pPr>
    </w:lvl>
    <w:lvl w:ilvl="2" w:tplc="8E108830">
      <w:start w:val="1"/>
      <w:numFmt w:val="lowerRoman"/>
      <w:lvlText w:val="%3."/>
      <w:lvlJc w:val="right"/>
      <w:pPr>
        <w:ind w:left="2160" w:hanging="180"/>
      </w:pPr>
    </w:lvl>
    <w:lvl w:ilvl="3" w:tplc="F9E2F238">
      <w:start w:val="1"/>
      <w:numFmt w:val="decimal"/>
      <w:lvlText w:val="%4."/>
      <w:lvlJc w:val="left"/>
      <w:pPr>
        <w:ind w:left="2880" w:hanging="360"/>
      </w:pPr>
    </w:lvl>
    <w:lvl w:ilvl="4" w:tplc="EC74A64C">
      <w:start w:val="1"/>
      <w:numFmt w:val="lowerLetter"/>
      <w:lvlText w:val="%5."/>
      <w:lvlJc w:val="left"/>
      <w:pPr>
        <w:ind w:left="3600" w:hanging="360"/>
      </w:pPr>
    </w:lvl>
    <w:lvl w:ilvl="5" w:tplc="3B74354E">
      <w:start w:val="1"/>
      <w:numFmt w:val="lowerRoman"/>
      <w:lvlText w:val="%6."/>
      <w:lvlJc w:val="right"/>
      <w:pPr>
        <w:ind w:left="4320" w:hanging="180"/>
      </w:pPr>
    </w:lvl>
    <w:lvl w:ilvl="6" w:tplc="7E564432">
      <w:start w:val="1"/>
      <w:numFmt w:val="decimal"/>
      <w:lvlText w:val="%7."/>
      <w:lvlJc w:val="left"/>
      <w:pPr>
        <w:ind w:left="5040" w:hanging="360"/>
      </w:pPr>
    </w:lvl>
    <w:lvl w:ilvl="7" w:tplc="82FA34AA">
      <w:start w:val="1"/>
      <w:numFmt w:val="lowerLetter"/>
      <w:lvlText w:val="%8."/>
      <w:lvlJc w:val="left"/>
      <w:pPr>
        <w:ind w:left="5760" w:hanging="360"/>
      </w:pPr>
    </w:lvl>
    <w:lvl w:ilvl="8" w:tplc="C87AA6E6">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17086434">
    <w:abstractNumId w:val="10"/>
  </w:num>
  <w:num w:numId="2" w16cid:durableId="1795174053">
    <w:abstractNumId w:val="7"/>
  </w:num>
  <w:num w:numId="3" w16cid:durableId="746459639">
    <w:abstractNumId w:val="6"/>
  </w:num>
  <w:num w:numId="4" w16cid:durableId="772627368">
    <w:abstractNumId w:val="5"/>
  </w:num>
  <w:num w:numId="5" w16cid:durableId="320937386">
    <w:abstractNumId w:val="4"/>
  </w:num>
  <w:num w:numId="6" w16cid:durableId="946811117">
    <w:abstractNumId w:val="8"/>
  </w:num>
  <w:num w:numId="7" w16cid:durableId="414477536">
    <w:abstractNumId w:val="3"/>
  </w:num>
  <w:num w:numId="8" w16cid:durableId="172499755">
    <w:abstractNumId w:val="2"/>
  </w:num>
  <w:num w:numId="9" w16cid:durableId="613244574">
    <w:abstractNumId w:val="1"/>
  </w:num>
  <w:num w:numId="10" w16cid:durableId="1367756528">
    <w:abstractNumId w:val="0"/>
  </w:num>
  <w:num w:numId="11" w16cid:durableId="713425465">
    <w:abstractNumId w:val="9"/>
  </w:num>
  <w:num w:numId="12" w16cid:durableId="2083676936">
    <w:abstractNumId w:val="11"/>
  </w:num>
  <w:num w:numId="13" w16cid:durableId="1205173442">
    <w:abstractNumId w:val="14"/>
  </w:num>
  <w:num w:numId="14" w16cid:durableId="948898289">
    <w:abstractNumId w:val="12"/>
  </w:num>
  <w:num w:numId="15" w16cid:durableId="1791243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45EC"/>
    <w:rsid w:val="00016012"/>
    <w:rsid w:val="0001715F"/>
    <w:rsid w:val="00020189"/>
    <w:rsid w:val="00020EE4"/>
    <w:rsid w:val="00023E9A"/>
    <w:rsid w:val="000301C7"/>
    <w:rsid w:val="00033CDD"/>
    <w:rsid w:val="00034A84"/>
    <w:rsid w:val="00035E67"/>
    <w:rsid w:val="000366F3"/>
    <w:rsid w:val="0006024D"/>
    <w:rsid w:val="00062B5B"/>
    <w:rsid w:val="00064021"/>
    <w:rsid w:val="00071F28"/>
    <w:rsid w:val="00074079"/>
    <w:rsid w:val="00092799"/>
    <w:rsid w:val="00092C5F"/>
    <w:rsid w:val="00096680"/>
    <w:rsid w:val="000A0F36"/>
    <w:rsid w:val="000A174A"/>
    <w:rsid w:val="000A2E3B"/>
    <w:rsid w:val="000A3E0A"/>
    <w:rsid w:val="000A65AC"/>
    <w:rsid w:val="000B7281"/>
    <w:rsid w:val="000B7FAB"/>
    <w:rsid w:val="000C0163"/>
    <w:rsid w:val="000C07A9"/>
    <w:rsid w:val="000C1BA1"/>
    <w:rsid w:val="000C3EA9"/>
    <w:rsid w:val="000D0225"/>
    <w:rsid w:val="000D25D8"/>
    <w:rsid w:val="000D73D7"/>
    <w:rsid w:val="000E7895"/>
    <w:rsid w:val="000F161D"/>
    <w:rsid w:val="00116597"/>
    <w:rsid w:val="00121BF0"/>
    <w:rsid w:val="0012347C"/>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1F6691"/>
    <w:rsid w:val="00200D88"/>
    <w:rsid w:val="00201F68"/>
    <w:rsid w:val="00202394"/>
    <w:rsid w:val="00212F2A"/>
    <w:rsid w:val="00214F2B"/>
    <w:rsid w:val="00217880"/>
    <w:rsid w:val="00222D66"/>
    <w:rsid w:val="00224A8A"/>
    <w:rsid w:val="00226402"/>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B5691"/>
    <w:rsid w:val="002C2830"/>
    <w:rsid w:val="002D001A"/>
    <w:rsid w:val="002D28E2"/>
    <w:rsid w:val="002D317B"/>
    <w:rsid w:val="002D3587"/>
    <w:rsid w:val="002D502D"/>
    <w:rsid w:val="002E0F69"/>
    <w:rsid w:val="002F5147"/>
    <w:rsid w:val="002F7ABD"/>
    <w:rsid w:val="00307107"/>
    <w:rsid w:val="00312597"/>
    <w:rsid w:val="00327BA5"/>
    <w:rsid w:val="00334154"/>
    <w:rsid w:val="003372C4"/>
    <w:rsid w:val="00340ECA"/>
    <w:rsid w:val="00341FA0"/>
    <w:rsid w:val="00344F3D"/>
    <w:rsid w:val="00345299"/>
    <w:rsid w:val="00351A8D"/>
    <w:rsid w:val="00351E38"/>
    <w:rsid w:val="003526BB"/>
    <w:rsid w:val="00352BCF"/>
    <w:rsid w:val="00353932"/>
    <w:rsid w:val="0035464B"/>
    <w:rsid w:val="00361A56"/>
    <w:rsid w:val="0036252A"/>
    <w:rsid w:val="00364D9D"/>
    <w:rsid w:val="00371048"/>
    <w:rsid w:val="0037396C"/>
    <w:rsid w:val="0037421D"/>
    <w:rsid w:val="00374D64"/>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00981"/>
    <w:rsid w:val="00413D48"/>
    <w:rsid w:val="00416C6F"/>
    <w:rsid w:val="00423A19"/>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670A"/>
    <w:rsid w:val="004A719C"/>
    <w:rsid w:val="004B5465"/>
    <w:rsid w:val="004B70F0"/>
    <w:rsid w:val="004D505E"/>
    <w:rsid w:val="004D72CA"/>
    <w:rsid w:val="004E2242"/>
    <w:rsid w:val="004E505E"/>
    <w:rsid w:val="004F42FF"/>
    <w:rsid w:val="004F44C2"/>
    <w:rsid w:val="00502512"/>
    <w:rsid w:val="00505262"/>
    <w:rsid w:val="005058E4"/>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D47BD"/>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4442E"/>
    <w:rsid w:val="00751A6A"/>
    <w:rsid w:val="00754FBF"/>
    <w:rsid w:val="007709EF"/>
    <w:rsid w:val="00783559"/>
    <w:rsid w:val="0079551B"/>
    <w:rsid w:val="00797AA5"/>
    <w:rsid w:val="007A26BD"/>
    <w:rsid w:val="007A4105"/>
    <w:rsid w:val="007B4503"/>
    <w:rsid w:val="007C406E"/>
    <w:rsid w:val="007C5183"/>
    <w:rsid w:val="007C7573"/>
    <w:rsid w:val="007D1795"/>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6BDE"/>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D6573"/>
    <w:rsid w:val="008E0B3F"/>
    <w:rsid w:val="008E49AD"/>
    <w:rsid w:val="008E51E7"/>
    <w:rsid w:val="008E698E"/>
    <w:rsid w:val="008F2584"/>
    <w:rsid w:val="008F3246"/>
    <w:rsid w:val="008F3C1B"/>
    <w:rsid w:val="008F508C"/>
    <w:rsid w:val="0090271B"/>
    <w:rsid w:val="00910642"/>
    <w:rsid w:val="00910DDF"/>
    <w:rsid w:val="00922B52"/>
    <w:rsid w:val="009240EC"/>
    <w:rsid w:val="00924A2D"/>
    <w:rsid w:val="00930ABD"/>
    <w:rsid w:val="00930B13"/>
    <w:rsid w:val="009311C8"/>
    <w:rsid w:val="00933376"/>
    <w:rsid w:val="00933A2F"/>
    <w:rsid w:val="00940813"/>
    <w:rsid w:val="00950A87"/>
    <w:rsid w:val="009632E6"/>
    <w:rsid w:val="00963300"/>
    <w:rsid w:val="009716D8"/>
    <w:rsid w:val="009718F9"/>
    <w:rsid w:val="00972FB9"/>
    <w:rsid w:val="00975112"/>
    <w:rsid w:val="00981768"/>
    <w:rsid w:val="00983E8F"/>
    <w:rsid w:val="00984948"/>
    <w:rsid w:val="0098788A"/>
    <w:rsid w:val="00994FDA"/>
    <w:rsid w:val="009A31BF"/>
    <w:rsid w:val="009A3B71"/>
    <w:rsid w:val="009A61BC"/>
    <w:rsid w:val="009B0138"/>
    <w:rsid w:val="009B0EC1"/>
    <w:rsid w:val="009B0FE9"/>
    <w:rsid w:val="009B173A"/>
    <w:rsid w:val="009C3F20"/>
    <w:rsid w:val="009C4449"/>
    <w:rsid w:val="009C7CA1"/>
    <w:rsid w:val="009D043D"/>
    <w:rsid w:val="009E2051"/>
    <w:rsid w:val="009F3259"/>
    <w:rsid w:val="00A056DE"/>
    <w:rsid w:val="00A128AD"/>
    <w:rsid w:val="00A15071"/>
    <w:rsid w:val="00A173B3"/>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1A15"/>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44CDF"/>
    <w:rsid w:val="00B531DD"/>
    <w:rsid w:val="00B55014"/>
    <w:rsid w:val="00B62232"/>
    <w:rsid w:val="00B70BF3"/>
    <w:rsid w:val="00B71DC2"/>
    <w:rsid w:val="00B74920"/>
    <w:rsid w:val="00B867CE"/>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15ABA"/>
    <w:rsid w:val="00C206F1"/>
    <w:rsid w:val="00C217E1"/>
    <w:rsid w:val="00C219B1"/>
    <w:rsid w:val="00C25A1D"/>
    <w:rsid w:val="00C306E6"/>
    <w:rsid w:val="00C4015B"/>
    <w:rsid w:val="00C40C60"/>
    <w:rsid w:val="00C5258E"/>
    <w:rsid w:val="00C530C9"/>
    <w:rsid w:val="00C619A7"/>
    <w:rsid w:val="00C70130"/>
    <w:rsid w:val="00C73D5F"/>
    <w:rsid w:val="00C93BEE"/>
    <w:rsid w:val="00C97C80"/>
    <w:rsid w:val="00CA47D3"/>
    <w:rsid w:val="00CA6533"/>
    <w:rsid w:val="00CA6A25"/>
    <w:rsid w:val="00CA6A3F"/>
    <w:rsid w:val="00CA7C99"/>
    <w:rsid w:val="00CC6290"/>
    <w:rsid w:val="00CC7BA8"/>
    <w:rsid w:val="00CD04AA"/>
    <w:rsid w:val="00CD233D"/>
    <w:rsid w:val="00CD362D"/>
    <w:rsid w:val="00CD7738"/>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4F08"/>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4E0E"/>
    <w:rsid w:val="00E15881"/>
    <w:rsid w:val="00E16996"/>
    <w:rsid w:val="00E16A8F"/>
    <w:rsid w:val="00E21DE3"/>
    <w:rsid w:val="00E307D1"/>
    <w:rsid w:val="00E31177"/>
    <w:rsid w:val="00E3731D"/>
    <w:rsid w:val="00E47762"/>
    <w:rsid w:val="00E51469"/>
    <w:rsid w:val="00E634E3"/>
    <w:rsid w:val="00E717C4"/>
    <w:rsid w:val="00E758A2"/>
    <w:rsid w:val="00E77E18"/>
    <w:rsid w:val="00E77F89"/>
    <w:rsid w:val="00E80330"/>
    <w:rsid w:val="00E806C5"/>
    <w:rsid w:val="00E80E71"/>
    <w:rsid w:val="00E850D3"/>
    <w:rsid w:val="00E853D6"/>
    <w:rsid w:val="00E876B9"/>
    <w:rsid w:val="00E9338F"/>
    <w:rsid w:val="00E94331"/>
    <w:rsid w:val="00EB15D4"/>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E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uiPriority w:val="9"/>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Tekstopmerking">
    <w:name w:val="annotation text"/>
    <w:basedOn w:val="Standaard"/>
    <w:link w:val="TekstopmerkingChar"/>
    <w:uiPriority w:val="99"/>
    <w:semiHidden/>
    <w:unhideWhenUsed/>
    <w:rsid w:val="00374D64"/>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74D64"/>
    <w:rPr>
      <w:rFonts w:asciiTheme="minorHAnsi" w:eastAsiaTheme="minorHAnsi" w:hAnsiTheme="minorHAnsi" w:cstheme="minorBidi"/>
      <w:lang w:val="nl-NL"/>
    </w:rPr>
  </w:style>
  <w:style w:type="character" w:styleId="Verwijzingopmerking">
    <w:name w:val="annotation reference"/>
    <w:basedOn w:val="Standaardalinea-lettertype"/>
    <w:uiPriority w:val="99"/>
    <w:semiHidden/>
    <w:unhideWhenUsed/>
    <w:rsid w:val="00374D64"/>
    <w:rPr>
      <w:sz w:val="16"/>
      <w:szCs w:val="16"/>
    </w:rPr>
  </w:style>
  <w:style w:type="character" w:styleId="Voetnootmarkering">
    <w:name w:val="footnote reference"/>
    <w:basedOn w:val="Standaardalinea-lettertype"/>
    <w:uiPriority w:val="99"/>
    <w:semiHidden/>
    <w:unhideWhenUsed/>
    <w:rsid w:val="008D6573"/>
    <w:rPr>
      <w:vertAlign w:val="superscript"/>
    </w:rPr>
  </w:style>
  <w:style w:type="character" w:customStyle="1" w:styleId="LijstalineaChar">
    <w:name w:val="Lijstalinea Char"/>
    <w:aliases w:val="Lijst meerdere niveaus Char,KWR-List Char,Lijstalinea niv 1 Char,Dot pt Char,F5 List Paragraph Char,List Paragraph1 Char,No Spacing1 Char,List Paragraph Char Char Char Char,Indicator Text Char,Numbered Para 1 Char,Bullet 1 Char,L Char"/>
    <w:basedOn w:val="Standaardalinea-lettertype"/>
    <w:link w:val="Lijstalinea"/>
    <w:uiPriority w:val="34"/>
    <w:locked/>
    <w:rsid w:val="007D1795"/>
    <w:rPr>
      <w:sz w:val="22"/>
      <w:szCs w:val="22"/>
    </w:rPr>
  </w:style>
  <w:style w:type="paragraph" w:styleId="Lijstalinea">
    <w:name w:val="List Paragraph"/>
    <w:aliases w:val="Lijst meerdere niveaus,KWR-List,Lijstalinea niv 1,Dot pt,F5 List Paragraph,List Paragraph1,No Spacing1,List Paragraph Char Char Char,Indicator Text,Numbered Para 1,Bullet 1,Bullet Points,Párrafo de lista,MAIN CONTENT,Recommendation,L"/>
    <w:basedOn w:val="Standaard"/>
    <w:link w:val="LijstalineaChar"/>
    <w:uiPriority w:val="34"/>
    <w:qFormat/>
    <w:rsid w:val="007D1795"/>
    <w:pPr>
      <w:spacing w:after="160" w:line="256" w:lineRule="auto"/>
      <w:ind w:left="720"/>
      <w:contextualSpacing/>
    </w:pPr>
    <w:rPr>
      <w:rFonts w:ascii="Times New Roman" w:hAnsi="Times New Roman"/>
      <w:sz w:val="22"/>
      <w:szCs w:val="22"/>
      <w:lang w:val="en-US" w:eastAsia="en-US"/>
    </w:rPr>
  </w:style>
  <w:style w:type="paragraph" w:customStyle="1" w:styleId="pf0">
    <w:name w:val="pf0"/>
    <w:basedOn w:val="Standaard"/>
    <w:rsid w:val="007D1795"/>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7D1795"/>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jksoverheid.nl/documenten/kamerstukken/2025/07/18/kamerbrief-kaderrichtlijn-wat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iplo.nl/thema/water/documenten/oppervlaktewaterkwaliteit/kaderrichtlijn-water/uitvoering-krw/krw-impulsprogramma/handreiking-technische-doelaanpassing/" TargetMode="External"/><Relationship Id="rId1" Type="http://schemas.openxmlformats.org/officeDocument/2006/relationships/hyperlink" Target="https://www.stowa.nl/nieuws/handreiking_krw_doel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2118</ap:Words>
  <ap:Characters>11655</ap:Characters>
  <ap:DocSecurity>0</ap:DocSecurity>
  <ap:Lines>97</ap:Lines>
  <ap:Paragraphs>27</ap:Paragraphs>
  <ap:ScaleCrop>false</ap:ScaleCrop>
  <ap:LinksUpToDate>false</ap:LinksUpToDate>
  <ap:CharactersWithSpaces>13746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2026-02-19T13:44:00.0000000Z</dcterms:created>
  <dcterms:modified xsi:type="dcterms:W3CDTF">2026-02-19T13:45:00.0000000Z</dcterms:modified>
  <dc:description>------------------------</dc:description>
  <dc:subject/>
  <keywords/>
  <version/>
  <category/>
</coreProperties>
</file>