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2026Z03532</w:t>
        <w:br/>
      </w:r>
      <w:proofErr w:type="spellEnd"/>
    </w:p>
    <w:p>
      <w:pPr>
        <w:pStyle w:val="Normal"/>
        <w:rPr>
          <w:b w:val="1"/>
          <w:bCs w:val="1"/>
        </w:rPr>
      </w:pPr>
      <w:r w:rsidR="250AE766">
        <w:rPr>
          <w:b w:val="0"/>
          <w:bCs w:val="0"/>
        </w:rPr>
        <w:t>(ingezonden 20 februari 2026)</w:t>
        <w:br/>
      </w:r>
    </w:p>
    <w:p>
      <w:r>
        <w:t xml:space="preserve">Vragen van de leden Straatman en Armut (beiden CDA) aan de minister van Justitie en Veiligheid en de staatssecretaris van Onderwijs, Cultuur en Wetenschap over het bericht 'Voor vier op de tien scholieren uit Groningen en Drenthe komt georganiseerde criminaliteit dichtbij'</w:t>
      </w:r>
      <w:r>
        <w:br/>
      </w:r>
    </w:p>
    <w:p>
      <w:r>
        <w:t xml:space="preserve"> </w:t>
      </w:r>
      <w:r>
        <w:br/>
      </w:r>
    </w:p>
    <w:p>
      <w:pPr>
        <w:pStyle w:val="ListParagraph"/>
        <w:numPr>
          <w:ilvl w:val="0"/>
          <w:numId w:val="100497950"/>
        </w:numPr>
        <w:ind w:left="360"/>
      </w:pPr>
      <w:r>
        <w:t xml:space="preserve">Bent u bekend met het bericht 'Voor vier op de tien scholieren uit Groningen en Drenthe komt georganiseerde criminaliteit dichtbij'? 1)</w:t>
      </w:r>
      <w:r>
        <w:br/>
      </w:r>
    </w:p>
    <w:p>
      <w:pPr>
        <w:pStyle w:val="ListParagraph"/>
        <w:numPr>
          <w:ilvl w:val="0"/>
          <w:numId w:val="100497950"/>
        </w:numPr>
        <w:ind w:left="360"/>
      </w:pPr>
      <w:r>
        <w:t xml:space="preserve">Deelt u de mening dat het zeer zorgwekkend en onaanvaardbaar is dat een dergelijk groot aandeel jongeren in deze regio’s in aanraking komt met georganiseerde criminaliteit?</w:t>
      </w:r>
      <w:r>
        <w:br/>
      </w:r>
    </w:p>
    <w:p>
      <w:pPr>
        <w:pStyle w:val="ListParagraph"/>
        <w:numPr>
          <w:ilvl w:val="0"/>
          <w:numId w:val="100497950"/>
        </w:numPr>
        <w:ind w:left="360"/>
      </w:pPr>
      <w:r>
        <w:t xml:space="preserve">Hoe duidt u deze cijfers specifiek voor Groningen en Drenthe, mede in het licht van de bredere aanpak van ondermijnende criminaliteit in Noord-Nederland?</w:t>
      </w:r>
      <w:r>
        <w:br/>
      </w:r>
    </w:p>
    <w:p>
      <w:pPr>
        <w:pStyle w:val="ListParagraph"/>
        <w:numPr>
          <w:ilvl w:val="0"/>
          <w:numId w:val="100497950"/>
        </w:numPr>
        <w:ind w:left="360"/>
      </w:pPr>
      <w:r>
        <w:t xml:space="preserve">Beschikt u over vergelijkbare regionale cijfers voor andere delen van Nederland, en hoe verhouden de signalen uit Groningen en Drenthe zich tot de rest van het land?</w:t>
      </w:r>
      <w:r>
        <w:br/>
      </w:r>
    </w:p>
    <w:p>
      <w:pPr>
        <w:pStyle w:val="ListParagraph"/>
        <w:numPr>
          <w:ilvl w:val="0"/>
          <w:numId w:val="100497950"/>
        </w:numPr>
        <w:ind w:left="360"/>
      </w:pPr>
      <w:r>
        <w:t xml:space="preserve">Hoe verklaart u dat juist in Groningen en Drenthe dergelijke hoge percentages worden gemeten, en ziet u hier specifieke regionale risicofactoren, zoals beperkte handhavingscapaciteit en een ontstaan waterbedeffect voor ondermijnende criminaliteit in die regio’s?</w:t>
      </w:r>
      <w:r>
        <w:br/>
      </w:r>
    </w:p>
    <w:p>
      <w:pPr>
        <w:pStyle w:val="ListParagraph"/>
        <w:numPr>
          <w:ilvl w:val="0"/>
          <w:numId w:val="100497950"/>
        </w:numPr>
        <w:ind w:left="360"/>
      </w:pPr>
      <w:r>
        <w:t xml:space="preserve">Kunt u aangeven welke concrete resultaten de huidige landelijke aanpak van jeugdige betrokkenheid bij ondermijnende criminaliteit in Noord-Nederland de afgelopen drie jaar heeft opgeleverd?</w:t>
      </w:r>
      <w:r>
        <w:br/>
      </w:r>
    </w:p>
    <w:p>
      <w:pPr>
        <w:pStyle w:val="ListParagraph"/>
        <w:numPr>
          <w:ilvl w:val="0"/>
          <w:numId w:val="100497950"/>
        </w:numPr>
        <w:ind w:left="360"/>
      </w:pPr>
      <w:r>
        <w:t xml:space="preserve">In hoeverre maakt de preventie van jeugdige betrokkenheid bij georganiseerde en ondermijnende criminaliteit expliciet onderdeel uit van het Nationaal Programma Leefbaarheid en Veiligheid in Groningen en welke concrete resultaten zijn tot dusver bereikt in de betrokken gebieden?</w:t>
      </w:r>
      <w:r>
        <w:br/>
      </w:r>
    </w:p>
    <w:p>
      <w:pPr>
        <w:pStyle w:val="ListParagraph"/>
        <w:numPr>
          <w:ilvl w:val="0"/>
          <w:numId w:val="100497950"/>
        </w:numPr>
        <w:ind w:left="360"/>
      </w:pPr>
      <w:r>
        <w:t xml:space="preserve">Acht u de politiecapaciteit, preventieve inzet en ketensamenwerking tussen gemeenten, politie en het Openbaar Ministerie in Groningen en Drenthe toereikend om ronselpraktijken onder jongeren tijdig te signaleren en effectief tegen te gaan? Hoe is de rolverdeling binnen deze samenwerking vormgegeven, hoe wordt deze gemonitord, en waarop baseert u uw oordeel over de effectiviteit daarvan?</w:t>
      </w:r>
      <w:r>
        <w:br/>
      </w:r>
    </w:p>
    <w:p>
      <w:pPr>
        <w:pStyle w:val="ListParagraph"/>
        <w:numPr>
          <w:ilvl w:val="0"/>
          <w:numId w:val="100497950"/>
        </w:numPr>
        <w:ind w:left="360"/>
      </w:pPr>
      <w:r>
        <w:t xml:space="preserve">Welke preventieve programma’s zijn in Groningen en Drenthe beschikbaar om jongeren weerbaarder te maken tegen criminele uitbuiting, en hoe wordt de effectiviteit daarvan gemeten?</w:t>
      </w:r>
      <w:r>
        <w:br/>
      </w:r>
    </w:p>
    <w:p>
      <w:pPr>
        <w:pStyle w:val="ListParagraph"/>
        <w:numPr>
          <w:ilvl w:val="0"/>
          <w:numId w:val="100497950"/>
        </w:numPr>
        <w:ind w:left="360"/>
      </w:pPr>
      <w:r>
        <w:t xml:space="preserve">Op welke wijze vindt afstemming plaats met de minister van Onderwijs, Cultuur en Wetenschap over de rol van scholen in het signaleren en voorkomen van betrokkenheid van leerlingen bij georganiseerde criminaliteit?</w:t>
      </w:r>
      <w:r>
        <w:br/>
      </w:r>
    </w:p>
    <w:p>
      <w:pPr>
        <w:pStyle w:val="ListParagraph"/>
        <w:numPr>
          <w:ilvl w:val="0"/>
          <w:numId w:val="100497950"/>
        </w:numPr>
        <w:ind w:left="360"/>
      </w:pPr>
      <w:r>
        <w:t xml:space="preserve">Bent u bereid te onderzoeken of scholen in Groningen en Drenthe extra ondersteuning nodig hebben bij burgerschapsvorming, digitale weerbaarheid en het herkennen van signalen van crimineel ronselen?</w:t>
      </w:r>
      <w:r>
        <w:br/>
      </w:r>
    </w:p>
    <w:p>
      <w:pPr>
        <w:pStyle w:val="ListParagraph"/>
        <w:numPr>
          <w:ilvl w:val="0"/>
          <w:numId w:val="100497950"/>
        </w:numPr>
        <w:ind w:left="360"/>
      </w:pPr>
      <w:r>
        <w:t xml:space="preserve">Bent u bereid om te bezien of voor Noord-Nederland een gerichte, integrale en regionaal toegesneden aanpak nodig is waarin veiligheid, onderwijs en preventie nadrukkelijk worden verbonden, en de Kamer hierover te informeren?</w:t>
      </w:r>
      <w:r>
        <w:br/>
      </w:r>
      <w:r>
        <w:t xml:space="preserve"/>
      </w:r>
      <w:r>
        <w:br/>
      </w:r>
      <w:r>
        <w:t xml:space="preserve">1) Trouw, 18 februari 2026, Voor vier op de tien scholieren uit Groningen en Drenthe komt georganiseerde criminaliteit dichtbij(https://www.trouw.nl/binnenland/voor-vier-op-de-tien-scholieren-uit-groningen-en-drenthe-komt-georganiseerde-criminaliteit-dichtbij~b9bd7fdf/).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9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940">
    <w:abstractNumId w:val="1004979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