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A93934" w:rsidRDefault="00340ECA" w14:paraId="38C91902" w14:textId="77777777"/>
    <w:p w:rsidR="005538F9" w:rsidP="00A93934" w:rsidRDefault="005538F9" w14:paraId="34EA2A2D" w14:textId="38818CAD">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Geachte </w:t>
      </w:r>
      <w:r w:rsidR="00A93934">
        <w:rPr>
          <w:rStyle w:val="normaltextrun"/>
          <w:rFonts w:ascii="Verdana" w:hAnsi="Verdana" w:cs="Segoe UI"/>
          <w:sz w:val="18"/>
          <w:szCs w:val="18"/>
        </w:rPr>
        <w:t>V</w:t>
      </w:r>
      <w:r>
        <w:rPr>
          <w:rStyle w:val="normaltextrun"/>
          <w:rFonts w:ascii="Verdana" w:hAnsi="Verdana" w:cs="Segoe UI"/>
          <w:sz w:val="18"/>
          <w:szCs w:val="18"/>
        </w:rPr>
        <w:t>oorzitter,</w:t>
      </w:r>
      <w:r>
        <w:rPr>
          <w:rStyle w:val="eop"/>
          <w:rFonts w:ascii="Verdana" w:hAnsi="Verdana" w:cs="Segoe UI"/>
          <w:sz w:val="18"/>
          <w:szCs w:val="18"/>
        </w:rPr>
        <w:t> </w:t>
      </w:r>
    </w:p>
    <w:p w:rsidR="005538F9" w:rsidP="00A93934" w:rsidRDefault="005538F9" w14:paraId="4AD1A25B"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5538F9" w:rsidP="00A93934" w:rsidRDefault="005538F9" w14:paraId="1660D65E" w14:textId="3F7A31BD">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Het ministerie van EZ heeft </w:t>
      </w:r>
      <w:r w:rsidR="00741267">
        <w:rPr>
          <w:rStyle w:val="normaltextrun"/>
          <w:rFonts w:ascii="Verdana" w:hAnsi="Verdana" w:cs="Segoe UI"/>
          <w:sz w:val="18"/>
          <w:szCs w:val="18"/>
        </w:rPr>
        <w:t xml:space="preserve">enige tijd geleden </w:t>
      </w:r>
      <w:r>
        <w:rPr>
          <w:rStyle w:val="normaltextrun"/>
          <w:rFonts w:ascii="Verdana" w:hAnsi="Verdana" w:cs="Segoe UI"/>
          <w:sz w:val="18"/>
          <w:szCs w:val="18"/>
        </w:rPr>
        <w:t xml:space="preserve">SEO Economisch Onderzoek (SEO) en de Universiteit Leiden gevraagd een evaluatie van de Wet ongewenste zeggenschap telecommunicatie (WOZT) en een tussentijdse evaluatie op hoofdlijnen van de Wet </w:t>
      </w:r>
      <w:r>
        <w:rPr>
          <w:rStyle w:val="normaltextrun"/>
          <w:rFonts w:ascii="Verdana" w:hAnsi="Verdana" w:cs="Segoe UI"/>
          <w:color w:val="000000"/>
          <w:sz w:val="18"/>
          <w:szCs w:val="18"/>
        </w:rPr>
        <w:t xml:space="preserve">veiligheidstoets investeringen, fusies en overnames (Wet vifo) </w:t>
      </w:r>
      <w:r>
        <w:rPr>
          <w:rStyle w:val="normaltextrun"/>
          <w:rFonts w:ascii="Verdana" w:hAnsi="Verdana" w:cs="Segoe UI"/>
          <w:sz w:val="18"/>
          <w:szCs w:val="18"/>
        </w:rPr>
        <w:t>uit te voeren. Door middel van deze brief informeer ik uw Kamer over de afronding van deze evaluatie.</w:t>
      </w:r>
      <w:r>
        <w:rPr>
          <w:rStyle w:val="normaltextrun"/>
          <w:rFonts w:ascii="Verdana" w:hAnsi="Verdana" w:cs="Segoe UI"/>
          <w:color w:val="000000"/>
          <w:sz w:val="18"/>
          <w:szCs w:val="18"/>
        </w:rPr>
        <w:t xml:space="preserve"> Om efficiëntie te bevorderen en de samenhang tussen beide wetten te waarborgen, zijn de evaluaties van de WOZT en de Wet vifo als één opdracht uitgezet bij een extern onderzoeksbureau. Dit is conform de toezegging op het verzoek van Kamerlid Thijssen tijdens het commissiedebat Telecom begin 2025.</w:t>
      </w:r>
      <w:r>
        <w:rPr>
          <w:rStyle w:val="superscript"/>
          <w:rFonts w:ascii="Verdana" w:hAnsi="Verdana" w:cs="Segoe UI"/>
          <w:color w:val="000000"/>
          <w:sz w:val="14"/>
          <w:szCs w:val="14"/>
          <w:vertAlign w:val="superscript"/>
        </w:rPr>
        <w:t>1</w:t>
      </w:r>
      <w:r>
        <w:rPr>
          <w:rStyle w:val="normaltextrun"/>
          <w:rFonts w:ascii="Verdana" w:hAnsi="Verdana" w:cs="Segoe UI"/>
          <w:color w:val="000000"/>
          <w:sz w:val="18"/>
          <w:szCs w:val="18"/>
        </w:rPr>
        <w:t xml:space="preserve"> </w:t>
      </w:r>
      <w:r w:rsidR="008813A0">
        <w:rPr>
          <w:rStyle w:val="normaltextrun"/>
          <w:rFonts w:ascii="Verdana" w:hAnsi="Verdana" w:cs="Segoe UI"/>
          <w:color w:val="000000"/>
          <w:sz w:val="18"/>
          <w:szCs w:val="18"/>
        </w:rPr>
        <w:t xml:space="preserve">Hierbij </w:t>
      </w:r>
      <w:r>
        <w:rPr>
          <w:rStyle w:val="normaltextrun"/>
          <w:rFonts w:ascii="Verdana" w:hAnsi="Verdana" w:cs="Segoe UI"/>
          <w:color w:val="000000"/>
          <w:sz w:val="18"/>
          <w:szCs w:val="18"/>
        </w:rPr>
        <w:t>bied ik u</w:t>
      </w:r>
      <w:r w:rsidR="00432A0A">
        <w:rPr>
          <w:rStyle w:val="normaltextrun"/>
          <w:rFonts w:ascii="Verdana" w:hAnsi="Verdana" w:cs="Segoe UI"/>
          <w:color w:val="000000"/>
          <w:sz w:val="18"/>
          <w:szCs w:val="18"/>
        </w:rPr>
        <w:t>,</w:t>
      </w:r>
      <w:r w:rsidR="00BC36E5">
        <w:rPr>
          <w:rStyle w:val="normaltextrun"/>
          <w:rFonts w:ascii="Verdana" w:hAnsi="Verdana" w:cs="Segoe UI"/>
          <w:color w:val="000000"/>
          <w:sz w:val="18"/>
          <w:szCs w:val="18"/>
        </w:rPr>
        <w:t xml:space="preserve"> mede namens de minister van Justitie en Veiligheid</w:t>
      </w:r>
      <w:r w:rsidR="00432A0A">
        <w:rPr>
          <w:rStyle w:val="normaltextrun"/>
          <w:rFonts w:ascii="Verdana" w:hAnsi="Verdana" w:cs="Segoe UI"/>
          <w:color w:val="000000"/>
          <w:sz w:val="18"/>
          <w:szCs w:val="18"/>
        </w:rPr>
        <w:t>,</w:t>
      </w:r>
      <w:r>
        <w:rPr>
          <w:rStyle w:val="normaltextrun"/>
          <w:rFonts w:ascii="Verdana" w:hAnsi="Verdana" w:cs="Segoe UI"/>
          <w:color w:val="000000"/>
          <w:sz w:val="18"/>
          <w:szCs w:val="18"/>
        </w:rPr>
        <w:t xml:space="preserve"> het evaluatierapport aan. </w:t>
      </w:r>
      <w:r>
        <w:rPr>
          <w:rStyle w:val="eop"/>
          <w:rFonts w:ascii="Verdana" w:hAnsi="Verdana" w:cs="Segoe UI"/>
          <w:color w:val="000000"/>
          <w:sz w:val="18"/>
          <w:szCs w:val="18"/>
        </w:rPr>
        <w:t> </w:t>
      </w:r>
    </w:p>
    <w:p w:rsidRPr="00B32952" w:rsidR="00B32952" w:rsidP="00A93934" w:rsidRDefault="00B32952" w14:paraId="3FE57B66" w14:textId="2AA422F5">
      <w:pPr>
        <w:pStyle w:val="paragraph"/>
        <w:spacing w:before="0" w:beforeAutospacing="0" w:after="0" w:afterAutospacing="0" w:line="240" w:lineRule="atLeast"/>
        <w:textAlignment w:val="baseline"/>
        <w:rPr>
          <w:rStyle w:val="normaltextrun"/>
          <w:rFonts w:ascii="Verdana" w:hAnsi="Verdana" w:cs="Segoe UI"/>
          <w:sz w:val="18"/>
          <w:szCs w:val="18"/>
        </w:rPr>
      </w:pPr>
    </w:p>
    <w:p w:rsidRPr="00AA64A4" w:rsidR="005538F9" w:rsidP="00A93934" w:rsidRDefault="005538F9" w14:paraId="1C0C9BB5" w14:textId="10517A99">
      <w:pPr>
        <w:pStyle w:val="paragraph"/>
        <w:spacing w:before="0" w:beforeAutospacing="0" w:after="0" w:afterAutospacing="0" w:line="240" w:lineRule="atLeast"/>
        <w:textAlignment w:val="baseline"/>
        <w:rPr>
          <w:rFonts w:ascii="Segoe UI" w:hAnsi="Segoe UI" w:cs="Segoe UI"/>
          <w:sz w:val="18"/>
          <w:szCs w:val="18"/>
        </w:rPr>
      </w:pPr>
      <w:r w:rsidRPr="00AA64A4">
        <w:rPr>
          <w:rStyle w:val="normaltextrun"/>
          <w:rFonts w:ascii="Verdana" w:hAnsi="Verdana" w:cs="Segoe UI"/>
          <w:b/>
          <w:bCs/>
          <w:sz w:val="18"/>
          <w:szCs w:val="18"/>
        </w:rPr>
        <w:t>WOZT</w:t>
      </w:r>
      <w:r w:rsidRPr="00AA64A4">
        <w:rPr>
          <w:rStyle w:val="eop"/>
          <w:rFonts w:ascii="Verdana" w:hAnsi="Verdana" w:cs="Segoe UI"/>
          <w:sz w:val="18"/>
          <w:szCs w:val="18"/>
        </w:rPr>
        <w:t> </w:t>
      </w:r>
    </w:p>
    <w:p w:rsidR="005538F9" w:rsidP="00A93934" w:rsidRDefault="005538F9" w14:paraId="2ABE3424" w14:textId="0BA6B434">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De WOZT is in 2020 in het leven geroepen met als doel het beschermen van de nationale veiligheid en openbare orde door te voorkomen dat bepaalde telecommunicatiepartijen in handen vallen van partijen die hun zeggenschap kunnen gebruiken om deze te schaden. De WOZT heeft een signalerende, preventieve en waarborgende functie. Het bestaan van de wet heeft als gevolg, zo blijkt uit de evaluatie, dat potentiële partijen met een risicoprofiel ontmoedigd worden om te investeren binnen de telecommunicatiesector waardoor daadwerkelijk ingrijpen overbodig is. Wat betreft de </w:t>
      </w:r>
      <w:r w:rsidR="00B32952">
        <w:rPr>
          <w:rStyle w:val="normaltextrun"/>
          <w:rFonts w:ascii="Verdana" w:hAnsi="Verdana" w:cs="Segoe UI"/>
          <w:sz w:val="18"/>
          <w:szCs w:val="18"/>
        </w:rPr>
        <w:t xml:space="preserve">impact op de </w:t>
      </w:r>
      <w:r>
        <w:rPr>
          <w:rStyle w:val="normaltextrun"/>
          <w:rFonts w:ascii="Verdana" w:hAnsi="Verdana" w:cs="Segoe UI"/>
          <w:sz w:val="18"/>
          <w:szCs w:val="18"/>
        </w:rPr>
        <w:t xml:space="preserve">risico’s </w:t>
      </w:r>
      <w:r w:rsidR="00B32952">
        <w:rPr>
          <w:rStyle w:val="normaltextrun"/>
          <w:rFonts w:ascii="Verdana" w:hAnsi="Verdana" w:cs="Segoe UI"/>
          <w:sz w:val="18"/>
          <w:szCs w:val="18"/>
        </w:rPr>
        <w:t>voor</w:t>
      </w:r>
      <w:r>
        <w:rPr>
          <w:rStyle w:val="normaltextrun"/>
          <w:rFonts w:ascii="Verdana" w:hAnsi="Verdana" w:cs="Segoe UI"/>
          <w:sz w:val="18"/>
          <w:szCs w:val="18"/>
        </w:rPr>
        <w:t xml:space="preserve"> de nationale veiligheid stellen de onderzoekers dat deze lastig vast te stellen is</w:t>
      </w:r>
      <w:r w:rsidR="00B32952">
        <w:rPr>
          <w:rStyle w:val="normaltextrun"/>
          <w:rFonts w:ascii="Verdana" w:hAnsi="Verdana" w:cs="Segoe UI"/>
          <w:sz w:val="18"/>
          <w:szCs w:val="18"/>
        </w:rPr>
        <w:t xml:space="preserve">, </w:t>
      </w:r>
      <w:r w:rsidRPr="00B32952" w:rsidR="00B32952">
        <w:rPr>
          <w:rStyle w:val="normaltextrun"/>
          <w:rFonts w:ascii="Verdana" w:hAnsi="Verdana" w:cs="Segoe UI"/>
          <w:sz w:val="18"/>
          <w:szCs w:val="18"/>
        </w:rPr>
        <w:t>doordat de inhoud van de toetsen en de gesignaleerde risico’s vertrouwelijk zijn</w:t>
      </w:r>
      <w:r>
        <w:rPr>
          <w:rStyle w:val="normaltextrun"/>
          <w:rFonts w:ascii="Verdana" w:hAnsi="Verdana" w:cs="Segoe UI"/>
          <w:sz w:val="18"/>
          <w:szCs w:val="18"/>
        </w:rPr>
        <w:t xml:space="preserve">. </w:t>
      </w:r>
      <w:r>
        <w:rPr>
          <w:rStyle w:val="normaltextrun"/>
          <w:rFonts w:ascii="Verdana" w:hAnsi="Verdana" w:cs="Segoe UI"/>
          <w:color w:val="000000"/>
          <w:sz w:val="18"/>
          <w:szCs w:val="18"/>
        </w:rPr>
        <w:t>Het kabinet verwelkomt de conclusie van het rapport dat de WOZT waarschijnlijk het nagestreefde doel bereikt, namelijk het beperken van ongewenste zeggenschap of significante invloed.</w:t>
      </w:r>
      <w:r>
        <w:rPr>
          <w:rStyle w:val="normaltextrun"/>
          <w:rFonts w:ascii="Verdana" w:hAnsi="Verdana" w:cs="Segoe UI"/>
          <w:sz w:val="18"/>
          <w:szCs w:val="18"/>
        </w:rPr>
        <w:t xml:space="preserve"> Met deze evaluatie wordt uitvoering gegeven aan de eis uit de Telecommunicatiewet om </w:t>
      </w:r>
      <w:r>
        <w:rPr>
          <w:rStyle w:val="normaltextrun"/>
          <w:rFonts w:ascii="Verdana" w:hAnsi="Verdana" w:cs="Segoe UI"/>
          <w:i/>
          <w:iCs/>
          <w:sz w:val="18"/>
          <w:szCs w:val="18"/>
        </w:rPr>
        <w:t>“binnen vijf jaar na de inwerkingtreding […]</w:t>
      </w:r>
      <w:r w:rsidR="00B32952">
        <w:rPr>
          <w:rStyle w:val="normaltextrun"/>
          <w:rFonts w:ascii="Verdana" w:hAnsi="Verdana" w:cs="Segoe UI"/>
          <w:i/>
          <w:iCs/>
          <w:sz w:val="18"/>
          <w:szCs w:val="18"/>
        </w:rPr>
        <w:t xml:space="preserve"> </w:t>
      </w:r>
      <w:r>
        <w:rPr>
          <w:rStyle w:val="normaltextrun"/>
          <w:rFonts w:ascii="Verdana" w:hAnsi="Verdana" w:cs="Segoe UI"/>
          <w:i/>
          <w:iCs/>
          <w:sz w:val="18"/>
          <w:szCs w:val="18"/>
        </w:rPr>
        <w:t>over de doeltreffendheid en de effecten van [de WOZT] in de praktijk“</w:t>
      </w:r>
      <w:r>
        <w:rPr>
          <w:rStyle w:val="superscript"/>
          <w:rFonts w:ascii="Verdana" w:hAnsi="Verdana" w:cs="Segoe UI"/>
          <w:sz w:val="14"/>
          <w:szCs w:val="14"/>
          <w:vertAlign w:val="superscript"/>
        </w:rPr>
        <w:t>2</w:t>
      </w:r>
      <w:r>
        <w:rPr>
          <w:rStyle w:val="normaltextrun"/>
          <w:rFonts w:ascii="Verdana" w:hAnsi="Verdana" w:cs="Segoe UI"/>
          <w:i/>
          <w:iCs/>
          <w:sz w:val="18"/>
          <w:szCs w:val="18"/>
        </w:rPr>
        <w:t xml:space="preserve"> </w:t>
      </w:r>
      <w:r>
        <w:rPr>
          <w:rStyle w:val="normaltextrun"/>
          <w:rFonts w:ascii="Verdana" w:hAnsi="Verdana" w:cs="Segoe UI"/>
          <w:sz w:val="18"/>
          <w:szCs w:val="18"/>
        </w:rPr>
        <w:t>een evaluatie uit te voeren.</w:t>
      </w:r>
      <w:r>
        <w:rPr>
          <w:rStyle w:val="eop"/>
          <w:rFonts w:ascii="Verdana" w:hAnsi="Verdana" w:cs="Segoe UI"/>
          <w:sz w:val="18"/>
          <w:szCs w:val="18"/>
        </w:rPr>
        <w:t> </w:t>
      </w:r>
    </w:p>
    <w:p w:rsidR="005538F9" w:rsidP="00A93934" w:rsidRDefault="005538F9" w14:paraId="0CBE4D1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5538F9" w:rsidP="00A93934" w:rsidRDefault="005538F9" w14:paraId="5DE30432" w14:textId="42B09AB2">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lastRenderedPageBreak/>
        <w:t>Tijdens het eerdergenoemde commissiedebat is naar aanleiding van een vraag van Kamerlid Thijssen ook toegezegd bij de evaluatie van de WOZT te onderzoeken of aanbieders van clouddiensten onder de werking van de WOZT moeten worden gebracht. Een besluit over de reikwijdte van de WOZT is een politieke keuze die gezien de huidige demissionaire status aan het volgend kabinet gelaten wordt. Wel zijn er enkele aandachtspunten om met uw Kamer te delen. De markt voor clouddiensten in Nederland wordt, net als in de rest van de Europese Unie, gedomineerd door enkele zeer grote Amerikaanse aanbieders. Uit een marktonderzoek van de ACM</w:t>
      </w:r>
      <w:r>
        <w:rPr>
          <w:rStyle w:val="superscript"/>
          <w:rFonts w:ascii="Verdana" w:hAnsi="Verdana" w:cs="Segoe UI"/>
          <w:sz w:val="14"/>
          <w:szCs w:val="14"/>
          <w:vertAlign w:val="superscript"/>
        </w:rPr>
        <w:t>3</w:t>
      </w:r>
      <w:r>
        <w:rPr>
          <w:rStyle w:val="normaltextrun"/>
          <w:rFonts w:ascii="Verdana" w:hAnsi="Verdana" w:cs="Segoe UI"/>
          <w:sz w:val="18"/>
          <w:szCs w:val="18"/>
        </w:rPr>
        <w:t xml:space="preserve"> blijkt dat 75 tot 90 procent van de markt in Nederland in handen is van dergelijke grote (niet-Europese) spelers. Voor deze </w:t>
      </w:r>
      <w:r w:rsidR="00632567">
        <w:rPr>
          <w:rStyle w:val="normaltextrun"/>
          <w:rFonts w:ascii="Verdana" w:hAnsi="Verdana" w:cs="Segoe UI"/>
          <w:sz w:val="18"/>
          <w:szCs w:val="18"/>
        </w:rPr>
        <w:t xml:space="preserve">gevestigde </w:t>
      </w:r>
      <w:r>
        <w:rPr>
          <w:rStyle w:val="normaltextrun"/>
          <w:rFonts w:ascii="Verdana" w:hAnsi="Verdana" w:cs="Segoe UI"/>
          <w:sz w:val="18"/>
          <w:szCs w:val="18"/>
        </w:rPr>
        <w:t xml:space="preserve">partijen lijkt het onderbrengen van clouddiensten onder de WOZT op voorhand niet erg effectief. Daarnaast bestaat de markt voor clouddiensten uit Nederlandse aanbieders die weliswaar kleiner van omvang zijn dan de Amerikaanse aanbieders, maar evengoed kunnen deze partijen relevante diensten aanbieden waarvoor het mogelijk van belang is deze in het kader van de nationale veiligheid te beschermen. </w:t>
      </w:r>
      <w:r>
        <w:rPr>
          <w:rStyle w:val="eop"/>
          <w:rFonts w:ascii="Verdana" w:hAnsi="Verdana" w:cs="Segoe UI"/>
          <w:sz w:val="18"/>
          <w:szCs w:val="18"/>
        </w:rPr>
        <w:t> </w:t>
      </w:r>
    </w:p>
    <w:p w:rsidR="005538F9" w:rsidP="00A93934" w:rsidRDefault="005538F9" w14:paraId="0716339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5538F9" w:rsidP="00A93934" w:rsidRDefault="005538F9" w14:paraId="6924D810" w14:textId="253366EC">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Hoe mogelijke risico’s op de nationale veiligheid voor deze Nederlandse partijen </w:t>
      </w:r>
      <w:r w:rsidR="00B32952">
        <w:rPr>
          <w:rStyle w:val="normaltextrun"/>
          <w:rFonts w:ascii="Verdana" w:hAnsi="Verdana" w:cs="Segoe UI"/>
          <w:sz w:val="18"/>
          <w:szCs w:val="18"/>
        </w:rPr>
        <w:t>ondervangen k</w:t>
      </w:r>
      <w:r w:rsidR="008813A0">
        <w:rPr>
          <w:rStyle w:val="normaltextrun"/>
          <w:rFonts w:ascii="Verdana" w:hAnsi="Verdana" w:cs="Segoe UI"/>
          <w:sz w:val="18"/>
          <w:szCs w:val="18"/>
        </w:rPr>
        <w:t>unnen</w:t>
      </w:r>
      <w:r w:rsidR="00B32952">
        <w:rPr>
          <w:rStyle w:val="normaltextrun"/>
          <w:rFonts w:ascii="Verdana" w:hAnsi="Verdana" w:cs="Segoe UI"/>
          <w:sz w:val="18"/>
          <w:szCs w:val="18"/>
        </w:rPr>
        <w:t xml:space="preserve"> worden</w:t>
      </w:r>
      <w:r>
        <w:rPr>
          <w:rStyle w:val="normaltextrun"/>
          <w:rFonts w:ascii="Verdana" w:hAnsi="Verdana" w:cs="Segoe UI"/>
          <w:sz w:val="18"/>
          <w:szCs w:val="18"/>
        </w:rPr>
        <w:t xml:space="preserve"> en of de WOZT daar </w:t>
      </w:r>
      <w:r w:rsidR="00B32952">
        <w:rPr>
          <w:rStyle w:val="normaltextrun"/>
          <w:rFonts w:ascii="Verdana" w:hAnsi="Verdana" w:cs="Segoe UI"/>
          <w:sz w:val="18"/>
          <w:szCs w:val="18"/>
        </w:rPr>
        <w:t>het juiste instrument voor is</w:t>
      </w:r>
      <w:r>
        <w:rPr>
          <w:rStyle w:val="normaltextrun"/>
          <w:rFonts w:ascii="Verdana" w:hAnsi="Verdana" w:cs="Segoe UI"/>
          <w:sz w:val="18"/>
          <w:szCs w:val="18"/>
        </w:rPr>
        <w:t xml:space="preserve"> zal het volgende kabinet moeten onderzoeken. Daarbij geldt dat het al dan niet onderbrengen van deze aanbieders onder de WOZT, en op basis van welke drempelwaarden, gebaseerd moet worden op </w:t>
      </w:r>
      <w:r w:rsidR="00B32952">
        <w:rPr>
          <w:rStyle w:val="normaltextrun"/>
          <w:rFonts w:ascii="Verdana" w:hAnsi="Verdana" w:cs="Segoe UI"/>
          <w:sz w:val="18"/>
          <w:szCs w:val="18"/>
        </w:rPr>
        <w:t xml:space="preserve">zorgvuldig </w:t>
      </w:r>
      <w:r>
        <w:rPr>
          <w:rStyle w:val="normaltextrun"/>
          <w:rFonts w:ascii="Verdana" w:hAnsi="Verdana" w:cs="Segoe UI"/>
          <w:sz w:val="18"/>
          <w:szCs w:val="18"/>
        </w:rPr>
        <w:t>onderbouwde risico's voor de nationale veiligheid en de effectiviteit van de WOZT.</w:t>
      </w:r>
      <w:r>
        <w:rPr>
          <w:rStyle w:val="eop"/>
          <w:rFonts w:ascii="Verdana" w:hAnsi="Verdana" w:cs="Segoe UI"/>
          <w:sz w:val="18"/>
          <w:szCs w:val="18"/>
        </w:rPr>
        <w:t> </w:t>
      </w:r>
    </w:p>
    <w:p w:rsidR="005538F9" w:rsidP="00A93934" w:rsidRDefault="005538F9" w14:paraId="28B46282" w14:textId="77777777">
      <w:pPr>
        <w:pStyle w:val="paragraph"/>
        <w:spacing w:before="0" w:beforeAutospacing="0" w:after="0" w:afterAutospacing="0" w:line="240" w:lineRule="atLeast"/>
        <w:textAlignment w:val="baseline"/>
        <w:rPr>
          <w:rStyle w:val="normaltextrun"/>
          <w:rFonts w:ascii="Verdana" w:hAnsi="Verdana" w:cs="Segoe UI"/>
          <w:b/>
          <w:bCs/>
          <w:sz w:val="18"/>
          <w:szCs w:val="18"/>
        </w:rPr>
      </w:pPr>
    </w:p>
    <w:p w:rsidR="005538F9" w:rsidP="00A93934" w:rsidRDefault="005538F9" w14:paraId="4581DF37" w14:textId="705930DC">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sz w:val="18"/>
          <w:szCs w:val="18"/>
        </w:rPr>
        <w:t>Wet vifo</w:t>
      </w:r>
      <w:r>
        <w:rPr>
          <w:rStyle w:val="eop"/>
          <w:rFonts w:ascii="Verdana" w:hAnsi="Verdana" w:cs="Segoe UI"/>
          <w:sz w:val="18"/>
          <w:szCs w:val="18"/>
        </w:rPr>
        <w:t> </w:t>
      </w:r>
    </w:p>
    <w:p w:rsidR="005538F9" w:rsidP="00A93934" w:rsidRDefault="005538F9" w14:paraId="225D0F0F"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De Wet vifo is in werking sinds 1 juni 2023. Deze wet heeft tot doel nationale veiligheidsrisico's die voortvloeien uit bepaalde verwervingsactiviteiten, zoals investeringen, fusies en overnames, te beheersen. De motie van de leden Van Haga en Smolders verzoekt de regering “</w:t>
      </w:r>
      <w:r>
        <w:rPr>
          <w:rStyle w:val="normaltextrun"/>
          <w:rFonts w:ascii="Verdana" w:hAnsi="Verdana" w:cs="Segoe UI"/>
          <w:i/>
          <w:iCs/>
          <w:color w:val="000000"/>
          <w:sz w:val="18"/>
          <w:szCs w:val="18"/>
        </w:rPr>
        <w:t>na twee jaar op hoofdlijnen de doeltreffendheid en andere effecten van de wet te evalueren, boven op de geplande evaluatie na vijf jaar.</w:t>
      </w:r>
      <w:r>
        <w:rPr>
          <w:rStyle w:val="normaltextrun"/>
          <w:rFonts w:ascii="Verdana" w:hAnsi="Verdana" w:cs="Segoe UI"/>
          <w:color w:val="000000"/>
          <w:sz w:val="18"/>
          <w:szCs w:val="18"/>
        </w:rPr>
        <w:t>”</w:t>
      </w:r>
      <w:r>
        <w:rPr>
          <w:rStyle w:val="superscript"/>
          <w:rFonts w:ascii="Verdana" w:hAnsi="Verdana" w:cs="Segoe UI"/>
          <w:color w:val="000000"/>
          <w:sz w:val="14"/>
          <w:szCs w:val="14"/>
          <w:vertAlign w:val="superscript"/>
        </w:rPr>
        <w:t>4</w:t>
      </w:r>
      <w:r>
        <w:rPr>
          <w:rStyle w:val="normaltextrun"/>
          <w:rFonts w:ascii="Verdana" w:hAnsi="Verdana" w:cs="Segoe UI"/>
          <w:color w:val="000000"/>
          <w:sz w:val="18"/>
          <w:szCs w:val="18"/>
        </w:rPr>
        <w:t xml:space="preserve"> Het onderhavige onderzoek heeft als doel de doeltreffendheid en de andere effecten van de Wet vifo te beoordelen, waarmee uitvoering is gegeven aan de voornoemde motie Van Haga-Smolders.</w:t>
      </w:r>
      <w:r>
        <w:rPr>
          <w:rStyle w:val="eop"/>
          <w:rFonts w:ascii="Verdana" w:hAnsi="Verdana" w:cs="Segoe UI"/>
          <w:color w:val="000000"/>
          <w:sz w:val="18"/>
          <w:szCs w:val="18"/>
        </w:rPr>
        <w:t> </w:t>
      </w:r>
    </w:p>
    <w:p w:rsidR="005538F9" w:rsidP="00A93934" w:rsidRDefault="005538F9" w14:paraId="70499DA4"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5538F9" w:rsidP="00A93934" w:rsidRDefault="005538F9" w14:paraId="67177043" w14:textId="6E954A20">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Het kabinet verwelkomt de conclusie van het rapport dat de Wet vifo waarschijnlijk het nagestreefde doel bereikt, namelijk het beperken van ongewenste zeggenschap of significante invloed. Ook verwelkomt het kabinet de onderschrijving van het onderzoek dat de neveneffecten bij de huidige vormgeving van de Wet vifo te overzien lijken.</w:t>
      </w:r>
      <w:r>
        <w:rPr>
          <w:rStyle w:val="eop"/>
          <w:rFonts w:ascii="Verdana" w:hAnsi="Verdana" w:cs="Segoe UI"/>
          <w:color w:val="000000"/>
          <w:sz w:val="18"/>
          <w:szCs w:val="18"/>
        </w:rPr>
        <w:t> </w:t>
      </w:r>
    </w:p>
    <w:p w:rsidR="005538F9" w:rsidP="00A93934" w:rsidRDefault="005538F9" w14:paraId="0E07AEA5"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5538F9" w:rsidP="00A93934" w:rsidRDefault="005538F9" w14:paraId="093AB4ED" w14:textId="740CDCBC">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Verder neemt het kabinet kennis van de aandachtspunten en verdere conclusies die het rapport meldt. Het kabinet zal deze meenemen in de doorontwikkeling van de Wet vifo, en zal nagaan of deze evaluatie aanleiding geeft tot het wijzigen van de Wet vifo. Daarbij dient ook nader te worden bezien hoe een eventuele wijziging samenhangt met andere ontwikkelingen die van invloed zijn op de Wet vifo; zo zal de Wet vifo mogelijk gewijzigd moeten worden om te zorgen dat het aansluit op de stelselwijziging m.b.t. vitale aanbieders en processen door het invoeren van de Wet weerbaarheid kritieke entiteiten. Ook eventuele constateringen uit de uitvoeringspraktijk zouden aanleiding tot wetswijziging kunnen geven. </w:t>
      </w:r>
      <w:r>
        <w:rPr>
          <w:rStyle w:val="eop"/>
          <w:rFonts w:ascii="Verdana" w:hAnsi="Verdana" w:cs="Segoe UI"/>
          <w:color w:val="000000"/>
          <w:sz w:val="18"/>
          <w:szCs w:val="18"/>
        </w:rPr>
        <w:t> </w:t>
      </w:r>
    </w:p>
    <w:p w:rsidR="005538F9" w:rsidP="00A93934" w:rsidRDefault="005538F9" w14:paraId="2EE90CAE"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5538F9" w:rsidP="00A93934" w:rsidRDefault="005538F9" w14:paraId="2C3BA1DE" w14:textId="23564104">
      <w:pPr>
        <w:pStyle w:val="paragraph"/>
        <w:spacing w:before="0" w:beforeAutospacing="0" w:after="0" w:afterAutospacing="0" w:line="240" w:lineRule="atLeast"/>
        <w:textAlignment w:val="baseline"/>
        <w:rPr>
          <w:rStyle w:val="eop"/>
          <w:rFonts w:ascii="Verdana" w:hAnsi="Verdana" w:cs="Segoe UI"/>
          <w:color w:val="000000"/>
          <w:sz w:val="18"/>
          <w:szCs w:val="18"/>
        </w:rPr>
      </w:pPr>
      <w:r>
        <w:rPr>
          <w:rStyle w:val="normaltextrun"/>
          <w:rFonts w:ascii="Verdana" w:hAnsi="Verdana" w:cs="Segoe UI"/>
          <w:color w:val="000000"/>
          <w:sz w:val="18"/>
          <w:szCs w:val="18"/>
        </w:rPr>
        <w:t>Bij het bezien wanneer dergelijke eventuele wetswijzigingen gestart kunnen worden, zal rekening moeten worden gehouden met de herziening van de FDI-Verordening. De</w:t>
      </w:r>
      <w:r w:rsidR="00B64389">
        <w:rPr>
          <w:rStyle w:val="normaltextrun"/>
          <w:rFonts w:ascii="Verdana" w:hAnsi="Verdana" w:cs="Segoe UI"/>
          <w:color w:val="000000"/>
          <w:sz w:val="18"/>
          <w:szCs w:val="18"/>
        </w:rPr>
        <w:t xml:space="preserve">ze herziening bevindt </w:t>
      </w:r>
      <w:r>
        <w:rPr>
          <w:rStyle w:val="normaltextrun"/>
          <w:rFonts w:ascii="Verdana" w:hAnsi="Verdana" w:cs="Segoe UI"/>
          <w:color w:val="000000"/>
          <w:sz w:val="18"/>
          <w:szCs w:val="18"/>
        </w:rPr>
        <w:t>zich nu in de afrondende fase. Na vaststelling zal een traject tot omzetting in nationale wetgeving gestart worden, wat ook zal leiden tot wijziging van de Wet vifo. Aan dat traject zal prioriteit worden gegeven boven andere eventuele wetgevingsvoornemens. Dit gebeurt met het oog op het realiseren van tijdige omzetting. Eventuele nationale beleidsvoornemens die wetgeving vereisen mogen niet in dit traject worden ondergebracht, aangezien dat vertraging van de implementatie van EU-regels met zich mee zou brengen, wat strijdig zou zijn met het uitgangspunt van minimumimplementatie.</w:t>
      </w:r>
      <w:r>
        <w:rPr>
          <w:rStyle w:val="eop"/>
          <w:rFonts w:ascii="Verdana" w:hAnsi="Verdana" w:cs="Segoe UI"/>
          <w:color w:val="000000"/>
          <w:sz w:val="18"/>
          <w:szCs w:val="18"/>
        </w:rPr>
        <w:t> </w:t>
      </w:r>
    </w:p>
    <w:p w:rsidR="00C27F03" w:rsidP="00A93934" w:rsidRDefault="00C27F03" w14:paraId="58989ACC" w14:textId="77777777">
      <w:pPr>
        <w:pStyle w:val="paragraph"/>
        <w:spacing w:before="0" w:beforeAutospacing="0" w:after="0" w:afterAutospacing="0" w:line="240" w:lineRule="atLeast"/>
        <w:textAlignment w:val="baseline"/>
        <w:rPr>
          <w:rFonts w:ascii="Segoe UI" w:hAnsi="Segoe UI" w:cs="Segoe UI"/>
          <w:sz w:val="18"/>
          <w:szCs w:val="18"/>
        </w:rPr>
      </w:pPr>
    </w:p>
    <w:p w:rsidR="005538F9" w:rsidP="00A93934" w:rsidRDefault="005538F9" w14:paraId="06BD9D37" w14:textId="50C6812D">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 xml:space="preserve">Tot slot merkt het kabinet op dat over twee </w:t>
      </w:r>
      <w:r w:rsidR="008813A0">
        <w:rPr>
          <w:rStyle w:val="normaltextrun"/>
          <w:rFonts w:ascii="Verdana" w:hAnsi="Verdana" w:cs="Segoe UI"/>
          <w:color w:val="000000"/>
          <w:sz w:val="18"/>
          <w:szCs w:val="18"/>
        </w:rPr>
        <w:t xml:space="preserve">jaar </w:t>
      </w:r>
      <w:r>
        <w:rPr>
          <w:rStyle w:val="normaltextrun"/>
          <w:rFonts w:ascii="Verdana" w:hAnsi="Verdana" w:cs="Segoe UI"/>
          <w:color w:val="000000"/>
          <w:sz w:val="18"/>
          <w:szCs w:val="18"/>
        </w:rPr>
        <w:t>(vijf jaar na inwerkingtreding van de Wet vifo) de formele reguliere evaluatie van de Wet vifo zal plaatsvinden.</w:t>
      </w:r>
      <w:r>
        <w:rPr>
          <w:rStyle w:val="eop"/>
          <w:rFonts w:ascii="Verdana" w:hAnsi="Verdana" w:cs="Segoe UI"/>
          <w:color w:val="000000"/>
          <w:sz w:val="18"/>
          <w:szCs w:val="18"/>
        </w:rPr>
        <w:t> </w:t>
      </w:r>
    </w:p>
    <w:p w:rsidR="005538F9" w:rsidP="00A93934" w:rsidRDefault="005538F9" w14:paraId="67DD7681" w14:textId="77777777">
      <w:pPr>
        <w:pStyle w:val="paragraph"/>
        <w:spacing w:before="0" w:beforeAutospacing="0" w:after="0" w:afterAutospacing="0" w:line="240" w:lineRule="atLeast"/>
        <w:textAlignment w:val="baseline"/>
        <w:rPr>
          <w:rStyle w:val="normaltextrun"/>
          <w:rFonts w:ascii="Verdana" w:hAnsi="Verdana" w:cs="Segoe UI"/>
          <w:b/>
          <w:bCs/>
          <w:color w:val="000000"/>
          <w:sz w:val="18"/>
          <w:szCs w:val="18"/>
        </w:rPr>
      </w:pPr>
    </w:p>
    <w:p w:rsidR="005538F9" w:rsidP="00A93934" w:rsidRDefault="005538F9" w14:paraId="3344F91C" w14:textId="15B1FA56">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color w:val="000000"/>
          <w:sz w:val="18"/>
          <w:szCs w:val="18"/>
        </w:rPr>
        <w:t>Conclusie</w:t>
      </w:r>
      <w:r>
        <w:rPr>
          <w:rStyle w:val="eop"/>
          <w:rFonts w:ascii="Verdana" w:hAnsi="Verdana" w:cs="Segoe UI"/>
          <w:color w:val="000000"/>
          <w:sz w:val="18"/>
          <w:szCs w:val="18"/>
        </w:rPr>
        <w:t> </w:t>
      </w:r>
    </w:p>
    <w:p w:rsidR="005538F9" w:rsidP="00A93934" w:rsidRDefault="005538F9" w14:paraId="78156E80" w14:textId="74FA5091">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De uitkomsten van deze evaluatie zullen meegenomen worden in de voortzetting van zowel de WOZT als de Wet Vifo. De in deze wetten geregelde investeringstoetsen zijn een belangrijk onderdeel van het bredere instrumentarium om risico's voor de nationale veiligheid en economische veiligheid te mitigeren, en het kabinet beziet constant of deze verbeterd kunnen worden.</w:t>
      </w:r>
      <w:r>
        <w:rPr>
          <w:rStyle w:val="eop"/>
          <w:rFonts w:ascii="Verdana" w:hAnsi="Verdana" w:cs="Segoe UI"/>
          <w:color w:val="000000"/>
          <w:sz w:val="18"/>
          <w:szCs w:val="18"/>
        </w:rPr>
        <w:t> </w:t>
      </w:r>
    </w:p>
    <w:p w:rsidR="005538F9" w:rsidP="00A93934" w:rsidRDefault="005538F9" w14:paraId="4923EE89"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5C65B5" w:rsidR="00C27F03" w:rsidP="00A93934" w:rsidRDefault="00C27F03" w14:paraId="08EF9121" w14:textId="77777777"/>
    <w:p w:rsidRPr="005C65B5" w:rsidR="00C90702" w:rsidP="00A93934" w:rsidRDefault="00C90702" w14:paraId="3F4BB243" w14:textId="77777777"/>
    <w:p w:rsidRPr="00591E4A" w:rsidR="00C90702" w:rsidP="00A93934" w:rsidRDefault="00014067" w14:paraId="56029885" w14:textId="77777777">
      <w:pPr>
        <w:rPr>
          <w:szCs w:val="18"/>
        </w:rPr>
      </w:pPr>
      <w:r>
        <w:rPr>
          <w:szCs w:val="18"/>
        </w:rPr>
        <w:t>Vincent Karremans</w:t>
      </w:r>
    </w:p>
    <w:p w:rsidRPr="00012B4F" w:rsidR="004E505E" w:rsidP="00A93934" w:rsidRDefault="00014067" w14:paraId="3CA1FA89" w14:textId="77777777">
      <w:r w:rsidRPr="005C65B5">
        <w:t>Minister van Economische Zaken</w:t>
      </w:r>
    </w:p>
    <w:p w:rsidR="004425CC" w:rsidP="00A93934" w:rsidRDefault="004425CC" w14:paraId="2D1539E7"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E977" w14:textId="77777777" w:rsidR="00F7373F" w:rsidRDefault="00F7373F">
      <w:r>
        <w:separator/>
      </w:r>
    </w:p>
    <w:p w14:paraId="27D55A37" w14:textId="77777777" w:rsidR="00F7373F" w:rsidRDefault="00F7373F"/>
  </w:endnote>
  <w:endnote w:type="continuationSeparator" w:id="0">
    <w:p w14:paraId="0160C40C" w14:textId="77777777" w:rsidR="00F7373F" w:rsidRDefault="00F7373F">
      <w:r>
        <w:continuationSeparator/>
      </w:r>
    </w:p>
    <w:p w14:paraId="784DA093" w14:textId="77777777" w:rsidR="00F7373F" w:rsidRDefault="00F73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1EF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50E7" w14:paraId="2B26DDEB" w14:textId="77777777" w:rsidTr="00CA6A25">
      <w:trPr>
        <w:trHeight w:hRule="exact" w:val="240"/>
      </w:trPr>
      <w:tc>
        <w:tcPr>
          <w:tcW w:w="7601" w:type="dxa"/>
        </w:tcPr>
        <w:p w14:paraId="2D844CBC" w14:textId="77777777" w:rsidR="00527BD4" w:rsidRDefault="00527BD4" w:rsidP="003F1F6B">
          <w:pPr>
            <w:pStyle w:val="Huisstijl-Rubricering"/>
          </w:pPr>
        </w:p>
      </w:tc>
      <w:tc>
        <w:tcPr>
          <w:tcW w:w="2156" w:type="dxa"/>
        </w:tcPr>
        <w:p w14:paraId="478096D2" w14:textId="0AF6E923" w:rsidR="00527BD4" w:rsidRPr="00645414" w:rsidRDefault="0001406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C23BAE">
            <w:t>3</w:t>
          </w:r>
          <w:r w:rsidR="004425CC">
            <w:fldChar w:fldCharType="end"/>
          </w:r>
        </w:p>
      </w:tc>
    </w:tr>
  </w:tbl>
  <w:p w14:paraId="0D1C3BD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50E7" w14:paraId="25897F72" w14:textId="77777777" w:rsidTr="00CA6A25">
      <w:trPr>
        <w:trHeight w:hRule="exact" w:val="240"/>
      </w:trPr>
      <w:tc>
        <w:tcPr>
          <w:tcW w:w="7601" w:type="dxa"/>
        </w:tcPr>
        <w:p w14:paraId="0BCE2922" w14:textId="77777777" w:rsidR="00527BD4" w:rsidRDefault="00527BD4" w:rsidP="008C356D">
          <w:pPr>
            <w:pStyle w:val="Huisstijl-Rubricering"/>
          </w:pPr>
        </w:p>
      </w:tc>
      <w:tc>
        <w:tcPr>
          <w:tcW w:w="2170" w:type="dxa"/>
        </w:tcPr>
        <w:p w14:paraId="7F0CB505" w14:textId="40DBB512" w:rsidR="00527BD4" w:rsidRPr="00ED539E" w:rsidRDefault="0001406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C23BAE">
            <w:t>3</w:t>
          </w:r>
          <w:r w:rsidR="00396A8F">
            <w:fldChar w:fldCharType="end"/>
          </w:r>
        </w:p>
      </w:tc>
    </w:tr>
  </w:tbl>
  <w:p w14:paraId="26EB115B" w14:textId="77777777" w:rsidR="00527BD4" w:rsidRPr="00BC3B53" w:rsidRDefault="00527BD4" w:rsidP="008C356D">
    <w:pPr>
      <w:pStyle w:val="Voettekst"/>
      <w:spacing w:line="240" w:lineRule="auto"/>
      <w:rPr>
        <w:sz w:val="2"/>
        <w:szCs w:val="2"/>
      </w:rPr>
    </w:pPr>
  </w:p>
  <w:p w14:paraId="23059AD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3DDB" w14:textId="77777777" w:rsidR="00F7373F" w:rsidRDefault="00F7373F">
      <w:r>
        <w:separator/>
      </w:r>
    </w:p>
    <w:p w14:paraId="3BEEAF89" w14:textId="77777777" w:rsidR="00F7373F" w:rsidRDefault="00F7373F"/>
  </w:footnote>
  <w:footnote w:type="continuationSeparator" w:id="0">
    <w:p w14:paraId="3DEF1CC1" w14:textId="77777777" w:rsidR="00F7373F" w:rsidRDefault="00F7373F">
      <w:r>
        <w:continuationSeparator/>
      </w:r>
    </w:p>
    <w:p w14:paraId="192EEDD5" w14:textId="77777777" w:rsidR="00F7373F" w:rsidRDefault="00F73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50E7" w14:paraId="37D6A379" w14:textId="77777777" w:rsidTr="00A50CF6">
      <w:tc>
        <w:tcPr>
          <w:tcW w:w="2156" w:type="dxa"/>
        </w:tcPr>
        <w:p w14:paraId="563E873A" w14:textId="77777777" w:rsidR="00527BD4" w:rsidRPr="005819CE" w:rsidRDefault="00014067" w:rsidP="00A50CF6">
          <w:pPr>
            <w:pStyle w:val="Huisstijl-Adres"/>
            <w:rPr>
              <w:b/>
            </w:rPr>
          </w:pPr>
          <w:r>
            <w:rPr>
              <w:b/>
            </w:rPr>
            <w:t>Directoraat-generaal Economie en Digitalisering</w:t>
          </w:r>
          <w:r w:rsidRPr="005819CE">
            <w:rPr>
              <w:b/>
            </w:rPr>
            <w:br/>
          </w:r>
        </w:p>
      </w:tc>
    </w:tr>
    <w:tr w:rsidR="000350E7" w14:paraId="779D2406" w14:textId="77777777" w:rsidTr="00A50CF6">
      <w:trPr>
        <w:trHeight w:hRule="exact" w:val="200"/>
      </w:trPr>
      <w:tc>
        <w:tcPr>
          <w:tcW w:w="2156" w:type="dxa"/>
        </w:tcPr>
        <w:p w14:paraId="404A25E9" w14:textId="77777777" w:rsidR="00527BD4" w:rsidRPr="005819CE" w:rsidRDefault="00527BD4" w:rsidP="00A50CF6"/>
      </w:tc>
    </w:tr>
    <w:tr w:rsidR="000350E7" w14:paraId="62CA07A5" w14:textId="77777777" w:rsidTr="00502512">
      <w:trPr>
        <w:trHeight w:hRule="exact" w:val="774"/>
      </w:trPr>
      <w:tc>
        <w:tcPr>
          <w:tcW w:w="2156" w:type="dxa"/>
        </w:tcPr>
        <w:p w14:paraId="627BE5DA" w14:textId="77777777" w:rsidR="00527BD4" w:rsidRDefault="00014067" w:rsidP="003A5290">
          <w:pPr>
            <w:pStyle w:val="Huisstijl-Kopje"/>
          </w:pPr>
          <w:r>
            <w:t>Ons kenmerk</w:t>
          </w:r>
        </w:p>
        <w:p w14:paraId="462DB6C9" w14:textId="77777777" w:rsidR="00527BD4" w:rsidRPr="005819CE" w:rsidRDefault="00014067" w:rsidP="004425CC">
          <w:pPr>
            <w:pStyle w:val="Huisstijl-Kopje"/>
          </w:pPr>
          <w:r>
            <w:rPr>
              <w:b w:val="0"/>
            </w:rPr>
            <w:t>DGED</w:t>
          </w:r>
          <w:r w:rsidRPr="00502512">
            <w:rPr>
              <w:b w:val="0"/>
            </w:rPr>
            <w:t xml:space="preserve"> / </w:t>
          </w:r>
          <w:r>
            <w:rPr>
              <w:b w:val="0"/>
            </w:rPr>
            <w:t>102718777</w:t>
          </w:r>
        </w:p>
      </w:tc>
    </w:tr>
  </w:tbl>
  <w:p w14:paraId="7B9441D8" w14:textId="77777777" w:rsidR="00527BD4" w:rsidRDefault="00527BD4" w:rsidP="008C356D">
    <w:pPr>
      <w:pStyle w:val="Koptekst"/>
      <w:rPr>
        <w:rFonts w:cs="Verdana-Bold"/>
        <w:b/>
        <w:bCs/>
        <w:smallCaps/>
        <w:szCs w:val="18"/>
      </w:rPr>
    </w:pPr>
  </w:p>
  <w:p w14:paraId="01AEF3CF" w14:textId="77777777" w:rsidR="00527BD4" w:rsidRDefault="00527BD4" w:rsidP="008C356D"/>
  <w:p w14:paraId="2FCBF4E3" w14:textId="77777777" w:rsidR="00527BD4" w:rsidRPr="00740712" w:rsidRDefault="00527BD4" w:rsidP="008C356D"/>
  <w:p w14:paraId="3E7E7425" w14:textId="77777777" w:rsidR="00527BD4" w:rsidRPr="00217880" w:rsidRDefault="00527BD4" w:rsidP="008C356D">
    <w:pPr>
      <w:spacing w:line="0" w:lineRule="atLeast"/>
      <w:rPr>
        <w:sz w:val="2"/>
        <w:szCs w:val="2"/>
      </w:rPr>
    </w:pPr>
  </w:p>
  <w:p w14:paraId="143A8B75" w14:textId="77777777" w:rsidR="00527BD4" w:rsidRDefault="00527BD4" w:rsidP="004F44C2">
    <w:pPr>
      <w:pStyle w:val="Koptekst"/>
      <w:rPr>
        <w:rFonts w:cs="Verdana-Bold"/>
        <w:b/>
        <w:bCs/>
        <w:smallCaps/>
        <w:szCs w:val="18"/>
      </w:rPr>
    </w:pPr>
  </w:p>
  <w:p w14:paraId="2504BD14" w14:textId="77777777" w:rsidR="00527BD4" w:rsidRDefault="00527BD4" w:rsidP="004F44C2"/>
  <w:p w14:paraId="41D67D3C" w14:textId="77777777" w:rsidR="00527BD4" w:rsidRPr="00740712" w:rsidRDefault="00527BD4" w:rsidP="004F44C2"/>
  <w:p w14:paraId="5C8F3FE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50E7" w14:paraId="4FCA27C2" w14:textId="77777777" w:rsidTr="00751A6A">
      <w:trPr>
        <w:trHeight w:val="2636"/>
      </w:trPr>
      <w:tc>
        <w:tcPr>
          <w:tcW w:w="737" w:type="dxa"/>
        </w:tcPr>
        <w:p w14:paraId="7695B98D" w14:textId="77777777" w:rsidR="00527BD4" w:rsidRDefault="00527BD4" w:rsidP="00D0609E">
          <w:pPr>
            <w:framePr w:w="6340" w:h="2750" w:hRule="exact" w:hSpace="180" w:wrap="around" w:vAnchor="page" w:hAnchor="text" w:x="3873" w:y="-140"/>
            <w:spacing w:line="240" w:lineRule="auto"/>
          </w:pPr>
        </w:p>
      </w:tc>
      <w:tc>
        <w:tcPr>
          <w:tcW w:w="5156" w:type="dxa"/>
        </w:tcPr>
        <w:p w14:paraId="68FC4C88" w14:textId="77777777" w:rsidR="00527BD4" w:rsidRDefault="0001406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BAC4456" wp14:editId="0AC6744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210F66B" w14:textId="77777777" w:rsidR="007269E3" w:rsidRDefault="007269E3" w:rsidP="00651CEE">
          <w:pPr>
            <w:framePr w:w="6340" w:h="2750" w:hRule="exact" w:hSpace="180" w:wrap="around" w:vAnchor="page" w:hAnchor="text" w:x="3873" w:y="-140"/>
            <w:spacing w:line="240" w:lineRule="auto"/>
          </w:pPr>
        </w:p>
      </w:tc>
    </w:tr>
  </w:tbl>
  <w:p w14:paraId="196422DB" w14:textId="77777777" w:rsidR="00527BD4" w:rsidRDefault="00527BD4" w:rsidP="00D0609E">
    <w:pPr>
      <w:framePr w:w="6340" w:h="2750" w:hRule="exact" w:hSpace="180" w:wrap="around" w:vAnchor="page" w:hAnchor="text" w:x="3873" w:y="-140"/>
    </w:pPr>
  </w:p>
  <w:p w14:paraId="3199FC2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50E7" w14:paraId="2B165641" w14:textId="77777777" w:rsidTr="00A50CF6">
      <w:tc>
        <w:tcPr>
          <w:tcW w:w="2160" w:type="dxa"/>
        </w:tcPr>
        <w:p w14:paraId="7B6C5BA1" w14:textId="77777777" w:rsidR="00527BD4" w:rsidRPr="005819CE" w:rsidRDefault="00014067" w:rsidP="00A50CF6">
          <w:pPr>
            <w:pStyle w:val="Huisstijl-Adres"/>
            <w:rPr>
              <w:b/>
            </w:rPr>
          </w:pPr>
          <w:r>
            <w:rPr>
              <w:b/>
            </w:rPr>
            <w:t>Directoraat-generaal Economie en Digitalisering</w:t>
          </w:r>
          <w:r w:rsidRPr="005819CE">
            <w:rPr>
              <w:b/>
            </w:rPr>
            <w:br/>
          </w:r>
        </w:p>
        <w:p w14:paraId="07043769" w14:textId="77777777" w:rsidR="00527BD4" w:rsidRPr="00BE5ED9" w:rsidRDefault="00014067" w:rsidP="00A50CF6">
          <w:pPr>
            <w:pStyle w:val="Huisstijl-Adres"/>
          </w:pPr>
          <w:r>
            <w:rPr>
              <w:b/>
            </w:rPr>
            <w:t>Bezoekadres</w:t>
          </w:r>
          <w:r>
            <w:rPr>
              <w:b/>
            </w:rPr>
            <w:br/>
          </w:r>
          <w:r>
            <w:t>Bezuidenhoutseweg 73</w:t>
          </w:r>
          <w:r w:rsidRPr="005819CE">
            <w:br/>
          </w:r>
          <w:r>
            <w:t>2594 AC Den Haag</w:t>
          </w:r>
        </w:p>
        <w:p w14:paraId="47CE7DCD" w14:textId="77777777" w:rsidR="00EF495B" w:rsidRDefault="00014067" w:rsidP="0098788A">
          <w:pPr>
            <w:pStyle w:val="Huisstijl-Adres"/>
          </w:pPr>
          <w:r>
            <w:rPr>
              <w:b/>
            </w:rPr>
            <w:t>Postadres</w:t>
          </w:r>
          <w:r>
            <w:rPr>
              <w:b/>
            </w:rPr>
            <w:br/>
          </w:r>
          <w:r>
            <w:t>Postbus 20401</w:t>
          </w:r>
          <w:r w:rsidRPr="005819CE">
            <w:br/>
            <w:t>2500 E</w:t>
          </w:r>
          <w:r>
            <w:t>K</w:t>
          </w:r>
          <w:r w:rsidRPr="005819CE">
            <w:t xml:space="preserve"> Den Haag</w:t>
          </w:r>
        </w:p>
        <w:p w14:paraId="57BD0653" w14:textId="77777777" w:rsidR="00EF495B" w:rsidRPr="005B3814" w:rsidRDefault="00014067" w:rsidP="0098788A">
          <w:pPr>
            <w:pStyle w:val="Huisstijl-Adres"/>
          </w:pPr>
          <w:r>
            <w:rPr>
              <w:b/>
            </w:rPr>
            <w:t>Overheidsidentificatienr</w:t>
          </w:r>
          <w:r>
            <w:rPr>
              <w:b/>
            </w:rPr>
            <w:br/>
          </w:r>
          <w:r w:rsidRPr="005B3814">
            <w:t>00000001003214369000</w:t>
          </w:r>
        </w:p>
        <w:p w14:paraId="78F6B1F7" w14:textId="37425A0B" w:rsidR="00527BD4" w:rsidRPr="00014067" w:rsidRDefault="00014067"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0350E7" w14:paraId="46F8A981" w14:textId="77777777" w:rsidTr="00A50CF6">
      <w:trPr>
        <w:trHeight w:hRule="exact" w:val="200"/>
      </w:trPr>
      <w:tc>
        <w:tcPr>
          <w:tcW w:w="2160" w:type="dxa"/>
        </w:tcPr>
        <w:p w14:paraId="12F7C978" w14:textId="77777777" w:rsidR="00527BD4" w:rsidRPr="005819CE" w:rsidRDefault="00527BD4" w:rsidP="00A50CF6"/>
      </w:tc>
    </w:tr>
    <w:tr w:rsidR="000350E7" w14:paraId="5BD31681" w14:textId="77777777" w:rsidTr="00A50CF6">
      <w:tc>
        <w:tcPr>
          <w:tcW w:w="2160" w:type="dxa"/>
        </w:tcPr>
        <w:p w14:paraId="4C8B9A72" w14:textId="77777777" w:rsidR="000C0163" w:rsidRPr="005819CE" w:rsidRDefault="00014067" w:rsidP="000C0163">
          <w:pPr>
            <w:pStyle w:val="Huisstijl-Kopje"/>
          </w:pPr>
          <w:r>
            <w:t>Ons kenmerk</w:t>
          </w:r>
          <w:r w:rsidRPr="005819CE">
            <w:t xml:space="preserve"> </w:t>
          </w:r>
        </w:p>
        <w:p w14:paraId="22B0E66D" w14:textId="77777777" w:rsidR="000C0163" w:rsidRPr="005819CE" w:rsidRDefault="00014067" w:rsidP="000C0163">
          <w:pPr>
            <w:pStyle w:val="Huisstijl-Gegeven"/>
          </w:pPr>
          <w:r>
            <w:t>DGED</w:t>
          </w:r>
          <w:r w:rsidR="00926AE2">
            <w:t xml:space="preserve"> / </w:t>
          </w:r>
          <w:r>
            <w:t>102718777</w:t>
          </w:r>
        </w:p>
        <w:p w14:paraId="4BC10803" w14:textId="77777777" w:rsidR="00527BD4" w:rsidRPr="005819CE" w:rsidRDefault="00014067" w:rsidP="00A50CF6">
          <w:pPr>
            <w:pStyle w:val="Huisstijl-Kopje"/>
          </w:pPr>
          <w:r>
            <w:t>Bijlage(n)</w:t>
          </w:r>
        </w:p>
        <w:p w14:paraId="475D27F7" w14:textId="77777777" w:rsidR="00527BD4" w:rsidRPr="005819CE" w:rsidRDefault="00014067" w:rsidP="00A50CF6">
          <w:pPr>
            <w:pStyle w:val="Huisstijl-Gegeven"/>
          </w:pPr>
          <w:r>
            <w:t>1</w:t>
          </w:r>
        </w:p>
      </w:tc>
    </w:tr>
  </w:tbl>
  <w:p w14:paraId="4C1342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50E7" w14:paraId="4DC6BC2A" w14:textId="77777777" w:rsidTr="007610AA">
      <w:trPr>
        <w:trHeight w:val="400"/>
      </w:trPr>
      <w:tc>
        <w:tcPr>
          <w:tcW w:w="7520" w:type="dxa"/>
          <w:gridSpan w:val="2"/>
        </w:tcPr>
        <w:p w14:paraId="19F1012C" w14:textId="77777777" w:rsidR="00527BD4" w:rsidRPr="00BC3B53" w:rsidRDefault="00014067" w:rsidP="00A50CF6">
          <w:pPr>
            <w:pStyle w:val="Huisstijl-Retouradres"/>
          </w:pPr>
          <w:r>
            <w:t>&gt; Retouradres Postbus 20401 2500 EK Den Haag</w:t>
          </w:r>
        </w:p>
      </w:tc>
    </w:tr>
    <w:tr w:rsidR="000350E7" w14:paraId="598EB8C4" w14:textId="77777777" w:rsidTr="007610AA">
      <w:tc>
        <w:tcPr>
          <w:tcW w:w="7520" w:type="dxa"/>
          <w:gridSpan w:val="2"/>
        </w:tcPr>
        <w:p w14:paraId="5C2D8686" w14:textId="77777777" w:rsidR="00527BD4" w:rsidRPr="00983E8F" w:rsidRDefault="00527BD4" w:rsidP="00A50CF6">
          <w:pPr>
            <w:pStyle w:val="Huisstijl-Rubricering"/>
          </w:pPr>
        </w:p>
      </w:tc>
    </w:tr>
    <w:tr w:rsidR="000350E7" w14:paraId="47530FDD" w14:textId="77777777" w:rsidTr="007610AA">
      <w:trPr>
        <w:trHeight w:hRule="exact" w:val="2440"/>
      </w:trPr>
      <w:tc>
        <w:tcPr>
          <w:tcW w:w="7520" w:type="dxa"/>
          <w:gridSpan w:val="2"/>
        </w:tcPr>
        <w:p w14:paraId="5F34355B" w14:textId="77777777" w:rsidR="00A93934" w:rsidRDefault="00A93934" w:rsidP="00342F3B">
          <w:pPr>
            <w:pStyle w:val="Huisstijl-NAW"/>
          </w:pPr>
          <w:r>
            <w:t xml:space="preserve">De Voorzitter van de Tweede Kamer </w:t>
          </w:r>
        </w:p>
        <w:p w14:paraId="70EFCC35" w14:textId="77777777" w:rsidR="00A93934" w:rsidRDefault="00A93934" w:rsidP="00342F3B">
          <w:pPr>
            <w:pStyle w:val="Huisstijl-NAW"/>
          </w:pPr>
          <w:r>
            <w:t>der Staten-Generaal</w:t>
          </w:r>
        </w:p>
        <w:p w14:paraId="3A79F987" w14:textId="77777777" w:rsidR="00A93934" w:rsidRDefault="00A93934" w:rsidP="00342F3B">
          <w:pPr>
            <w:rPr>
              <w:szCs w:val="18"/>
            </w:rPr>
          </w:pPr>
          <w:r>
            <w:rPr>
              <w:szCs w:val="18"/>
            </w:rPr>
            <w:t>Prinses Irenestraat 6</w:t>
          </w:r>
        </w:p>
        <w:p w14:paraId="746675A6" w14:textId="77777777" w:rsidR="00A93934" w:rsidRPr="004213FB" w:rsidRDefault="00A93934" w:rsidP="00342F3B">
          <w:pPr>
            <w:rPr>
              <w:szCs w:val="18"/>
            </w:rPr>
          </w:pPr>
          <w:r>
            <w:t>2595 BD  DEN HAAG</w:t>
          </w:r>
        </w:p>
        <w:p w14:paraId="2CB8C465" w14:textId="23D5E162" w:rsidR="000350E7" w:rsidRDefault="000350E7">
          <w:pPr>
            <w:pStyle w:val="Huisstijl-NAW"/>
          </w:pPr>
        </w:p>
      </w:tc>
    </w:tr>
    <w:tr w:rsidR="000350E7" w14:paraId="4E85B753" w14:textId="77777777" w:rsidTr="007610AA">
      <w:trPr>
        <w:trHeight w:hRule="exact" w:val="400"/>
      </w:trPr>
      <w:tc>
        <w:tcPr>
          <w:tcW w:w="7520" w:type="dxa"/>
          <w:gridSpan w:val="2"/>
        </w:tcPr>
        <w:p w14:paraId="58945B7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350E7" w14:paraId="3349CFC7" w14:textId="77777777" w:rsidTr="007610AA">
      <w:trPr>
        <w:trHeight w:val="240"/>
      </w:trPr>
      <w:tc>
        <w:tcPr>
          <w:tcW w:w="900" w:type="dxa"/>
        </w:tcPr>
        <w:p w14:paraId="7AD6D5D9" w14:textId="77777777" w:rsidR="00527BD4" w:rsidRPr="007709EF" w:rsidRDefault="00014067" w:rsidP="00A50CF6">
          <w:pPr>
            <w:rPr>
              <w:szCs w:val="18"/>
            </w:rPr>
          </w:pPr>
          <w:r>
            <w:rPr>
              <w:szCs w:val="18"/>
            </w:rPr>
            <w:t>Datum</w:t>
          </w:r>
        </w:p>
      </w:tc>
      <w:tc>
        <w:tcPr>
          <w:tcW w:w="6620" w:type="dxa"/>
        </w:tcPr>
        <w:p w14:paraId="1ED6D8D9" w14:textId="0FD58995" w:rsidR="00527BD4" w:rsidRPr="007709EF" w:rsidRDefault="00014067" w:rsidP="00A50CF6">
          <w:r>
            <w:t>20 februari 2026</w:t>
          </w:r>
        </w:p>
      </w:tc>
    </w:tr>
    <w:tr w:rsidR="000350E7" w14:paraId="56ABFA4E" w14:textId="77777777" w:rsidTr="007610AA">
      <w:trPr>
        <w:trHeight w:val="240"/>
      </w:trPr>
      <w:tc>
        <w:tcPr>
          <w:tcW w:w="900" w:type="dxa"/>
        </w:tcPr>
        <w:p w14:paraId="31B4E20E" w14:textId="77777777" w:rsidR="00527BD4" w:rsidRPr="007709EF" w:rsidRDefault="00014067" w:rsidP="00A50CF6">
          <w:pPr>
            <w:rPr>
              <w:szCs w:val="18"/>
            </w:rPr>
          </w:pPr>
          <w:r>
            <w:rPr>
              <w:szCs w:val="18"/>
            </w:rPr>
            <w:t>Betreft</w:t>
          </w:r>
        </w:p>
      </w:tc>
      <w:tc>
        <w:tcPr>
          <w:tcW w:w="6620" w:type="dxa"/>
        </w:tcPr>
        <w:p w14:paraId="035107FC" w14:textId="77777777" w:rsidR="00527BD4" w:rsidRPr="007709EF" w:rsidRDefault="00014067" w:rsidP="00A50CF6">
          <w:r>
            <w:t>Evaluatie van de Wet ongewenste zeggenschap telecommunicatie (WOZT) en tussentijdse evaluatie van de Wet veiligheidstoets investeringen, fusies en overnames (Wet vifo)</w:t>
          </w:r>
        </w:p>
      </w:tc>
    </w:tr>
  </w:tbl>
  <w:p w14:paraId="1EAE5F2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EA8A40A">
      <w:start w:val="1"/>
      <w:numFmt w:val="bullet"/>
      <w:pStyle w:val="Lijstopsomteken"/>
      <w:lvlText w:val="•"/>
      <w:lvlJc w:val="left"/>
      <w:pPr>
        <w:tabs>
          <w:tab w:val="num" w:pos="227"/>
        </w:tabs>
        <w:ind w:left="227" w:hanging="227"/>
      </w:pPr>
      <w:rPr>
        <w:rFonts w:ascii="Verdana" w:hAnsi="Verdana" w:hint="default"/>
        <w:sz w:val="18"/>
        <w:szCs w:val="18"/>
      </w:rPr>
    </w:lvl>
    <w:lvl w:ilvl="1" w:tplc="BDCCB2F4" w:tentative="1">
      <w:start w:val="1"/>
      <w:numFmt w:val="bullet"/>
      <w:lvlText w:val="o"/>
      <w:lvlJc w:val="left"/>
      <w:pPr>
        <w:tabs>
          <w:tab w:val="num" w:pos="1440"/>
        </w:tabs>
        <w:ind w:left="1440" w:hanging="360"/>
      </w:pPr>
      <w:rPr>
        <w:rFonts w:ascii="Courier New" w:hAnsi="Courier New" w:cs="Courier New" w:hint="default"/>
      </w:rPr>
    </w:lvl>
    <w:lvl w:ilvl="2" w:tplc="D070F528" w:tentative="1">
      <w:start w:val="1"/>
      <w:numFmt w:val="bullet"/>
      <w:lvlText w:val=""/>
      <w:lvlJc w:val="left"/>
      <w:pPr>
        <w:tabs>
          <w:tab w:val="num" w:pos="2160"/>
        </w:tabs>
        <w:ind w:left="2160" w:hanging="360"/>
      </w:pPr>
      <w:rPr>
        <w:rFonts w:ascii="Wingdings" w:hAnsi="Wingdings" w:hint="default"/>
      </w:rPr>
    </w:lvl>
    <w:lvl w:ilvl="3" w:tplc="C30A06BA" w:tentative="1">
      <w:start w:val="1"/>
      <w:numFmt w:val="bullet"/>
      <w:lvlText w:val=""/>
      <w:lvlJc w:val="left"/>
      <w:pPr>
        <w:tabs>
          <w:tab w:val="num" w:pos="2880"/>
        </w:tabs>
        <w:ind w:left="2880" w:hanging="360"/>
      </w:pPr>
      <w:rPr>
        <w:rFonts w:ascii="Symbol" w:hAnsi="Symbol" w:hint="default"/>
      </w:rPr>
    </w:lvl>
    <w:lvl w:ilvl="4" w:tplc="5ECC4180" w:tentative="1">
      <w:start w:val="1"/>
      <w:numFmt w:val="bullet"/>
      <w:lvlText w:val="o"/>
      <w:lvlJc w:val="left"/>
      <w:pPr>
        <w:tabs>
          <w:tab w:val="num" w:pos="3600"/>
        </w:tabs>
        <w:ind w:left="3600" w:hanging="360"/>
      </w:pPr>
      <w:rPr>
        <w:rFonts w:ascii="Courier New" w:hAnsi="Courier New" w:cs="Courier New" w:hint="default"/>
      </w:rPr>
    </w:lvl>
    <w:lvl w:ilvl="5" w:tplc="5E4E54A6" w:tentative="1">
      <w:start w:val="1"/>
      <w:numFmt w:val="bullet"/>
      <w:lvlText w:val=""/>
      <w:lvlJc w:val="left"/>
      <w:pPr>
        <w:tabs>
          <w:tab w:val="num" w:pos="4320"/>
        </w:tabs>
        <w:ind w:left="4320" w:hanging="360"/>
      </w:pPr>
      <w:rPr>
        <w:rFonts w:ascii="Wingdings" w:hAnsi="Wingdings" w:hint="default"/>
      </w:rPr>
    </w:lvl>
    <w:lvl w:ilvl="6" w:tplc="F6B04D32" w:tentative="1">
      <w:start w:val="1"/>
      <w:numFmt w:val="bullet"/>
      <w:lvlText w:val=""/>
      <w:lvlJc w:val="left"/>
      <w:pPr>
        <w:tabs>
          <w:tab w:val="num" w:pos="5040"/>
        </w:tabs>
        <w:ind w:left="5040" w:hanging="360"/>
      </w:pPr>
      <w:rPr>
        <w:rFonts w:ascii="Symbol" w:hAnsi="Symbol" w:hint="default"/>
      </w:rPr>
    </w:lvl>
    <w:lvl w:ilvl="7" w:tplc="E8C2DAB2" w:tentative="1">
      <w:start w:val="1"/>
      <w:numFmt w:val="bullet"/>
      <w:lvlText w:val="o"/>
      <w:lvlJc w:val="left"/>
      <w:pPr>
        <w:tabs>
          <w:tab w:val="num" w:pos="5760"/>
        </w:tabs>
        <w:ind w:left="5760" w:hanging="360"/>
      </w:pPr>
      <w:rPr>
        <w:rFonts w:ascii="Courier New" w:hAnsi="Courier New" w:cs="Courier New" w:hint="default"/>
      </w:rPr>
    </w:lvl>
    <w:lvl w:ilvl="8" w:tplc="9A5655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EEEAEA">
      <w:start w:val="1"/>
      <w:numFmt w:val="bullet"/>
      <w:pStyle w:val="Lijstopsomteken2"/>
      <w:lvlText w:val="–"/>
      <w:lvlJc w:val="left"/>
      <w:pPr>
        <w:tabs>
          <w:tab w:val="num" w:pos="227"/>
        </w:tabs>
        <w:ind w:left="227" w:firstLine="0"/>
      </w:pPr>
      <w:rPr>
        <w:rFonts w:ascii="Verdana" w:hAnsi="Verdana" w:hint="default"/>
      </w:rPr>
    </w:lvl>
    <w:lvl w:ilvl="1" w:tplc="CA1ACA82" w:tentative="1">
      <w:start w:val="1"/>
      <w:numFmt w:val="bullet"/>
      <w:lvlText w:val="o"/>
      <w:lvlJc w:val="left"/>
      <w:pPr>
        <w:tabs>
          <w:tab w:val="num" w:pos="1440"/>
        </w:tabs>
        <w:ind w:left="1440" w:hanging="360"/>
      </w:pPr>
      <w:rPr>
        <w:rFonts w:ascii="Courier New" w:hAnsi="Courier New" w:cs="Courier New" w:hint="default"/>
      </w:rPr>
    </w:lvl>
    <w:lvl w:ilvl="2" w:tplc="54603956" w:tentative="1">
      <w:start w:val="1"/>
      <w:numFmt w:val="bullet"/>
      <w:lvlText w:val=""/>
      <w:lvlJc w:val="left"/>
      <w:pPr>
        <w:tabs>
          <w:tab w:val="num" w:pos="2160"/>
        </w:tabs>
        <w:ind w:left="2160" w:hanging="360"/>
      </w:pPr>
      <w:rPr>
        <w:rFonts w:ascii="Wingdings" w:hAnsi="Wingdings" w:hint="default"/>
      </w:rPr>
    </w:lvl>
    <w:lvl w:ilvl="3" w:tplc="18361FA8" w:tentative="1">
      <w:start w:val="1"/>
      <w:numFmt w:val="bullet"/>
      <w:lvlText w:val=""/>
      <w:lvlJc w:val="left"/>
      <w:pPr>
        <w:tabs>
          <w:tab w:val="num" w:pos="2880"/>
        </w:tabs>
        <w:ind w:left="2880" w:hanging="360"/>
      </w:pPr>
      <w:rPr>
        <w:rFonts w:ascii="Symbol" w:hAnsi="Symbol" w:hint="default"/>
      </w:rPr>
    </w:lvl>
    <w:lvl w:ilvl="4" w:tplc="FBF0EC5C" w:tentative="1">
      <w:start w:val="1"/>
      <w:numFmt w:val="bullet"/>
      <w:lvlText w:val="o"/>
      <w:lvlJc w:val="left"/>
      <w:pPr>
        <w:tabs>
          <w:tab w:val="num" w:pos="3600"/>
        </w:tabs>
        <w:ind w:left="3600" w:hanging="360"/>
      </w:pPr>
      <w:rPr>
        <w:rFonts w:ascii="Courier New" w:hAnsi="Courier New" w:cs="Courier New" w:hint="default"/>
      </w:rPr>
    </w:lvl>
    <w:lvl w:ilvl="5" w:tplc="4C8AA838" w:tentative="1">
      <w:start w:val="1"/>
      <w:numFmt w:val="bullet"/>
      <w:lvlText w:val=""/>
      <w:lvlJc w:val="left"/>
      <w:pPr>
        <w:tabs>
          <w:tab w:val="num" w:pos="4320"/>
        </w:tabs>
        <w:ind w:left="4320" w:hanging="360"/>
      </w:pPr>
      <w:rPr>
        <w:rFonts w:ascii="Wingdings" w:hAnsi="Wingdings" w:hint="default"/>
      </w:rPr>
    </w:lvl>
    <w:lvl w:ilvl="6" w:tplc="187A61A8" w:tentative="1">
      <w:start w:val="1"/>
      <w:numFmt w:val="bullet"/>
      <w:lvlText w:val=""/>
      <w:lvlJc w:val="left"/>
      <w:pPr>
        <w:tabs>
          <w:tab w:val="num" w:pos="5040"/>
        </w:tabs>
        <w:ind w:left="5040" w:hanging="360"/>
      </w:pPr>
      <w:rPr>
        <w:rFonts w:ascii="Symbol" w:hAnsi="Symbol" w:hint="default"/>
      </w:rPr>
    </w:lvl>
    <w:lvl w:ilvl="7" w:tplc="FA7E7D52" w:tentative="1">
      <w:start w:val="1"/>
      <w:numFmt w:val="bullet"/>
      <w:lvlText w:val="o"/>
      <w:lvlJc w:val="left"/>
      <w:pPr>
        <w:tabs>
          <w:tab w:val="num" w:pos="5760"/>
        </w:tabs>
        <w:ind w:left="5760" w:hanging="360"/>
      </w:pPr>
      <w:rPr>
        <w:rFonts w:ascii="Courier New" w:hAnsi="Courier New" w:cs="Courier New" w:hint="default"/>
      </w:rPr>
    </w:lvl>
    <w:lvl w:ilvl="8" w:tplc="3A24EC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6022602">
    <w:abstractNumId w:val="10"/>
  </w:num>
  <w:num w:numId="2" w16cid:durableId="1753820230">
    <w:abstractNumId w:val="7"/>
  </w:num>
  <w:num w:numId="3" w16cid:durableId="1773090997">
    <w:abstractNumId w:val="6"/>
  </w:num>
  <w:num w:numId="4" w16cid:durableId="317194602">
    <w:abstractNumId w:val="5"/>
  </w:num>
  <w:num w:numId="5" w16cid:durableId="168370790">
    <w:abstractNumId w:val="4"/>
  </w:num>
  <w:num w:numId="6" w16cid:durableId="1460612552">
    <w:abstractNumId w:val="8"/>
  </w:num>
  <w:num w:numId="7" w16cid:durableId="1855724030">
    <w:abstractNumId w:val="3"/>
  </w:num>
  <w:num w:numId="8" w16cid:durableId="23986790">
    <w:abstractNumId w:val="2"/>
  </w:num>
  <w:num w:numId="9" w16cid:durableId="153885075">
    <w:abstractNumId w:val="1"/>
  </w:num>
  <w:num w:numId="10" w16cid:durableId="69432326">
    <w:abstractNumId w:val="0"/>
  </w:num>
  <w:num w:numId="11" w16cid:durableId="823358946">
    <w:abstractNumId w:val="9"/>
  </w:num>
  <w:num w:numId="12" w16cid:durableId="69931515">
    <w:abstractNumId w:val="11"/>
  </w:num>
  <w:num w:numId="13" w16cid:durableId="627861689">
    <w:abstractNumId w:val="13"/>
  </w:num>
  <w:num w:numId="14" w16cid:durableId="11249305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4067"/>
    <w:rsid w:val="00016012"/>
    <w:rsid w:val="00020189"/>
    <w:rsid w:val="00020EE4"/>
    <w:rsid w:val="00023E9A"/>
    <w:rsid w:val="00024A12"/>
    <w:rsid w:val="00033CDD"/>
    <w:rsid w:val="00034A84"/>
    <w:rsid w:val="000350E7"/>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626"/>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C6553"/>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44B0"/>
    <w:rsid w:val="002B153C"/>
    <w:rsid w:val="002B52FC"/>
    <w:rsid w:val="002C2830"/>
    <w:rsid w:val="002D001A"/>
    <w:rsid w:val="002D28E2"/>
    <w:rsid w:val="002D317B"/>
    <w:rsid w:val="002D3587"/>
    <w:rsid w:val="002D502D"/>
    <w:rsid w:val="002D78DD"/>
    <w:rsid w:val="002E0F69"/>
    <w:rsid w:val="002E5C58"/>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05A6"/>
    <w:rsid w:val="00432A0A"/>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4F7DCB"/>
    <w:rsid w:val="00502512"/>
    <w:rsid w:val="00503FD2"/>
    <w:rsid w:val="00505262"/>
    <w:rsid w:val="00516022"/>
    <w:rsid w:val="00521CEE"/>
    <w:rsid w:val="00524FB4"/>
    <w:rsid w:val="00527BD4"/>
    <w:rsid w:val="00537095"/>
    <w:rsid w:val="005403C8"/>
    <w:rsid w:val="005429DC"/>
    <w:rsid w:val="005538F9"/>
    <w:rsid w:val="005565F9"/>
    <w:rsid w:val="00573041"/>
    <w:rsid w:val="00575B80"/>
    <w:rsid w:val="0057620F"/>
    <w:rsid w:val="005819CE"/>
    <w:rsid w:val="0058298D"/>
    <w:rsid w:val="00584C1A"/>
    <w:rsid w:val="00585B85"/>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32567"/>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C66D4"/>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3DDE"/>
    <w:rsid w:val="007254A5"/>
    <w:rsid w:val="00725748"/>
    <w:rsid w:val="007269E3"/>
    <w:rsid w:val="00735D88"/>
    <w:rsid w:val="00736E7C"/>
    <w:rsid w:val="0073720D"/>
    <w:rsid w:val="00737507"/>
    <w:rsid w:val="00740712"/>
    <w:rsid w:val="00741267"/>
    <w:rsid w:val="00742AB9"/>
    <w:rsid w:val="00746C31"/>
    <w:rsid w:val="00751A6A"/>
    <w:rsid w:val="00754FBF"/>
    <w:rsid w:val="007610AA"/>
    <w:rsid w:val="007613F9"/>
    <w:rsid w:val="00762DE1"/>
    <w:rsid w:val="007709EF"/>
    <w:rsid w:val="00782701"/>
    <w:rsid w:val="00783559"/>
    <w:rsid w:val="0079551B"/>
    <w:rsid w:val="00797AA5"/>
    <w:rsid w:val="007A26BD"/>
    <w:rsid w:val="007A4105"/>
    <w:rsid w:val="007B4503"/>
    <w:rsid w:val="007C406E"/>
    <w:rsid w:val="007C5183"/>
    <w:rsid w:val="007C6900"/>
    <w:rsid w:val="007C7573"/>
    <w:rsid w:val="007E2B20"/>
    <w:rsid w:val="007E74CA"/>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13A0"/>
    <w:rsid w:val="00883137"/>
    <w:rsid w:val="00894A3B"/>
    <w:rsid w:val="008A1F5D"/>
    <w:rsid w:val="008A28F5"/>
    <w:rsid w:val="008B1198"/>
    <w:rsid w:val="008B3471"/>
    <w:rsid w:val="008B3929"/>
    <w:rsid w:val="008B4125"/>
    <w:rsid w:val="008B4CB3"/>
    <w:rsid w:val="008B567B"/>
    <w:rsid w:val="008B7B24"/>
    <w:rsid w:val="008C356D"/>
    <w:rsid w:val="008C5BAC"/>
    <w:rsid w:val="008D2DE3"/>
    <w:rsid w:val="008D43B5"/>
    <w:rsid w:val="008E0B3F"/>
    <w:rsid w:val="008E49AD"/>
    <w:rsid w:val="008E5245"/>
    <w:rsid w:val="008E698E"/>
    <w:rsid w:val="008E6FF7"/>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076D"/>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3934"/>
    <w:rsid w:val="00AA64A4"/>
    <w:rsid w:val="00AA7FC9"/>
    <w:rsid w:val="00AB237D"/>
    <w:rsid w:val="00AB5933"/>
    <w:rsid w:val="00AE013D"/>
    <w:rsid w:val="00AE11B7"/>
    <w:rsid w:val="00AE4992"/>
    <w:rsid w:val="00AE7F68"/>
    <w:rsid w:val="00AF2321"/>
    <w:rsid w:val="00AF52F6"/>
    <w:rsid w:val="00AF52FD"/>
    <w:rsid w:val="00AF54A8"/>
    <w:rsid w:val="00AF7237"/>
    <w:rsid w:val="00B0043A"/>
    <w:rsid w:val="00B00D75"/>
    <w:rsid w:val="00B03F7A"/>
    <w:rsid w:val="00B070CB"/>
    <w:rsid w:val="00B12456"/>
    <w:rsid w:val="00B145F0"/>
    <w:rsid w:val="00B259C8"/>
    <w:rsid w:val="00B26CCF"/>
    <w:rsid w:val="00B30FC2"/>
    <w:rsid w:val="00B32952"/>
    <w:rsid w:val="00B331A2"/>
    <w:rsid w:val="00B425F0"/>
    <w:rsid w:val="00B42DFA"/>
    <w:rsid w:val="00B531DD"/>
    <w:rsid w:val="00B55014"/>
    <w:rsid w:val="00B62232"/>
    <w:rsid w:val="00B64389"/>
    <w:rsid w:val="00B70BF3"/>
    <w:rsid w:val="00B71DC2"/>
    <w:rsid w:val="00B73D14"/>
    <w:rsid w:val="00B849F5"/>
    <w:rsid w:val="00B91CFC"/>
    <w:rsid w:val="00B93893"/>
    <w:rsid w:val="00BA1397"/>
    <w:rsid w:val="00BA7E0A"/>
    <w:rsid w:val="00BC2C00"/>
    <w:rsid w:val="00BC36E5"/>
    <w:rsid w:val="00BC3B53"/>
    <w:rsid w:val="00BC3B96"/>
    <w:rsid w:val="00BC4AE3"/>
    <w:rsid w:val="00BC5B28"/>
    <w:rsid w:val="00BD2370"/>
    <w:rsid w:val="00BE3F88"/>
    <w:rsid w:val="00BE4756"/>
    <w:rsid w:val="00BE5ED9"/>
    <w:rsid w:val="00BE7B41"/>
    <w:rsid w:val="00C15A91"/>
    <w:rsid w:val="00C206F1"/>
    <w:rsid w:val="00C217E1"/>
    <w:rsid w:val="00C219B1"/>
    <w:rsid w:val="00C23BAE"/>
    <w:rsid w:val="00C27F03"/>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4235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77F"/>
    <w:rsid w:val="00F34805"/>
    <w:rsid w:val="00F41A6F"/>
    <w:rsid w:val="00F45A25"/>
    <w:rsid w:val="00F50F86"/>
    <w:rsid w:val="00F53F91"/>
    <w:rsid w:val="00F61569"/>
    <w:rsid w:val="00F61A72"/>
    <w:rsid w:val="00F62B67"/>
    <w:rsid w:val="00F66F13"/>
    <w:rsid w:val="00F67DF9"/>
    <w:rsid w:val="00F722D4"/>
    <w:rsid w:val="00F7373F"/>
    <w:rsid w:val="00F74073"/>
    <w:rsid w:val="00F75603"/>
    <w:rsid w:val="00F76600"/>
    <w:rsid w:val="00F845B4"/>
    <w:rsid w:val="00F8713B"/>
    <w:rsid w:val="00F92264"/>
    <w:rsid w:val="00F93F9E"/>
    <w:rsid w:val="00FA242C"/>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E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paragraph">
    <w:name w:val="paragraph"/>
    <w:basedOn w:val="Standaard"/>
    <w:rsid w:val="005538F9"/>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5538F9"/>
  </w:style>
  <w:style w:type="character" w:customStyle="1" w:styleId="eop">
    <w:name w:val="eop"/>
    <w:basedOn w:val="Standaardalinea-lettertype"/>
    <w:rsid w:val="005538F9"/>
  </w:style>
  <w:style w:type="character" w:customStyle="1" w:styleId="superscript">
    <w:name w:val="superscript"/>
    <w:basedOn w:val="Standaardalinea-lettertype"/>
    <w:rsid w:val="005538F9"/>
  </w:style>
  <w:style w:type="character" w:styleId="Voetnootmarkering">
    <w:name w:val="footnote reference"/>
    <w:basedOn w:val="Standaardalinea-lettertype"/>
    <w:semiHidden/>
    <w:unhideWhenUsed/>
    <w:rsid w:val="00AA6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2006">
      <w:bodyDiv w:val="1"/>
      <w:marLeft w:val="0"/>
      <w:marRight w:val="0"/>
      <w:marTop w:val="0"/>
      <w:marBottom w:val="0"/>
      <w:divBdr>
        <w:top w:val="none" w:sz="0" w:space="0" w:color="auto"/>
        <w:left w:val="none" w:sz="0" w:space="0" w:color="auto"/>
        <w:bottom w:val="none" w:sz="0" w:space="0" w:color="auto"/>
        <w:right w:val="none" w:sz="0" w:space="0" w:color="auto"/>
      </w:divBdr>
      <w:divsChild>
        <w:div w:id="1523665747">
          <w:marLeft w:val="0"/>
          <w:marRight w:val="0"/>
          <w:marTop w:val="0"/>
          <w:marBottom w:val="0"/>
          <w:divBdr>
            <w:top w:val="none" w:sz="0" w:space="0" w:color="auto"/>
            <w:left w:val="none" w:sz="0" w:space="0" w:color="auto"/>
            <w:bottom w:val="none" w:sz="0" w:space="0" w:color="auto"/>
            <w:right w:val="none" w:sz="0" w:space="0" w:color="auto"/>
          </w:divBdr>
        </w:div>
        <w:div w:id="1321697043">
          <w:marLeft w:val="0"/>
          <w:marRight w:val="0"/>
          <w:marTop w:val="0"/>
          <w:marBottom w:val="0"/>
          <w:divBdr>
            <w:top w:val="none" w:sz="0" w:space="0" w:color="auto"/>
            <w:left w:val="none" w:sz="0" w:space="0" w:color="auto"/>
            <w:bottom w:val="none" w:sz="0" w:space="0" w:color="auto"/>
            <w:right w:val="none" w:sz="0" w:space="0" w:color="auto"/>
          </w:divBdr>
        </w:div>
        <w:div w:id="568467071">
          <w:marLeft w:val="0"/>
          <w:marRight w:val="0"/>
          <w:marTop w:val="0"/>
          <w:marBottom w:val="0"/>
          <w:divBdr>
            <w:top w:val="none" w:sz="0" w:space="0" w:color="auto"/>
            <w:left w:val="none" w:sz="0" w:space="0" w:color="auto"/>
            <w:bottom w:val="none" w:sz="0" w:space="0" w:color="auto"/>
            <w:right w:val="none" w:sz="0" w:space="0" w:color="auto"/>
          </w:divBdr>
        </w:div>
        <w:div w:id="2116946427">
          <w:marLeft w:val="0"/>
          <w:marRight w:val="0"/>
          <w:marTop w:val="0"/>
          <w:marBottom w:val="0"/>
          <w:divBdr>
            <w:top w:val="none" w:sz="0" w:space="0" w:color="auto"/>
            <w:left w:val="none" w:sz="0" w:space="0" w:color="auto"/>
            <w:bottom w:val="none" w:sz="0" w:space="0" w:color="auto"/>
            <w:right w:val="none" w:sz="0" w:space="0" w:color="auto"/>
          </w:divBdr>
        </w:div>
        <w:div w:id="1955213118">
          <w:marLeft w:val="0"/>
          <w:marRight w:val="0"/>
          <w:marTop w:val="0"/>
          <w:marBottom w:val="0"/>
          <w:divBdr>
            <w:top w:val="none" w:sz="0" w:space="0" w:color="auto"/>
            <w:left w:val="none" w:sz="0" w:space="0" w:color="auto"/>
            <w:bottom w:val="none" w:sz="0" w:space="0" w:color="auto"/>
            <w:right w:val="none" w:sz="0" w:space="0" w:color="auto"/>
          </w:divBdr>
        </w:div>
        <w:div w:id="1833910765">
          <w:marLeft w:val="0"/>
          <w:marRight w:val="0"/>
          <w:marTop w:val="0"/>
          <w:marBottom w:val="0"/>
          <w:divBdr>
            <w:top w:val="none" w:sz="0" w:space="0" w:color="auto"/>
            <w:left w:val="none" w:sz="0" w:space="0" w:color="auto"/>
            <w:bottom w:val="none" w:sz="0" w:space="0" w:color="auto"/>
            <w:right w:val="none" w:sz="0" w:space="0" w:color="auto"/>
          </w:divBdr>
        </w:div>
        <w:div w:id="1267081986">
          <w:marLeft w:val="0"/>
          <w:marRight w:val="0"/>
          <w:marTop w:val="0"/>
          <w:marBottom w:val="0"/>
          <w:divBdr>
            <w:top w:val="none" w:sz="0" w:space="0" w:color="auto"/>
            <w:left w:val="none" w:sz="0" w:space="0" w:color="auto"/>
            <w:bottom w:val="none" w:sz="0" w:space="0" w:color="auto"/>
            <w:right w:val="none" w:sz="0" w:space="0" w:color="auto"/>
          </w:divBdr>
        </w:div>
        <w:div w:id="351151056">
          <w:marLeft w:val="0"/>
          <w:marRight w:val="0"/>
          <w:marTop w:val="0"/>
          <w:marBottom w:val="0"/>
          <w:divBdr>
            <w:top w:val="none" w:sz="0" w:space="0" w:color="auto"/>
            <w:left w:val="none" w:sz="0" w:space="0" w:color="auto"/>
            <w:bottom w:val="none" w:sz="0" w:space="0" w:color="auto"/>
            <w:right w:val="none" w:sz="0" w:space="0" w:color="auto"/>
          </w:divBdr>
        </w:div>
        <w:div w:id="1730179883">
          <w:marLeft w:val="0"/>
          <w:marRight w:val="0"/>
          <w:marTop w:val="0"/>
          <w:marBottom w:val="0"/>
          <w:divBdr>
            <w:top w:val="none" w:sz="0" w:space="0" w:color="auto"/>
            <w:left w:val="none" w:sz="0" w:space="0" w:color="auto"/>
            <w:bottom w:val="none" w:sz="0" w:space="0" w:color="auto"/>
            <w:right w:val="none" w:sz="0" w:space="0" w:color="auto"/>
          </w:divBdr>
        </w:div>
        <w:div w:id="1507398312">
          <w:marLeft w:val="0"/>
          <w:marRight w:val="0"/>
          <w:marTop w:val="0"/>
          <w:marBottom w:val="0"/>
          <w:divBdr>
            <w:top w:val="none" w:sz="0" w:space="0" w:color="auto"/>
            <w:left w:val="none" w:sz="0" w:space="0" w:color="auto"/>
            <w:bottom w:val="none" w:sz="0" w:space="0" w:color="auto"/>
            <w:right w:val="none" w:sz="0" w:space="0" w:color="auto"/>
          </w:divBdr>
        </w:div>
        <w:div w:id="1200126302">
          <w:marLeft w:val="0"/>
          <w:marRight w:val="0"/>
          <w:marTop w:val="0"/>
          <w:marBottom w:val="0"/>
          <w:divBdr>
            <w:top w:val="none" w:sz="0" w:space="0" w:color="auto"/>
            <w:left w:val="none" w:sz="0" w:space="0" w:color="auto"/>
            <w:bottom w:val="none" w:sz="0" w:space="0" w:color="auto"/>
            <w:right w:val="none" w:sz="0" w:space="0" w:color="auto"/>
          </w:divBdr>
        </w:div>
        <w:div w:id="1062828137">
          <w:marLeft w:val="0"/>
          <w:marRight w:val="0"/>
          <w:marTop w:val="0"/>
          <w:marBottom w:val="0"/>
          <w:divBdr>
            <w:top w:val="none" w:sz="0" w:space="0" w:color="auto"/>
            <w:left w:val="none" w:sz="0" w:space="0" w:color="auto"/>
            <w:bottom w:val="none" w:sz="0" w:space="0" w:color="auto"/>
            <w:right w:val="none" w:sz="0" w:space="0" w:color="auto"/>
          </w:divBdr>
        </w:div>
        <w:div w:id="1968273497">
          <w:marLeft w:val="0"/>
          <w:marRight w:val="0"/>
          <w:marTop w:val="0"/>
          <w:marBottom w:val="0"/>
          <w:divBdr>
            <w:top w:val="none" w:sz="0" w:space="0" w:color="auto"/>
            <w:left w:val="none" w:sz="0" w:space="0" w:color="auto"/>
            <w:bottom w:val="none" w:sz="0" w:space="0" w:color="auto"/>
            <w:right w:val="none" w:sz="0" w:space="0" w:color="auto"/>
          </w:divBdr>
        </w:div>
        <w:div w:id="186481900">
          <w:marLeft w:val="0"/>
          <w:marRight w:val="0"/>
          <w:marTop w:val="0"/>
          <w:marBottom w:val="0"/>
          <w:divBdr>
            <w:top w:val="none" w:sz="0" w:space="0" w:color="auto"/>
            <w:left w:val="none" w:sz="0" w:space="0" w:color="auto"/>
            <w:bottom w:val="none" w:sz="0" w:space="0" w:color="auto"/>
            <w:right w:val="none" w:sz="0" w:space="0" w:color="auto"/>
          </w:divBdr>
        </w:div>
        <w:div w:id="422796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1023</ap:Words>
  <ap:Characters>5632</ap:Characters>
  <ap:DocSecurity>0</ap:DocSecurity>
  <ap:Lines>46</ap:Lines>
  <ap:Paragraphs>13</ap:Paragraphs>
  <ap:ScaleCrop>false</ap:ScaleCrop>
  <ap:LinksUpToDate>false</ap:LinksUpToDate>
  <ap:CharactersWithSpaces>6642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2026-02-20T11:04:00.0000000Z</dcterms:created>
  <dcterms:modified xsi:type="dcterms:W3CDTF">2026-02-20T11:04:00.0000000Z</dcterms:modified>
  <dc:description>------------------------</dc:description>
  <dc:subject/>
  <keywords/>
  <version/>
  <category/>
</coreProperties>
</file>