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799" w:rsidP="00F52799" w:rsidRDefault="00F52799" w14:paraId="015AD85C" w14:textId="225F7597">
      <w:r>
        <w:t>AH 1153</w:t>
      </w:r>
    </w:p>
    <w:p w:rsidR="00F52799" w:rsidP="00F52799" w:rsidRDefault="00F52799" w14:paraId="7BBFE13E" w14:textId="651BA971">
      <w:r>
        <w:t>2026Z02615</w:t>
      </w:r>
    </w:p>
    <w:p w:rsidRPr="00F52799" w:rsidR="00F52799" w:rsidP="00F52799" w:rsidRDefault="00F52799" w14:paraId="4A3B06D0" w14:textId="6F5289C1">
      <w:pPr>
        <w:rPr>
          <w:sz w:val="24"/>
          <w:szCs w:val="24"/>
        </w:rPr>
      </w:pPr>
      <w:r w:rsidRPr="008257E5">
        <w:rPr>
          <w:sz w:val="24"/>
          <w:szCs w:val="24"/>
        </w:rPr>
        <w:t>Antwoord van staatssecretaris Aartsen (Infrastructuur en Waterstaat)</w:t>
      </w:r>
      <w:r>
        <w:rPr>
          <w:sz w:val="24"/>
          <w:szCs w:val="24"/>
        </w:rPr>
        <w:t xml:space="preserve">, mede namens de </w:t>
      </w:r>
      <w:r w:rsidRPr="00D033A6">
        <w:rPr>
          <w:sz w:val="24"/>
          <w:szCs w:val="24"/>
        </w:rPr>
        <w:t xml:space="preserve">minister </w:t>
      </w:r>
      <w:r>
        <w:rPr>
          <w:sz w:val="24"/>
          <w:szCs w:val="24"/>
        </w:rPr>
        <w:t>v</w:t>
      </w:r>
      <w:r w:rsidRPr="00EB1060">
        <w:rPr>
          <w:sz w:val="24"/>
          <w:szCs w:val="24"/>
        </w:rPr>
        <w:t xml:space="preserve">an </w:t>
      </w:r>
      <w:r w:rsidRPr="00D033A6">
        <w:rPr>
          <w:sz w:val="24"/>
          <w:szCs w:val="24"/>
        </w:rPr>
        <w:t>Justitie en Veiligheid</w:t>
      </w:r>
      <w:r>
        <w:rPr>
          <w:sz w:val="24"/>
          <w:szCs w:val="24"/>
        </w:rPr>
        <w:t xml:space="preserve"> </w:t>
      </w:r>
      <w:r w:rsidRPr="008257E5">
        <w:rPr>
          <w:sz w:val="24"/>
          <w:szCs w:val="24"/>
        </w:rPr>
        <w:t>(ontvangen</w:t>
      </w:r>
      <w:r>
        <w:rPr>
          <w:sz w:val="24"/>
          <w:szCs w:val="24"/>
        </w:rPr>
        <w:t xml:space="preserve"> 20 februari 2026)</w:t>
      </w:r>
    </w:p>
    <w:p w:rsidR="00F52799" w:rsidP="00F52799" w:rsidRDefault="00F52799" w14:paraId="152AF5A6" w14:textId="77777777"/>
    <w:p w:rsidRPr="00E62076" w:rsidR="00F52799" w:rsidP="00F52799" w:rsidRDefault="00F52799" w14:paraId="2C1EABF0" w14:textId="77777777">
      <w:pPr>
        <w:numPr>
          <w:ilvl w:val="0"/>
          <w:numId w:val="1"/>
        </w:numPr>
        <w:rPr>
          <w:b/>
          <w:bCs/>
        </w:rPr>
      </w:pPr>
      <w:r w:rsidRPr="00E62076">
        <w:rPr>
          <w:b/>
          <w:bCs/>
        </w:rPr>
        <w:t>Kunt u toelichten waarom in de Algemene Maatregel van Bestuur (AMvB) is gekozen voor een verplichte inschrijving in het Handelsregister, terwijl het amendement Bikker expliciet beoogde een laagdrempelig alternatief te bieden voor burgerinitiatieven die niet noodzakelijkerwijs in een formele rechtsvorm opereren?</w:t>
      </w:r>
      <w:r>
        <w:rPr>
          <w:rStyle w:val="Voetnootmarkering"/>
          <w:b/>
          <w:bCs/>
        </w:rPr>
        <w:footnoteReference w:id="1"/>
      </w:r>
      <w:r w:rsidRPr="00E62076">
        <w:rPr>
          <w:b/>
          <w:bCs/>
        </w:rPr>
        <w:br/>
      </w:r>
      <w:bookmarkStart w:name="_Hlk222166382" w:id="0"/>
      <w:r w:rsidRPr="004837CD">
        <w:t xml:space="preserve">Er is gekozen voor een verplichte inschrijving </w:t>
      </w:r>
      <w:r>
        <w:t>bij</w:t>
      </w:r>
      <w:r w:rsidRPr="004837CD">
        <w:t xml:space="preserve"> de Kamer van Koophandel, </w:t>
      </w:r>
      <w:r>
        <w:t>omdat</w:t>
      </w:r>
      <w:r w:rsidRPr="004837CD">
        <w:t xml:space="preserve"> het wenselijk is om te borgen dat een ontheffinghouder een rechtspersoon is die aansprakelijk kan worden gesteld voor schade of letsel veroorzaakt in het kader van de verleende ontheffing. Er worden geen eisen gesteld aan het type vereniging of stichting. Daarmee is deze voorwaarde zo laagdrempelig mogelijk vormgegeven.</w:t>
      </w:r>
      <w:bookmarkEnd w:id="0"/>
    </w:p>
    <w:p w:rsidRPr="00E62076" w:rsidR="00F52799" w:rsidP="00F52799" w:rsidRDefault="00F52799" w14:paraId="2FB6D1DF" w14:textId="77777777">
      <w:pPr>
        <w:numPr>
          <w:ilvl w:val="0"/>
          <w:numId w:val="1"/>
        </w:numPr>
        <w:rPr>
          <w:b/>
          <w:bCs/>
        </w:rPr>
      </w:pPr>
      <w:r w:rsidRPr="00E62076">
        <w:rPr>
          <w:b/>
          <w:bCs/>
        </w:rPr>
        <w:t>Op welke wijze is getoetst of deze eis verenigbaar is met de intentie van het amendement?</w:t>
      </w:r>
      <w:r w:rsidRPr="00E62076">
        <w:rPr>
          <w:b/>
          <w:bCs/>
        </w:rPr>
        <w:br/>
      </w:r>
      <w:r w:rsidRPr="0047051A">
        <w:t xml:space="preserve">Indieners van het amendement Bikkers c.s. </w:t>
      </w:r>
      <w:r>
        <w:t xml:space="preserve">geven in de toelichting aan dat het ook voor anderen dan personen met gespecialiseerde kennis mogelijk moet zijn om consumentenvuurwerk te mogen afsteken. </w:t>
      </w:r>
      <w:r w:rsidRPr="0047051A">
        <w:t>Indieners wilden het onder voorwaarden mogelijk maken voor georganiseerde groepen burgers om zich tot de gemeente te wenden om tijdens de jaarwisseling op een verantwoorde en veilige manier voor hun gemeenschap vuurwerk af te steken op een daartoe aangewezen plek. Daarbij wezen de indieners bijvoorbeeld op dorps- of buurtverenigingen die op een centrale plek in het dorp of in de wijk vuurwerk organiseert. Bovenstaande is met de uitwerking in het Ontwerpbesluit veilige jaarwisseling mogelijk gemaakt.</w:t>
      </w:r>
    </w:p>
    <w:p w:rsidRPr="00E62076" w:rsidR="00F52799" w:rsidP="00F52799" w:rsidRDefault="00F52799" w14:paraId="139E1246" w14:textId="77777777">
      <w:pPr>
        <w:numPr>
          <w:ilvl w:val="0"/>
          <w:numId w:val="1"/>
        </w:numPr>
        <w:rPr>
          <w:b/>
          <w:bCs/>
        </w:rPr>
      </w:pPr>
      <w:r w:rsidRPr="00E62076">
        <w:rPr>
          <w:b/>
          <w:bCs/>
        </w:rPr>
        <w:t>Waarom is bepaald dat een vereniging uitsluitend een ontheffing kan aanvragen in de gemeente waarin zij volgens de Kamer van Koophandel (KvK) is ingeschreven?</w:t>
      </w:r>
      <w:r w:rsidRPr="00E62076">
        <w:rPr>
          <w:b/>
          <w:bCs/>
        </w:rPr>
        <w:br/>
      </w:r>
      <w:r w:rsidRPr="0078576A">
        <w:t xml:space="preserve">In de internetconsultatieversie van het Ontwerpbesluit veilige jaarwisseling was een vestigingsplaatsvereiste opgenomen, maar deze </w:t>
      </w:r>
      <w:r>
        <w:t xml:space="preserve">eis </w:t>
      </w:r>
      <w:r w:rsidRPr="0078576A">
        <w:t>is geschrapt om ook het aanvragen van een ontheffing in bijvoorbeeld buurgemeenten mogelijk te maken.</w:t>
      </w:r>
    </w:p>
    <w:p w:rsidRPr="00E62076" w:rsidR="00F52799" w:rsidP="00F52799" w:rsidRDefault="00F52799" w14:paraId="322FB061" w14:textId="77777777">
      <w:pPr>
        <w:numPr>
          <w:ilvl w:val="0"/>
          <w:numId w:val="1"/>
        </w:numPr>
        <w:rPr>
          <w:b/>
          <w:bCs/>
        </w:rPr>
      </w:pPr>
      <w:r w:rsidRPr="00E62076">
        <w:rPr>
          <w:b/>
          <w:bCs/>
        </w:rPr>
        <w:t>Hoe wordt omgegaan met lokale initiatieven binnen grotere gemeenten met meerdere kernen of wijken, waar de feitelijke activiteiten niet samenvallen met de formele vestigingsplaats?</w:t>
      </w:r>
      <w:r w:rsidRPr="00E62076">
        <w:rPr>
          <w:b/>
          <w:bCs/>
        </w:rPr>
        <w:br/>
      </w:r>
      <w:r w:rsidRPr="0078576A">
        <w:lastRenderedPageBreak/>
        <w:t xml:space="preserve">In de internetconsultatieversie van het Ontwerpbesluit veilige jaarwisseling was een vestigingsplaatsvereiste opgenomen, maar deze </w:t>
      </w:r>
      <w:r>
        <w:t xml:space="preserve">eis </w:t>
      </w:r>
      <w:r w:rsidRPr="0078576A">
        <w:t>is geschrapt om ook het aanvragen van een ontheffing in bijvoorbeeld buurgemeenten mogelijk te maken.</w:t>
      </w:r>
    </w:p>
    <w:p w:rsidRPr="00E62076" w:rsidR="00F52799" w:rsidP="00F52799" w:rsidRDefault="00F52799" w14:paraId="6A8E4A1F" w14:textId="77777777">
      <w:pPr>
        <w:numPr>
          <w:ilvl w:val="0"/>
          <w:numId w:val="1"/>
        </w:numPr>
        <w:rPr>
          <w:b/>
          <w:bCs/>
        </w:rPr>
      </w:pPr>
      <w:r w:rsidRPr="00E62076">
        <w:rPr>
          <w:b/>
          <w:bCs/>
        </w:rPr>
        <w:t>Zijn minder beperkende alternatieven onderzocht om identiteit en verantwoordelijkheid te borgen, zoals gemeentelijke registratie, aanwijzing van een verantwoordelijke persoon of een door de gemeente erkende contactstructuur? Zo ja, waarom zijn deze niet overgenomen? Zo nee, waarom niet?</w:t>
      </w:r>
      <w:r w:rsidRPr="00E62076">
        <w:rPr>
          <w:b/>
          <w:bCs/>
        </w:rPr>
        <w:br/>
      </w:r>
      <w:r>
        <w:t>Met de uitwerking van de huidige ontheffingsmogelijkheid is aangesloten bij de bestaande structuren van verenigingen en stichtingen. H</w:t>
      </w:r>
      <w:r w:rsidRPr="000D0578">
        <w:t xml:space="preserve">et </w:t>
      </w:r>
      <w:r>
        <w:t xml:space="preserve">is </w:t>
      </w:r>
      <w:r w:rsidRPr="000D0578">
        <w:t xml:space="preserve">wenselijk </w:t>
      </w:r>
      <w:r>
        <w:t xml:space="preserve">dat duidelijk is wie aangesproken kan worden </w:t>
      </w:r>
      <w:r w:rsidRPr="000D0578">
        <w:t>bij letsel of schade.</w:t>
      </w:r>
      <w:r>
        <w:t xml:space="preserve"> Dat wordt op deze manier het beste geborgd. </w:t>
      </w:r>
    </w:p>
    <w:p w:rsidRPr="00C96E3D" w:rsidR="00F52799" w:rsidP="00F52799" w:rsidRDefault="00F52799" w14:paraId="6FBE7764" w14:textId="77777777">
      <w:pPr>
        <w:pStyle w:val="Lijstalinea"/>
        <w:numPr>
          <w:ilvl w:val="0"/>
          <w:numId w:val="1"/>
        </w:numPr>
        <w:autoSpaceDN w:val="0"/>
        <w:spacing w:after="0" w:line="240" w:lineRule="atLeast"/>
        <w:textAlignment w:val="baseline"/>
        <w:rPr>
          <w:b/>
          <w:bCs/>
        </w:rPr>
      </w:pPr>
      <w:r w:rsidRPr="00C96E3D">
        <w:rPr>
          <w:b/>
          <w:bCs/>
        </w:rPr>
        <w:t>Kan u toelichten hoe u de passage uit het amendement Bikker heeft geïnterpreteerd waarin wordt gevraagd om zoveel mogelijk aan te sluiten bij de bestaande regels voor particulieren?</w:t>
      </w:r>
      <w:r w:rsidRPr="00C96E3D">
        <w:rPr>
          <w:b/>
          <w:bCs/>
        </w:rPr>
        <w:br/>
      </w:r>
      <w:r w:rsidRPr="000D0578">
        <w:t>Omdat de situatie niet meer vergelijkbaar is met de situatie zonder landelijk vuurwerkverbod, is het niet mogelijk om alle bestaande regels voor particulieren een-op-een over te nemen. Er is immers een brede meerderheid binnen zowel de Eerste als Tweede Kamer voor een landelijk vuurwerkverbod voor consumenten</w:t>
      </w:r>
      <w:r>
        <w:t>, met een ontheffingsmogelijkheid voor groepen burgers</w:t>
      </w:r>
      <w:r w:rsidRPr="000D0578">
        <w:t xml:space="preserve">. </w:t>
      </w:r>
      <w:r>
        <w:t>Daarmee is het mogelijk voor gemeenten om groepen burgers de kans te geven om samen het nieuwe jaar in te luiden met vuurwerk. Hierbij</w:t>
      </w:r>
      <w:r w:rsidRPr="000D0578">
        <w:t xml:space="preserve"> is het noodzakelijk geacht om een aantal voorwaarden en voorschriften vast te stellen met het oog op het waarborgen van de veiligheid. </w:t>
      </w:r>
    </w:p>
    <w:p w:rsidRPr="00C96E3D" w:rsidR="00F52799" w:rsidP="00F52799" w:rsidRDefault="00F52799" w14:paraId="78F71DAD" w14:textId="77777777">
      <w:pPr>
        <w:pStyle w:val="Lijstalinea"/>
        <w:ind w:left="360"/>
        <w:rPr>
          <w:b/>
          <w:bCs/>
        </w:rPr>
      </w:pPr>
      <w:r w:rsidRPr="000D0578">
        <w:t>Wel is bijvoorbeeld aangesloten bij het type vuurwerk dat nu is toegestaan op basis van de Regeling aanwijzing consumentenvuurwerk</w:t>
      </w:r>
      <w:r>
        <w:t>, en</w:t>
      </w:r>
      <w:r w:rsidRPr="000D0578">
        <w:t xml:space="preserve"> is voor de ontbranders de huidige leeftijdsgrens gehanteerd</w:t>
      </w:r>
      <w:r>
        <w:t>.</w:t>
      </w:r>
      <w:r w:rsidRPr="000D0578">
        <w:t xml:space="preserve"> </w:t>
      </w:r>
      <w:r w:rsidRPr="00C96E3D">
        <w:rPr>
          <w:rFonts w:eastAsia="Times New Roman" w:cs="Times New Roman"/>
        </w:rPr>
        <w:t>In de huidige regelgeving is er een maximum van 25 kg vuurwerk per persoon toegestaan. Omdat er op een afsteeklocatie maximaal 200 kg vuurwerk neergelegd mag worden, is ervoor gekozen om het mogelijk te maken maximaal acht ontbranders aan te wijzen.</w:t>
      </w:r>
      <w:r>
        <w:rPr>
          <w:rFonts w:eastAsia="Times New Roman" w:cs="Times New Roman"/>
        </w:rPr>
        <w:t xml:space="preserve"> </w:t>
      </w:r>
      <w:r w:rsidRPr="000D0578">
        <w:t>Daarmee is getracht een balans te vinden waarin zowel de veiligheid van ontbranders en omstanders wordt geborgd, en daarnaast ook wordt gezorgd voor een uitvoerbare regeling.</w:t>
      </w:r>
    </w:p>
    <w:p w:rsidRPr="00C96E3D" w:rsidR="00F52799" w:rsidP="00F52799" w:rsidRDefault="00F52799" w14:paraId="3B3A7AD9" w14:textId="77777777">
      <w:pPr>
        <w:pStyle w:val="Lijstalinea"/>
        <w:ind w:left="360"/>
        <w:rPr>
          <w:b/>
          <w:bCs/>
        </w:rPr>
      </w:pPr>
    </w:p>
    <w:p w:rsidRPr="00E62076" w:rsidR="00F52799" w:rsidP="00F52799" w:rsidRDefault="00F52799" w14:paraId="4D879A31" w14:textId="77777777">
      <w:pPr>
        <w:numPr>
          <w:ilvl w:val="0"/>
          <w:numId w:val="1"/>
        </w:numPr>
        <w:rPr>
          <w:b/>
          <w:bCs/>
        </w:rPr>
      </w:pPr>
      <w:r w:rsidRPr="00E62076">
        <w:rPr>
          <w:b/>
          <w:bCs/>
        </w:rPr>
        <w:t>Waarom is in de AMvB gekozen voor een systematiek die sterk leunt op professionele ontbrandingsregels?</w:t>
      </w:r>
      <w:r w:rsidRPr="00E62076">
        <w:rPr>
          <w:b/>
          <w:bCs/>
        </w:rPr>
        <w:br/>
      </w:r>
      <w:r w:rsidRPr="000D0578">
        <w:t>Gekozen is om</w:t>
      </w:r>
      <w:r>
        <w:t>,</w:t>
      </w:r>
      <w:r w:rsidRPr="000D0578">
        <w:t xml:space="preserve"> daar </w:t>
      </w:r>
      <w:r>
        <w:t xml:space="preserve">waar </w:t>
      </w:r>
      <w:r w:rsidRPr="000D0578">
        <w:t>mogelijk</w:t>
      </w:r>
      <w:r>
        <w:t>,</w:t>
      </w:r>
      <w:r w:rsidRPr="000D0578">
        <w:t xml:space="preserve"> aan te sluiten bij reeds geldende eisen in huidige wet- en regelgeving. Professionele toepassers maken in de praktijk bij hun evenementen veelal gebruik van consumentenvuurwerk. Hiervoor moeten zij aan diverse eisen voldoen.</w:t>
      </w:r>
      <w:r>
        <w:t xml:space="preserve"> Daarom is ervoor gekozen </w:t>
      </w:r>
      <w:r w:rsidRPr="000D0578">
        <w:t>om zoveel mogelijk aan te sluiten</w:t>
      </w:r>
      <w:r>
        <w:t xml:space="preserve"> bij de regels voor professionele toepassers wanneer zij consumentenvuurwerk afsteken</w:t>
      </w:r>
      <w:r w:rsidRPr="000D0578">
        <w:t>.</w:t>
      </w:r>
    </w:p>
    <w:p w:rsidRPr="000D0578" w:rsidR="00F52799" w:rsidP="00F52799" w:rsidRDefault="00F52799" w14:paraId="66332EF4" w14:textId="77777777">
      <w:pPr>
        <w:numPr>
          <w:ilvl w:val="0"/>
          <w:numId w:val="1"/>
        </w:numPr>
      </w:pPr>
      <w:r w:rsidRPr="00E62076">
        <w:rPr>
          <w:b/>
          <w:bCs/>
        </w:rPr>
        <w:lastRenderedPageBreak/>
        <w:t>Op welke punten is bewust afgeweken van het particuliere regime, en welke beleidsmatige noodzaak lag daaraan ten grondslag?</w:t>
      </w:r>
      <w:r w:rsidRPr="00E62076">
        <w:rPr>
          <w:b/>
          <w:bCs/>
        </w:rPr>
        <w:br/>
      </w:r>
      <w:r w:rsidRPr="000D0578">
        <w:t>Het landelijk vuurwerkverbod stelt dat particulieren geen vuurwerk meer mogen bezitten, kopen of afsteken. Hiermee zijn de regels van het particuliere regi</w:t>
      </w:r>
      <w:r>
        <w:t>me</w:t>
      </w:r>
      <w:r w:rsidRPr="000D0578">
        <w:t xml:space="preserve"> niet meer van toepassing. Bij het invullen van de ontheffingsmogelijkheid is voor het waarborgen van de veiligheid zowel gekeken naar de oorspronkelijke regels van het particu</w:t>
      </w:r>
      <w:r>
        <w:t>l</w:t>
      </w:r>
      <w:r w:rsidRPr="000D0578">
        <w:t>iere regim</w:t>
      </w:r>
      <w:r>
        <w:t>e</w:t>
      </w:r>
      <w:r w:rsidRPr="000D0578">
        <w:t xml:space="preserve"> als naar de regels van professionele toepassers. </w:t>
      </w:r>
      <w:r>
        <w:t xml:space="preserve">Zie hiervoor ook de antwoorden op vraag 6 en 7. </w:t>
      </w:r>
    </w:p>
    <w:p w:rsidR="00F52799" w:rsidP="00F52799" w:rsidRDefault="00F52799" w14:paraId="549D28B9" w14:textId="77777777">
      <w:pPr>
        <w:numPr>
          <w:ilvl w:val="0"/>
          <w:numId w:val="1"/>
        </w:numPr>
        <w:rPr>
          <w:b/>
          <w:bCs/>
        </w:rPr>
      </w:pPr>
      <w:r w:rsidRPr="00E62076">
        <w:rPr>
          <w:b/>
          <w:bCs/>
        </w:rPr>
        <w:t>Is een vergelijking gemaakt tussen het particuliere en het professionele regime op het gebied van risico’s, uitvoeringslasten en handhaafbaarheid? Zo ja, kan deze analyse met de Kamer worden gedeeld?</w:t>
      </w:r>
      <w:r w:rsidRPr="00E62076">
        <w:rPr>
          <w:b/>
          <w:bCs/>
        </w:rPr>
        <w:br/>
      </w:r>
      <w:r w:rsidRPr="00273D70">
        <w:t>Er is gekeken naar alle regels die gelden voor professionele ontbrandingen</w:t>
      </w:r>
      <w:r>
        <w:t xml:space="preserve"> wanneer zij uitsluitend consumentenvuurwerk tot ontbranding brengen</w:t>
      </w:r>
      <w:r w:rsidRPr="00273D70">
        <w:t>. Daar waar opportuun is geacht, is daarbij aangesloten. Bij de afweging welke eisen over zijn genomen, hebben o.a. veiligheid, handhaafbaarheid en uitvoerbaarheid voor verenigingen en stichtin</w:t>
      </w:r>
      <w:r>
        <w:t>g</w:t>
      </w:r>
      <w:r w:rsidRPr="00273D70">
        <w:t>en een rol gespeeld.</w:t>
      </w:r>
    </w:p>
    <w:p w:rsidRPr="00C96E3D" w:rsidR="00F52799" w:rsidP="00F52799" w:rsidRDefault="00F52799" w14:paraId="2C301222" w14:textId="77777777">
      <w:pPr>
        <w:pStyle w:val="Lijstalinea"/>
        <w:numPr>
          <w:ilvl w:val="0"/>
          <w:numId w:val="2"/>
        </w:numPr>
        <w:rPr>
          <w:b/>
          <w:bCs/>
        </w:rPr>
      </w:pPr>
      <w:r w:rsidRPr="00C96E3D">
        <w:rPr>
          <w:b/>
          <w:bCs/>
        </w:rPr>
        <w:t>Waarom is gekozen voor een uniforme set zware eisen voor alle initiatieven, ongeacht schaal en hoeveelheid vuurwerk?</w:t>
      </w:r>
      <w:r w:rsidRPr="00C96E3D">
        <w:rPr>
          <w:b/>
          <w:bCs/>
        </w:rPr>
        <w:br/>
      </w:r>
      <w:r w:rsidRPr="00273D70">
        <w:t>Er is voor gekozen om uit te gaan van één generieke set</w:t>
      </w:r>
      <w:r>
        <w:t xml:space="preserve"> aan minimale</w:t>
      </w:r>
      <w:r w:rsidRPr="00273D70">
        <w:t xml:space="preserve"> voorwaarden en voorschriften die een burgemeester in acht dient te nemen bij het verlenen van een ontheffing. </w:t>
      </w:r>
    </w:p>
    <w:p w:rsidRPr="00E62076" w:rsidR="00F52799" w:rsidP="00F52799" w:rsidRDefault="00F52799" w14:paraId="4B345C6C" w14:textId="77777777">
      <w:pPr>
        <w:numPr>
          <w:ilvl w:val="0"/>
          <w:numId w:val="2"/>
        </w:numPr>
        <w:rPr>
          <w:b/>
          <w:bCs/>
        </w:rPr>
      </w:pPr>
      <w:r w:rsidRPr="00E62076">
        <w:rPr>
          <w:b/>
          <w:bCs/>
        </w:rPr>
        <w:t>Is een gedifferentieerd model overwogen, bijvoorbeeld met lichtere eisen voor kleinschalige burgerinitiatieven en zwaardere eisen voor grotere evenementen?</w:t>
      </w:r>
      <w:r w:rsidRPr="00E62076">
        <w:rPr>
          <w:b/>
          <w:bCs/>
        </w:rPr>
        <w:br/>
      </w:r>
      <w:r w:rsidRPr="00273D70">
        <w:t>De ontheffingsmogelijkheid moest een kleinschalig burgerinitiatief mogelijk maken. Dit is met de huidige invulling mogelijk. Grotere evenementen kunnen georganiseerd worden door professionele toepassers.</w:t>
      </w:r>
    </w:p>
    <w:p w:rsidRPr="00E62076" w:rsidR="00F52799" w:rsidP="00F52799" w:rsidRDefault="00F52799" w14:paraId="32CA6C4F" w14:textId="77777777">
      <w:pPr>
        <w:numPr>
          <w:ilvl w:val="0"/>
          <w:numId w:val="2"/>
        </w:numPr>
        <w:rPr>
          <w:b/>
          <w:bCs/>
        </w:rPr>
      </w:pPr>
      <w:r w:rsidRPr="00E62076">
        <w:rPr>
          <w:b/>
          <w:bCs/>
        </w:rPr>
        <w:t>Zo ja, waarom is dit niet uitgewerkt? Zo nee, waarom is deze optie niet onderzocht?</w:t>
      </w:r>
      <w:r w:rsidRPr="00E62076">
        <w:rPr>
          <w:b/>
          <w:bCs/>
        </w:rPr>
        <w:br/>
      </w:r>
      <w:r w:rsidRPr="00273D70">
        <w:t>In het kader van de uitwerking van de ontheffingsbevoegdheid zijn meerdere opties overwogen. De verschillende scenario’s zijn beschreven in het Beleidskompas</w:t>
      </w:r>
      <w:r>
        <w:t>, die ook gepubliceerd is tijdens de internetconsultatie.</w:t>
      </w:r>
      <w:r>
        <w:rPr>
          <w:rStyle w:val="Voetnootmarkering"/>
        </w:rPr>
        <w:footnoteReference w:id="2"/>
      </w:r>
      <w:r w:rsidRPr="00273D70">
        <w:t xml:space="preserve"> Gelet op de lokale bevoegdheidsverdeling, dan wel de doelstelling van de wet, en om redenen van handhaafbaarheid, uitvoerbaarheid en veiligheid, is voor deze alternatieve scenario’s niet gekozen.</w:t>
      </w:r>
    </w:p>
    <w:p w:rsidRPr="00E62076" w:rsidR="00F52799" w:rsidP="00F52799" w:rsidRDefault="00F52799" w14:paraId="1AA9DAB5" w14:textId="77777777">
      <w:pPr>
        <w:numPr>
          <w:ilvl w:val="0"/>
          <w:numId w:val="2"/>
        </w:numPr>
        <w:rPr>
          <w:b/>
          <w:bCs/>
        </w:rPr>
      </w:pPr>
      <w:r w:rsidRPr="00E62076">
        <w:rPr>
          <w:b/>
          <w:bCs/>
        </w:rPr>
        <w:t>Waarom acht u een volledig veiligheidsplan en situatietekening noodzakelijk voor álle aanvragen, inclusief kleinschalige initiatieven?</w:t>
      </w:r>
      <w:r w:rsidRPr="00E62076">
        <w:rPr>
          <w:b/>
          <w:bCs/>
        </w:rPr>
        <w:br/>
      </w:r>
      <w:r w:rsidRPr="00273D70">
        <w:t xml:space="preserve">Een veiligheidsplan en situatietekening zijn nodig voor een burgemeester </w:t>
      </w:r>
      <w:r w:rsidRPr="00273D70">
        <w:lastRenderedPageBreak/>
        <w:t xml:space="preserve">om te kunnen beoordelen of het tot ontbranding brengen van maximaal 200 kilo </w:t>
      </w:r>
      <w:r>
        <w:t xml:space="preserve">consumentenvuurwerk </w:t>
      </w:r>
      <w:r w:rsidRPr="00273D70">
        <w:t>op een bepaalde locatie verantwoord is.</w:t>
      </w:r>
    </w:p>
    <w:p w:rsidRPr="0045390F" w:rsidR="00F52799" w:rsidP="00F52799" w:rsidRDefault="00F52799" w14:paraId="01381A97" w14:textId="77777777">
      <w:pPr>
        <w:numPr>
          <w:ilvl w:val="0"/>
          <w:numId w:val="2"/>
        </w:numPr>
      </w:pPr>
      <w:r w:rsidRPr="00E62076">
        <w:rPr>
          <w:b/>
          <w:bCs/>
        </w:rPr>
        <w:t>Welke proportionaliteitsafweging is hierbij gemaakt?</w:t>
      </w:r>
      <w:r w:rsidRPr="00E62076">
        <w:rPr>
          <w:b/>
          <w:bCs/>
        </w:rPr>
        <w:br/>
      </w:r>
      <w:r w:rsidRPr="0045390F">
        <w:t xml:space="preserve">Een belangrijk uitgangspunt bij het opstellen van het Ontwerpbesluit is het geven van ruimte aan lokale afwegingen waarbij oog is voor de lokale situatie. Daarom is ervoor gekozen om zo veel mogelijk ruimte te laten om op lokaal niveau afwegingen te maken over hoe een ontheffing het beste kan worden vormgegeven. Burgemeesters hebben kennis over hun gemeente en inwoners en kunnen daarom, samen met onder andere de lokale driehoek en de veiligheidsregio, bezien wat wenselijk en mogelijk is binnen hun gemeente. Daarnaast is een belangrijk uitgangspunt het vertrouwen in verenigingen en stichtingen. Met het oog hierop is terughoudend omgegaan met het stellen van regels en vereisten op landelijk niveau, om onnodige belemmeringen en regeldruk voor stichtingen en verenigingen te voorkomen. Wel zijn bepaalde minimale veiligheidsvoorschriften van belang om de veiligheid van ontbranders, supervisors, publiek en omwonenden te borgen. </w:t>
      </w:r>
      <w:r>
        <w:t>Eén</w:t>
      </w:r>
      <w:r w:rsidRPr="0045390F">
        <w:t xml:space="preserve"> daarvan is het verplicht indienen van een veiligheidsplan en een situatietekening. Een veiligheidsplan en situatietekening zijn nodig voor een burgemeester om te kunnen beoordelen of het tot ontbranding brengen van maximaal 200 kilo </w:t>
      </w:r>
      <w:r>
        <w:t xml:space="preserve">consumentenvuurwerk </w:t>
      </w:r>
      <w:r w:rsidRPr="0045390F">
        <w:t xml:space="preserve">op een bepaalde locatie verantwoord is. </w:t>
      </w:r>
    </w:p>
    <w:p w:rsidRPr="00137E71" w:rsidR="00F52799" w:rsidP="00F52799" w:rsidRDefault="00F52799" w14:paraId="6060B53F" w14:textId="77777777">
      <w:pPr>
        <w:numPr>
          <w:ilvl w:val="0"/>
          <w:numId w:val="2"/>
        </w:numPr>
        <w:rPr>
          <w:b/>
          <w:bCs/>
        </w:rPr>
      </w:pPr>
      <w:r w:rsidRPr="00E62076">
        <w:rPr>
          <w:b/>
          <w:bCs/>
        </w:rPr>
        <w:t>Zijn vereenvoudigde veiligheidsprofielen of standaardformats overwogen?</w:t>
      </w:r>
      <w:r w:rsidRPr="00E62076">
        <w:rPr>
          <w:b/>
          <w:bCs/>
        </w:rPr>
        <w:br/>
      </w:r>
      <w:r w:rsidRPr="00137E71">
        <w:t>Onder regie van de VNG wordt een handreiking opgesteld. In deze handreiking zullen diverse aspecten aan bod komen zoals het in te richten proces voor het tijdig behandelen van ontheffingsaanvragen</w:t>
      </w:r>
      <w:r>
        <w:t xml:space="preserve">. Modelontheffingen en formats worden hierin ook overwogen. </w:t>
      </w:r>
      <w:r w:rsidRPr="00137E71">
        <w:t>Vanuit het Rijk wordt ondersteuning geboden bij het opstellen van de handreiking.</w:t>
      </w:r>
      <w:r>
        <w:t xml:space="preserve"> </w:t>
      </w:r>
    </w:p>
    <w:p w:rsidRPr="00746486" w:rsidR="00F52799" w:rsidP="00F52799" w:rsidRDefault="00F52799" w14:paraId="79161A09" w14:textId="77777777">
      <w:pPr>
        <w:numPr>
          <w:ilvl w:val="0"/>
          <w:numId w:val="2"/>
        </w:numPr>
      </w:pPr>
      <w:r w:rsidRPr="00E62076">
        <w:rPr>
          <w:b/>
          <w:bCs/>
        </w:rPr>
        <w:t>Waarom zijn eventuele modeldocumenten of sjablonen niet wettelijk verankerd om de administratieve last te beperken</w:t>
      </w:r>
      <w:r>
        <w:t>?</w:t>
      </w:r>
      <w:r>
        <w:br/>
      </w:r>
      <w:r w:rsidRPr="00746486">
        <w:t>Door de VNG wordt, met input vanuit het Rijk, gewerkt aan een handreiking, inclusief bijvoorbeeld modelontheffingen. Het ligt niet in de rede om deze documenten wettelijk te verankeren</w:t>
      </w:r>
      <w:r>
        <w:t xml:space="preserve">. Het is op deze manier ook </w:t>
      </w:r>
      <w:r w:rsidRPr="00746486">
        <w:t>gemakkelijk</w:t>
      </w:r>
      <w:r>
        <w:t>er deze documenten aan te passen,</w:t>
      </w:r>
      <w:r w:rsidRPr="00746486">
        <w:t xml:space="preserve"> mocht dat nodig zijn.</w:t>
      </w:r>
      <w:r>
        <w:t xml:space="preserve"> Bijvoorbeeld naar aanleiding van opgedane ervaringen en </w:t>
      </w:r>
      <w:r w:rsidRPr="008039E9">
        <w:rPr>
          <w:i/>
          <w:iCs/>
        </w:rPr>
        <w:t>best practices</w:t>
      </w:r>
      <w:r>
        <w:t xml:space="preserve"> in gemeenten.</w:t>
      </w:r>
    </w:p>
    <w:p w:rsidR="00F52799" w:rsidP="00F52799" w:rsidRDefault="00F52799" w14:paraId="5FF1C301" w14:textId="77777777">
      <w:pPr>
        <w:numPr>
          <w:ilvl w:val="0"/>
          <w:numId w:val="2"/>
        </w:numPr>
        <w:spacing w:after="0"/>
        <w:rPr>
          <w:b/>
          <w:bCs/>
        </w:rPr>
      </w:pPr>
      <w:r w:rsidRPr="00E62076">
        <w:rPr>
          <w:b/>
          <w:bCs/>
        </w:rPr>
        <w:t>Waarom is gekozen voor aansluiting bij de professionele grens van 200 kilogram binnen een regeling die bedoeld is voor burgerinitiatieven</w:t>
      </w:r>
      <w:r>
        <w:rPr>
          <w:b/>
          <w:bCs/>
        </w:rPr>
        <w:t>?</w:t>
      </w:r>
    </w:p>
    <w:p w:rsidR="00F52799" w:rsidP="00F52799" w:rsidRDefault="00F52799" w14:paraId="58D2E164" w14:textId="77777777">
      <w:pPr>
        <w:ind w:left="708"/>
      </w:pPr>
      <w:r>
        <w:t>Nu kan bij het t</w:t>
      </w:r>
      <w:r w:rsidRPr="00746486">
        <w:t xml:space="preserve">ot </w:t>
      </w:r>
      <w:r>
        <w:t xml:space="preserve">ontbranding brengen van </w:t>
      </w:r>
      <w:r w:rsidRPr="00746486">
        <w:t xml:space="preserve">200 kilogram consumentenvuurwerk worden volstaan met een ontbrandingsmelding bij het bevoegde gezag (de provincie); daarboven is een ontbrandingstoestemming vereist. Ook valt deze maximumhoeveelheid binnen de geldende vrijstellingen in het kader van het vervoer van </w:t>
      </w:r>
      <w:r w:rsidRPr="00746486">
        <w:lastRenderedPageBreak/>
        <w:t xml:space="preserve">gevaarlijke stoffen. </w:t>
      </w:r>
      <w:r>
        <w:t xml:space="preserve">Nu de hoeveelheid en het type vuurwerk dat wordt toegestaan met de ontheffing vergelijkbaar is, ligt het ook voor de hand zoveel mogelijk bij deze regels aan te sluiten. </w:t>
      </w:r>
    </w:p>
    <w:p w:rsidRPr="00746486" w:rsidR="00F52799" w:rsidP="00F52799" w:rsidRDefault="00F52799" w14:paraId="2D1DA5FA" w14:textId="77777777">
      <w:pPr>
        <w:ind w:left="360"/>
      </w:pPr>
    </w:p>
    <w:p w:rsidR="00F52799" w:rsidP="00F52799" w:rsidRDefault="00F52799" w14:paraId="657529D5" w14:textId="77777777">
      <w:pPr>
        <w:numPr>
          <w:ilvl w:val="0"/>
          <w:numId w:val="2"/>
        </w:numPr>
        <w:spacing w:after="0"/>
        <w:rPr>
          <w:b/>
          <w:bCs/>
        </w:rPr>
      </w:pPr>
      <w:r w:rsidRPr="00E62076">
        <w:rPr>
          <w:b/>
          <w:bCs/>
        </w:rPr>
        <w:t>Hoe verhoudt deze grens zich tot de doelstelling van het amendement Bikker, dat juist een alternatief voor particulier vuurwerkgebruik beoogde?</w:t>
      </w:r>
    </w:p>
    <w:p w:rsidRPr="00746486" w:rsidR="00F52799" w:rsidP="00F52799" w:rsidRDefault="00F52799" w14:paraId="5AD2AB31" w14:textId="77777777">
      <w:pPr>
        <w:ind w:left="708"/>
      </w:pPr>
      <w:r w:rsidRPr="00746486">
        <w:t xml:space="preserve">Naar de mening van </w:t>
      </w:r>
      <w:r>
        <w:t xml:space="preserve">het kabinet </w:t>
      </w:r>
      <w:r w:rsidRPr="00746486">
        <w:t xml:space="preserve">biedt 200 kilogram consumentenvuurwerk voldoende mogelijkheden voor het afsteken van consumentenvuurwerk door verenigingen en stichtingen. De grens van 200 kilogram consumentenvuurwerk is in de regelgeving </w:t>
      </w:r>
      <w:r>
        <w:t xml:space="preserve">ook nu </w:t>
      </w:r>
      <w:r w:rsidRPr="00746486">
        <w:t>al relevant bij professionele vuurwerkshows</w:t>
      </w:r>
      <w:r>
        <w:t xml:space="preserve"> wanneer zij uitsluitend consumentenvuurwerk tot ontbranding brengen. Zie ook het antwoord op vraag 17. </w:t>
      </w:r>
      <w:r w:rsidRPr="00746486">
        <w:br/>
      </w:r>
    </w:p>
    <w:p w:rsidR="00F52799" w:rsidP="00F52799" w:rsidRDefault="00F52799" w14:paraId="5EFE5655" w14:textId="77777777">
      <w:pPr>
        <w:numPr>
          <w:ilvl w:val="0"/>
          <w:numId w:val="2"/>
        </w:numPr>
        <w:spacing w:after="0"/>
        <w:rPr>
          <w:b/>
          <w:bCs/>
        </w:rPr>
      </w:pPr>
      <w:r w:rsidRPr="00E62076">
        <w:rPr>
          <w:b/>
          <w:bCs/>
        </w:rPr>
        <w:t>Is onderzocht of deze grens in de praktijk functioneel en realistisch is, gelet op het feit dat een enkele compounddoos al tien tot twintig kilogram kan wegen?</w:t>
      </w:r>
      <w:r w:rsidRPr="00E62076">
        <w:rPr>
          <w:b/>
          <w:bCs/>
        </w:rPr>
        <w:br/>
      </w:r>
      <w:r w:rsidRPr="00746486">
        <w:t>Zie het antwoord op vraag 18.</w:t>
      </w:r>
    </w:p>
    <w:p w:rsidRPr="00E62076" w:rsidR="00F52799" w:rsidP="00F52799" w:rsidRDefault="00F52799" w14:paraId="5E42EB6B" w14:textId="77777777">
      <w:pPr>
        <w:ind w:left="360"/>
        <w:rPr>
          <w:b/>
          <w:bCs/>
        </w:rPr>
      </w:pPr>
    </w:p>
    <w:p w:rsidRPr="00746486" w:rsidR="00F52799" w:rsidP="00F52799" w:rsidRDefault="00F52799" w14:paraId="484E6154" w14:textId="77777777">
      <w:pPr>
        <w:numPr>
          <w:ilvl w:val="0"/>
          <w:numId w:val="2"/>
        </w:numPr>
        <w:spacing w:after="0"/>
        <w:rPr>
          <w:b/>
          <w:bCs/>
        </w:rPr>
      </w:pPr>
      <w:r w:rsidRPr="00E62076">
        <w:rPr>
          <w:b/>
          <w:bCs/>
        </w:rPr>
        <w:t>Welke ondersteuning biedt u aan gemeenten om aanvragen consistent, tijdig en uitvoerbaar te beoordelen</w:t>
      </w:r>
      <w:r>
        <w:rPr>
          <w:b/>
          <w:bCs/>
        </w:rPr>
        <w:t>?</w:t>
      </w:r>
    </w:p>
    <w:p w:rsidRPr="00746486" w:rsidR="00F52799" w:rsidP="00F52799" w:rsidRDefault="00F52799" w14:paraId="01F8BE38" w14:textId="77777777">
      <w:pPr>
        <w:ind w:left="708"/>
      </w:pPr>
      <w:r w:rsidRPr="00746486">
        <w:t>Onder regie van de VNG wordt een handreiking opgesteld. In deze handreiking zullen diverse aspecten aan</w:t>
      </w:r>
      <w:r>
        <w:t xml:space="preserve"> </w:t>
      </w:r>
      <w:r w:rsidRPr="00746486">
        <w:t>bod komen zoals het in te richten proces voor het tijdig behandelen van ontheffingsaanvragen</w:t>
      </w:r>
      <w:r>
        <w:t xml:space="preserve"> en modeldocumenten</w:t>
      </w:r>
      <w:r w:rsidRPr="00746486">
        <w:t>. Vanuit het Rijk wordt ondersteuning geboden bij het opstellen van de handreiking.</w:t>
      </w:r>
      <w:r w:rsidRPr="00746486">
        <w:br/>
      </w:r>
    </w:p>
    <w:p w:rsidR="00F52799" w:rsidP="00F52799" w:rsidRDefault="00F52799" w14:paraId="3EA610A2" w14:textId="77777777">
      <w:pPr>
        <w:numPr>
          <w:ilvl w:val="0"/>
          <w:numId w:val="2"/>
        </w:numPr>
        <w:spacing w:after="0"/>
        <w:rPr>
          <w:b/>
          <w:bCs/>
        </w:rPr>
      </w:pPr>
      <w:r w:rsidRPr="00E62076">
        <w:rPr>
          <w:b/>
          <w:bCs/>
        </w:rPr>
        <w:t>Is onderzocht wat de verwachte uitvoeringslast is voor gemeenten en hoe deze zich verhoudt tot de beschikbare capaciteit?</w:t>
      </w:r>
    </w:p>
    <w:p w:rsidRPr="00E62076" w:rsidR="00F52799" w:rsidP="00F52799" w:rsidRDefault="00F52799" w14:paraId="03D8E9BB" w14:textId="77777777">
      <w:pPr>
        <w:pStyle w:val="Lijstalinea"/>
        <w:ind w:left="708"/>
        <w:rPr>
          <w:b/>
          <w:bCs/>
        </w:rPr>
      </w:pPr>
      <w:r w:rsidRPr="0047678A">
        <w:t>De VNG heeft aangegeven</w:t>
      </w:r>
      <w:r>
        <w:t xml:space="preserve"> in haar uitvoeringstoets</w:t>
      </w:r>
      <w:r w:rsidRPr="0047678A">
        <w:t xml:space="preserve"> dat op dit moment nog geen volledig beeld bestaat van de gemeentelijke uitvoeringskosten en de wijze waarop deze kosten financieel kunnen worden gedekt. Daarbij wijst de VNG erop dat het verlenen van ontheffingen voor het afsteken van F2-vuurwerk tijdens de jaarwisseling, evenals het toezicht en de handhaving daarop, een nieuwe bevoegdheid betreft voor burgemeesters en gemeenten.</w:t>
      </w:r>
      <w:r>
        <w:t xml:space="preserve"> </w:t>
      </w:r>
      <w:r w:rsidRPr="0047678A">
        <w:t>Volgens de VNG zullen de</w:t>
      </w:r>
      <w:r>
        <w:t xml:space="preserve"> gemoeide kosten van de nieuwe bevoegdheid voor burgemeesters en gemeenten</w:t>
      </w:r>
      <w:r w:rsidRPr="0047678A">
        <w:t xml:space="preserve"> mede afhankelijk zijn van de mate waarin gebruik wordt gemaakt van de ontheffingsmogelijkheid en van de wijze waarop gemeenten hier in hun lokale beleid invulling aan geven.</w:t>
      </w:r>
      <w:r w:rsidRPr="00E62076">
        <w:rPr>
          <w:b/>
          <w:bCs/>
        </w:rPr>
        <w:br/>
      </w:r>
    </w:p>
    <w:p w:rsidR="00F52799" w:rsidP="00F52799" w:rsidRDefault="00F52799" w14:paraId="338B4B01" w14:textId="77777777">
      <w:pPr>
        <w:numPr>
          <w:ilvl w:val="0"/>
          <w:numId w:val="2"/>
        </w:numPr>
        <w:spacing w:after="0"/>
        <w:rPr>
          <w:b/>
          <w:bCs/>
        </w:rPr>
      </w:pPr>
      <w:r w:rsidRPr="00E62076">
        <w:rPr>
          <w:b/>
          <w:bCs/>
        </w:rPr>
        <w:lastRenderedPageBreak/>
        <w:t>Waarom zijn geen landelijke minimumnormen of toetsingskaders opgenomen, terwijl de beslissingsbevoegdheid volledig bij de burgemeester ligt?</w:t>
      </w:r>
    </w:p>
    <w:p w:rsidRPr="00FA07CC" w:rsidR="00F52799" w:rsidP="00F52799" w:rsidRDefault="00F52799" w14:paraId="01C93551" w14:textId="77777777">
      <w:pPr>
        <w:ind w:left="708"/>
        <w:rPr>
          <w:b/>
          <w:bCs/>
        </w:rPr>
      </w:pPr>
      <w:r w:rsidRPr="00FA07CC">
        <w:t xml:space="preserve">Om de veiligheid van de opslag, het vervoer, de verkoop en het afsteken van vuurwerk te waarborgen voor ontbranders, supervisors, omstanders en omwonenden </w:t>
      </w:r>
      <w:r>
        <w:t>is</w:t>
      </w:r>
      <w:r w:rsidRPr="00FA07CC">
        <w:t xml:space="preserve"> in het Ontwerpbesluit </w:t>
      </w:r>
      <w:r>
        <w:t xml:space="preserve">een aantal </w:t>
      </w:r>
      <w:r w:rsidRPr="00FA07CC">
        <w:t>voorwaarden en voorschriften vastgesteld. Hiermee wordt tegemoetgekomen aan de brede wens vanuit gemeenten om waar dat kan veiligheidsvereisten nationaal vast te leggen.</w:t>
      </w:r>
      <w:r w:rsidRPr="00FA07CC">
        <w:rPr>
          <w:b/>
          <w:bCs/>
        </w:rPr>
        <w:br/>
      </w:r>
    </w:p>
    <w:p w:rsidR="00F52799" w:rsidP="00F52799" w:rsidRDefault="00F52799" w14:paraId="1F0F10A3" w14:textId="77777777">
      <w:pPr>
        <w:numPr>
          <w:ilvl w:val="0"/>
          <w:numId w:val="2"/>
        </w:numPr>
        <w:spacing w:after="0"/>
        <w:rPr>
          <w:b/>
          <w:bCs/>
        </w:rPr>
      </w:pPr>
      <w:r w:rsidRPr="00E62076">
        <w:rPr>
          <w:b/>
          <w:bCs/>
        </w:rPr>
        <w:t>Hoe wordt voorkomen dat de toekenning van ontheffingen afhankelijk wordt van de persoonlijke of politieke opvattingen van individuele burgemeesters?</w:t>
      </w:r>
    </w:p>
    <w:p w:rsidRPr="00FA07CC" w:rsidR="00F52799" w:rsidP="00F52799" w:rsidRDefault="00F52799" w14:paraId="1FFDF724" w14:textId="77777777">
      <w:pPr>
        <w:ind w:left="708"/>
      </w:pPr>
      <w:r w:rsidRPr="00FA07CC">
        <w:t xml:space="preserve">De bevoegdheid om een ontheffing te verlenen is bij amendement Bikker c.s. bij de burgemeester belegd. De burgemeester kan zelf beslissen of </w:t>
      </w:r>
      <w:r>
        <w:t>z</w:t>
      </w:r>
      <w:r w:rsidRPr="00FA07CC">
        <w:t>ij van die bevoegdheid gebruik wenst te maken.</w:t>
      </w:r>
      <w:r>
        <w:t xml:space="preserve"> Daarmee kan rekening worden gehouden met de lokale situatie, desgewenst in overleg met de lokale driehoek. Naar verwachting zullen burgemeesters hierover in gesprek gaan met de gemeenteraad.</w:t>
      </w:r>
      <w:r w:rsidRPr="00FA07CC">
        <w:br/>
      </w:r>
    </w:p>
    <w:p w:rsidR="00F52799" w:rsidP="00F52799" w:rsidRDefault="00F52799" w14:paraId="6CFED3DA" w14:textId="77777777">
      <w:pPr>
        <w:numPr>
          <w:ilvl w:val="0"/>
          <w:numId w:val="2"/>
        </w:numPr>
        <w:spacing w:after="0"/>
        <w:rPr>
          <w:b/>
          <w:bCs/>
        </w:rPr>
      </w:pPr>
      <w:r w:rsidRPr="00382806">
        <w:rPr>
          <w:b/>
          <w:bCs/>
        </w:rPr>
        <w:t>Is het</w:t>
      </w:r>
      <w:r w:rsidRPr="00E62076">
        <w:rPr>
          <w:b/>
          <w:bCs/>
        </w:rPr>
        <w:t xml:space="preserve"> risico op ongelijke behandeling tussen gemeenten expliciet meegewogen?</w:t>
      </w:r>
    </w:p>
    <w:p w:rsidRPr="00FA07CC" w:rsidR="00F52799" w:rsidP="00F52799" w:rsidRDefault="00F52799" w14:paraId="07123FBF" w14:textId="77777777">
      <w:pPr>
        <w:ind w:left="708"/>
      </w:pPr>
      <w:r w:rsidRPr="00FA07CC">
        <w:t xml:space="preserve">Als gevolg van het amendement Bikker c.s. kan een burgemeester op grond van de Wet veilige jaarwisseling een ontheffing verlenen, maar </w:t>
      </w:r>
      <w:r>
        <w:t xml:space="preserve">zij </w:t>
      </w:r>
      <w:r w:rsidRPr="00FA07CC">
        <w:t xml:space="preserve">hoeft dat niet te doen. </w:t>
      </w:r>
      <w:r>
        <w:t>Z</w:t>
      </w:r>
      <w:r w:rsidRPr="00FA07CC">
        <w:t>ij kan daartoe zelf beleid opstellen al dan niet in een beleidsregel. Verschillen in beleid tussen gemeenten leiden op zichzelf niet tot ongelijke behandeling tussen gemeenten. Sterker nog, met de ontheffingsbevoegdheid voor burgemeesters is juist beoogd dat afhankelijk van lokale omstandigheden verschillen in beleid tussen gemeenten kunnen ontstaan. Wel zijn, in lijn met de wens van gemeenten, veel veiligheidsvoorschriften nationaal vastgelegd in het ontwerpbesluit veilige jaarwisseling.</w:t>
      </w:r>
      <w:r w:rsidRPr="00FA07CC">
        <w:br/>
      </w:r>
    </w:p>
    <w:p w:rsidR="00F52799" w:rsidP="00F52799" w:rsidRDefault="00F52799" w14:paraId="62242514" w14:textId="77777777">
      <w:pPr>
        <w:numPr>
          <w:ilvl w:val="0"/>
          <w:numId w:val="2"/>
        </w:numPr>
        <w:spacing w:after="0"/>
        <w:rPr>
          <w:b/>
          <w:bCs/>
        </w:rPr>
      </w:pPr>
      <w:r w:rsidRPr="00E62076">
        <w:rPr>
          <w:b/>
          <w:bCs/>
        </w:rPr>
        <w:t>Hoe heeft u beoordeeld dat de opslag-, uitleverings- en terugnameverplichtingen uitvoerbaar zijn voor burgerinitiatieven zonder professionele infrastructuur?</w:t>
      </w:r>
    </w:p>
    <w:p w:rsidR="00F52799" w:rsidP="00F52799" w:rsidRDefault="00F52799" w14:paraId="1FAF4DEE" w14:textId="77777777">
      <w:pPr>
        <w:ind w:left="708"/>
      </w:pPr>
      <w:r w:rsidRPr="00B02AA8">
        <w:t>Voor verenigingen en stichtingen is het een nieuwe situatie dat vuurwerk terug dient te worden gebracht aan het verkooppunt</w:t>
      </w:r>
      <w:r>
        <w:t xml:space="preserve"> of te worden opgehaald</w:t>
      </w:r>
      <w:r w:rsidRPr="00B02AA8">
        <w:t xml:space="preserve">. Het gaat daarbij enkel om de situatie waarin vuurwerk, bijvoorbeeld door weersomstandigheden, niet kon worden afgestoken. Deze verplichting is noodzakelijk omdat het gedurende het jaar met het oog op de veiligheid, niet toegestaan is voor verenigingen en stichtingen om vuurwerk </w:t>
      </w:r>
      <w:r w:rsidRPr="00B02AA8">
        <w:lastRenderedPageBreak/>
        <w:t>in bezit te hebben en op te slaan.</w:t>
      </w:r>
      <w:r>
        <w:t xml:space="preserve"> Naar aanleiding van signalen uit de internetconsultatie is de teruglevertermijn verruimd naar 18.00 op 1 januari. Het kabinet is daarmee van mening dat de verplichtingen uit de regeling voldoende uitvoerbaar zijn. </w:t>
      </w:r>
      <w:r w:rsidRPr="00B02AA8">
        <w:t xml:space="preserve"> </w:t>
      </w:r>
    </w:p>
    <w:p w:rsidRPr="00B02AA8" w:rsidR="00F52799" w:rsidP="00F52799" w:rsidRDefault="00F52799" w14:paraId="234D58E3" w14:textId="77777777">
      <w:pPr>
        <w:ind w:left="360"/>
      </w:pPr>
    </w:p>
    <w:p w:rsidR="00F52799" w:rsidP="00F52799" w:rsidRDefault="00F52799" w14:paraId="6957C37F" w14:textId="77777777">
      <w:pPr>
        <w:numPr>
          <w:ilvl w:val="0"/>
          <w:numId w:val="2"/>
        </w:numPr>
        <w:spacing w:after="0"/>
        <w:rPr>
          <w:b/>
          <w:bCs/>
        </w:rPr>
      </w:pPr>
      <w:r w:rsidRPr="00E62076">
        <w:rPr>
          <w:b/>
          <w:bCs/>
        </w:rPr>
        <w:t>Op welke wijze is rekening gehouden met de gevolgen voor erkende verkooppunten, gelet op de zeer beperkte uitleverperiode en de verplichting tot terugname op 1 januari?</w:t>
      </w:r>
    </w:p>
    <w:p w:rsidRPr="00792674" w:rsidR="00F52799" w:rsidP="00F52799" w:rsidRDefault="00F52799" w14:paraId="66F3C077" w14:textId="77777777">
      <w:pPr>
        <w:ind w:left="708"/>
      </w:pPr>
      <w:r w:rsidRPr="00792674">
        <w:t xml:space="preserve">Tijdens de internetconsultatie heeft de vuurwerkbranche op deze punten gereageerd. In sommige gevallen heeft dit geleid tot een wijziging zoals het verlengen van het teruglevertermijn. Daarnaast heeft de branche voorgesteld om het vervoer collectief te laten uitvoeren door gecertificeerde vervoerders of door een verkooppunt. </w:t>
      </w:r>
      <w:r>
        <w:t xml:space="preserve">Het kabinet </w:t>
      </w:r>
      <w:r w:rsidRPr="00792674">
        <w:t>waardeert deze suggesties en laat het aan de markt over om dit verder uit te werken. Het Ontwerpbesluit veilige jaarwisseling biedt hiervoor ruimte.</w:t>
      </w:r>
      <w:r w:rsidRPr="00792674">
        <w:br/>
      </w:r>
    </w:p>
    <w:p w:rsidR="00F52799" w:rsidP="00F52799" w:rsidRDefault="00F52799" w14:paraId="302B9390" w14:textId="77777777">
      <w:pPr>
        <w:numPr>
          <w:ilvl w:val="0"/>
          <w:numId w:val="2"/>
        </w:numPr>
        <w:spacing w:after="0"/>
        <w:rPr>
          <w:b/>
          <w:bCs/>
        </w:rPr>
      </w:pPr>
      <w:r w:rsidRPr="00E62076">
        <w:rPr>
          <w:b/>
          <w:bCs/>
        </w:rPr>
        <w:t>Is met de vuurwerksector gesproken over de financiële haalbaarheid van deze verplichtingen, gezien de vaste kosten voor opslag, beveiliging en vergunningen?</w:t>
      </w:r>
    </w:p>
    <w:p w:rsidRPr="00EA2B06" w:rsidR="00F52799" w:rsidP="00F52799" w:rsidRDefault="00F52799" w14:paraId="12C8B83B" w14:textId="77777777">
      <w:pPr>
        <w:ind w:left="708"/>
      </w:pPr>
      <w:r w:rsidRPr="00EA2B06">
        <w:t>Met de inwerkingtreding van de Wet veilige jaarwisseling wordt al het F2-vuurwerk voor consumenten verboden. Dit heeft directe gevolgen voor vuurwerkimporteurs en detailhandelaren (vuurwerkverkooppunten). Dit type vuurwerk mag immers niet meer aan consumenten worden verkocht, tenzij aan de koper door de burgemeester een ontheffing is verleend. De uitwerking van een nadeelcompensatieregeling voor importeurs en detailhandelaren</w:t>
      </w:r>
      <w:r w:rsidRPr="00EA2B06" w:rsidDel="00D370E5">
        <w:t xml:space="preserve"> </w:t>
      </w:r>
      <w:r w:rsidRPr="00EA2B06">
        <w:t>is onderdeel van een separaat traject.</w:t>
      </w:r>
      <w:r w:rsidRPr="00EA2B06">
        <w:br/>
      </w:r>
    </w:p>
    <w:p w:rsidR="00F52799" w:rsidP="00F52799" w:rsidRDefault="00F52799" w14:paraId="39507CC3" w14:textId="77777777">
      <w:pPr>
        <w:numPr>
          <w:ilvl w:val="0"/>
          <w:numId w:val="2"/>
        </w:numPr>
        <w:spacing w:after="0"/>
        <w:rPr>
          <w:b/>
          <w:bCs/>
        </w:rPr>
      </w:pPr>
      <w:r w:rsidRPr="00E62076">
        <w:rPr>
          <w:b/>
          <w:bCs/>
        </w:rPr>
        <w:t>Welke alternatieven zijn overwogen om deze logistieke lasten beter in balans te brengen?</w:t>
      </w:r>
    </w:p>
    <w:p w:rsidRPr="00EA2B06" w:rsidR="00F52799" w:rsidP="00F52799" w:rsidRDefault="00F52799" w14:paraId="5FCF09B3" w14:textId="77777777">
      <w:pPr>
        <w:ind w:left="708"/>
      </w:pPr>
      <w:r w:rsidRPr="00EA2B06">
        <w:t xml:space="preserve">Zoals bij vraag </w:t>
      </w:r>
      <w:r>
        <w:t>26</w:t>
      </w:r>
      <w:r w:rsidRPr="00EA2B06">
        <w:t xml:space="preserve"> is aangegeven heeft de vuurwerkbranche voorstellen gedaan</w:t>
      </w:r>
      <w:r>
        <w:t xml:space="preserve"> en deze zijn op een aantal punten overgenomen</w:t>
      </w:r>
      <w:r w:rsidRPr="00EA2B06">
        <w:t xml:space="preserve">. </w:t>
      </w:r>
      <w:r>
        <w:t xml:space="preserve">Het kabinet </w:t>
      </w:r>
      <w:r w:rsidRPr="00EA2B06">
        <w:t xml:space="preserve">waardeert deze suggesties </w:t>
      </w:r>
      <w:r>
        <w:t>en</w:t>
      </w:r>
      <w:r w:rsidRPr="00EA2B06">
        <w:t xml:space="preserve"> laat het aan de markt over om dit verder uit te werken.</w:t>
      </w:r>
      <w:r w:rsidRPr="00EA2B06">
        <w:br/>
      </w:r>
    </w:p>
    <w:p w:rsidR="00F52799" w:rsidP="00F52799" w:rsidRDefault="00F52799" w14:paraId="24B3EF19" w14:textId="77777777">
      <w:pPr>
        <w:numPr>
          <w:ilvl w:val="0"/>
          <w:numId w:val="2"/>
        </w:numPr>
        <w:spacing w:after="0"/>
        <w:rPr>
          <w:b/>
          <w:bCs/>
        </w:rPr>
      </w:pPr>
      <w:r w:rsidRPr="00E62076">
        <w:rPr>
          <w:b/>
          <w:bCs/>
        </w:rPr>
        <w:t>Welke marktanalyse is uitgevoerd om vast te stellen dat aansprakelijkheidsverzekeringen beschikbaar en betaalbaar zijn voor kleine verenigingen en vrijwilligersgroepen?</w:t>
      </w:r>
    </w:p>
    <w:p w:rsidR="00F52799" w:rsidP="00F52799" w:rsidRDefault="00F52799" w14:paraId="25E8481B" w14:textId="77777777">
      <w:pPr>
        <w:ind w:left="708"/>
      </w:pPr>
      <w:r w:rsidRPr="00AB70F3">
        <w:t xml:space="preserve">In het kader van de uitwerking van het Ontwerpbesluit veilige jaarwisseling is gesproken met het Verbond van Verzekeraars en enkele individuele verzekeraars. Het Verbond van Verzekeraars heeft ook gereageerd op de internetconsultatie. Het is volgens het Verbond van Verzekeraars belangrijk </w:t>
      </w:r>
      <w:r w:rsidRPr="00AB70F3">
        <w:lastRenderedPageBreak/>
        <w:t xml:space="preserve">voor een vereniging of stichting die een ontheffing aanvraagt, om na te gaan of de eigen (huidige) </w:t>
      </w:r>
      <w:r>
        <w:t>a</w:t>
      </w:r>
      <w:r w:rsidRPr="00AB70F3">
        <w:t>ansprakelijkheidsverzekering adequate dekking biedt voor afsteken of laten afsteken van vuurwerk. Hierbij is het verstandig om ook te kijken of en welke specifieke (aanvullende) voorwaarden de verzekeraar hierbij stelt. Het Verbond van Verzekeraars geeft aan dat een adviseur daarbij kan helpen. Als de rechtspersoon (nog) geen aansprakelijkheidsverzekering heeft die dekking biedt, zou volgens het Verbond een tijdelijke evenementenverzekering met dekking voor aansprakelijkheid een alternatief kunnen zijn. Op basis van een gedegen landelijk uniform veiligheidspakket kunnen verzekeraars de risico’s inschatten en de verzekerbaarheid van het afsteken van vuurwerk in het kader van een ontheffing. Meestal zal dit op ad hoc en individuele basis plaatsvinden. Het is aan de verzekeraars zelf of zij bijvoorbeeld willen voorzien in collectieve verzekeringsmogelijkheden.</w:t>
      </w:r>
    </w:p>
    <w:p w:rsidRPr="00EA2B06" w:rsidR="00F52799" w:rsidP="00F52799" w:rsidRDefault="00F52799" w14:paraId="5B230C39" w14:textId="77777777">
      <w:pPr>
        <w:ind w:left="360"/>
      </w:pPr>
    </w:p>
    <w:p w:rsidR="00F52799" w:rsidP="00F52799" w:rsidRDefault="00F52799" w14:paraId="6A98CD6E" w14:textId="77777777">
      <w:pPr>
        <w:numPr>
          <w:ilvl w:val="0"/>
          <w:numId w:val="2"/>
        </w:numPr>
        <w:spacing w:after="0"/>
        <w:rPr>
          <w:b/>
          <w:bCs/>
        </w:rPr>
      </w:pPr>
      <w:r w:rsidRPr="00E62076">
        <w:rPr>
          <w:b/>
          <w:bCs/>
        </w:rPr>
        <w:t>Hoe is beoordeeld of deze verzekeringsplicht de toegankelijkheid van de regeling beperkt?</w:t>
      </w:r>
    </w:p>
    <w:p w:rsidRPr="00EA2B06" w:rsidR="00F52799" w:rsidP="00F52799" w:rsidRDefault="00F52799" w14:paraId="030DF64B" w14:textId="77777777">
      <w:pPr>
        <w:ind w:left="708"/>
      </w:pPr>
      <w:r w:rsidRPr="00EA2B06">
        <w:t>Het Ontwerpbesluit veilige jaarwisseling stelt geen vereisten rondom het al dan niet verplicht afsluiten van een aansprakelijkheidsverzekering.</w:t>
      </w:r>
      <w:r w:rsidRPr="00EA2B06">
        <w:br/>
      </w:r>
    </w:p>
    <w:p w:rsidR="00F52799" w:rsidP="00F52799" w:rsidRDefault="00F52799" w14:paraId="49AE3BFD" w14:textId="77777777">
      <w:pPr>
        <w:numPr>
          <w:ilvl w:val="0"/>
          <w:numId w:val="2"/>
        </w:numPr>
        <w:spacing w:after="0"/>
        <w:rPr>
          <w:b/>
          <w:bCs/>
        </w:rPr>
      </w:pPr>
      <w:r w:rsidRPr="00E62076">
        <w:rPr>
          <w:b/>
          <w:bCs/>
        </w:rPr>
        <w:t>Is onderzocht of de regeling leidt tot sociale uitsluiting van inwoners die geen lid zijn van verenigingen of de bijkomende kosten niet kunnen dragen?</w:t>
      </w:r>
    </w:p>
    <w:p w:rsidRPr="00EA2B06" w:rsidR="00F52799" w:rsidP="00F52799" w:rsidRDefault="00F52799" w14:paraId="3C404137" w14:textId="77777777">
      <w:pPr>
        <w:ind w:left="708"/>
      </w:pPr>
      <w:bookmarkStart w:name="_Hlk222209994" w:id="1"/>
      <w:r w:rsidRPr="00EA2B06">
        <w:t xml:space="preserve">Het is niet onderzocht of de regeling kan leiden tot sociale uitsluiting van inwoners die geen lid zijn van een vereniging. </w:t>
      </w:r>
      <w:r w:rsidRPr="008733B7">
        <w:t>Daarbij geldt dat het in veel gevallen naar verwachting mogelijk zal zijn om het vuurwerk ook zonder lidmaatschap, bijvoorbeeld op enige afstand, te aanschouwen.</w:t>
      </w:r>
      <w:r w:rsidRPr="00EA2B06">
        <w:br/>
      </w:r>
    </w:p>
    <w:bookmarkEnd w:id="1"/>
    <w:p w:rsidR="00F52799" w:rsidP="00F52799" w:rsidRDefault="00F52799" w14:paraId="08129F78" w14:textId="77777777">
      <w:pPr>
        <w:numPr>
          <w:ilvl w:val="0"/>
          <w:numId w:val="2"/>
        </w:numPr>
        <w:spacing w:after="0"/>
        <w:rPr>
          <w:b/>
          <w:bCs/>
        </w:rPr>
      </w:pPr>
      <w:r w:rsidRPr="00E62076">
        <w:rPr>
          <w:b/>
          <w:bCs/>
        </w:rPr>
        <w:t>Zijn alternatieven overwogen, zoals gemeentelijke vrijwilligersverzekeringen of een landelijke standaarddekking? Zo ja, waarom zijn deze niet overgenomen?</w:t>
      </w:r>
    </w:p>
    <w:p w:rsidRPr="00EA2B06" w:rsidR="00F52799" w:rsidP="00F52799" w:rsidRDefault="00F52799" w14:paraId="4D7C72D1" w14:textId="77777777">
      <w:pPr>
        <w:ind w:left="708"/>
      </w:pPr>
      <w:r w:rsidRPr="00EA2B06">
        <w:t xml:space="preserve">Het Ontwerpbesluit veilige jaarwisseling stelt geen vereisten rondom het al dan niet verplicht afsluiten van een aansprakelijkheidsverzekering. Het wordt aan de burgemeester overgelaten of hij dit alsnog wenst te verplichten. Het is aan verzekeraars zelf of zij bijvoorbeeld willen voorzien in </w:t>
      </w:r>
      <w:r>
        <w:t xml:space="preserve">een </w:t>
      </w:r>
      <w:r w:rsidRPr="00EA2B06">
        <w:t>specifieke verzekering; naar verwachting zal dit in de regel op individuele basis plaatsvinden.</w:t>
      </w:r>
      <w:r>
        <w:t xml:space="preserve"> Zie ook het antwoord op vraag 29. </w:t>
      </w:r>
      <w:r w:rsidRPr="00EA2B06">
        <w:br/>
      </w:r>
    </w:p>
    <w:p w:rsidR="00F52799" w:rsidP="00F52799" w:rsidRDefault="00F52799" w14:paraId="3A4DACEB" w14:textId="77777777">
      <w:pPr>
        <w:numPr>
          <w:ilvl w:val="0"/>
          <w:numId w:val="2"/>
        </w:numPr>
        <w:spacing w:after="0"/>
        <w:rPr>
          <w:b/>
          <w:bCs/>
        </w:rPr>
      </w:pPr>
      <w:r w:rsidRPr="00E62076">
        <w:rPr>
          <w:b/>
          <w:bCs/>
        </w:rPr>
        <w:t>Hoe wordt voorkomen dat initiatiefnemers te maken krijgen met stapeling van verplichtingen door samenloop van de AMvB en gemeentelijke APV-regels (Algemene Plaatselijke Verordening)?</w:t>
      </w:r>
    </w:p>
    <w:p w:rsidRPr="004F6425" w:rsidR="00F52799" w:rsidP="00F52799" w:rsidRDefault="00F52799" w14:paraId="50EF89EA" w14:textId="77777777">
      <w:pPr>
        <w:ind w:left="708"/>
      </w:pPr>
      <w:r>
        <w:lastRenderedPageBreak/>
        <w:t xml:space="preserve">Enige stapeling van verplichtingen is niet geheel te voorkomen. </w:t>
      </w:r>
      <w:r w:rsidRPr="004F6425">
        <w:t xml:space="preserve">Of een evenementenvergunning vereist is, is afhankelijk van de regels die daarover zijn gesteld door de gemeente in de Algemene </w:t>
      </w:r>
      <w:r>
        <w:t>Pl</w:t>
      </w:r>
      <w:r w:rsidRPr="004F6425">
        <w:t xml:space="preserve">aatselijke </w:t>
      </w:r>
      <w:r>
        <w:t>V</w:t>
      </w:r>
      <w:r w:rsidRPr="004F6425">
        <w:t>erordening (APV). In het Vuurwerkbesluit kunnen hierover geen andere of aanvullende regels worden gesteld.</w:t>
      </w:r>
      <w:r w:rsidRPr="004F6425">
        <w:br/>
      </w:r>
    </w:p>
    <w:p w:rsidR="00F52799" w:rsidP="00F52799" w:rsidRDefault="00F52799" w14:paraId="108AA7FC" w14:textId="77777777">
      <w:pPr>
        <w:numPr>
          <w:ilvl w:val="0"/>
          <w:numId w:val="2"/>
        </w:numPr>
        <w:spacing w:after="0"/>
        <w:rPr>
          <w:b/>
          <w:bCs/>
        </w:rPr>
      </w:pPr>
      <w:r w:rsidRPr="00E62076">
        <w:rPr>
          <w:b/>
          <w:bCs/>
        </w:rPr>
        <w:t>Wordt overwogen om deze samenloop expliciet te reguleren om dubbele lasten te voorkomen?</w:t>
      </w:r>
    </w:p>
    <w:p w:rsidRPr="004F6425" w:rsidR="00F52799" w:rsidP="00F52799" w:rsidRDefault="00F52799" w14:paraId="325B1716" w14:textId="77777777">
      <w:pPr>
        <w:ind w:left="720"/>
      </w:pPr>
      <w:r w:rsidRPr="004F6425">
        <w:t>Een gemeente kan ervoor kiezen om de aanvragen samen te voegen of te koppelen. Dat is echter aan de gemeente. Dit wordt niet verplicht gesteld in het Ontwerpbesluit veilige jaarwisseling. Wel zal hierover in gesprek worden gegaan met de VNG.</w:t>
      </w:r>
      <w:r w:rsidRPr="004F6425">
        <w:br/>
      </w:r>
    </w:p>
    <w:p w:rsidR="00F52799" w:rsidP="00F52799" w:rsidRDefault="00F52799" w14:paraId="6B9164BB" w14:textId="77777777">
      <w:pPr>
        <w:numPr>
          <w:ilvl w:val="0"/>
          <w:numId w:val="2"/>
        </w:numPr>
        <w:spacing w:after="0"/>
        <w:rPr>
          <w:b/>
          <w:bCs/>
        </w:rPr>
      </w:pPr>
      <w:r w:rsidRPr="00E62076">
        <w:rPr>
          <w:b/>
          <w:bCs/>
        </w:rPr>
        <w:t>Welke analyse is uitgevoerd naar de naleefbaarheid van de regeling door burgerinitiatieven?</w:t>
      </w:r>
    </w:p>
    <w:p w:rsidRPr="004F6425" w:rsidR="00F52799" w:rsidP="00F52799" w:rsidRDefault="00F52799" w14:paraId="43D24D8C" w14:textId="77777777">
      <w:pPr>
        <w:ind w:left="708"/>
      </w:pPr>
      <w:r w:rsidRPr="004F6425">
        <w:t>In het kader van de uitwerking van het Ontwerpbesluit veilige jaarwisseling zijn diverse gesprekken gevoerd om inbreng op te halen bij een brede vertegenwoordiging van organisaties, zoals de politie, het Openbaar Ministerie (OM), de Inspectie Leefomgeving en Transport (ILT), gemeenten, de Vereniging Nederlandse Gemeenten (VNG), het Genootschap van Burgemeesters (NGB), omgevingsdiensten, de brandweer, verzekeraars, (koepels van) sport- en wijkverenigingen, en de vuurwerkbranche. Daarbij is getracht zo breed mogelijk input op te halen ten aanzien van het borgen van de veiligheid, de uitvoerbaarheid voor burgemeesters, de handhaafbaarheid, en ook de werkbaarheid voor verenigingen, stichtingen, en bedrijven.</w:t>
      </w:r>
      <w:r>
        <w:t xml:space="preserve"> De naleving van het vuurwerkverbod zelf is ook in het handhavingsplan</w:t>
      </w:r>
      <w:r>
        <w:rPr>
          <w:rStyle w:val="Voetnootmarkering"/>
        </w:rPr>
        <w:footnoteReference w:id="3"/>
      </w:r>
      <w:r>
        <w:t xml:space="preserve"> van het ministerie van JenV uiteengezet.</w:t>
      </w:r>
      <w:r w:rsidRPr="004F6425">
        <w:br/>
      </w:r>
    </w:p>
    <w:p w:rsidR="00F52799" w:rsidP="00F52799" w:rsidRDefault="00F52799" w14:paraId="75F5D82F" w14:textId="77777777">
      <w:pPr>
        <w:numPr>
          <w:ilvl w:val="0"/>
          <w:numId w:val="2"/>
        </w:numPr>
        <w:spacing w:after="0"/>
        <w:rPr>
          <w:b/>
          <w:bCs/>
        </w:rPr>
      </w:pPr>
      <w:r w:rsidRPr="00E62076">
        <w:rPr>
          <w:b/>
          <w:bCs/>
        </w:rPr>
        <w:t>Is onderzocht of de zwaarte en complexiteit van de eisen kan leiden tot ontmoediging of verschuiving naar niet-gereguleerde activiteiten?</w:t>
      </w:r>
    </w:p>
    <w:p w:rsidRPr="004F6425" w:rsidR="00F52799" w:rsidP="00F52799" w:rsidRDefault="00F52799" w14:paraId="73738B97" w14:textId="77777777">
      <w:pPr>
        <w:ind w:left="708"/>
      </w:pPr>
      <w:r>
        <w:t xml:space="preserve">Het kabinet </w:t>
      </w:r>
      <w:r w:rsidRPr="004F6425">
        <w:t xml:space="preserve">is van mening dat met de huidige uitwerking adequate minimale veiligheidsvoorschriften worden vastgesteld, waarbij daarnaast uit wordt gegaan van vertrouwen in verenigingen en stichtingen. Naar de mening van </w:t>
      </w:r>
      <w:r>
        <w:t xml:space="preserve">het kabinet </w:t>
      </w:r>
      <w:r w:rsidRPr="004F6425">
        <w:t>zijn de gestelde voorwaarden en voorschriften daarmee noodzakelijk, en niet onnodig zwaar of complex.</w:t>
      </w:r>
      <w:r w:rsidRPr="004F6425">
        <w:br/>
      </w:r>
    </w:p>
    <w:p w:rsidRPr="00EA6FF2" w:rsidR="00F52799" w:rsidP="00F52799" w:rsidRDefault="00F52799" w14:paraId="32BF1E43" w14:textId="77777777">
      <w:pPr>
        <w:numPr>
          <w:ilvl w:val="0"/>
          <w:numId w:val="2"/>
        </w:numPr>
        <w:spacing w:after="0"/>
        <w:rPr>
          <w:b/>
          <w:bCs/>
        </w:rPr>
      </w:pPr>
      <w:r w:rsidRPr="00EA6FF2">
        <w:rPr>
          <w:b/>
          <w:bCs/>
        </w:rPr>
        <w:t>Hoe wordt de handhaving ingericht en hoe wordt voorkomen dat gemeenten en politie geconfronteerd worden met disproportionele handhavingsdruk?</w:t>
      </w:r>
    </w:p>
    <w:p w:rsidRPr="004F6425" w:rsidR="00F52799" w:rsidP="00F52799" w:rsidRDefault="00F52799" w14:paraId="68F8B44C" w14:textId="77777777">
      <w:pPr>
        <w:ind w:left="708"/>
      </w:pPr>
      <w:r w:rsidRPr="00EA6FF2">
        <w:lastRenderedPageBreak/>
        <w:t>De inrichting van de handhaving en inzet van boa's en de politie rondom de jaarwisseling betreft een lokale afweging. Deze wordt afgestemd binnen de lokale driehoek, zodat rekening kan worden gehouden met de specifieke omstandigheden en prioriteiten binnen de gemeente. Ter voorbereiding op de aankomende jaarwisseling, waarbij een algeheel vuurwerkverbod voor consumenten geldt met een mogelijkheid tot het verlenen van ontheffingen, stelt de VNG een handreiking op. Hiermee worden gemeenten ondersteund om zich zo goed mogelijk voor te bereiden op zowel de uitvoering als handhaving van het verbod en de ontheffingsregeling. Daarnaast wordt de inzet van boa's bij de handhaving van de ontheffingsmogelijkheid nader verkend. Tot slot betreft de ontheffingsmogelijkheid een "kan" bepaling. Met het oog op de handhaafbaarheid kan een burgemeester er daarom voor kiezen om geen of slechts een beperkt aantal ontheffingen te verlenen.</w:t>
      </w:r>
      <w:r w:rsidRPr="004F6425">
        <w:br/>
      </w:r>
    </w:p>
    <w:p w:rsidR="00F52799" w:rsidP="00F52799" w:rsidRDefault="00F52799" w14:paraId="2829BE26" w14:textId="77777777">
      <w:pPr>
        <w:pStyle w:val="Lijstalinea"/>
        <w:numPr>
          <w:ilvl w:val="0"/>
          <w:numId w:val="2"/>
        </w:numPr>
        <w:autoSpaceDN w:val="0"/>
        <w:spacing w:after="0" w:line="240" w:lineRule="atLeast"/>
        <w:textAlignment w:val="baseline"/>
      </w:pPr>
      <w:r w:rsidRPr="007C13F4">
        <w:rPr>
          <w:b/>
          <w:bCs/>
        </w:rPr>
        <w:t>Welke communicatiestrategie wordt ingezet om burgers en verenigingen tijdig en begrijpelijk te informeren over deze nieuwe regeling?</w:t>
      </w:r>
    </w:p>
    <w:p w:rsidRPr="00D86D0C" w:rsidR="00F52799" w:rsidP="00F52799" w:rsidRDefault="00F52799" w14:paraId="647078EA" w14:textId="77777777">
      <w:pPr>
        <w:pStyle w:val="Lijstalinea"/>
        <w:ind w:left="708"/>
      </w:pPr>
      <w:r w:rsidRPr="00D86D0C">
        <w:t xml:space="preserve">Op dit moment werken de ministeries van IenW </w:t>
      </w:r>
      <w:r>
        <w:t xml:space="preserve">en JenV </w:t>
      </w:r>
      <w:r w:rsidRPr="00D86D0C">
        <w:t xml:space="preserve">aan een communicatieaanpak. In deze aanpak wordt onderscheid gemaakt in verschillende fasen te weten 1) vanaf heden tot de inwerkingtreding van het landelijk vuurwerkverbod, 2) het landelijk vuurwerkverbod is van kracht, 3) periode tot aan de jaarwisseling 2026-2027 en de volgende jaarwisselingen. Per fase worden doelgroepen, doelstellingen, boodschap, kanalen, middelen en een tijdlijn opgenomen. </w:t>
      </w:r>
      <w:r w:rsidRPr="00901467">
        <w:rPr>
          <w:rFonts w:eastAsia="Times New Roman" w:cs="Times New Roman"/>
        </w:rPr>
        <w:t>Fase 1 betreft de communicatie rond de verschillende mijlpijlen tot aan de inwerkingtreding van het landelijk vuurwerkverbod.</w:t>
      </w:r>
      <w:r>
        <w:rPr>
          <w:rFonts w:eastAsia="Times New Roman" w:cs="Times New Roman"/>
        </w:rPr>
        <w:t xml:space="preserve"> </w:t>
      </w:r>
      <w:r>
        <w:t>De eerste communicatieboodschappen zullen vanaf mei/juni gepubliceerd worden.</w:t>
      </w:r>
    </w:p>
    <w:p w:rsidRPr="008F773C" w:rsidR="00F52799" w:rsidP="00F52799" w:rsidRDefault="00F52799" w14:paraId="49DBA34A" w14:textId="77777777">
      <w:pPr>
        <w:ind w:left="360"/>
      </w:pPr>
    </w:p>
    <w:p w:rsidR="00F52799" w:rsidP="00F52799" w:rsidRDefault="00F52799" w14:paraId="0A143882" w14:textId="77777777">
      <w:pPr>
        <w:numPr>
          <w:ilvl w:val="0"/>
          <w:numId w:val="2"/>
        </w:numPr>
        <w:spacing w:after="0"/>
        <w:rPr>
          <w:b/>
          <w:bCs/>
        </w:rPr>
      </w:pPr>
      <w:r w:rsidRPr="00E62076">
        <w:rPr>
          <w:b/>
          <w:bCs/>
        </w:rPr>
        <w:t>Worden uniforme aanvraagformulieren, modelbesluiten of landelijke richtlijnen ontwikkeld om rechtszekerheid en voorspelbaarheid te waarborgen?</w:t>
      </w:r>
    </w:p>
    <w:p w:rsidRPr="008F773C" w:rsidR="00F52799" w:rsidP="00F52799" w:rsidRDefault="00F52799" w14:paraId="44C898E9" w14:textId="77777777">
      <w:pPr>
        <w:pStyle w:val="Lijstalinea"/>
        <w:ind w:left="708"/>
      </w:pPr>
      <w:r w:rsidRPr="001751F4">
        <w:t>Onder regie van de VNG wordt een handreiking opgesteld. In deze handreiking zullen diverse aspecten aan</w:t>
      </w:r>
      <w:r>
        <w:t xml:space="preserve"> </w:t>
      </w:r>
      <w:r w:rsidRPr="001751F4">
        <w:t xml:space="preserve">bod komen zoals het in te richten proces voor het tijdig behandelen van ontheffingsaanvragen. </w:t>
      </w:r>
      <w:r w:rsidRPr="008F773C">
        <w:t xml:space="preserve">Het opnemen van een voorbeeld voor een aanvraagformulier of een ontheffing </w:t>
      </w:r>
      <w:r>
        <w:t>behoren</w:t>
      </w:r>
      <w:r w:rsidRPr="008F773C">
        <w:t xml:space="preserve"> tot de mogelijkheden. Vanuit het Rijk wordt ondersteuning aangeboden bij het opstellen van de handreiking.</w:t>
      </w:r>
      <w:r w:rsidRPr="008F773C">
        <w:br/>
      </w:r>
    </w:p>
    <w:p w:rsidR="00F52799" w:rsidP="00F52799" w:rsidRDefault="00F52799" w14:paraId="5E9EF9A2" w14:textId="77777777">
      <w:pPr>
        <w:numPr>
          <w:ilvl w:val="0"/>
          <w:numId w:val="2"/>
        </w:numPr>
        <w:spacing w:after="0"/>
        <w:rPr>
          <w:b/>
          <w:bCs/>
        </w:rPr>
      </w:pPr>
      <w:r w:rsidRPr="00E62076">
        <w:rPr>
          <w:b/>
          <w:bCs/>
        </w:rPr>
        <w:t>Welke concrete evaluatiecriteria hanteert u om te beoordelen of de regeling het beoogde doel bereikt?</w:t>
      </w:r>
    </w:p>
    <w:p w:rsidRPr="008F773C" w:rsidR="00F52799" w:rsidP="00F52799" w:rsidRDefault="00F52799" w14:paraId="13DBB7A3" w14:textId="77777777">
      <w:pPr>
        <w:ind w:left="708"/>
      </w:pPr>
      <w:r w:rsidRPr="008F773C">
        <w:t xml:space="preserve">In het Ontwerpbesluit is opgenomen dat de Wet veilige jaarwisseling in samenhang met de uitwerking van de ontheffingsmogelijkheid drie jaar na inwerkingtreding geëvalueerd zal worden. Hoe deze evaluatie er uit moet </w:t>
      </w:r>
      <w:r w:rsidRPr="008F773C">
        <w:lastRenderedPageBreak/>
        <w:t>gaan zien dient nog nader uitgewerkt te worden. Daarover wordt de Kamer medio 2026 nader geïnformeerd, zoals toe</w:t>
      </w:r>
      <w:r>
        <w:t>ge</w:t>
      </w:r>
      <w:r w:rsidRPr="008F773C">
        <w:t>zegd aan de Eerste Kamer (Kamerstuk 35 386, J.).</w:t>
      </w:r>
      <w:r w:rsidRPr="008F773C">
        <w:br/>
      </w:r>
    </w:p>
    <w:p w:rsidR="00F52799" w:rsidP="00F52799" w:rsidRDefault="00F52799" w14:paraId="6F209E63" w14:textId="77777777">
      <w:pPr>
        <w:numPr>
          <w:ilvl w:val="0"/>
          <w:numId w:val="2"/>
        </w:numPr>
        <w:spacing w:after="0"/>
        <w:rPr>
          <w:b/>
          <w:bCs/>
        </w:rPr>
      </w:pPr>
      <w:r w:rsidRPr="00E62076">
        <w:rPr>
          <w:b/>
          <w:bCs/>
        </w:rPr>
        <w:t>Wordt gemonitord hoeveel aanvragen worden ingediend, toegewezen en afgewezen, en wat de belangrijkste knelpunten zijn?</w:t>
      </w:r>
    </w:p>
    <w:p w:rsidRPr="008F773C" w:rsidR="00F52799" w:rsidP="00F52799" w:rsidRDefault="00F52799" w14:paraId="51692251" w14:textId="77777777">
      <w:pPr>
        <w:ind w:left="708"/>
        <w:rPr>
          <w:b/>
          <w:bCs/>
        </w:rPr>
      </w:pPr>
      <w:r w:rsidRPr="008F773C">
        <w:t>Dit is geen verplichting op grond van de Wet veilige jaarwisseling en het Ontwerpbesluit veilige jaarwisseling. In het kader van het bepalen van de uitvoeringscapaciteit en prioritering van werkzaamheden ligt het wel voor de hand dat gemeenten dit registreren en monitoren. Dit zal worden meegenomen in de uitwerking van de evaluatie, waarover de Kamer medio 2026 wordt geïnformeerd.</w:t>
      </w:r>
      <w:r w:rsidRPr="008F773C">
        <w:rPr>
          <w:b/>
          <w:bCs/>
        </w:rPr>
        <w:br/>
      </w:r>
    </w:p>
    <w:p w:rsidR="00F52799" w:rsidP="00F52799" w:rsidRDefault="00F52799" w14:paraId="49565C0F" w14:textId="77777777">
      <w:pPr>
        <w:numPr>
          <w:ilvl w:val="0"/>
          <w:numId w:val="2"/>
        </w:numPr>
        <w:spacing w:after="0"/>
        <w:rPr>
          <w:b/>
          <w:bCs/>
        </w:rPr>
      </w:pPr>
      <w:r w:rsidRPr="00E62076">
        <w:rPr>
          <w:b/>
          <w:bCs/>
        </w:rPr>
        <w:t>Bent u bereid de AMvB binnen afzienbare tijd te herzien indien blijkt dat de regeling in de praktijk onvoldoende aansluit bij de intentie van het amendement Bikker?</w:t>
      </w:r>
    </w:p>
    <w:p w:rsidRPr="008F773C" w:rsidR="00F52799" w:rsidP="00F52799" w:rsidRDefault="00F52799" w14:paraId="1116951A" w14:textId="77777777">
      <w:pPr>
        <w:ind w:left="708"/>
        <w:rPr>
          <w:b/>
          <w:bCs/>
        </w:rPr>
      </w:pPr>
      <w:r w:rsidRPr="008F773C">
        <w:t>Het is gebruikelijk dat wet- en regelgeving geëvalueerd wordt. De ontheffingsmogelijkheid zal binnen drie jaar na inwerkingtreding worden geëvalueerd. Indien uit de evaluatie naar voren komt dat de uitwerking niet leidt tot het gewenste resultaat, kan besloten worden om het Vuurwerkbesluit te wijzigen.</w:t>
      </w:r>
      <w:r w:rsidRPr="008F773C">
        <w:rPr>
          <w:b/>
          <w:bCs/>
        </w:rPr>
        <w:br/>
      </w:r>
    </w:p>
    <w:p w:rsidR="00F52799" w:rsidP="00F52799" w:rsidRDefault="00F52799" w14:paraId="2A62BE45" w14:textId="77777777">
      <w:pPr>
        <w:numPr>
          <w:ilvl w:val="0"/>
          <w:numId w:val="2"/>
        </w:numPr>
        <w:spacing w:after="0"/>
        <w:rPr>
          <w:b/>
          <w:bCs/>
        </w:rPr>
      </w:pPr>
      <w:r w:rsidRPr="00E62076">
        <w:rPr>
          <w:b/>
          <w:bCs/>
        </w:rPr>
        <w:t>Waarom is het scenario waarin de burgemeester één of meerdere afsteeklocaties aanwijst volledig buiten beschouwing gelaten?</w:t>
      </w:r>
    </w:p>
    <w:p w:rsidRPr="00640917" w:rsidR="00F52799" w:rsidP="00F52799" w:rsidRDefault="00F52799" w14:paraId="292A1CE8" w14:textId="77777777">
      <w:pPr>
        <w:ind w:left="708"/>
      </w:pPr>
      <w:r w:rsidRPr="00640917">
        <w:t>Voorafgaand aan de uitwerking zijn diverse scenario’s bezien en alternatieven afgewogen, zoals het scenario waarin een burgemeester een locatie aanwijst waarbij iedereen, dan wel alle leden van een vereniging, vuurwerk mogen afsteken onder de huidige regels. Tevens is bezien of het mogelijk is om bijvoorbeeld een maximumaantal ontheffingen per gemeente vast te stellen. Voor deze scenario's is zo breed mogelijk input verzameld ten aanzien van het borgen van de veiligheid, de uitvoerbaarheid voor burgemeesters, de handhaafbaarheid, en de werkbaarheid voor verenigingen, stichtingen en bedrijven. De verschillende scenario’s zijn beschreven in het Beleidskompas. Gelet op de lokale bevoegdheidsverdeling, dan wel de doelstelling van de wet, en om redenen van handhaafbaarheid, uitvoerbaarheid en veiligheid, is voor deze alternatieve scenario’s niet gekozen.</w:t>
      </w:r>
      <w:r w:rsidRPr="00640917">
        <w:br/>
      </w:r>
    </w:p>
    <w:p w:rsidR="00F52799" w:rsidP="00F52799" w:rsidRDefault="00F52799" w14:paraId="4FA3C0D4" w14:textId="77777777">
      <w:pPr>
        <w:numPr>
          <w:ilvl w:val="0"/>
          <w:numId w:val="2"/>
        </w:numPr>
        <w:spacing w:after="0"/>
        <w:rPr>
          <w:b/>
          <w:bCs/>
        </w:rPr>
      </w:pPr>
      <w:r w:rsidRPr="00E62076">
        <w:rPr>
          <w:b/>
          <w:bCs/>
        </w:rPr>
        <w:t>Hoe weegt u het risico op toeloop en ordeverstoringen in dit scenario af tegen de aanzienlijke drempels en uitvoeringsproblemen van de nu voorgestelde regeling?</w:t>
      </w:r>
    </w:p>
    <w:p w:rsidRPr="00640917" w:rsidR="00F52799" w:rsidP="00F52799" w:rsidRDefault="00F52799" w14:paraId="582968F8" w14:textId="77777777">
      <w:pPr>
        <w:ind w:left="708"/>
      </w:pPr>
      <w:r w:rsidRPr="00640917">
        <w:lastRenderedPageBreak/>
        <w:t xml:space="preserve">Bij het enkel toewijzen van een afsteeklocatie door de burgemeester blijft het mogelijk dat iedere particulier ouder dan 16 jaar consumentenvuurwerk mag afsteken. Hiermee is de verwachting dat, gelet de ervaringen van afgelopen jaarwisselingen, de kans op ordeverstoringen en letsel groter is dan in het scenario zoals nu is uitgewerkt in het Ontwerpbesluit. Immers in de voorgestelde nieuwe situatie mag niemand, behalve de door de ontheffinghouder aangewezen ontbranders, consumentenvuurwerk afsteken.  </w:t>
      </w:r>
      <w:r w:rsidRPr="00640917">
        <w:br/>
      </w:r>
    </w:p>
    <w:p w:rsidRPr="00751934" w:rsidR="00F52799" w:rsidP="00F52799" w:rsidRDefault="00F52799" w14:paraId="47ACD7C5" w14:textId="77777777">
      <w:pPr>
        <w:numPr>
          <w:ilvl w:val="0"/>
          <w:numId w:val="2"/>
        </w:numPr>
        <w:spacing w:after="0"/>
      </w:pPr>
      <w:r w:rsidRPr="00E62076">
        <w:rPr>
          <w:b/>
          <w:bCs/>
        </w:rPr>
        <w:t>Acht u het proportioneel dat dit alternatief is verworpen, terwijl ook de huidige uitwerking mogelijk niet leidt tot het realiseren van de beoogde laagdrempeligheid?</w:t>
      </w:r>
    </w:p>
    <w:p w:rsidRPr="00E62076" w:rsidR="00F52799" w:rsidP="00F52799" w:rsidRDefault="00F52799" w14:paraId="4CDE8D10" w14:textId="77777777">
      <w:pPr>
        <w:ind w:left="708"/>
      </w:pPr>
      <w:r w:rsidRPr="00751934">
        <w:t xml:space="preserve">Ja, gelet </w:t>
      </w:r>
      <w:r>
        <w:t xml:space="preserve">op de bezwaren, </w:t>
      </w:r>
      <w:r w:rsidRPr="00751934">
        <w:t>wordt het verwerpen van dit alternatief proportioneel geacht.</w:t>
      </w:r>
    </w:p>
    <w:p w:rsidR="00266D93" w:rsidRDefault="00266D93" w14:paraId="10D67941" w14:textId="77777777"/>
    <w:sectPr w:rsidR="00266D93" w:rsidSect="00F5279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00E4" w14:textId="77777777" w:rsidR="00F52799" w:rsidRDefault="00F52799" w:rsidP="00F52799">
      <w:pPr>
        <w:spacing w:after="0" w:line="240" w:lineRule="auto"/>
      </w:pPr>
      <w:r>
        <w:separator/>
      </w:r>
    </w:p>
  </w:endnote>
  <w:endnote w:type="continuationSeparator" w:id="0">
    <w:p w14:paraId="6BF42810" w14:textId="77777777" w:rsidR="00F52799" w:rsidRDefault="00F52799" w:rsidP="00F5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53CF" w14:textId="77777777" w:rsidR="00F52799" w:rsidRPr="00F52799" w:rsidRDefault="00F52799" w:rsidP="00F527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7A2F" w14:textId="77777777" w:rsidR="00F52799" w:rsidRPr="00F52799" w:rsidRDefault="00F52799" w:rsidP="00F527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E669" w14:textId="77777777" w:rsidR="00F52799" w:rsidRPr="00F52799" w:rsidRDefault="00F52799" w:rsidP="00F527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F6CF" w14:textId="77777777" w:rsidR="00F52799" w:rsidRDefault="00F52799" w:rsidP="00F52799">
      <w:pPr>
        <w:spacing w:after="0" w:line="240" w:lineRule="auto"/>
      </w:pPr>
      <w:r>
        <w:separator/>
      </w:r>
    </w:p>
  </w:footnote>
  <w:footnote w:type="continuationSeparator" w:id="0">
    <w:p w14:paraId="7D1FCC26" w14:textId="77777777" w:rsidR="00F52799" w:rsidRDefault="00F52799" w:rsidP="00F52799">
      <w:pPr>
        <w:spacing w:after="0" w:line="240" w:lineRule="auto"/>
      </w:pPr>
      <w:r>
        <w:continuationSeparator/>
      </w:r>
    </w:p>
  </w:footnote>
  <w:footnote w:id="1">
    <w:p w14:paraId="05F3A0B2" w14:textId="77777777" w:rsidR="00F52799" w:rsidRDefault="00F52799" w:rsidP="00F52799">
      <w:pPr>
        <w:pStyle w:val="Voetnoottekst"/>
      </w:pPr>
      <w:r>
        <w:rPr>
          <w:rStyle w:val="Voetnootmarkering"/>
        </w:rPr>
        <w:footnoteRef/>
      </w:r>
      <w:r>
        <w:t xml:space="preserve"> </w:t>
      </w:r>
      <w:r w:rsidRPr="0043734B">
        <w:rPr>
          <w:sz w:val="16"/>
          <w:szCs w:val="16"/>
        </w:rPr>
        <w:t>Kamerstuk 35 386, nr. 13.</w:t>
      </w:r>
    </w:p>
  </w:footnote>
  <w:footnote w:id="2">
    <w:p w14:paraId="6E687400" w14:textId="77777777" w:rsidR="00F52799" w:rsidRPr="005C5F09" w:rsidRDefault="00F52799" w:rsidP="00F52799">
      <w:pPr>
        <w:pStyle w:val="Voetnoottekst"/>
        <w:rPr>
          <w:sz w:val="16"/>
          <w:szCs w:val="16"/>
        </w:rPr>
      </w:pPr>
      <w:r>
        <w:rPr>
          <w:rStyle w:val="Voetnootmarkering"/>
        </w:rPr>
        <w:footnoteRef/>
      </w:r>
      <w:r>
        <w:t xml:space="preserve"> </w:t>
      </w:r>
      <w:r w:rsidRPr="005C5F09">
        <w:rPr>
          <w:i/>
          <w:iCs/>
          <w:sz w:val="16"/>
          <w:szCs w:val="16"/>
        </w:rPr>
        <w:t>Besluit veilige jaarwisseling</w:t>
      </w:r>
      <w:r w:rsidRPr="005C5F09">
        <w:rPr>
          <w:sz w:val="16"/>
          <w:szCs w:val="16"/>
        </w:rPr>
        <w:t>, Internetconsultatie (</w:t>
      </w:r>
      <w:hyperlink r:id="rId1" w:tgtFrame="_new" w:history="1">
        <w:r w:rsidRPr="005C5F09">
          <w:rPr>
            <w:rStyle w:val="Hyperlink"/>
            <w:sz w:val="16"/>
            <w:szCs w:val="16"/>
          </w:rPr>
          <w:t>www.internetconsultatie.nl/besluit_veilige_jaarwisseling/b1</w:t>
        </w:r>
      </w:hyperlink>
      <w:r w:rsidRPr="005C5F09">
        <w:rPr>
          <w:sz w:val="16"/>
          <w:szCs w:val="16"/>
        </w:rPr>
        <w:t>)</w:t>
      </w:r>
    </w:p>
  </w:footnote>
  <w:footnote w:id="3">
    <w:p w14:paraId="38370BB4" w14:textId="77777777" w:rsidR="00F52799" w:rsidRDefault="00F52799" w:rsidP="00F52799">
      <w:pPr>
        <w:pStyle w:val="Voetnoottekst"/>
      </w:pPr>
      <w:r>
        <w:rPr>
          <w:rStyle w:val="Voetnootmarkering"/>
        </w:rPr>
        <w:footnoteRef/>
      </w:r>
      <w:r>
        <w:t xml:space="preserve"> </w:t>
      </w:r>
      <w:r w:rsidRPr="00555F41">
        <w:rPr>
          <w:sz w:val="16"/>
          <w:szCs w:val="16"/>
        </w:rPr>
        <w:t>Kamerstuk 28 684,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E536" w14:textId="77777777" w:rsidR="00F52799" w:rsidRPr="00F52799" w:rsidRDefault="00F52799" w:rsidP="00F527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91B" w14:textId="77777777" w:rsidR="00F52799" w:rsidRPr="00F52799" w:rsidRDefault="00F52799" w:rsidP="00F527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13FE" w14:textId="77777777" w:rsidR="00F52799" w:rsidRPr="00F52799" w:rsidRDefault="00F52799" w:rsidP="00F527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217A2"/>
    <w:multiLevelType w:val="hybridMultilevel"/>
    <w:tmpl w:val="865CDB30"/>
    <w:lvl w:ilvl="0" w:tplc="0406D5D2">
      <w:start w:val="10"/>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1F1447"/>
    <w:multiLevelType w:val="hybridMultilevel"/>
    <w:tmpl w:val="BCEAE10C"/>
    <w:lvl w:ilvl="0" w:tplc="2BC8EC32">
      <w:start w:val="1"/>
      <w:numFmt w:val="decimal"/>
      <w:lvlText w:val="%1."/>
      <w:lvlJc w:val="left"/>
      <w:pPr>
        <w:ind w:left="360" w:hanging="360"/>
      </w:pPr>
      <w:rPr>
        <w:b/>
        <w:bCs/>
      </w:rPr>
    </w:lvl>
    <w:lvl w:ilvl="1" w:tplc="7FDCC002">
      <w:start w:val="1"/>
      <w:numFmt w:val="lowerLetter"/>
      <w:lvlText w:val="%2."/>
      <w:lvlJc w:val="left"/>
      <w:pPr>
        <w:ind w:left="1080" w:hanging="360"/>
      </w:pPr>
    </w:lvl>
    <w:lvl w:ilvl="2" w:tplc="AC98D8C2">
      <w:start w:val="1"/>
      <w:numFmt w:val="lowerRoman"/>
      <w:lvlText w:val="%3."/>
      <w:lvlJc w:val="right"/>
      <w:pPr>
        <w:ind w:left="1800" w:hanging="180"/>
      </w:pPr>
    </w:lvl>
    <w:lvl w:ilvl="3" w:tplc="126283F0">
      <w:start w:val="1"/>
      <w:numFmt w:val="decimal"/>
      <w:lvlText w:val="%4."/>
      <w:lvlJc w:val="left"/>
      <w:pPr>
        <w:ind w:left="2520" w:hanging="360"/>
      </w:pPr>
    </w:lvl>
    <w:lvl w:ilvl="4" w:tplc="1B6A008C">
      <w:start w:val="1"/>
      <w:numFmt w:val="lowerLetter"/>
      <w:lvlText w:val="%5."/>
      <w:lvlJc w:val="left"/>
      <w:pPr>
        <w:ind w:left="3240" w:hanging="360"/>
      </w:pPr>
    </w:lvl>
    <w:lvl w:ilvl="5" w:tplc="4DE473A0">
      <w:start w:val="1"/>
      <w:numFmt w:val="lowerRoman"/>
      <w:lvlText w:val="%6."/>
      <w:lvlJc w:val="right"/>
      <w:pPr>
        <w:ind w:left="3960" w:hanging="180"/>
      </w:pPr>
    </w:lvl>
    <w:lvl w:ilvl="6" w:tplc="47B6722C">
      <w:start w:val="1"/>
      <w:numFmt w:val="decimal"/>
      <w:lvlText w:val="%7."/>
      <w:lvlJc w:val="left"/>
      <w:pPr>
        <w:ind w:left="4680" w:hanging="360"/>
      </w:pPr>
    </w:lvl>
    <w:lvl w:ilvl="7" w:tplc="63A42912">
      <w:start w:val="1"/>
      <w:numFmt w:val="lowerLetter"/>
      <w:lvlText w:val="%8."/>
      <w:lvlJc w:val="left"/>
      <w:pPr>
        <w:ind w:left="5400" w:hanging="360"/>
      </w:pPr>
    </w:lvl>
    <w:lvl w:ilvl="8" w:tplc="048A8872">
      <w:start w:val="1"/>
      <w:numFmt w:val="lowerRoman"/>
      <w:lvlText w:val="%9."/>
      <w:lvlJc w:val="right"/>
      <w:pPr>
        <w:ind w:left="6120" w:hanging="180"/>
      </w:pPr>
    </w:lvl>
  </w:abstractNum>
  <w:num w:numId="1" w16cid:durableId="1266843181">
    <w:abstractNumId w:val="1"/>
  </w:num>
  <w:num w:numId="2" w16cid:durableId="72649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99"/>
    <w:rsid w:val="00266D93"/>
    <w:rsid w:val="00544E03"/>
    <w:rsid w:val="00F52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56D6"/>
  <w15:chartTrackingRefBased/>
  <w15:docId w15:val="{71C5760D-7E32-4E84-9DB7-8B4D8A0D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2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27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27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27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27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7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7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7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7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27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27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27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27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27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7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7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799"/>
    <w:rPr>
      <w:rFonts w:eastAsiaTheme="majorEastAsia" w:cstheme="majorBidi"/>
      <w:color w:val="272727" w:themeColor="text1" w:themeTint="D8"/>
    </w:rPr>
  </w:style>
  <w:style w:type="paragraph" w:styleId="Titel">
    <w:name w:val="Title"/>
    <w:basedOn w:val="Standaard"/>
    <w:next w:val="Standaard"/>
    <w:link w:val="TitelChar"/>
    <w:uiPriority w:val="10"/>
    <w:qFormat/>
    <w:rsid w:val="00F52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7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7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7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7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799"/>
    <w:rPr>
      <w:i/>
      <w:iCs/>
      <w:color w:val="404040" w:themeColor="text1" w:themeTint="BF"/>
    </w:rPr>
  </w:style>
  <w:style w:type="paragraph" w:styleId="Lijstalinea">
    <w:name w:val="List Paragraph"/>
    <w:basedOn w:val="Standaard"/>
    <w:uiPriority w:val="34"/>
    <w:qFormat/>
    <w:rsid w:val="00F52799"/>
    <w:pPr>
      <w:ind w:left="720"/>
      <w:contextualSpacing/>
    </w:pPr>
  </w:style>
  <w:style w:type="character" w:styleId="Intensievebenadrukking">
    <w:name w:val="Intense Emphasis"/>
    <w:basedOn w:val="Standaardalinea-lettertype"/>
    <w:uiPriority w:val="21"/>
    <w:qFormat/>
    <w:rsid w:val="00F52799"/>
    <w:rPr>
      <w:i/>
      <w:iCs/>
      <w:color w:val="2F5496" w:themeColor="accent1" w:themeShade="BF"/>
    </w:rPr>
  </w:style>
  <w:style w:type="paragraph" w:styleId="Duidelijkcitaat">
    <w:name w:val="Intense Quote"/>
    <w:basedOn w:val="Standaard"/>
    <w:next w:val="Standaard"/>
    <w:link w:val="DuidelijkcitaatChar"/>
    <w:uiPriority w:val="30"/>
    <w:qFormat/>
    <w:rsid w:val="00F52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2799"/>
    <w:rPr>
      <w:i/>
      <w:iCs/>
      <w:color w:val="2F5496" w:themeColor="accent1" w:themeShade="BF"/>
    </w:rPr>
  </w:style>
  <w:style w:type="character" w:styleId="Intensieveverwijzing">
    <w:name w:val="Intense Reference"/>
    <w:basedOn w:val="Standaardalinea-lettertype"/>
    <w:uiPriority w:val="32"/>
    <w:qFormat/>
    <w:rsid w:val="00F52799"/>
    <w:rPr>
      <w:b/>
      <w:bCs/>
      <w:smallCaps/>
      <w:color w:val="2F5496" w:themeColor="accent1" w:themeShade="BF"/>
      <w:spacing w:val="5"/>
    </w:rPr>
  </w:style>
  <w:style w:type="character" w:styleId="Hyperlink">
    <w:name w:val="Hyperlink"/>
    <w:basedOn w:val="Standaardalinea-lettertype"/>
    <w:uiPriority w:val="99"/>
    <w:unhideWhenUsed/>
    <w:rsid w:val="00F52799"/>
    <w:rPr>
      <w:color w:val="0563C1" w:themeColor="hyperlink"/>
      <w:u w:val="single"/>
    </w:rPr>
  </w:style>
  <w:style w:type="paragraph" w:customStyle="1" w:styleId="Afzendgegevens">
    <w:name w:val="Afzendgegevens"/>
    <w:basedOn w:val="Standaard"/>
    <w:next w:val="Standaard"/>
    <w:rsid w:val="00F5279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52799"/>
    <w:rPr>
      <w:b/>
    </w:rPr>
  </w:style>
  <w:style w:type="paragraph" w:customStyle="1" w:styleId="Referentiegegevens">
    <w:name w:val="Referentiegegevens"/>
    <w:next w:val="Standaard"/>
    <w:rsid w:val="00F5279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527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F527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527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527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2799"/>
    <w:rPr>
      <w:rFonts w:ascii="Verdana" w:eastAsia="DejaVu Sans" w:hAnsi="Verdana" w:cs="Lohit Hindi"/>
      <w:color w:val="000000"/>
      <w:kern w:val="0"/>
      <w:sz w:val="20"/>
      <w:szCs w:val="20"/>
      <w:lang w:eastAsia="nl-NL"/>
      <w14:ligatures w14:val="none"/>
    </w:rPr>
  </w:style>
  <w:style w:type="character" w:styleId="Voetnootmarkering">
    <w:name w:val="footnote reference"/>
    <w:aliases w:val="Appel note de bas de p"/>
    <w:basedOn w:val="Standaardalinea-lettertype"/>
    <w:uiPriority w:val="99"/>
    <w:semiHidden/>
    <w:unhideWhenUsed/>
    <w:rsid w:val="00F52799"/>
    <w:rPr>
      <w:vertAlign w:val="superscript"/>
    </w:rPr>
  </w:style>
  <w:style w:type="paragraph" w:styleId="Koptekst">
    <w:name w:val="header"/>
    <w:basedOn w:val="Standaard"/>
    <w:link w:val="KoptekstChar"/>
    <w:uiPriority w:val="99"/>
    <w:unhideWhenUsed/>
    <w:rsid w:val="00F527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2799"/>
  </w:style>
  <w:style w:type="paragraph" w:styleId="Voettekst">
    <w:name w:val="footer"/>
    <w:basedOn w:val="Standaard"/>
    <w:link w:val="VoettekstChar"/>
    <w:uiPriority w:val="99"/>
    <w:unhideWhenUsed/>
    <w:rsid w:val="00F527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besluit_veilige_jaarwisseling/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4195</ap:Words>
  <ap:Characters>23074</ap:Characters>
  <ap:DocSecurity>0</ap:DocSecurity>
  <ap:Lines>192</ap:Lines>
  <ap:Paragraphs>54</ap:Paragraphs>
  <ap:ScaleCrop>false</ap:ScaleCrop>
  <ap:LinksUpToDate>false</ap:LinksUpToDate>
  <ap:CharactersWithSpaces>27215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2026-02-20T14:05:00.0000000Z</dcterms:created>
  <dcterms:modified xsi:type="dcterms:W3CDTF">2026-02-20T14:07:00.0000000Z</dcterms:modified>
  <version/>
  <category/>
</coreProperties>
</file>