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2026Z03618</w:t>
        <w:br/>
      </w:r>
      <w:proofErr w:type="spellEnd"/>
    </w:p>
    <w:p>
      <w:pPr>
        <w:pStyle w:val="Normal"/>
        <w:rPr>
          <w:b w:val="1"/>
          <w:bCs w:val="1"/>
        </w:rPr>
      </w:pPr>
      <w:r w:rsidR="250AE766">
        <w:rPr>
          <w:b w:val="0"/>
          <w:bCs w:val="0"/>
        </w:rPr>
        <w:t>(ingezonden 23 februari 2026)</w:t>
        <w:br/>
      </w:r>
    </w:p>
    <w:p>
      <w:r>
        <w:t xml:space="preserve">Vragen van het lid Flach (SGP) aan de minister van Volkshuisvesting en Ruimtelijke Ordening over de ruimte voor efficiënte biomassaketels in warmtetransitiegebieden.</w:t>
      </w:r>
      <w:r>
        <w:br/>
      </w:r>
    </w:p>
    <w:p>
      <w:pPr>
        <w:pStyle w:val="ListParagraph"/>
        <w:numPr>
          <w:ilvl w:val="0"/>
          <w:numId w:val="100498060"/>
        </w:numPr>
        <w:ind w:left="360"/>
      </w:pPr>
      <w:r>
        <w:t xml:space="preserve">Kunt u aangeven op welke wijze u tot uw stelling bent gekomen dat een goede, efficiënte bioketel met eenvoudige aanvullingen, zoals isolatie en inregelen, aan de voorgestelde grenswaarde van 0,7 voor de energieprestatie van technische bouwsystemen voor ruimteverwarming in het Ontwerpbesluit gemeentelijke instrumenten warmtetransitie kan voldoen (Kamerstuk 36387, nr. 50)?</w:t>
      </w:r>
      <w:r>
        <w:br/>
      </w:r>
    </w:p>
    <w:p>
      <w:pPr>
        <w:pStyle w:val="ListParagraph"/>
        <w:numPr>
          <w:ilvl w:val="0"/>
          <w:numId w:val="100498060"/>
        </w:numPr>
        <w:ind w:left="360"/>
      </w:pPr>
      <w:r>
        <w:t xml:space="preserve">Wat zijn de aanvullingen die nodig zijn voor een bioketel om aan de grenswaarde van 0,7 te voldoen en in hoeverre acht u deze aanvullingen eenvoudig te zijn?</w:t>
      </w:r>
      <w:r>
        <w:br/>
      </w:r>
    </w:p>
    <w:p>
      <w:pPr>
        <w:pStyle w:val="ListParagraph"/>
        <w:numPr>
          <w:ilvl w:val="0"/>
          <w:numId w:val="100498060"/>
        </w:numPr>
        <w:ind w:left="360"/>
      </w:pPr>
      <w:r>
        <w:t xml:space="preserve">Kunt u de bijbehorende berekeningen met de Kamer delen?</w:t>
      </w:r>
      <w:r>
        <w:br/>
      </w:r>
    </w:p>
    <w:p>
      <w:pPr>
        <w:pStyle w:val="ListParagraph"/>
        <w:numPr>
          <w:ilvl w:val="0"/>
          <w:numId w:val="100498060"/>
        </w:numPr>
        <w:ind w:left="360"/>
      </w:pPr>
      <w:r>
        <w:t xml:space="preserve">Op welke wijze gaat u, zoals aangegeven tijdens het genoemde tweeminutendebat, de vinger aan de pols houden om na te gaan of er in de praktijk problemen ontstaan nadat het genoemde besluit in werking is getreden?</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0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050">
    <w:abstractNumId w:val="1004980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