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2026Z03642</w:t>
        <w:br/>
      </w:r>
      <w:proofErr w:type="spellEnd"/>
    </w:p>
    <w:p>
      <w:pPr>
        <w:pStyle w:val="Normal"/>
        <w:rPr>
          <w:b w:val="1"/>
          <w:bCs w:val="1"/>
        </w:rPr>
      </w:pPr>
      <w:r w:rsidR="250AE766">
        <w:rPr>
          <w:b w:val="0"/>
          <w:bCs w:val="0"/>
        </w:rPr>
        <w:t>(ingezonden 24 februari 2026)</w:t>
        <w:br/>
      </w:r>
    </w:p>
    <w:p>
      <w:r>
        <w:t xml:space="preserve">Vragen van het lid Ellian (VVD) aan de staatssecretaris van Justitie en Veiligheid over een grote crimineel (Lysander de R.) die naar een regulier detentieregime is afgeschaald.</w:t>
      </w:r>
      <w:r>
        <w:br/>
      </w:r>
    </w:p>
    <w:p>
      <w:r>
        <w:t xml:space="preserve"> </w:t>
      </w:r>
      <w:r>
        <w:br/>
      </w:r>
    </w:p>
    <w:p>
      <w:pPr>
        <w:pStyle w:val="ListParagraph"/>
        <w:numPr>
          <w:ilvl w:val="0"/>
          <w:numId w:val="100498110"/>
        </w:numPr>
        <w:ind w:left="360"/>
      </w:pPr>
      <w:r>
        <w:t xml:space="preserve">Bent u bekend met het bericht ‘Onrust in gevangenis Heerhugowaard: motorbende-leider wil wraak’?[1]</w:t>
      </w:r>
      <w:r>
        <w:br/>
      </w:r>
    </w:p>
    <w:p>
      <w:pPr>
        <w:pStyle w:val="ListParagraph"/>
        <w:numPr>
          <w:ilvl w:val="0"/>
          <w:numId w:val="100498110"/>
        </w:numPr>
        <w:ind w:left="360"/>
      </w:pPr>
      <w:r>
        <w:t xml:space="preserve">Klopt het dat Lysander de R. recent in een regulier regime is geplaatst?</w:t>
      </w:r>
      <w:r>
        <w:br/>
      </w:r>
    </w:p>
    <w:p>
      <w:pPr>
        <w:pStyle w:val="ListParagraph"/>
        <w:numPr>
          <w:ilvl w:val="0"/>
          <w:numId w:val="100498110"/>
        </w:numPr>
        <w:ind w:left="360"/>
      </w:pPr>
      <w:r>
        <w:t xml:space="preserve">Hoe kan het dat een gedetineerde die bekend staat als het ‘bajesbeest’ en de ‘schrik van Zaanstad’ en in meerdere Penitentiaire Inrichtingen een schrikbewind voerde, al enige tijd op een reguliere afdeling is geplaatst?</w:t>
      </w:r>
      <w:r>
        <w:br/>
      </w:r>
    </w:p>
    <w:p>
      <w:pPr>
        <w:pStyle w:val="ListParagraph"/>
        <w:numPr>
          <w:ilvl w:val="0"/>
          <w:numId w:val="100498110"/>
        </w:numPr>
        <w:ind w:left="360"/>
      </w:pPr>
      <w:r>
        <w:t xml:space="preserve">Waarom is deze gedetineerde al langer dan een jaar uit de Afdeling Intensief Toezicht geplaatst?</w:t>
      </w:r>
      <w:r>
        <w:br/>
      </w:r>
    </w:p>
    <w:p>
      <w:pPr>
        <w:pStyle w:val="ListParagraph"/>
        <w:numPr>
          <w:ilvl w:val="0"/>
          <w:numId w:val="100498110"/>
        </w:numPr>
        <w:ind w:left="360"/>
      </w:pPr>
      <w:r>
        <w:t xml:space="preserve">Waarom wordt een gedetineerde, die evident en aantoonbaar betrokken is bij voortgezet crimineel handelen uit detentie, in een Penitentiaire Inrichting (Zuyderbosch) geplaatst waar in 2025 maar liefst 31 keer communicatiemiddelen zijn aangetroffen bij gedetineerden?</w:t>
      </w:r>
      <w:r>
        <w:br/>
      </w:r>
    </w:p>
    <w:p>
      <w:pPr>
        <w:pStyle w:val="ListParagraph"/>
        <w:numPr>
          <w:ilvl w:val="0"/>
          <w:numId w:val="100498110"/>
        </w:numPr>
        <w:ind w:left="360"/>
      </w:pPr>
      <w:r>
        <w:t xml:space="preserve">Op welke wijze worden bij het afbouwen van toezichtsmaatregelen op basis van de lijst gedetineerden met een vlucht- en/of maatschappelijk risico, feiten betrokken zoals het leiding geven vanuit detentie aan een motorclub zoals MC Hardliners, het oprichten daarvan en leider zijn van een dergelijke criminele organisatie?</w:t>
      </w:r>
      <w:r>
        <w:br/>
      </w:r>
    </w:p>
    <w:p>
      <w:pPr>
        <w:pStyle w:val="ListParagraph"/>
        <w:numPr>
          <w:ilvl w:val="0"/>
          <w:numId w:val="100498110"/>
        </w:numPr>
        <w:ind w:left="360"/>
      </w:pPr>
      <w:r>
        <w:t xml:space="preserve">Op welke wijze worden de B- en C-grond uit artikel 13 van de Regeling selectie, plaatsing en overplaatsing van gedetineerden gewogen indien sprake is van een gedetineerde die aantoonbaar vanuit detentie crimineel handelen heeft voortgezet en een leidende rol heeft bij een criminele organisatie zoals een motorclub?</w:t>
      </w:r>
      <w:r>
        <w:br/>
      </w:r>
    </w:p>
    <w:p>
      <w:pPr>
        <w:pStyle w:val="ListParagraph"/>
        <w:numPr>
          <w:ilvl w:val="0"/>
          <w:numId w:val="100498110"/>
        </w:numPr>
        <w:ind w:left="360"/>
      </w:pPr>
      <w:r>
        <w:t xml:space="preserve">Hoe kan er geen sprake zijn van een hoog risico op aanhoudende ongeoorloofde contacten met de buitenwereld met een maatschappelijk ontwrichtend karakter indien een gedetineerde hoogstwaarschijnlijk betrokken is bij ernstige bedreigingen jegens een burgemeester?</w:t>
      </w:r>
      <w:r>
        <w:br/>
      </w:r>
    </w:p>
    <w:p>
      <w:pPr>
        <w:pStyle w:val="ListParagraph"/>
        <w:numPr>
          <w:ilvl w:val="0"/>
          <w:numId w:val="100498110"/>
        </w:numPr>
        <w:ind w:left="360"/>
      </w:pPr>
      <w:r>
        <w:t xml:space="preserve">Indien de feiten als genoemd in vragen 4, 5 en 6 zich zouden voordoen: waarom zit zo een gedetineerde dan niet in de Extra Beveiligde Inrichting?</w:t>
      </w:r>
      <w:r>
        <w:br/>
      </w:r>
    </w:p>
    <w:p>
      <w:pPr>
        <w:pStyle w:val="ListParagraph"/>
        <w:numPr>
          <w:ilvl w:val="0"/>
          <w:numId w:val="100498110"/>
        </w:numPr>
        <w:ind w:left="360"/>
      </w:pPr>
      <w:r>
        <w:t xml:space="preserve">Waarom kan een gedetineerde in aanmerking komen voor fasering als de voorwaardelijke invrijheidsstelling door de rechter is ingetrokken?</w:t>
      </w:r>
      <w:r>
        <w:br/>
      </w:r>
    </w:p>
    <w:p>
      <w:pPr>
        <w:pStyle w:val="ListParagraph"/>
        <w:numPr>
          <w:ilvl w:val="0"/>
          <w:numId w:val="100498110"/>
        </w:numPr>
        <w:ind w:left="360"/>
      </w:pPr>
      <w:r>
        <w:t xml:space="preserve">Waarom kan een gedetineerde in aanmerking komen voor meer vrijheden indien hij betrokken is bij feiten zoals genoemd in de vragen 4, 5 en 6?</w:t>
      </w:r>
      <w:r>
        <w:br/>
      </w:r>
    </w:p>
    <w:p>
      <w:pPr>
        <w:pStyle w:val="ListParagraph"/>
        <w:numPr>
          <w:ilvl w:val="0"/>
          <w:numId w:val="100498110"/>
        </w:numPr>
        <w:ind w:left="360"/>
      </w:pPr>
      <w:r>
        <w:t xml:space="preserve">Wanneer gaat u inzien dat criminele kopstukken er alles aan zullen doen om in lagere detentieregimes terecht te komen?</w:t>
      </w:r>
      <w:r>
        <w:br/>
      </w:r>
    </w:p>
    <w:p>
      <w:pPr>
        <w:pStyle w:val="ListParagraph"/>
        <w:numPr>
          <w:ilvl w:val="0"/>
          <w:numId w:val="100498110"/>
        </w:numPr>
        <w:ind w:left="360"/>
      </w:pPr>
      <w:r>
        <w:t xml:space="preserve">Wat gaat u de samenleving precies uitleggen indien een gedetineerde zoals Lysander de R. vanuit detentie wederom de samenleving vrees zal aanjagen en mogelijk ernstige strafbare feiten zal laten plegen?</w:t>
      </w:r>
      <w:r>
        <w:br/>
      </w:r>
    </w:p>
    <w:p>
      <w:pPr>
        <w:pStyle w:val="ListParagraph"/>
        <w:numPr>
          <w:ilvl w:val="0"/>
          <w:numId w:val="100498110"/>
        </w:numPr>
        <w:ind w:left="360"/>
      </w:pPr>
      <w:r>
        <w:t xml:space="preserve">Kunt u deze vragen afzonderlijk en uiterlijk 1 maart 2026 beantwoorden?</w:t>
      </w:r>
      <w:r>
        <w:br/>
      </w:r>
    </w:p>
    <w:p>
      <w:pPr>
        <w:pStyle w:val="ListParagraph"/>
        <w:numPr>
          <w:ilvl w:val="0"/>
          <w:numId w:val="100498110"/>
        </w:numPr>
        <w:ind w:left="360"/>
      </w:pPr>
      <w:r>
        <w:t xml:space="preserve">Indien u bij beantwoording op sommige vragen zult antwoorden dat u “niet ingaat op individuele gevallen”, kunt u daarbij dan uitgebreid motiveren waarom u niet op individuele gevallen kunt ingaan terwijl de uitvoering van strafrechtelijke vonnissen rechtstreeks onder uw verantwoordelijkheid valt?</w:t>
      </w:r>
      <w:r>
        <w:br/>
      </w:r>
    </w:p>
    <w:p>
      <w:r>
        <w:t xml:space="preserve"> </w:t>
      </w:r>
      <w:r>
        <w:br/>
      </w:r>
    </w:p>
    <w:p>
      <w:r>
        <w:t xml:space="preserve">[1] De Telegraaf, 22 februari 2026 (https://www.telegraaf.nl/nieuws/na-sushi-drank-en-bajesfeestjes-nu-grote-angst-dat-motorbende-kopstuk-lysander-de-r.-tijdens-proefverlof-wraak-gaat-nemen-op-vijanden/135338113.html).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81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8110">
    <w:abstractNumId w:val="1004981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