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2026Z03645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24 februari 2026)</w:t>
        <w:br/>
      </w:r>
    </w:p>
    <w:p>
      <w:r>
        <w:t xml:space="preserve">Vragen van het lid Van Houwelingen (FVD) aan de minister van Defensie over een MIVD-rapport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98160"/>
        </w:numPr>
        <w:ind w:left="360"/>
      </w:pPr>
      <w:r>
        <w:t xml:space="preserve">Kan de Tweede Kamer, vertrouwelijk, het rapport inzien dat door de MIVD in juni 2022 is verstuurd naar de CIA over een Oekraïens plan om de Nord Stream-gaspijpleiding op te blazen? Zo nee, waarom niet?</w:t>
      </w:r>
      <w:r>
        <w:br/>
      </w:r>
    </w:p>
    <w:p>
      <w:pPr>
        <w:pStyle w:val="ListParagraph"/>
        <w:numPr>
          <w:ilvl w:val="0"/>
          <w:numId w:val="100498160"/>
        </w:numPr>
        <w:ind w:left="360"/>
      </w:pPr>
      <w:r>
        <w:t xml:space="preserve">Welke Nederlandse instanties kunnen dit MIVD-rapport (wel) inzien? Kan de Commissie van Toezicht op de Inlichtingen- en Veiligheidsdiensten en/of de Commissie voor de Inlichtingen- en Veiligheidsdiensten dit rapport (vertrouwelijk) inzien?</w:t>
      </w:r>
      <w:r>
        <w:br/>
      </w:r>
    </w:p>
    <w:p>
      <w:pPr>
        <w:pStyle w:val="ListParagraph"/>
        <w:numPr>
          <w:ilvl w:val="0"/>
          <w:numId w:val="100498160"/>
        </w:numPr>
        <w:ind w:left="360"/>
      </w:pPr>
      <w:r>
        <w:t xml:space="preserve">Hoe kan de Tweede Kamer het kabinet controleren als het, ook op vertrouwelijke basis, rapporten van de inlichtingendiensten niet mag inzien en/of als het kabinet zelfs het (wel of niet) bestaan van rapporten van Nederlandse inlichtingendiensten weigert te erkennen?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811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8110">
    <w:abstractNumId w:val="10049811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