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2CED53FA" w14:textId="77777777">
        <w:tc>
          <w:tcPr>
            <w:tcW w:w="8717" w:type="dxa"/>
            <w:gridSpan w:val="2"/>
            <w:tcBorders>
              <w:top w:val="nil"/>
              <w:left w:val="nil"/>
              <w:bottom w:val="nil"/>
              <w:right w:val="nil"/>
            </w:tcBorders>
            <w:vAlign w:val="center"/>
          </w:tcPr>
          <w:p w:rsidR="00470846" w:rsidP="00FB349A" w:rsidRDefault="00470846" w14:paraId="342D19AF"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413F1AA0"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5C80305C" w14:textId="77777777">
        <w:trPr>
          <w:cantSplit/>
        </w:trPr>
        <w:tc>
          <w:tcPr>
            <w:tcW w:w="10348" w:type="dxa"/>
            <w:gridSpan w:val="3"/>
            <w:tcBorders>
              <w:top w:val="single" w:color="auto" w:sz="4" w:space="0"/>
              <w:left w:val="nil"/>
              <w:bottom w:val="nil"/>
              <w:right w:val="nil"/>
            </w:tcBorders>
          </w:tcPr>
          <w:p w:rsidR="00470846" w:rsidP="00F9022B" w:rsidRDefault="00833C90" w14:paraId="27BB6E38"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F0E2059" w14:textId="77777777">
        <w:trPr>
          <w:cantSplit/>
        </w:trPr>
        <w:tc>
          <w:tcPr>
            <w:tcW w:w="10348" w:type="dxa"/>
            <w:gridSpan w:val="3"/>
            <w:tcBorders>
              <w:top w:val="nil"/>
              <w:left w:val="nil"/>
              <w:bottom w:val="nil"/>
              <w:right w:val="nil"/>
            </w:tcBorders>
          </w:tcPr>
          <w:p w:rsidR="00470846" w:rsidP="00F8109A" w:rsidRDefault="00470846" w14:paraId="3CCC2758" w14:textId="77777777">
            <w:pPr>
              <w:pStyle w:val="Amendement"/>
              <w:tabs>
                <w:tab w:val="clear" w:pos="3310"/>
                <w:tab w:val="clear" w:pos="3600"/>
              </w:tabs>
              <w:rPr>
                <w:rFonts w:ascii="Times New Roman" w:hAnsi="Times New Roman"/>
                <w:b w:val="0"/>
              </w:rPr>
            </w:pPr>
          </w:p>
        </w:tc>
      </w:tr>
      <w:tr w:rsidR="00470846" w:rsidTr="00FB349A" w14:paraId="6D52EA53" w14:textId="77777777">
        <w:trPr>
          <w:cantSplit/>
        </w:trPr>
        <w:tc>
          <w:tcPr>
            <w:tcW w:w="10348" w:type="dxa"/>
            <w:gridSpan w:val="3"/>
            <w:tcBorders>
              <w:top w:val="nil"/>
              <w:left w:val="nil"/>
              <w:bottom w:val="single" w:color="auto" w:sz="4" w:space="0"/>
              <w:right w:val="nil"/>
            </w:tcBorders>
          </w:tcPr>
          <w:p w:rsidR="00470846" w:rsidP="00F8109A" w:rsidRDefault="00470846" w14:paraId="5BFBFE2D" w14:textId="77777777">
            <w:pPr>
              <w:pStyle w:val="Amendement"/>
              <w:tabs>
                <w:tab w:val="clear" w:pos="3310"/>
                <w:tab w:val="clear" w:pos="3600"/>
              </w:tabs>
              <w:rPr>
                <w:rFonts w:ascii="Times New Roman" w:hAnsi="Times New Roman"/>
              </w:rPr>
            </w:pPr>
          </w:p>
        </w:tc>
      </w:tr>
      <w:tr w:rsidR="00470846" w:rsidTr="00FB349A" w14:paraId="2E3BD36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0F4542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584D72D9" w14:textId="77777777">
            <w:pPr>
              <w:suppressAutoHyphens/>
              <w:rPr>
                <w:rFonts w:ascii="Times New Roman" w:hAnsi="Times New Roman"/>
                <w:b/>
              </w:rPr>
            </w:pPr>
          </w:p>
        </w:tc>
      </w:tr>
      <w:tr w:rsidR="00470846" w:rsidTr="00FB349A" w14:paraId="3F835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DF2C9C" w14:paraId="48294DAA" w14:textId="68DF720F">
            <w:pPr>
              <w:pStyle w:val="Amendement"/>
              <w:tabs>
                <w:tab w:val="clear" w:pos="3310"/>
                <w:tab w:val="clear" w:pos="3600"/>
              </w:tabs>
              <w:rPr>
                <w:rFonts w:ascii="Times New Roman" w:hAnsi="Times New Roman"/>
              </w:rPr>
            </w:pPr>
            <w:r>
              <w:rPr>
                <w:rFonts w:ascii="Times New Roman" w:hAnsi="Times New Roman"/>
              </w:rPr>
              <w:t>36 800 XVI</w:t>
            </w:r>
          </w:p>
        </w:tc>
        <w:tc>
          <w:tcPr>
            <w:tcW w:w="7654" w:type="dxa"/>
            <w:gridSpan w:val="2"/>
          </w:tcPr>
          <w:p w:rsidRPr="00DF2C9C" w:rsidR="00470846" w:rsidP="00DF2C9C" w:rsidRDefault="00DF2C9C" w14:paraId="73953E48" w14:textId="669271DA">
            <w:pPr>
              <w:rPr>
                <w:b/>
                <w:bCs/>
              </w:rPr>
            </w:pPr>
            <w:r w:rsidRPr="00DF2C9C">
              <w:rPr>
                <w:rFonts w:ascii="Times New Roman" w:hAnsi="Times New Roman"/>
                <w:b/>
                <w:bCs/>
                <w:szCs w:val="24"/>
              </w:rPr>
              <w:t>Vaststelling van de begrotingsstaten van het Ministerie van Volksgezondheid, Welzijn en Sport (XVI) voor het jaar 2026</w:t>
            </w:r>
          </w:p>
        </w:tc>
      </w:tr>
      <w:tr w:rsidR="00470846" w:rsidTr="00FB349A" w14:paraId="42EF210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C38A4F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41D4BBC" w14:textId="77777777">
            <w:pPr>
              <w:pStyle w:val="Amendement"/>
              <w:tabs>
                <w:tab w:val="clear" w:pos="3310"/>
                <w:tab w:val="clear" w:pos="3600"/>
              </w:tabs>
              <w:rPr>
                <w:rFonts w:ascii="Times New Roman" w:hAnsi="Times New Roman"/>
              </w:rPr>
            </w:pPr>
          </w:p>
        </w:tc>
      </w:tr>
      <w:tr w:rsidR="00470846" w:rsidTr="00FB349A" w14:paraId="7D06EB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D29FB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D464D0E" w14:textId="77777777">
            <w:pPr>
              <w:pStyle w:val="Amendement"/>
              <w:tabs>
                <w:tab w:val="clear" w:pos="3310"/>
                <w:tab w:val="clear" w:pos="3600"/>
              </w:tabs>
              <w:rPr>
                <w:rFonts w:ascii="Times New Roman" w:hAnsi="Times New Roman"/>
              </w:rPr>
            </w:pPr>
          </w:p>
        </w:tc>
      </w:tr>
      <w:tr w:rsidR="00470846" w:rsidTr="00FB349A" w14:paraId="32CC7E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D8A354A" w14:textId="3BB0BADC">
            <w:pPr>
              <w:pStyle w:val="Amendement"/>
              <w:tabs>
                <w:tab w:val="clear" w:pos="3310"/>
                <w:tab w:val="clear" w:pos="3600"/>
              </w:tabs>
              <w:rPr>
                <w:rFonts w:ascii="Times New Roman" w:hAnsi="Times New Roman"/>
              </w:rPr>
            </w:pPr>
            <w:r>
              <w:rPr>
                <w:rFonts w:ascii="Times New Roman" w:hAnsi="Times New Roman"/>
              </w:rPr>
              <w:t xml:space="preserve">Nr. </w:t>
            </w:r>
            <w:r w:rsidR="00090F34">
              <w:rPr>
                <w:rFonts w:ascii="Times New Roman" w:hAnsi="Times New Roman"/>
                <w:caps/>
              </w:rPr>
              <w:t>7</w:t>
            </w:r>
            <w:r w:rsidR="002B55FD">
              <w:rPr>
                <w:rFonts w:ascii="Times New Roman" w:hAnsi="Times New Roman"/>
                <w:caps/>
              </w:rPr>
              <w:t>8</w:t>
            </w:r>
          </w:p>
        </w:tc>
        <w:tc>
          <w:tcPr>
            <w:tcW w:w="7654" w:type="dxa"/>
            <w:gridSpan w:val="2"/>
          </w:tcPr>
          <w:p w:rsidRPr="001A2A63" w:rsidR="00470846" w:rsidP="00FB349A" w:rsidRDefault="00470846" w14:paraId="0A2B1B8C" w14:textId="35728FD7">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w:t>
            </w:r>
            <w:r w:rsidR="00521E8C">
              <w:rPr>
                <w:rFonts w:ascii="Times New Roman" w:hAnsi="Times New Roman"/>
                <w:caps/>
              </w:rPr>
              <w:t>de leden</w:t>
            </w:r>
            <w:r w:rsidRPr="001A2A63">
              <w:rPr>
                <w:rFonts w:ascii="Times New Roman" w:hAnsi="Times New Roman"/>
                <w:caps/>
              </w:rPr>
              <w:t xml:space="preserve"> </w:t>
            </w:r>
            <w:r w:rsidR="00DF2C9C">
              <w:rPr>
                <w:rFonts w:ascii="Times New Roman" w:hAnsi="Times New Roman"/>
                <w:caps/>
              </w:rPr>
              <w:t>Claassen</w:t>
            </w:r>
            <w:r w:rsidR="00521E8C">
              <w:rPr>
                <w:rFonts w:ascii="Times New Roman" w:hAnsi="Times New Roman"/>
                <w:caps/>
              </w:rPr>
              <w:t xml:space="preserve"> en dIEDERIK VAN dIJK</w:t>
            </w:r>
            <w:r w:rsidR="002B55FD">
              <w:rPr>
                <w:rFonts w:ascii="Times New Roman" w:hAnsi="Times New Roman"/>
                <w:caps/>
              </w:rPr>
              <w:t xml:space="preserve"> ter verv</w:t>
            </w:r>
            <w:r w:rsidR="000F1248">
              <w:rPr>
                <w:rFonts w:ascii="Times New Roman" w:hAnsi="Times New Roman"/>
                <w:caps/>
              </w:rPr>
              <w:t>a</w:t>
            </w:r>
            <w:r w:rsidR="002B55FD">
              <w:rPr>
                <w:rFonts w:ascii="Times New Roman" w:hAnsi="Times New Roman"/>
                <w:caps/>
              </w:rPr>
              <w:t>nging van dat gedrukt onder nr. 77</w:t>
            </w:r>
            <w:r w:rsidR="00DA71EA">
              <w:rPr>
                <w:rStyle w:val="Voetnootmarkering"/>
                <w:rFonts w:ascii="Times New Roman" w:hAnsi="Times New Roman"/>
                <w:caps/>
              </w:rPr>
              <w:footnoteReference w:id="1"/>
            </w:r>
          </w:p>
        </w:tc>
      </w:tr>
      <w:tr w:rsidRPr="00152E10" w:rsidR="00470846" w:rsidTr="00FB349A" w14:paraId="104050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A10BC7D" w14:textId="77777777">
            <w:pPr>
              <w:pStyle w:val="Amendement"/>
              <w:tabs>
                <w:tab w:val="clear" w:pos="3310"/>
                <w:tab w:val="clear" w:pos="3600"/>
              </w:tabs>
              <w:rPr>
                <w:rFonts w:ascii="Times New Roman" w:hAnsi="Times New Roman"/>
              </w:rPr>
            </w:pPr>
          </w:p>
        </w:tc>
        <w:tc>
          <w:tcPr>
            <w:tcW w:w="7654" w:type="dxa"/>
            <w:gridSpan w:val="2"/>
          </w:tcPr>
          <w:p w:rsidRPr="00315F91" w:rsidR="00470846" w:rsidP="00FB349A" w:rsidRDefault="00926C70" w14:paraId="1F1C0032" w14:textId="6CF186F5">
            <w:pPr>
              <w:pStyle w:val="Amendement"/>
              <w:tabs>
                <w:tab w:val="clear" w:pos="3310"/>
                <w:tab w:val="clear" w:pos="3600"/>
              </w:tabs>
              <w:rPr>
                <w:rFonts w:ascii="Times New Roman" w:hAnsi="Times New Roman"/>
                <w:lang w:val="en-US"/>
              </w:rPr>
            </w:pPr>
            <w:proofErr w:type="spellStart"/>
            <w:r w:rsidRPr="00315F91">
              <w:rPr>
                <w:rFonts w:ascii="Times New Roman" w:hAnsi="Times New Roman"/>
                <w:b w:val="0"/>
                <w:lang w:val="en-US"/>
              </w:rPr>
              <w:t>Ontvangen</w:t>
            </w:r>
            <w:proofErr w:type="spellEnd"/>
            <w:r w:rsidRPr="00315F91">
              <w:rPr>
                <w:rFonts w:ascii="Times New Roman" w:hAnsi="Times New Roman"/>
                <w:b w:val="0"/>
                <w:lang w:val="en-US"/>
              </w:rPr>
              <w:t xml:space="preserve"> </w:t>
            </w:r>
            <w:r w:rsidR="00090F34">
              <w:rPr>
                <w:rFonts w:ascii="Times New Roman" w:hAnsi="Times New Roman"/>
                <w:b w:val="0"/>
              </w:rPr>
              <w:t>2</w:t>
            </w:r>
            <w:r w:rsidR="00521E8C">
              <w:rPr>
                <w:rFonts w:ascii="Times New Roman" w:hAnsi="Times New Roman"/>
                <w:b w:val="0"/>
              </w:rPr>
              <w:t>6</w:t>
            </w:r>
            <w:r w:rsidR="00090F34">
              <w:rPr>
                <w:rFonts w:ascii="Times New Roman" w:hAnsi="Times New Roman"/>
                <w:b w:val="0"/>
              </w:rPr>
              <w:t xml:space="preserve"> februari 2026</w:t>
            </w:r>
          </w:p>
        </w:tc>
      </w:tr>
      <w:tr w:rsidRPr="00152E10" w:rsidR="00470846" w:rsidTr="00FB349A" w14:paraId="373367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Pr="00315F91" w:rsidR="00470846" w:rsidP="00FB349A" w:rsidRDefault="00470846" w14:paraId="0E5D7CF9" w14:textId="77777777">
            <w:pPr>
              <w:pStyle w:val="Amendement"/>
              <w:tabs>
                <w:tab w:val="clear" w:pos="3310"/>
                <w:tab w:val="clear" w:pos="3600"/>
              </w:tabs>
              <w:rPr>
                <w:rFonts w:ascii="Times New Roman" w:hAnsi="Times New Roman"/>
                <w:lang w:val="en-US"/>
              </w:rPr>
            </w:pPr>
          </w:p>
        </w:tc>
        <w:tc>
          <w:tcPr>
            <w:tcW w:w="7654" w:type="dxa"/>
            <w:gridSpan w:val="2"/>
          </w:tcPr>
          <w:p w:rsidRPr="00315F91" w:rsidR="00470846" w:rsidP="00FB349A" w:rsidRDefault="00470846" w14:paraId="33900598" w14:textId="77777777">
            <w:pPr>
              <w:pStyle w:val="Amendement"/>
              <w:tabs>
                <w:tab w:val="clear" w:pos="3310"/>
                <w:tab w:val="clear" w:pos="3600"/>
              </w:tabs>
              <w:rPr>
                <w:rFonts w:ascii="Times New Roman" w:hAnsi="Times New Roman"/>
                <w:b w:val="0"/>
                <w:lang w:val="en-US"/>
              </w:rPr>
            </w:pPr>
          </w:p>
        </w:tc>
      </w:tr>
      <w:tr w:rsidR="009E6185" w:rsidTr="00FB349A" w14:paraId="734A074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4A106D9D" w14:textId="78563057">
            <w:pPr>
              <w:pStyle w:val="Amendement"/>
              <w:tabs>
                <w:tab w:val="clear" w:pos="3310"/>
                <w:tab w:val="clear" w:pos="3600"/>
              </w:tabs>
              <w:ind w:firstLine="284"/>
              <w:rPr>
                <w:rFonts w:ascii="Times New Roman" w:hAnsi="Times New Roman"/>
                <w:b w:val="0"/>
              </w:rPr>
            </w:pPr>
            <w:r>
              <w:rPr>
                <w:rFonts w:ascii="Times New Roman" w:hAnsi="Times New Roman"/>
                <w:b w:val="0"/>
              </w:rPr>
              <w:t>De ondergetekende</w:t>
            </w:r>
            <w:r w:rsidR="00EB75DE">
              <w:rPr>
                <w:rFonts w:ascii="Times New Roman" w:hAnsi="Times New Roman"/>
                <w:b w:val="0"/>
              </w:rPr>
              <w:t>n</w:t>
            </w:r>
            <w:r>
              <w:rPr>
                <w:rFonts w:ascii="Times New Roman" w:hAnsi="Times New Roman"/>
                <w:b w:val="0"/>
              </w:rPr>
              <w:t xml:space="preserve"> stel</w:t>
            </w:r>
            <w:r w:rsidR="00EB75DE">
              <w:rPr>
                <w:rFonts w:ascii="Times New Roman" w:hAnsi="Times New Roman"/>
                <w:b w:val="0"/>
              </w:rPr>
              <w:t>len</w:t>
            </w:r>
            <w:r>
              <w:rPr>
                <w:rFonts w:ascii="Times New Roman" w:hAnsi="Times New Roman"/>
                <w:b w:val="0"/>
              </w:rPr>
              <w:t xml:space="preserve"> het volgende amendement voor:</w:t>
            </w:r>
          </w:p>
        </w:tc>
      </w:tr>
      <w:tr w:rsidR="00470846" w:rsidTr="00FB349A" w14:paraId="23D511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A0660E5"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61C02840" w14:textId="77777777">
            <w:pPr>
              <w:pStyle w:val="Amendement"/>
              <w:tabs>
                <w:tab w:val="clear" w:pos="3310"/>
                <w:tab w:val="clear" w:pos="3600"/>
              </w:tabs>
              <w:rPr>
                <w:rFonts w:ascii="Times New Roman" w:hAnsi="Times New Roman"/>
                <w:b w:val="0"/>
              </w:rPr>
            </w:pPr>
          </w:p>
        </w:tc>
      </w:tr>
    </w:tbl>
    <w:p w:rsidR="006F245C" w:rsidP="00FB349A" w:rsidRDefault="006F245C" w14:paraId="4369FE15" w14:textId="64A47A94">
      <w:pPr>
        <w:ind w:firstLine="284"/>
        <w:rPr>
          <w:rFonts w:ascii="Times New Roman" w:hAnsi="Times New Roman"/>
        </w:rPr>
      </w:pPr>
      <w:r>
        <w:rPr>
          <w:rFonts w:ascii="Times New Roman" w:hAnsi="Times New Roman"/>
        </w:rPr>
        <w:t>De departementale begrotingsstaat wordt als volgt gewijzigd:</w:t>
      </w:r>
    </w:p>
    <w:p w:rsidR="006F245C" w:rsidP="00FB349A" w:rsidRDefault="006F245C" w14:paraId="357944C7" w14:textId="77777777">
      <w:pPr>
        <w:ind w:firstLine="284"/>
        <w:rPr>
          <w:rFonts w:ascii="Times New Roman" w:hAnsi="Times New Roman"/>
        </w:rPr>
      </w:pPr>
    </w:p>
    <w:p w:rsidR="006F245C" w:rsidP="006F245C" w:rsidRDefault="006F245C" w14:paraId="3A7F6687" w14:textId="51E3AD66">
      <w:pPr>
        <w:rPr>
          <w:rFonts w:ascii="Times New Roman" w:hAnsi="Times New Roman"/>
        </w:rPr>
      </w:pPr>
      <w:r>
        <w:rPr>
          <w:rFonts w:ascii="Times New Roman" w:hAnsi="Times New Roman"/>
        </w:rPr>
        <w:t>I</w:t>
      </w:r>
    </w:p>
    <w:p w:rsidR="006F245C" w:rsidP="006F245C" w:rsidRDefault="006F245C" w14:paraId="26A8F82D" w14:textId="77777777">
      <w:pPr>
        <w:rPr>
          <w:rFonts w:ascii="Times New Roman" w:hAnsi="Times New Roman"/>
        </w:rPr>
      </w:pPr>
    </w:p>
    <w:p w:rsidR="006F245C" w:rsidP="007039EE" w:rsidRDefault="006F245C" w14:paraId="265B22E3" w14:textId="43004A71">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3</w:t>
      </w:r>
      <w:r w:rsidRPr="00DF2C9C">
        <w:rPr>
          <w:rFonts w:ascii="Times New Roman" w:hAnsi="Times New Roman"/>
          <w:b/>
        </w:rPr>
        <w:t> Langdurige zorg en ondersteuning</w:t>
      </w:r>
      <w:r w:rsidRPr="004D4BCF">
        <w:rPr>
          <w:rFonts w:ascii="Times New Roman" w:hAnsi="Times New Roman"/>
        </w:rPr>
        <w:t xml:space="preserve"> worden het verplichtingenbedrag en het uitgavenbedrag </w:t>
      </w:r>
      <w:r w:rsidRPr="004D4BCF">
        <w:rPr>
          <w:rFonts w:ascii="Times New Roman" w:hAnsi="Times New Roman"/>
          <w:b/>
        </w:rPr>
        <w:t>ver</w:t>
      </w:r>
      <w:r>
        <w:rPr>
          <w:rFonts w:ascii="Times New Roman" w:hAnsi="Times New Roman"/>
          <w:b/>
        </w:rPr>
        <w:t>laa</w:t>
      </w:r>
      <w:r w:rsidRPr="004D4BCF">
        <w:rPr>
          <w:rFonts w:ascii="Times New Roman" w:hAnsi="Times New Roman"/>
          <w:b/>
        </w:rPr>
        <w:t>gd</w:t>
      </w:r>
      <w:r>
        <w:rPr>
          <w:rFonts w:ascii="Times New Roman" w:hAnsi="Times New Roman"/>
        </w:rPr>
        <w:t xml:space="preserve"> met</w:t>
      </w:r>
      <w:r w:rsidRPr="004D4BCF">
        <w:rPr>
          <w:rFonts w:ascii="Times New Roman" w:hAnsi="Times New Roman"/>
        </w:rPr>
        <w:t> </w:t>
      </w:r>
      <w:r w:rsidRPr="004D4BCF">
        <w:rPr>
          <w:rFonts w:ascii="Times New Roman" w:hAnsi="Times New Roman"/>
          <w:b/>
        </w:rPr>
        <w:t>€ </w:t>
      </w:r>
      <w:r>
        <w:rPr>
          <w:rFonts w:ascii="Times New Roman" w:hAnsi="Times New Roman"/>
          <w:b/>
        </w:rPr>
        <w:t>1.150</w:t>
      </w:r>
      <w:r w:rsidRPr="004D4BCF">
        <w:rPr>
          <w:rFonts w:ascii="Times New Roman" w:hAnsi="Times New Roman"/>
        </w:rPr>
        <w:t xml:space="preserve"> (x € 1</w:t>
      </w:r>
      <w:r>
        <w:rPr>
          <w:rFonts w:ascii="Times New Roman" w:hAnsi="Times New Roman"/>
        </w:rPr>
        <w:t>.</w:t>
      </w:r>
      <w:r w:rsidRPr="004D4BCF">
        <w:rPr>
          <w:rFonts w:ascii="Times New Roman" w:hAnsi="Times New Roman"/>
        </w:rPr>
        <w:t>000).</w:t>
      </w:r>
    </w:p>
    <w:p w:rsidR="006F245C" w:rsidP="006F245C" w:rsidRDefault="006F245C" w14:paraId="39ABD18C" w14:textId="77777777">
      <w:pPr>
        <w:rPr>
          <w:rFonts w:ascii="Times New Roman" w:hAnsi="Times New Roman"/>
        </w:rPr>
      </w:pPr>
    </w:p>
    <w:p w:rsidR="006F245C" w:rsidP="007039EE" w:rsidRDefault="006F245C" w14:paraId="0F8959F2" w14:textId="34BA97B6">
      <w:pPr>
        <w:rPr>
          <w:rFonts w:ascii="Times New Roman" w:hAnsi="Times New Roman"/>
        </w:rPr>
      </w:pPr>
      <w:r>
        <w:rPr>
          <w:rFonts w:ascii="Times New Roman" w:hAnsi="Times New Roman"/>
        </w:rPr>
        <w:t>II</w:t>
      </w:r>
    </w:p>
    <w:p w:rsidR="006F245C" w:rsidP="00FB349A" w:rsidRDefault="006F245C" w14:paraId="2F4CE543" w14:textId="77777777">
      <w:pPr>
        <w:ind w:firstLine="284"/>
        <w:rPr>
          <w:rFonts w:ascii="Times New Roman" w:hAnsi="Times New Roman"/>
        </w:rPr>
      </w:pPr>
    </w:p>
    <w:p w:rsidRPr="004D4BCF" w:rsidR="00470846" w:rsidP="00FB349A" w:rsidRDefault="00470846" w14:paraId="6656A55B" w14:textId="7FC1536B">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DF2C9C">
        <w:rPr>
          <w:rFonts w:ascii="Times New Roman" w:hAnsi="Times New Roman"/>
          <w:b/>
        </w:rPr>
        <w:t>3</w:t>
      </w:r>
      <w:r w:rsidRPr="00DF2C9C" w:rsidR="00DF2C9C">
        <w:rPr>
          <w:rFonts w:ascii="Times New Roman" w:hAnsi="Times New Roman"/>
          <w:b/>
        </w:rPr>
        <w:t> Langdurige zorg en ondersteuning</w:t>
      </w:r>
      <w:r w:rsidRPr="004D4BCF" w:rsidR="001A2A63">
        <w:rPr>
          <w:rFonts w:ascii="Times New Roman" w:hAnsi="Times New Roman"/>
        </w:rPr>
        <w:t xml:space="preserve">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6F245C">
        <w:rPr>
          <w:rFonts w:ascii="Times New Roman" w:hAnsi="Times New Roman"/>
          <w:b/>
        </w:rPr>
        <w:t>1.150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25128128" w14:textId="77777777">
      <w:pPr>
        <w:rPr>
          <w:rFonts w:ascii="Times New Roman" w:hAnsi="Times New Roman"/>
        </w:rPr>
      </w:pPr>
    </w:p>
    <w:p w:rsidRPr="004D4BCF" w:rsidR="00470846" w:rsidP="00FB349A" w:rsidRDefault="00470846" w14:paraId="51F1A0FD" w14:textId="77777777">
      <w:pPr>
        <w:rPr>
          <w:rFonts w:ascii="Times New Roman" w:hAnsi="Times New Roman"/>
          <w:b/>
        </w:rPr>
      </w:pPr>
      <w:r w:rsidRPr="004D4BCF">
        <w:rPr>
          <w:rFonts w:ascii="Times New Roman" w:hAnsi="Times New Roman"/>
          <w:b/>
        </w:rPr>
        <w:t>Toelichting</w:t>
      </w:r>
    </w:p>
    <w:p w:rsidRPr="00A529B1" w:rsidR="00A529B1" w:rsidP="00A529B1" w:rsidRDefault="006F2A9F" w14:paraId="3F056EF6" w14:textId="63C4E11C">
      <w:pPr>
        <w:pStyle w:val="Normaalweb"/>
        <w:rPr>
          <w:color w:val="000000"/>
          <w:lang w:val="nl-NL"/>
        </w:rPr>
      </w:pPr>
      <w:r w:rsidRPr="006F2A9F">
        <w:rPr>
          <w:color w:val="000000"/>
          <w:lang w:val="nl-NL"/>
        </w:rPr>
        <w:t>In Nederland groeit het aantal mensen met dementie snel en zal dit naar verwachting stijgen van circa 310.000 in 2024 tot circa 390.000 in 2030 en meer dan 500.000 in 2040.</w:t>
      </w:r>
      <w:r>
        <w:rPr>
          <w:color w:val="000000"/>
          <w:lang w:val="nl-NL"/>
        </w:rPr>
        <w:t xml:space="preserve"> </w:t>
      </w:r>
      <w:r w:rsidRPr="00A529B1" w:rsidR="00A529B1">
        <w:rPr>
          <w:color w:val="000000"/>
          <w:lang w:val="nl-NL"/>
        </w:rPr>
        <w:t>De zorgkosten zullen in dezelfde periode sterk toenemen</w:t>
      </w:r>
      <w:r w:rsidRPr="00A529B1" w:rsidR="00A529B1">
        <w:rPr>
          <w:b/>
          <w:bCs/>
          <w:color w:val="000000"/>
          <w:lang w:val="nl-NL"/>
        </w:rPr>
        <w:t>,</w:t>
      </w:r>
      <w:r w:rsidRPr="00A529B1" w:rsidR="00A529B1">
        <w:rPr>
          <w:rStyle w:val="apple-converted-space"/>
          <w:b/>
          <w:bCs/>
          <w:color w:val="000000"/>
          <w:lang w:val="nl-NL"/>
        </w:rPr>
        <w:t> </w:t>
      </w:r>
      <w:r w:rsidRPr="00A529B1" w:rsidR="00A529B1">
        <w:rPr>
          <w:rStyle w:val="Zwaar"/>
          <w:b w:val="0"/>
          <w:bCs w:val="0"/>
          <w:color w:val="000000"/>
          <w:lang w:val="nl-NL"/>
        </w:rPr>
        <w:t>van circa € 6,6 miljard in 2015 tot circa € 15,6 miljard per jaar in 2040</w:t>
      </w:r>
      <w:r w:rsidRPr="00A529B1" w:rsidR="00A529B1">
        <w:rPr>
          <w:b/>
          <w:bCs/>
          <w:color w:val="000000"/>
          <w:lang w:val="nl-NL"/>
        </w:rPr>
        <w:t>.</w:t>
      </w:r>
    </w:p>
    <w:p w:rsidRPr="00A529B1" w:rsidR="00A529B1" w:rsidP="00A529B1" w:rsidRDefault="00A529B1" w14:paraId="58CD81CA" w14:textId="77777777">
      <w:pPr>
        <w:pStyle w:val="Normaalweb"/>
        <w:rPr>
          <w:color w:val="000000"/>
          <w:lang w:val="nl-NL"/>
        </w:rPr>
      </w:pPr>
      <w:r w:rsidRPr="00A529B1">
        <w:rPr>
          <w:color w:val="000000"/>
          <w:lang w:val="nl-NL"/>
        </w:rPr>
        <w:t xml:space="preserve">Tijdige en etiologische diagnostiek is essentieel voor passende behandeling, zorgplanning en inzet van nieuwe </w:t>
      </w:r>
      <w:proofErr w:type="spellStart"/>
      <w:r w:rsidRPr="00A529B1">
        <w:rPr>
          <w:color w:val="000000"/>
          <w:lang w:val="nl-NL"/>
        </w:rPr>
        <w:t>ziektemodificerende</w:t>
      </w:r>
      <w:proofErr w:type="spellEnd"/>
      <w:r w:rsidRPr="00A529B1">
        <w:rPr>
          <w:color w:val="000000"/>
          <w:lang w:val="nl-NL"/>
        </w:rPr>
        <w:t xml:space="preserve"> therapieën. De huidige diagnostiek van neurodegeneratieve </w:t>
      </w:r>
      <w:proofErr w:type="spellStart"/>
      <w:r w:rsidRPr="00A529B1">
        <w:rPr>
          <w:color w:val="000000"/>
          <w:lang w:val="nl-NL"/>
        </w:rPr>
        <w:t>dementieën</w:t>
      </w:r>
      <w:proofErr w:type="spellEnd"/>
      <w:r w:rsidRPr="00A529B1">
        <w:rPr>
          <w:color w:val="000000"/>
          <w:lang w:val="nl-NL"/>
        </w:rPr>
        <w:t xml:space="preserve"> steunt echter nog sterk op invasieve liquoronderzoeken (CSF) en kostbare, schaarse </w:t>
      </w:r>
      <w:proofErr w:type="spellStart"/>
      <w:r w:rsidRPr="00A529B1">
        <w:rPr>
          <w:color w:val="000000"/>
          <w:lang w:val="nl-NL"/>
        </w:rPr>
        <w:t>amyloïd</w:t>
      </w:r>
      <w:proofErr w:type="spellEnd"/>
      <w:r w:rsidRPr="00A529B1">
        <w:rPr>
          <w:color w:val="000000"/>
          <w:lang w:val="nl-NL"/>
        </w:rPr>
        <w:t>-PET-scans. Dit leidt tot wachttijden, capaciteitsdruk en hoge kosten per diagnose.</w:t>
      </w:r>
    </w:p>
    <w:p w:rsidRPr="00A529B1" w:rsidR="00A529B1" w:rsidP="00A529B1" w:rsidRDefault="00A529B1" w14:paraId="5EF8FCBF" w14:textId="77777777">
      <w:pPr>
        <w:pStyle w:val="Normaalweb"/>
        <w:rPr>
          <w:color w:val="000000"/>
          <w:lang w:val="nl-NL"/>
        </w:rPr>
      </w:pPr>
      <w:r w:rsidRPr="00A529B1">
        <w:rPr>
          <w:color w:val="000000"/>
          <w:lang w:val="nl-NL"/>
        </w:rPr>
        <w:t xml:space="preserve">Internationaal en in Nederlandse UMC-centra zijn </w:t>
      </w:r>
      <w:proofErr w:type="spellStart"/>
      <w:r w:rsidRPr="00A529B1">
        <w:rPr>
          <w:color w:val="000000"/>
          <w:lang w:val="nl-NL"/>
        </w:rPr>
        <w:t>bloedgebaseerde</w:t>
      </w:r>
      <w:proofErr w:type="spellEnd"/>
      <w:r w:rsidRPr="00A529B1">
        <w:rPr>
          <w:color w:val="000000"/>
          <w:lang w:val="nl-NL"/>
        </w:rPr>
        <w:t xml:space="preserve"> </w:t>
      </w:r>
      <w:proofErr w:type="spellStart"/>
      <w:r w:rsidRPr="00A529B1">
        <w:rPr>
          <w:color w:val="000000"/>
          <w:lang w:val="nl-NL"/>
        </w:rPr>
        <w:t>pTau</w:t>
      </w:r>
      <w:proofErr w:type="spellEnd"/>
      <w:r w:rsidRPr="00A529B1">
        <w:rPr>
          <w:color w:val="000000"/>
          <w:lang w:val="nl-NL"/>
        </w:rPr>
        <w:t>/</w:t>
      </w:r>
      <w:r>
        <w:rPr>
          <w:color w:val="000000"/>
        </w:rPr>
        <w:t>β</w:t>
      </w:r>
      <w:r w:rsidRPr="00A529B1">
        <w:rPr>
          <w:color w:val="000000"/>
          <w:lang w:val="nl-NL"/>
        </w:rPr>
        <w:t>-</w:t>
      </w:r>
      <w:proofErr w:type="spellStart"/>
      <w:r w:rsidRPr="00A529B1">
        <w:rPr>
          <w:color w:val="000000"/>
          <w:lang w:val="nl-NL"/>
        </w:rPr>
        <w:t>amyloïd-biomarkers</w:t>
      </w:r>
      <w:proofErr w:type="spellEnd"/>
      <w:r w:rsidRPr="00A529B1">
        <w:rPr>
          <w:color w:val="000000"/>
          <w:lang w:val="nl-NL"/>
        </w:rPr>
        <w:t xml:space="preserve"> inmiddels klinisch betrouwbaar gebleken als triage-instrument vóór specialistische diagnostiek, waaronder in onderzoek en implementatiestudies van onder meer het Alzheimercentrum Amsterdam (Amsterdam UMC). Bloedconcentraties van </w:t>
      </w:r>
      <w:proofErr w:type="spellStart"/>
      <w:r w:rsidRPr="00A529B1">
        <w:rPr>
          <w:color w:val="000000"/>
          <w:lang w:val="nl-NL"/>
        </w:rPr>
        <w:t>amyloïd</w:t>
      </w:r>
      <w:proofErr w:type="spellEnd"/>
      <w:r w:rsidRPr="00A529B1">
        <w:rPr>
          <w:color w:val="000000"/>
          <w:lang w:val="nl-NL"/>
        </w:rPr>
        <w:t xml:space="preserve">- en </w:t>
      </w:r>
      <w:proofErr w:type="spellStart"/>
      <w:r w:rsidRPr="00A529B1">
        <w:rPr>
          <w:color w:val="000000"/>
          <w:lang w:val="nl-NL"/>
        </w:rPr>
        <w:t>tau</w:t>
      </w:r>
      <w:proofErr w:type="spellEnd"/>
      <w:r w:rsidRPr="00A529B1">
        <w:rPr>
          <w:color w:val="000000"/>
          <w:lang w:val="nl-NL"/>
        </w:rPr>
        <w:t xml:space="preserve">-eiwitten correleren sterk met CSF-waarden en </w:t>
      </w:r>
      <w:proofErr w:type="spellStart"/>
      <w:r w:rsidRPr="00A529B1">
        <w:rPr>
          <w:color w:val="000000"/>
          <w:lang w:val="nl-NL"/>
        </w:rPr>
        <w:t>amyloïd</w:t>
      </w:r>
      <w:proofErr w:type="spellEnd"/>
      <w:r w:rsidRPr="00A529B1">
        <w:rPr>
          <w:color w:val="000000"/>
          <w:lang w:val="nl-NL"/>
        </w:rPr>
        <w:t xml:space="preserve">-PET-uitslagen en kunnen patiënten met Alzheimerpathologie betrouwbaar identificeren. Inzet van </w:t>
      </w:r>
      <w:proofErr w:type="spellStart"/>
      <w:r w:rsidRPr="00A529B1">
        <w:rPr>
          <w:color w:val="000000"/>
          <w:lang w:val="nl-NL"/>
        </w:rPr>
        <w:t>bloedbiomarkers</w:t>
      </w:r>
      <w:proofErr w:type="spellEnd"/>
      <w:r w:rsidRPr="00A529B1">
        <w:rPr>
          <w:color w:val="000000"/>
          <w:lang w:val="nl-NL"/>
        </w:rPr>
        <w:t xml:space="preserve"> maakt het mogelijk dat alleen </w:t>
      </w:r>
      <w:proofErr w:type="spellStart"/>
      <w:r w:rsidRPr="00A529B1">
        <w:rPr>
          <w:color w:val="000000"/>
          <w:lang w:val="nl-NL"/>
        </w:rPr>
        <w:t>biomarker</w:t>
      </w:r>
      <w:proofErr w:type="spellEnd"/>
      <w:r w:rsidRPr="00A529B1">
        <w:rPr>
          <w:color w:val="000000"/>
          <w:lang w:val="nl-NL"/>
        </w:rPr>
        <w:t>-positieve patiënten aanvullende PET- of CSF-diagnostiek ondergaan. Studies tonen dat hiermee circa 30 % minder PET-scans nodig zijn bij behoud van hoge diagnostische sensitiviteit. Dit leidt tot lagere kosten per diagnose en efficiënter gebruik van schaarse beeldvormingscapaciteit.</w:t>
      </w:r>
    </w:p>
    <w:p w:rsidRPr="00A529B1" w:rsidR="00A529B1" w:rsidP="00A529B1" w:rsidRDefault="00A529B1" w14:paraId="1105077A" w14:textId="77777777">
      <w:pPr>
        <w:pStyle w:val="Normaalweb"/>
        <w:rPr>
          <w:color w:val="000000"/>
          <w:lang w:val="nl-NL"/>
        </w:rPr>
      </w:pPr>
      <w:r w:rsidRPr="00A529B1">
        <w:rPr>
          <w:color w:val="000000"/>
          <w:lang w:val="nl-NL"/>
        </w:rPr>
        <w:lastRenderedPageBreak/>
        <w:t xml:space="preserve">Parallel hieraan ontwikkelen Nederlandse centra minimaal invasieve </w:t>
      </w:r>
      <w:proofErr w:type="spellStart"/>
      <w:r w:rsidRPr="00A529B1">
        <w:rPr>
          <w:color w:val="000000"/>
          <w:lang w:val="nl-NL"/>
        </w:rPr>
        <w:t>vervolgbiomarkers</w:t>
      </w:r>
      <w:proofErr w:type="spellEnd"/>
      <w:r w:rsidRPr="00A529B1">
        <w:rPr>
          <w:color w:val="000000"/>
          <w:lang w:val="nl-NL"/>
        </w:rPr>
        <w:t>, waaronder traanvocht-</w:t>
      </w:r>
      <w:proofErr w:type="spellStart"/>
      <w:r w:rsidRPr="00A529B1">
        <w:rPr>
          <w:color w:val="000000"/>
          <w:lang w:val="nl-NL"/>
        </w:rPr>
        <w:t>biomarkers</w:t>
      </w:r>
      <w:proofErr w:type="spellEnd"/>
      <w:r w:rsidRPr="00A529B1">
        <w:rPr>
          <w:color w:val="000000"/>
          <w:lang w:val="nl-NL"/>
        </w:rPr>
        <w:t xml:space="preserve"> in het Alzheimer Centrum Limburg van het Maastricht UMC+. In de multicentrische </w:t>
      </w:r>
      <w:proofErr w:type="spellStart"/>
      <w:r w:rsidRPr="00A529B1">
        <w:rPr>
          <w:color w:val="000000"/>
          <w:lang w:val="nl-NL"/>
        </w:rPr>
        <w:t>TearAD</w:t>
      </w:r>
      <w:proofErr w:type="spellEnd"/>
      <w:r w:rsidRPr="00A529B1">
        <w:rPr>
          <w:color w:val="000000"/>
          <w:lang w:val="nl-NL"/>
        </w:rPr>
        <w:t xml:space="preserve">-studie (Amsterdam UMC en Maastricht UMC+) worden </w:t>
      </w:r>
      <w:proofErr w:type="spellStart"/>
      <w:r w:rsidRPr="00A529B1">
        <w:rPr>
          <w:color w:val="000000"/>
          <w:lang w:val="nl-NL"/>
        </w:rPr>
        <w:t>amyloïd</w:t>
      </w:r>
      <w:proofErr w:type="spellEnd"/>
      <w:r w:rsidRPr="00A529B1">
        <w:rPr>
          <w:color w:val="000000"/>
          <w:lang w:val="nl-NL"/>
        </w:rPr>
        <w:t xml:space="preserve">- en </w:t>
      </w:r>
      <w:proofErr w:type="spellStart"/>
      <w:r w:rsidRPr="00A529B1">
        <w:rPr>
          <w:color w:val="000000"/>
          <w:lang w:val="nl-NL"/>
        </w:rPr>
        <w:t>tau</w:t>
      </w:r>
      <w:proofErr w:type="spellEnd"/>
      <w:r w:rsidRPr="00A529B1">
        <w:rPr>
          <w:color w:val="000000"/>
          <w:lang w:val="nl-NL"/>
        </w:rPr>
        <w:t>-eiwitten in traanvocht longitudinaal gevalideerd als screeningsinstrument voor neurodegeneratie.</w:t>
      </w:r>
    </w:p>
    <w:p w:rsidRPr="00A529B1" w:rsidR="00A529B1" w:rsidP="00A529B1" w:rsidRDefault="00A529B1" w14:paraId="08FC8FDE" w14:textId="77777777">
      <w:pPr>
        <w:pStyle w:val="Normaalweb"/>
        <w:rPr>
          <w:color w:val="000000"/>
          <w:lang w:val="nl-NL"/>
        </w:rPr>
      </w:pPr>
      <w:r w:rsidRPr="00A529B1">
        <w:rPr>
          <w:color w:val="000000"/>
          <w:lang w:val="nl-NL"/>
        </w:rPr>
        <w:t xml:space="preserve">Ondanks deze klinische rijpheid bestaat in Nederland nog geen landelijk implementatieprogramma met geoormerkt programmabudget voor </w:t>
      </w:r>
      <w:proofErr w:type="spellStart"/>
      <w:r w:rsidRPr="00A529B1">
        <w:rPr>
          <w:color w:val="000000"/>
          <w:lang w:val="nl-NL"/>
        </w:rPr>
        <w:t>bloedgebaseerde</w:t>
      </w:r>
      <w:proofErr w:type="spellEnd"/>
      <w:r w:rsidRPr="00A529B1">
        <w:rPr>
          <w:color w:val="000000"/>
          <w:lang w:val="nl-NL"/>
        </w:rPr>
        <w:t xml:space="preserve"> dementiediagnostiek. Innovaties in de zorg kennen doorgaans een langdurige overgangsfase tussen klinische validatie en structurele bekostiging. Het huidige Nederlandse innovatiestelsel voorziet wel in experimenten en tijdelijke bekostiging via de </w:t>
      </w:r>
      <w:proofErr w:type="spellStart"/>
      <w:r w:rsidRPr="00A529B1">
        <w:rPr>
          <w:color w:val="000000"/>
          <w:lang w:val="nl-NL"/>
        </w:rPr>
        <w:t>NZa</w:t>
      </w:r>
      <w:proofErr w:type="spellEnd"/>
      <w:r w:rsidRPr="00A529B1">
        <w:rPr>
          <w:color w:val="000000"/>
          <w:lang w:val="nl-NL"/>
        </w:rPr>
        <w:t xml:space="preserve">-innovatieregeling en </w:t>
      </w:r>
      <w:proofErr w:type="spellStart"/>
      <w:r w:rsidRPr="00A529B1">
        <w:rPr>
          <w:color w:val="000000"/>
          <w:lang w:val="nl-NL"/>
        </w:rPr>
        <w:t>ZonMw</w:t>
      </w:r>
      <w:proofErr w:type="spellEnd"/>
      <w:r w:rsidRPr="00A529B1">
        <w:rPr>
          <w:color w:val="000000"/>
          <w:lang w:val="nl-NL"/>
        </w:rPr>
        <w:t>-implementatiesubsidies, maar kent geen nationaal implementatieprogramma met geoormerkte middelen dat bewezen diagnostiek versneld landelijk opschaalt.</w:t>
      </w:r>
    </w:p>
    <w:p w:rsidRPr="00A529B1" w:rsidR="00A529B1" w:rsidP="00A529B1" w:rsidRDefault="00A529B1" w14:paraId="5C27E222" w14:textId="77777777">
      <w:pPr>
        <w:pStyle w:val="Normaalweb"/>
        <w:rPr>
          <w:color w:val="000000"/>
          <w:lang w:val="nl-NL"/>
        </w:rPr>
      </w:pPr>
      <w:r w:rsidRPr="00A529B1">
        <w:rPr>
          <w:color w:val="000000"/>
          <w:lang w:val="nl-NL"/>
        </w:rPr>
        <w:t xml:space="preserve">Daardoor blijven bewezen diagnostische innovaties vaak beperkt tot enkele academische centra en duurt landelijke invoering jaren. Dit vertraagt passende zorg en verhindert dat besparingen door efficiëntere diagnostiek daadwerkelijk in het zorgsysteem worden gerealiseerd en </w:t>
      </w:r>
      <w:proofErr w:type="spellStart"/>
      <w:r w:rsidRPr="00A529B1">
        <w:rPr>
          <w:color w:val="000000"/>
          <w:lang w:val="nl-NL"/>
        </w:rPr>
        <w:t>hergeïnvesteerd</w:t>
      </w:r>
      <w:proofErr w:type="spellEnd"/>
      <w:r w:rsidRPr="00A529B1">
        <w:rPr>
          <w:color w:val="000000"/>
          <w:lang w:val="nl-NL"/>
        </w:rPr>
        <w:t>.</w:t>
      </w:r>
    </w:p>
    <w:p w:rsidR="00A529B1" w:rsidP="00A529B1" w:rsidRDefault="00A529B1" w14:paraId="4DC6CB13" w14:textId="36AA3B77">
      <w:pPr>
        <w:rPr>
          <w:rFonts w:ascii="Times New Roman" w:hAnsi="Times New Roman"/>
        </w:rPr>
      </w:pPr>
      <w:r w:rsidRPr="00A529B1">
        <w:rPr>
          <w:rFonts w:ascii="Times New Roman" w:hAnsi="Times New Roman"/>
        </w:rPr>
        <w:t xml:space="preserve">Met dit amendement wordt binnen de VWS-begroting (hoofdstuk XVI), artikel 3 (Langdurige zorg en ondersteuning), een bedrag oplopend tot € 2,3 </w:t>
      </w:r>
      <w:r w:rsidRPr="00A529B1" w:rsidR="00152E10">
        <w:rPr>
          <w:rFonts w:ascii="Times New Roman" w:hAnsi="Times New Roman"/>
        </w:rPr>
        <w:t>m</w:t>
      </w:r>
      <w:r w:rsidR="00152E10">
        <w:rPr>
          <w:rFonts w:ascii="Times New Roman" w:hAnsi="Times New Roman"/>
        </w:rPr>
        <w:t>iljoen</w:t>
      </w:r>
      <w:r w:rsidRPr="00A529B1" w:rsidR="00152E10">
        <w:rPr>
          <w:rFonts w:ascii="Times New Roman" w:hAnsi="Times New Roman"/>
        </w:rPr>
        <w:t xml:space="preserve"> </w:t>
      </w:r>
      <w:r w:rsidRPr="00A529B1">
        <w:rPr>
          <w:rFonts w:ascii="Times New Roman" w:hAnsi="Times New Roman"/>
        </w:rPr>
        <w:t xml:space="preserve">over een periode van twee jaar geoormerkt voor een nationaal versnellingsprogramma </w:t>
      </w:r>
      <w:r w:rsidRPr="00315F91">
        <w:rPr>
          <w:rFonts w:ascii="Times New Roman" w:hAnsi="Times New Roman"/>
          <w:b/>
          <w:bCs/>
        </w:rPr>
        <w:t>Minimaal Invasieve Dementiediagnostiek (MIDD)</w:t>
      </w:r>
      <w:r w:rsidRPr="00A529B1">
        <w:rPr>
          <w:rFonts w:ascii="Times New Roman" w:hAnsi="Times New Roman"/>
        </w:rPr>
        <w:t>. Het betreft een herbestemming binnen het bestaande artikelbudget en geen verhoging van de totale VWS-uitgaven. Het programma richt zich op:</w:t>
      </w:r>
    </w:p>
    <w:p w:rsidRPr="00E27ED2" w:rsidR="00E27ED2" w:rsidP="00E27ED2" w:rsidRDefault="00E27ED2" w14:paraId="26EBFFFB" w14:textId="49F16BF1">
      <w:pPr>
        <w:numPr>
          <w:ilvl w:val="0"/>
          <w:numId w:val="1"/>
        </w:numPr>
        <w:rPr>
          <w:rFonts w:ascii="Times New Roman" w:hAnsi="Times New Roman"/>
        </w:rPr>
      </w:pPr>
      <w:r w:rsidRPr="00E27ED2">
        <w:rPr>
          <w:rFonts w:ascii="Times New Roman" w:hAnsi="Times New Roman"/>
        </w:rPr>
        <w:t xml:space="preserve">harmonisatie en validatie van </w:t>
      </w:r>
      <w:proofErr w:type="spellStart"/>
      <w:r w:rsidRPr="00E27ED2">
        <w:rPr>
          <w:rFonts w:ascii="Times New Roman" w:hAnsi="Times New Roman"/>
        </w:rPr>
        <w:t>bloedbiomarker-assays</w:t>
      </w:r>
      <w:proofErr w:type="spellEnd"/>
      <w:r w:rsidRPr="00E27ED2">
        <w:rPr>
          <w:rFonts w:ascii="Times New Roman" w:hAnsi="Times New Roman"/>
        </w:rPr>
        <w:t xml:space="preserve"> tussen UMC-laboratoria;</w:t>
      </w:r>
    </w:p>
    <w:p w:rsidRPr="00E27ED2" w:rsidR="00E27ED2" w:rsidP="00E27ED2" w:rsidRDefault="00E27ED2" w14:paraId="46C7F7C8" w14:textId="77777777">
      <w:pPr>
        <w:numPr>
          <w:ilvl w:val="0"/>
          <w:numId w:val="1"/>
        </w:numPr>
        <w:rPr>
          <w:rFonts w:ascii="Times New Roman" w:hAnsi="Times New Roman"/>
        </w:rPr>
      </w:pPr>
      <w:r w:rsidRPr="00E27ED2">
        <w:rPr>
          <w:rFonts w:ascii="Times New Roman" w:hAnsi="Times New Roman"/>
        </w:rPr>
        <w:t>implementatie van triage-zorgpaden in geheugenpoliklinieken;</w:t>
      </w:r>
    </w:p>
    <w:p w:rsidRPr="00E27ED2" w:rsidR="00E27ED2" w:rsidP="00E27ED2" w:rsidRDefault="00E27ED2" w14:paraId="007984F5" w14:textId="77777777">
      <w:pPr>
        <w:numPr>
          <w:ilvl w:val="0"/>
          <w:numId w:val="1"/>
        </w:numPr>
        <w:rPr>
          <w:rFonts w:ascii="Times New Roman" w:hAnsi="Times New Roman"/>
        </w:rPr>
      </w:pPr>
      <w:r w:rsidRPr="00E27ED2">
        <w:rPr>
          <w:rFonts w:ascii="Times New Roman" w:hAnsi="Times New Roman"/>
        </w:rPr>
        <w:t>scholing van clinici en laboratoria;</w:t>
      </w:r>
    </w:p>
    <w:p w:rsidRPr="00E27ED2" w:rsidR="00E27ED2" w:rsidP="00E27ED2" w:rsidRDefault="00E27ED2" w14:paraId="50EE618D" w14:textId="77777777">
      <w:pPr>
        <w:numPr>
          <w:ilvl w:val="0"/>
          <w:numId w:val="1"/>
        </w:numPr>
        <w:rPr>
          <w:rFonts w:ascii="Times New Roman" w:hAnsi="Times New Roman"/>
        </w:rPr>
      </w:pPr>
      <w:r w:rsidRPr="00E27ED2">
        <w:rPr>
          <w:rFonts w:ascii="Times New Roman" w:hAnsi="Times New Roman"/>
        </w:rPr>
        <w:t xml:space="preserve">opzet van een landelijke </w:t>
      </w:r>
      <w:proofErr w:type="spellStart"/>
      <w:r w:rsidRPr="00E27ED2">
        <w:rPr>
          <w:rFonts w:ascii="Times New Roman" w:hAnsi="Times New Roman"/>
        </w:rPr>
        <w:t>biomarkerregistratie</w:t>
      </w:r>
      <w:proofErr w:type="spellEnd"/>
      <w:r w:rsidRPr="00E27ED2">
        <w:rPr>
          <w:rFonts w:ascii="Times New Roman" w:hAnsi="Times New Roman"/>
        </w:rPr>
        <w:t xml:space="preserve"> en uitkomstmonitoring;</w:t>
      </w:r>
    </w:p>
    <w:p w:rsidRPr="00E27ED2" w:rsidR="00E27ED2" w:rsidP="00E27ED2" w:rsidRDefault="00E27ED2" w14:paraId="6421410D" w14:textId="77777777">
      <w:pPr>
        <w:numPr>
          <w:ilvl w:val="0"/>
          <w:numId w:val="1"/>
        </w:numPr>
        <w:rPr>
          <w:rFonts w:ascii="Times New Roman" w:hAnsi="Times New Roman"/>
        </w:rPr>
      </w:pPr>
      <w:r w:rsidRPr="00E27ED2">
        <w:rPr>
          <w:rFonts w:ascii="Times New Roman" w:hAnsi="Times New Roman"/>
        </w:rPr>
        <w:t>health-economische evaluatie en opschalingsvoorwaarden;</w:t>
      </w:r>
    </w:p>
    <w:p w:rsidR="00E27ED2" w:rsidP="00E27ED2" w:rsidRDefault="00E27ED2" w14:paraId="6AC98B6D" w14:textId="77777777">
      <w:pPr>
        <w:numPr>
          <w:ilvl w:val="0"/>
          <w:numId w:val="1"/>
        </w:numPr>
        <w:rPr>
          <w:rFonts w:ascii="Times New Roman" w:hAnsi="Times New Roman"/>
        </w:rPr>
      </w:pPr>
      <w:r w:rsidRPr="00E27ED2">
        <w:rPr>
          <w:rFonts w:ascii="Times New Roman" w:hAnsi="Times New Roman"/>
        </w:rPr>
        <w:t xml:space="preserve">voorbereiding van uitbreiding naar </w:t>
      </w:r>
      <w:proofErr w:type="spellStart"/>
      <w:r w:rsidRPr="00E27ED2">
        <w:rPr>
          <w:rFonts w:ascii="Times New Roman" w:hAnsi="Times New Roman"/>
        </w:rPr>
        <w:t>Lewy</w:t>
      </w:r>
      <w:proofErr w:type="spellEnd"/>
      <w:r w:rsidRPr="00E27ED2">
        <w:rPr>
          <w:rFonts w:ascii="Times New Roman" w:hAnsi="Times New Roman"/>
        </w:rPr>
        <w:t xml:space="preserve"> body- en </w:t>
      </w:r>
      <w:proofErr w:type="spellStart"/>
      <w:r w:rsidRPr="00E27ED2">
        <w:rPr>
          <w:rFonts w:ascii="Times New Roman" w:hAnsi="Times New Roman"/>
        </w:rPr>
        <w:t>frontotemporale</w:t>
      </w:r>
      <w:proofErr w:type="spellEnd"/>
      <w:r w:rsidRPr="00E27ED2">
        <w:rPr>
          <w:rFonts w:ascii="Times New Roman" w:hAnsi="Times New Roman"/>
        </w:rPr>
        <w:t xml:space="preserve"> dementie en nog minder invasieve </w:t>
      </w:r>
      <w:proofErr w:type="spellStart"/>
      <w:r w:rsidRPr="00E27ED2">
        <w:rPr>
          <w:rFonts w:ascii="Times New Roman" w:hAnsi="Times New Roman"/>
        </w:rPr>
        <w:t>biomarkers</w:t>
      </w:r>
      <w:proofErr w:type="spellEnd"/>
      <w:r w:rsidRPr="00E27ED2">
        <w:rPr>
          <w:rFonts w:ascii="Times New Roman" w:hAnsi="Times New Roman"/>
        </w:rPr>
        <w:t xml:space="preserve"> (zoals traanvocht en speeksel), mede gebaseerd op lopende Nederlandse UMC-onderzoekslijnen (o.a. Amsterdam UMC en Maastricht UMC+).</w:t>
      </w:r>
    </w:p>
    <w:p w:rsidRPr="00E27ED2" w:rsidR="00E27ED2" w:rsidP="00E27ED2" w:rsidRDefault="00E27ED2" w14:paraId="68B084D5" w14:textId="77777777">
      <w:pPr>
        <w:ind w:left="808"/>
        <w:rPr>
          <w:rFonts w:ascii="Times New Roman" w:hAnsi="Times New Roman"/>
        </w:rPr>
      </w:pPr>
    </w:p>
    <w:p w:rsidR="00E27ED2" w:rsidP="00E27ED2" w:rsidRDefault="00A529B1" w14:paraId="259DB404" w14:textId="3BB806FE">
      <w:pPr>
        <w:rPr>
          <w:rFonts w:ascii="Times New Roman" w:hAnsi="Times New Roman"/>
        </w:rPr>
      </w:pPr>
      <w:r w:rsidRPr="00A529B1">
        <w:rPr>
          <w:rFonts w:ascii="Times New Roman" w:hAnsi="Times New Roman"/>
        </w:rPr>
        <w:t>Het geoormerkte programmabudget betreft een tijdelijke implementatie-impuls binnen artikel 3 die oploopt tot € 2,3 mi</w:t>
      </w:r>
      <w:r w:rsidR="00152E10">
        <w:rPr>
          <w:rFonts w:ascii="Times New Roman" w:hAnsi="Times New Roman"/>
        </w:rPr>
        <w:t>ljoen</w:t>
      </w:r>
      <w:r w:rsidRPr="00A529B1">
        <w:rPr>
          <w:rFonts w:ascii="Times New Roman" w:hAnsi="Times New Roman"/>
        </w:rPr>
        <w:t xml:space="preserve"> in twee jaar. Na evaluatie van de kosten- en capaciteitswinst in de klinische praktijk wordt bezien of en in welke mate structurele bekostiging doelmatig kan plaatsvinden binnen bestaande </w:t>
      </w:r>
      <w:proofErr w:type="spellStart"/>
      <w:r w:rsidRPr="00A529B1">
        <w:rPr>
          <w:rFonts w:ascii="Times New Roman" w:hAnsi="Times New Roman"/>
        </w:rPr>
        <w:t>NZa</w:t>
      </w:r>
      <w:proofErr w:type="spellEnd"/>
      <w:r w:rsidRPr="00A529B1">
        <w:rPr>
          <w:rFonts w:ascii="Times New Roman" w:hAnsi="Times New Roman"/>
        </w:rPr>
        <w:t xml:space="preserve">- en verzekeringsmechanismen. Indien </w:t>
      </w:r>
      <w:proofErr w:type="spellStart"/>
      <w:r w:rsidRPr="00A529B1">
        <w:rPr>
          <w:rFonts w:ascii="Times New Roman" w:hAnsi="Times New Roman"/>
        </w:rPr>
        <w:t>biomarker</w:t>
      </w:r>
      <w:proofErr w:type="spellEnd"/>
      <w:r w:rsidRPr="00A529B1">
        <w:rPr>
          <w:rFonts w:ascii="Times New Roman" w:hAnsi="Times New Roman"/>
        </w:rPr>
        <w:t>-triage aantoonbare besparingen oplevert, wordt beoogd deze middelen deels te benutten voor verdere landelijke implementatie.</w:t>
      </w:r>
    </w:p>
    <w:p w:rsidRPr="00E27ED2" w:rsidR="00A529B1" w:rsidP="00E27ED2" w:rsidRDefault="00A529B1" w14:paraId="29538AAC" w14:textId="77777777">
      <w:pPr>
        <w:rPr>
          <w:rFonts w:ascii="Times New Roman" w:hAnsi="Times New Roman"/>
        </w:rPr>
      </w:pPr>
    </w:p>
    <w:p w:rsidR="00A529B1" w:rsidP="00A529B1" w:rsidRDefault="00A529B1" w14:paraId="3F2DA3DC" w14:textId="77777777">
      <w:pPr>
        <w:rPr>
          <w:rFonts w:ascii="Times New Roman" w:hAnsi="Times New Roman"/>
        </w:rPr>
      </w:pPr>
      <w:r w:rsidRPr="00A529B1">
        <w:rPr>
          <w:rFonts w:ascii="Times New Roman" w:hAnsi="Times New Roman"/>
        </w:rPr>
        <w:t xml:space="preserve">Versnelde invoering van </w:t>
      </w:r>
      <w:proofErr w:type="spellStart"/>
      <w:r w:rsidRPr="00A529B1">
        <w:rPr>
          <w:rFonts w:ascii="Times New Roman" w:hAnsi="Times New Roman"/>
        </w:rPr>
        <w:t>bloedbiomarker</w:t>
      </w:r>
      <w:proofErr w:type="spellEnd"/>
      <w:r w:rsidRPr="00A529B1">
        <w:rPr>
          <w:rFonts w:ascii="Times New Roman" w:hAnsi="Times New Roman"/>
        </w:rPr>
        <w:t xml:space="preserve">-triage zal naar verwachting leiden tot substantiële vermindering van dure </w:t>
      </w:r>
      <w:proofErr w:type="spellStart"/>
      <w:r w:rsidRPr="00A529B1">
        <w:rPr>
          <w:rFonts w:ascii="Times New Roman" w:hAnsi="Times New Roman"/>
        </w:rPr>
        <w:t>amyloïd</w:t>
      </w:r>
      <w:proofErr w:type="spellEnd"/>
      <w:r w:rsidRPr="00A529B1">
        <w:rPr>
          <w:rFonts w:ascii="Times New Roman" w:hAnsi="Times New Roman"/>
        </w:rPr>
        <w:t>-PET-diagnostiek en efficiënter gebruik van specialistische capaciteit. Hierdoor kunnen zorgkosten worden vermeden en kan structurele bekostiging van de diagnostiek worden gerealiseerd binnen de reguliere zorgfinanciering. Het programma fungeert daarmee als katalysator naar doelmatige, minder invasieve en landelijk toegankelijke dementiediagnostiek.</w:t>
      </w:r>
    </w:p>
    <w:p w:rsidRPr="00A529B1" w:rsidR="00A529B1" w:rsidP="00A529B1" w:rsidRDefault="00A529B1" w14:paraId="4530DEAF" w14:textId="77777777">
      <w:pPr>
        <w:rPr>
          <w:rFonts w:ascii="Times New Roman" w:hAnsi="Times New Roman"/>
        </w:rPr>
      </w:pPr>
    </w:p>
    <w:p w:rsidR="00A529B1" w:rsidP="00A529B1" w:rsidRDefault="00A529B1" w14:paraId="4D9BB23B" w14:textId="035A64C1">
      <w:pPr>
        <w:rPr>
          <w:rFonts w:ascii="Times New Roman" w:hAnsi="Times New Roman"/>
        </w:rPr>
      </w:pPr>
      <w:r w:rsidRPr="00A529B1">
        <w:rPr>
          <w:rFonts w:ascii="Times New Roman" w:hAnsi="Times New Roman"/>
        </w:rPr>
        <w:t>Met deze gerichte oormerking binnen artikel 3 wordt de implementatiekloof tussen klinisch bewezen diagnostiek en landelijke zorgpraktijk overbrugd en wordt tijdige dementiediagnostiek voor patiënten in heel Nederland versneld beschikbaar.</w:t>
      </w:r>
    </w:p>
    <w:p w:rsidRPr="008C2D85" w:rsidR="00A529B1" w:rsidP="00A529B1" w:rsidRDefault="00A529B1" w14:paraId="5CD2BC7A" w14:textId="77777777">
      <w:pPr>
        <w:rPr>
          <w:rFonts w:ascii="Times New Roman" w:hAnsi="Times New Roman"/>
        </w:rPr>
      </w:pPr>
    </w:p>
    <w:p w:rsidR="001A2A63" w:rsidP="00FB349A" w:rsidRDefault="00E27ED2" w14:paraId="7F1DC5E3" w14:textId="0C6827EA">
      <w:pPr>
        <w:rPr>
          <w:rFonts w:ascii="Times New Roman" w:hAnsi="Times New Roman"/>
        </w:rPr>
      </w:pPr>
      <w:r>
        <w:rPr>
          <w:rFonts w:ascii="Times New Roman" w:hAnsi="Times New Roman"/>
        </w:rPr>
        <w:t>Claassen</w:t>
      </w:r>
    </w:p>
    <w:p w:rsidRPr="008C2D85" w:rsidR="00521E8C" w:rsidP="00FB349A" w:rsidRDefault="00521E8C" w14:paraId="67C74F9A" w14:textId="63301852">
      <w:pPr>
        <w:rPr>
          <w:rFonts w:ascii="Times New Roman" w:hAnsi="Times New Roman"/>
        </w:rPr>
      </w:pPr>
      <w:r>
        <w:rPr>
          <w:rFonts w:ascii="Times New Roman" w:hAnsi="Times New Roman"/>
        </w:rPr>
        <w:t xml:space="preserve">Diederik </w:t>
      </w:r>
      <w:r w:rsidR="00EB75DE">
        <w:rPr>
          <w:rFonts w:ascii="Times New Roman" w:hAnsi="Times New Roman"/>
        </w:rPr>
        <w:t>van Dijk</w:t>
      </w:r>
    </w:p>
    <w:sectPr w:rsidRPr="008C2D85" w:rsidR="00521E8C"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4AAE4" w14:textId="77777777" w:rsidR="001E435D" w:rsidRDefault="001E435D">
      <w:pPr>
        <w:spacing w:line="20" w:lineRule="exact"/>
      </w:pPr>
    </w:p>
  </w:endnote>
  <w:endnote w:type="continuationSeparator" w:id="0">
    <w:p w14:paraId="3C0AFF4B" w14:textId="77777777" w:rsidR="001E435D" w:rsidRDefault="001E435D">
      <w:pPr>
        <w:pStyle w:val="Amendement"/>
      </w:pPr>
      <w:r>
        <w:rPr>
          <w:b w:val="0"/>
        </w:rPr>
        <w:t xml:space="preserve"> </w:t>
      </w:r>
    </w:p>
  </w:endnote>
  <w:endnote w:type="continuationNotice" w:id="1">
    <w:p w14:paraId="0895E163" w14:textId="77777777" w:rsidR="001E435D" w:rsidRDefault="001E43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709F9" w14:textId="77777777" w:rsidR="001E435D" w:rsidRDefault="001E435D">
      <w:pPr>
        <w:pStyle w:val="Amendement"/>
      </w:pPr>
      <w:r>
        <w:rPr>
          <w:b w:val="0"/>
        </w:rPr>
        <w:separator/>
      </w:r>
    </w:p>
  </w:footnote>
  <w:footnote w:type="continuationSeparator" w:id="0">
    <w:p w14:paraId="7A8E43C5" w14:textId="77777777" w:rsidR="001E435D" w:rsidRDefault="001E435D">
      <w:r>
        <w:continuationSeparator/>
      </w:r>
    </w:p>
  </w:footnote>
  <w:footnote w:id="1">
    <w:p w14:paraId="26082EA1" w14:textId="75A1B901" w:rsidR="00DA71EA" w:rsidRDefault="00DA71EA">
      <w:pPr>
        <w:pStyle w:val="Voetnoottekst"/>
      </w:pPr>
      <w:r>
        <w:rPr>
          <w:rStyle w:val="Voetnootmarkering"/>
        </w:rPr>
        <w:footnoteRef/>
      </w:r>
      <w:r>
        <w:t xml:space="preserve"> </w:t>
      </w:r>
      <w:r w:rsidRPr="009F33B2">
        <w:rPr>
          <w:rFonts w:ascii="Times New Roman" w:hAnsi="Times New Roman"/>
          <w:sz w:val="20"/>
        </w:rPr>
        <w:t>Vervanging in verband met een wijziging in de ondertekening.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C4055"/>
    <w:multiLevelType w:val="hybridMultilevel"/>
    <w:tmpl w:val="1EBC8D9E"/>
    <w:lvl w:ilvl="0" w:tplc="7F5C7E3A">
      <w:numFmt w:val="bullet"/>
      <w:lvlText w:val="–"/>
      <w:lvlJc w:val="left"/>
      <w:pPr>
        <w:ind w:left="808" w:hanging="360"/>
      </w:pPr>
      <w:rPr>
        <w:rFonts w:ascii="Arial MT" w:eastAsia="Arial MT" w:hAnsi="Arial MT" w:cs="Arial MT" w:hint="default"/>
        <w:b w:val="0"/>
        <w:bCs w:val="0"/>
        <w:i w:val="0"/>
        <w:iCs w:val="0"/>
        <w:spacing w:val="0"/>
        <w:w w:val="100"/>
        <w:sz w:val="21"/>
        <w:szCs w:val="21"/>
        <w:lang w:val="nl-NL" w:eastAsia="en-US" w:bidi="ar-SA"/>
      </w:rPr>
    </w:lvl>
    <w:lvl w:ilvl="1" w:tplc="FE1C42A4">
      <w:numFmt w:val="bullet"/>
      <w:lvlText w:val="•"/>
      <w:lvlJc w:val="left"/>
      <w:pPr>
        <w:ind w:left="1711" w:hanging="360"/>
      </w:pPr>
      <w:rPr>
        <w:lang w:val="nl-NL" w:eastAsia="en-US" w:bidi="ar-SA"/>
      </w:rPr>
    </w:lvl>
    <w:lvl w:ilvl="2" w:tplc="0D9EABB2">
      <w:numFmt w:val="bullet"/>
      <w:lvlText w:val="•"/>
      <w:lvlJc w:val="left"/>
      <w:pPr>
        <w:ind w:left="2623" w:hanging="360"/>
      </w:pPr>
      <w:rPr>
        <w:lang w:val="nl-NL" w:eastAsia="en-US" w:bidi="ar-SA"/>
      </w:rPr>
    </w:lvl>
    <w:lvl w:ilvl="3" w:tplc="4ABEE08A">
      <w:numFmt w:val="bullet"/>
      <w:lvlText w:val="•"/>
      <w:lvlJc w:val="left"/>
      <w:pPr>
        <w:ind w:left="3534" w:hanging="360"/>
      </w:pPr>
      <w:rPr>
        <w:lang w:val="nl-NL" w:eastAsia="en-US" w:bidi="ar-SA"/>
      </w:rPr>
    </w:lvl>
    <w:lvl w:ilvl="4" w:tplc="BB74D8D4">
      <w:numFmt w:val="bullet"/>
      <w:lvlText w:val="•"/>
      <w:lvlJc w:val="left"/>
      <w:pPr>
        <w:ind w:left="4446" w:hanging="360"/>
      </w:pPr>
      <w:rPr>
        <w:lang w:val="nl-NL" w:eastAsia="en-US" w:bidi="ar-SA"/>
      </w:rPr>
    </w:lvl>
    <w:lvl w:ilvl="5" w:tplc="C6AC6A3E">
      <w:numFmt w:val="bullet"/>
      <w:lvlText w:val="•"/>
      <w:lvlJc w:val="left"/>
      <w:pPr>
        <w:ind w:left="5357" w:hanging="360"/>
      </w:pPr>
      <w:rPr>
        <w:lang w:val="nl-NL" w:eastAsia="en-US" w:bidi="ar-SA"/>
      </w:rPr>
    </w:lvl>
    <w:lvl w:ilvl="6" w:tplc="69F2C74C">
      <w:numFmt w:val="bullet"/>
      <w:lvlText w:val="•"/>
      <w:lvlJc w:val="left"/>
      <w:pPr>
        <w:ind w:left="6269" w:hanging="360"/>
      </w:pPr>
      <w:rPr>
        <w:lang w:val="nl-NL" w:eastAsia="en-US" w:bidi="ar-SA"/>
      </w:rPr>
    </w:lvl>
    <w:lvl w:ilvl="7" w:tplc="34C6DF56">
      <w:numFmt w:val="bullet"/>
      <w:lvlText w:val="•"/>
      <w:lvlJc w:val="left"/>
      <w:pPr>
        <w:ind w:left="7180" w:hanging="360"/>
      </w:pPr>
      <w:rPr>
        <w:lang w:val="nl-NL" w:eastAsia="en-US" w:bidi="ar-SA"/>
      </w:rPr>
    </w:lvl>
    <w:lvl w:ilvl="8" w:tplc="892A9FCE">
      <w:numFmt w:val="bullet"/>
      <w:lvlText w:val="•"/>
      <w:lvlJc w:val="left"/>
      <w:pPr>
        <w:ind w:left="8092" w:hanging="360"/>
      </w:pPr>
      <w:rPr>
        <w:lang w:val="nl-NL" w:eastAsia="en-US" w:bidi="ar-SA"/>
      </w:rPr>
    </w:lvl>
  </w:abstractNum>
  <w:num w:numId="1" w16cid:durableId="1700818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ED2"/>
    <w:rsid w:val="0003016F"/>
    <w:rsid w:val="00052244"/>
    <w:rsid w:val="00090F34"/>
    <w:rsid w:val="000C6F39"/>
    <w:rsid w:val="000F1248"/>
    <w:rsid w:val="0011770C"/>
    <w:rsid w:val="00120827"/>
    <w:rsid w:val="00142E8F"/>
    <w:rsid w:val="00146E70"/>
    <w:rsid w:val="00152E10"/>
    <w:rsid w:val="00173380"/>
    <w:rsid w:val="001A2A63"/>
    <w:rsid w:val="001A5AFF"/>
    <w:rsid w:val="001A6B5A"/>
    <w:rsid w:val="001A73D3"/>
    <w:rsid w:val="001C562D"/>
    <w:rsid w:val="001E2226"/>
    <w:rsid w:val="001E435D"/>
    <w:rsid w:val="001F7334"/>
    <w:rsid w:val="002569BB"/>
    <w:rsid w:val="002B55FD"/>
    <w:rsid w:val="002D4F8B"/>
    <w:rsid w:val="003050FF"/>
    <w:rsid w:val="00315F91"/>
    <w:rsid w:val="00344BD0"/>
    <w:rsid w:val="003D2218"/>
    <w:rsid w:val="003D4FB9"/>
    <w:rsid w:val="003E5927"/>
    <w:rsid w:val="00417365"/>
    <w:rsid w:val="00470846"/>
    <w:rsid w:val="0047650D"/>
    <w:rsid w:val="004B2AE2"/>
    <w:rsid w:val="004C2A57"/>
    <w:rsid w:val="004D4BCF"/>
    <w:rsid w:val="00521E8C"/>
    <w:rsid w:val="005C554B"/>
    <w:rsid w:val="005E1551"/>
    <w:rsid w:val="005E482A"/>
    <w:rsid w:val="00611DEF"/>
    <w:rsid w:val="00646211"/>
    <w:rsid w:val="006F245C"/>
    <w:rsid w:val="006F2A9F"/>
    <w:rsid w:val="007039EE"/>
    <w:rsid w:val="00736284"/>
    <w:rsid w:val="00741EB2"/>
    <w:rsid w:val="007610F7"/>
    <w:rsid w:val="007958E0"/>
    <w:rsid w:val="00833C90"/>
    <w:rsid w:val="0084015E"/>
    <w:rsid w:val="008467BE"/>
    <w:rsid w:val="00854DAE"/>
    <w:rsid w:val="00867688"/>
    <w:rsid w:val="008819B7"/>
    <w:rsid w:val="008C2D85"/>
    <w:rsid w:val="009240EB"/>
    <w:rsid w:val="00926C70"/>
    <w:rsid w:val="009347C2"/>
    <w:rsid w:val="009717DD"/>
    <w:rsid w:val="009E6185"/>
    <w:rsid w:val="00A1221C"/>
    <w:rsid w:val="00A529B1"/>
    <w:rsid w:val="00A83919"/>
    <w:rsid w:val="00B24FC7"/>
    <w:rsid w:val="00B37F45"/>
    <w:rsid w:val="00B6508A"/>
    <w:rsid w:val="00B75C9E"/>
    <w:rsid w:val="00BD6436"/>
    <w:rsid w:val="00BE1B3C"/>
    <w:rsid w:val="00C26FAB"/>
    <w:rsid w:val="00C370AE"/>
    <w:rsid w:val="00C5415C"/>
    <w:rsid w:val="00C74FE3"/>
    <w:rsid w:val="00C850D6"/>
    <w:rsid w:val="00C96FBA"/>
    <w:rsid w:val="00CC0433"/>
    <w:rsid w:val="00D16B51"/>
    <w:rsid w:val="00D43ADE"/>
    <w:rsid w:val="00D733D3"/>
    <w:rsid w:val="00D818D9"/>
    <w:rsid w:val="00D961CF"/>
    <w:rsid w:val="00DA71EA"/>
    <w:rsid w:val="00DB5D3B"/>
    <w:rsid w:val="00DD08D8"/>
    <w:rsid w:val="00DF2C9C"/>
    <w:rsid w:val="00E27ED2"/>
    <w:rsid w:val="00E47054"/>
    <w:rsid w:val="00E96167"/>
    <w:rsid w:val="00EB75DE"/>
    <w:rsid w:val="00EE0F3A"/>
    <w:rsid w:val="00F06146"/>
    <w:rsid w:val="00F2239C"/>
    <w:rsid w:val="00F37F6D"/>
    <w:rsid w:val="00F410B4"/>
    <w:rsid w:val="00F63B1C"/>
    <w:rsid w:val="00F8109A"/>
    <w:rsid w:val="00F9022B"/>
    <w:rsid w:val="00FA10B5"/>
    <w:rsid w:val="00FB349A"/>
    <w:rsid w:val="00FD6C76"/>
    <w:rsid w:val="00FE2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3EB6D"/>
  <w15:docId w15:val="{AFDC0432-2F1E-4189-8E27-59C4D105D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basedOn w:val="Standaardalinea-lettertype"/>
    <w:semiHidden/>
    <w:unhideWhenUsed/>
    <w:rsid w:val="00E27ED2"/>
    <w:rPr>
      <w:sz w:val="16"/>
      <w:szCs w:val="16"/>
    </w:rPr>
  </w:style>
  <w:style w:type="paragraph" w:styleId="Tekstopmerking">
    <w:name w:val="annotation text"/>
    <w:basedOn w:val="Standaard"/>
    <w:link w:val="TekstopmerkingChar"/>
    <w:unhideWhenUsed/>
    <w:rsid w:val="00E27ED2"/>
    <w:rPr>
      <w:sz w:val="20"/>
    </w:rPr>
  </w:style>
  <w:style w:type="character" w:customStyle="1" w:styleId="TekstopmerkingChar">
    <w:name w:val="Tekst opmerking Char"/>
    <w:basedOn w:val="Standaardalinea-lettertype"/>
    <w:link w:val="Tekstopmerking"/>
    <w:rsid w:val="00E27ED2"/>
    <w:rPr>
      <w:rFonts w:ascii="Courier New" w:hAnsi="Courier New"/>
    </w:rPr>
  </w:style>
  <w:style w:type="paragraph" w:styleId="Onderwerpvanopmerking">
    <w:name w:val="annotation subject"/>
    <w:basedOn w:val="Tekstopmerking"/>
    <w:next w:val="Tekstopmerking"/>
    <w:link w:val="OnderwerpvanopmerkingChar"/>
    <w:semiHidden/>
    <w:unhideWhenUsed/>
    <w:rsid w:val="00E27ED2"/>
    <w:rPr>
      <w:b/>
      <w:bCs/>
    </w:rPr>
  </w:style>
  <w:style w:type="character" w:customStyle="1" w:styleId="OnderwerpvanopmerkingChar">
    <w:name w:val="Onderwerp van opmerking Char"/>
    <w:basedOn w:val="TekstopmerkingChar"/>
    <w:link w:val="Onderwerpvanopmerking"/>
    <w:semiHidden/>
    <w:rsid w:val="00E27ED2"/>
    <w:rPr>
      <w:rFonts w:ascii="Courier New" w:hAnsi="Courier New"/>
      <w:b/>
      <w:bCs/>
    </w:rPr>
  </w:style>
  <w:style w:type="paragraph" w:styleId="Normaalweb">
    <w:name w:val="Normal (Web)"/>
    <w:basedOn w:val="Standaard"/>
    <w:uiPriority w:val="99"/>
    <w:semiHidden/>
    <w:unhideWhenUsed/>
    <w:rsid w:val="00A529B1"/>
    <w:pPr>
      <w:widowControl/>
      <w:spacing w:before="100" w:beforeAutospacing="1" w:after="100" w:afterAutospacing="1"/>
    </w:pPr>
    <w:rPr>
      <w:rFonts w:ascii="Times New Roman" w:hAnsi="Times New Roman"/>
      <w:szCs w:val="24"/>
      <w:lang w:val="en-US" w:eastAsia="en-US"/>
    </w:rPr>
  </w:style>
  <w:style w:type="character" w:customStyle="1" w:styleId="apple-converted-space">
    <w:name w:val="apple-converted-space"/>
    <w:basedOn w:val="Standaardalinea-lettertype"/>
    <w:rsid w:val="00A529B1"/>
  </w:style>
  <w:style w:type="character" w:styleId="Zwaar">
    <w:name w:val="Strong"/>
    <w:basedOn w:val="Standaardalinea-lettertype"/>
    <w:uiPriority w:val="22"/>
    <w:qFormat/>
    <w:rsid w:val="00A529B1"/>
    <w:rPr>
      <w:b/>
      <w:bCs/>
    </w:rPr>
  </w:style>
  <w:style w:type="character" w:styleId="Hyperlink">
    <w:name w:val="Hyperlink"/>
    <w:basedOn w:val="Standaardalinea-lettertype"/>
    <w:unhideWhenUsed/>
    <w:rsid w:val="00A529B1"/>
    <w:rPr>
      <w:color w:val="0000FF" w:themeColor="hyperlink"/>
      <w:u w:val="single"/>
    </w:rPr>
  </w:style>
  <w:style w:type="character" w:styleId="Onopgelostemelding">
    <w:name w:val="Unresolved Mention"/>
    <w:basedOn w:val="Standaardalinea-lettertype"/>
    <w:uiPriority w:val="99"/>
    <w:semiHidden/>
    <w:unhideWhenUsed/>
    <w:rsid w:val="00A529B1"/>
    <w:rPr>
      <w:color w:val="605E5C"/>
      <w:shd w:val="clear" w:color="auto" w:fill="E1DFDD"/>
    </w:rPr>
  </w:style>
  <w:style w:type="paragraph" w:styleId="Revisie">
    <w:name w:val="Revision"/>
    <w:hidden/>
    <w:uiPriority w:val="99"/>
    <w:semiHidden/>
    <w:rsid w:val="00152E10"/>
    <w:rPr>
      <w:rFonts w:ascii="Courier New" w:hAnsi="Courier New"/>
      <w:sz w:val="24"/>
    </w:rPr>
  </w:style>
  <w:style w:type="character" w:styleId="Voetnootmarkering">
    <w:name w:val="footnote reference"/>
    <w:basedOn w:val="Standaardalinea-lettertype"/>
    <w:semiHidden/>
    <w:unhideWhenUsed/>
    <w:rsid w:val="00DA71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699</ap:Words>
  <ap:Characters>4979</ap:Characters>
  <ap:DocSecurity>0</ap:DocSecurity>
  <ap:Lines>41</ap:Lines>
  <ap:Paragraphs>11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amtbeg</vt:lpstr>
      <vt:lpstr>amtbeg</vt:lpstr>
    </vt:vector>
  </ap:TitlesOfParts>
  <ap:LinksUpToDate>false</ap:LinksUpToDate>
  <ap:CharactersWithSpaces>5667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2026-02-23T11:18:00.0000000Z</lastPrinted>
  <dcterms:created xsi:type="dcterms:W3CDTF">2026-02-26T08:52:00.0000000Z</dcterms:created>
  <dcterms:modified xsi:type="dcterms:W3CDTF">2026-03-03T12:17:00.0000000Z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