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2026Z03779</w:t>
        <w:br/>
      </w:r>
      <w:proofErr w:type="spellEnd"/>
    </w:p>
    <w:p>
      <w:pPr>
        <w:pStyle w:val="Normal"/>
        <w:rPr>
          <w:b w:val="1"/>
          <w:bCs w:val="1"/>
        </w:rPr>
      </w:pPr>
      <w:r w:rsidR="250AE766">
        <w:rPr>
          <w:b w:val="0"/>
          <w:bCs w:val="0"/>
        </w:rPr>
        <w:t>(ingezonden 26 februari 2026)</w:t>
        <w:br/>
      </w:r>
    </w:p>
    <w:p>
      <w:r>
        <w:t xml:space="preserve">Vragen van het lid Mutluer (GroenLinks-PvdA) aan de staatssecretaris van Justitie en Veiligheid over PTSS‑erkenning voor de brandweer en de regeling voor een compromis.</w:t>
      </w:r>
      <w:r>
        <w:br/>
      </w:r>
    </w:p>
    <w:p>
      <w:r>
        <w:t xml:space="preserve"> </w:t>
      </w:r>
      <w:r>
        <w:br/>
      </w:r>
    </w:p>
    <w:p>
      <w:pPr>
        <w:pStyle w:val="ListParagraph"/>
        <w:numPr>
          <w:ilvl w:val="0"/>
          <w:numId w:val="100498330"/>
        </w:numPr>
        <w:ind w:left="360"/>
      </w:pPr>
      <w:r>
        <w:t xml:space="preserve">Kunt u deze aanvullende schriftelijke vragen betrekken bij de beantwoording van de eerdere schriftelijke vragen over dit onderwerp[1]?</w:t>
      </w:r>
      <w:r>
        <w:br/>
      </w:r>
    </w:p>
    <w:p>
      <w:pPr>
        <w:pStyle w:val="ListParagraph"/>
        <w:numPr>
          <w:ilvl w:val="0"/>
          <w:numId w:val="100498330"/>
        </w:numPr>
        <w:ind w:left="360"/>
      </w:pPr>
      <w:r>
        <w:t xml:space="preserve">Hoe wordt voorkomen dat verschillen ontstaan in toepassing en vergoedingspraktijk tussen regio’s?</w:t>
      </w:r>
      <w:r>
        <w:br/>
      </w:r>
    </w:p>
    <w:p>
      <w:pPr>
        <w:pStyle w:val="ListParagraph"/>
        <w:numPr>
          <w:ilvl w:val="0"/>
          <w:numId w:val="100498330"/>
        </w:numPr>
        <w:ind w:left="360"/>
      </w:pPr>
      <w:r>
        <w:t xml:space="preserve">Klopt het dat vergoedingen op grond van de PTSS-regeling in mindering worden gebracht op eventuele latere schadevergoedingen bij aansprakelijkheid? Hoe verhoudt dit zich tot het ontbreken van een volledige schadevergoeding binnen de regeling zelf?</w:t>
      </w:r>
      <w:r>
        <w:br/>
      </w:r>
    </w:p>
    <w:p>
      <w:pPr>
        <w:pStyle w:val="ListParagraph"/>
        <w:numPr>
          <w:ilvl w:val="0"/>
          <w:numId w:val="100498330"/>
        </w:numPr>
        <w:ind w:left="360"/>
      </w:pPr>
      <w:r>
        <w:t xml:space="preserve">Hoe wordt in de praktijk omgegaan met vrijwilligers met meerdere inkomensbronnen? Kan de samenloopbeperking ertoe leiden dat feitelijke schade niet volledig wordt gecompenseerd?</w:t>
      </w:r>
      <w:r>
        <w:br/>
      </w:r>
    </w:p>
    <w:p>
      <w:pPr>
        <w:pStyle w:val="ListParagraph"/>
        <w:numPr>
          <w:ilvl w:val="0"/>
          <w:numId w:val="100498330"/>
        </w:numPr>
        <w:ind w:left="360"/>
      </w:pPr>
      <w:r>
        <w:t xml:space="preserve">Is onderzocht of het proces van het aannemelijk maken van incidenten en gebeurtenissen die PTSS veroorzaakten, kan leiden tot hertraumatisering of verergering van klachten? Zo nee, bent u bereid dit onafhankelijk te laten onderzoeken?</w:t>
      </w:r>
      <w:r>
        <w:br/>
      </w:r>
    </w:p>
    <w:p>
      <w:pPr>
        <w:pStyle w:val="ListParagraph"/>
        <w:numPr>
          <w:ilvl w:val="0"/>
          <w:numId w:val="100498330"/>
        </w:numPr>
        <w:ind w:left="360"/>
      </w:pPr>
      <w:r>
        <w:t xml:space="preserve">Acht u het passend om bij een chronische, behandelingsresistente aandoening als C-PTSS toekomstige zorgkosten af te kopen? Hoe wordt voorkomen dat betrokkenen op latere leeftijd financieel tekortkomen?</w:t>
      </w:r>
      <w:r>
        <w:br/>
      </w:r>
    </w:p>
    <w:p>
      <w:pPr>
        <w:pStyle w:val="ListParagraph"/>
        <w:numPr>
          <w:ilvl w:val="0"/>
          <w:numId w:val="100498330"/>
        </w:numPr>
        <w:ind w:left="360"/>
      </w:pPr>
      <w:r>
        <w:t xml:space="preserve">Waarom is geen spoedregeling of noodvoorziening opgenomen voor acute of ernstige situaties?</w:t>
      </w:r>
      <w:r>
        <w:br/>
      </w:r>
    </w:p>
    <w:p>
      <w:pPr>
        <w:pStyle w:val="ListParagraph"/>
        <w:numPr>
          <w:ilvl w:val="0"/>
          <w:numId w:val="100498330"/>
        </w:numPr>
        <w:ind w:left="360"/>
      </w:pPr>
      <w:r>
        <w:t xml:space="preserve">Hoe wordt de onafhankelijkheid van de landelijke Adviescommissie PTSS geborgd, gezien de betrokkenheid van veiligheidsregio’s bij de uitvoering? Worden commissieleden volledig extern benoemd?</w:t>
      </w:r>
      <w:r>
        <w:br/>
      </w:r>
    </w:p>
    <w:p>
      <w:pPr>
        <w:pStyle w:val="ListParagraph"/>
        <w:numPr>
          <w:ilvl w:val="0"/>
          <w:numId w:val="100498330"/>
        </w:numPr>
        <w:ind w:left="360"/>
      </w:pPr>
      <w:r>
        <w:t xml:space="preserve">Bent u bereid een tussentijdse evaluatie vóór het verstrijken van drie jaar te overwegen? Wordt bij de evaluatie expliciet gekeken naar de rol van organisatiecultuur en nazorg in het verleden? Wordt onderzocht of structurele tekortkomingen hebben bijgedragen aan het ontstaan of verergeren van PTSS?</w:t>
      </w:r>
      <w:r>
        <w:br/>
      </w:r>
      <w:r>
        <w:t xml:space="preserve"> </w:t>
      </w:r>
      <w:r>
        <w:br/>
      </w:r>
    </w:p>
    <w:p>
      <w:r>
        <w:t xml:space="preserve">[1] Vergaderjaar 2025-2026, 2026Z03432 (Het bericht 'Eindelijk PTSS-erkenning voor brandweer maar regeling voelt als mager compromis' | Tweede Kamer der Staten-Generaal).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