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3B66" w:rsidP="00533B66" w:rsidRDefault="00533B66" w14:paraId="0124C8B1" w14:textId="2D991113">
      <w:r>
        <w:t>AH 1176</w:t>
      </w:r>
    </w:p>
    <w:p w:rsidR="00533B66" w:rsidP="00533B66" w:rsidRDefault="00533B66" w14:paraId="40EA9A5F" w14:textId="785B3A61">
      <w:r>
        <w:t>2026Z02620</w:t>
      </w:r>
    </w:p>
    <w:p w:rsidRPr="00533B66" w:rsidR="00533B66" w:rsidP="00533B66" w:rsidRDefault="00533B66" w14:paraId="27DBE756" w14:textId="1A835D6F">
      <w:pPr>
        <w:rPr>
          <w:rFonts w:ascii="Times New Roman" w:hAnsi="Times New Roman"/>
          <w:sz w:val="24"/>
          <w:szCs w:val="24"/>
        </w:rPr>
      </w:pPr>
      <w:r w:rsidRPr="00D25B3E">
        <w:rPr>
          <w:sz w:val="24"/>
          <w:szCs w:val="24"/>
        </w:rPr>
        <w:t>Antwoord van minister Sterk (Langdurige Zorg, Jeugd en Sport)</w:t>
      </w:r>
      <w:r>
        <w:rPr>
          <w:sz w:val="24"/>
          <w:szCs w:val="24"/>
        </w:rPr>
        <w:t xml:space="preserve">, mede namens de </w:t>
      </w:r>
      <w:r w:rsidRPr="00D80872">
        <w:rPr>
          <w:rFonts w:ascii="Times New Roman" w:hAnsi="Times New Roman"/>
          <w:sz w:val="24"/>
          <w:szCs w:val="24"/>
        </w:rPr>
        <w:t>minister van Volksgezondheid, Welzijn en Sport</w:t>
      </w:r>
      <w:r>
        <w:rPr>
          <w:rFonts w:ascii="Times New Roman" w:hAnsi="Times New Roman"/>
          <w:sz w:val="24"/>
          <w:szCs w:val="24"/>
        </w:rPr>
        <w:t xml:space="preserve"> </w:t>
      </w:r>
      <w:r w:rsidRPr="00D25B3E">
        <w:rPr>
          <w:sz w:val="24"/>
          <w:szCs w:val="24"/>
        </w:rPr>
        <w:t>(ontvangen</w:t>
      </w:r>
      <w:r>
        <w:rPr>
          <w:sz w:val="24"/>
          <w:szCs w:val="24"/>
        </w:rPr>
        <w:t xml:space="preserve">  27 februari 2026)</w:t>
      </w:r>
    </w:p>
    <w:p w:rsidR="00533B66" w:rsidP="00533B66" w:rsidRDefault="00533B66" w14:paraId="7B33E31F" w14:textId="77777777">
      <w:r>
        <w:t xml:space="preserve">Vraag </w:t>
      </w:r>
      <w:r w:rsidRPr="000813C8">
        <w:t xml:space="preserve">1. </w:t>
      </w:r>
    </w:p>
    <w:p w:rsidR="00533B66" w:rsidP="00533B66" w:rsidRDefault="00533B66" w14:paraId="109D1EA4" w14:textId="77777777">
      <w:r w:rsidRPr="000813C8">
        <w:t xml:space="preserve">Bent u bekend met het bericht ‘Machteloosheid in ziekenhuizen: schrijnende toestanden bij ouderen door langer </w:t>
      </w:r>
      <w:proofErr w:type="spellStart"/>
      <w:r w:rsidRPr="000813C8">
        <w:t>thuiswonen</w:t>
      </w:r>
      <w:proofErr w:type="spellEnd"/>
      <w:r w:rsidRPr="000813C8">
        <w:t xml:space="preserve">’? 1) </w:t>
      </w:r>
    </w:p>
    <w:p w:rsidR="00533B66" w:rsidP="00533B66" w:rsidRDefault="00533B66" w14:paraId="76AD3AB0" w14:textId="77777777"/>
    <w:p w:rsidR="00533B66" w:rsidP="00533B66" w:rsidRDefault="00533B66" w14:paraId="6EB16C38" w14:textId="77777777">
      <w:r>
        <w:t>Antwoord vraag 1.</w:t>
      </w:r>
    </w:p>
    <w:p w:rsidR="00533B66" w:rsidP="00533B66" w:rsidRDefault="00533B66" w14:paraId="27918AF8" w14:textId="77777777">
      <w:r>
        <w:t>Ja, het kabinet is bekend met dit bericht.</w:t>
      </w:r>
    </w:p>
    <w:p w:rsidR="00533B66" w:rsidP="00533B66" w:rsidRDefault="00533B66" w14:paraId="158D11DB" w14:textId="77777777"/>
    <w:p w:rsidR="00533B66" w:rsidP="00533B66" w:rsidRDefault="00533B66" w14:paraId="5FF2B627" w14:textId="77777777">
      <w:r>
        <w:t xml:space="preserve">Vraag </w:t>
      </w:r>
      <w:r w:rsidRPr="000813C8">
        <w:t xml:space="preserve">2. </w:t>
      </w:r>
    </w:p>
    <w:p w:rsidR="00533B66" w:rsidP="00533B66" w:rsidRDefault="00533B66" w14:paraId="7D42EDD3" w14:textId="77777777">
      <w:r w:rsidRPr="000813C8">
        <w:t xml:space="preserve">Deelt u de mening dat het onacceptabel is dat ouderen met doorligplekken van urenlang liggen in eigen ontlasting en met vliegjes in hun haren binnenkomen in het ziekenhuis? Zo ja, wat gaat u daaraan doen? </w:t>
      </w:r>
    </w:p>
    <w:p w:rsidR="00533B66" w:rsidP="00533B66" w:rsidRDefault="00533B66" w14:paraId="0BAABAEE" w14:textId="77777777"/>
    <w:p w:rsidR="00533B66" w:rsidP="00533B66" w:rsidRDefault="00533B66" w14:paraId="2FD1F8EE" w14:textId="77777777">
      <w:r>
        <w:t>Antwoord vraag 2.</w:t>
      </w:r>
    </w:p>
    <w:p w:rsidR="00533B66" w:rsidP="00533B66" w:rsidRDefault="00533B66" w14:paraId="25478C58" w14:textId="77777777">
      <w:r>
        <w:t xml:space="preserve">Het kabinet deelt de mening dat ouderen niet in een verwaarloosde toestand in het ziekenhuis zouden mogen </w:t>
      </w:r>
      <w:r w:rsidRPr="00775505">
        <w:rPr>
          <w:color w:val="000000" w:themeColor="text1"/>
        </w:rPr>
        <w:t xml:space="preserve">belanden. </w:t>
      </w:r>
      <w:r>
        <w:rPr>
          <w:color w:val="000000" w:themeColor="text1"/>
        </w:rPr>
        <w:t>Er is</w:t>
      </w:r>
      <w:r w:rsidRPr="00775505">
        <w:rPr>
          <w:color w:val="000000" w:themeColor="text1"/>
        </w:rPr>
        <w:t xml:space="preserve"> niet direct </w:t>
      </w:r>
      <w:r>
        <w:rPr>
          <w:color w:val="000000" w:themeColor="text1"/>
        </w:rPr>
        <w:t>uit</w:t>
      </w:r>
      <w:r w:rsidRPr="00775505">
        <w:rPr>
          <w:color w:val="000000" w:themeColor="text1"/>
        </w:rPr>
        <w:t xml:space="preserve"> het artikel af</w:t>
      </w:r>
      <w:r>
        <w:rPr>
          <w:color w:val="000000" w:themeColor="text1"/>
        </w:rPr>
        <w:t xml:space="preserve"> te </w:t>
      </w:r>
      <w:r w:rsidRPr="00775505">
        <w:rPr>
          <w:color w:val="000000" w:themeColor="text1"/>
        </w:rPr>
        <w:t xml:space="preserve">leiden </w:t>
      </w:r>
      <w:r>
        <w:rPr>
          <w:color w:val="000000" w:themeColor="text1"/>
        </w:rPr>
        <w:t>dat de oorzaak altijd gelijk is</w:t>
      </w:r>
      <w:r w:rsidRPr="00775505">
        <w:rPr>
          <w:color w:val="000000" w:themeColor="text1"/>
        </w:rPr>
        <w:t>. Bijvoorbeeld dat het zou gaan om mensen die extra zorg hebben gevraagd maar niet hebben gekregen</w:t>
      </w:r>
      <w:r>
        <w:rPr>
          <w:color w:val="000000" w:themeColor="text1"/>
        </w:rPr>
        <w:t>, thuis of in een verpleeghuis</w:t>
      </w:r>
      <w:r w:rsidRPr="00775505">
        <w:rPr>
          <w:color w:val="000000" w:themeColor="text1"/>
        </w:rPr>
        <w:t xml:space="preserve">. </w:t>
      </w:r>
    </w:p>
    <w:p w:rsidR="00533B66" w:rsidP="00533B66" w:rsidRDefault="00533B66" w14:paraId="44DFC331" w14:textId="77777777"/>
    <w:p w:rsidR="00533B66" w:rsidP="00533B66" w:rsidRDefault="00533B66" w14:paraId="5750039E" w14:textId="77777777">
      <w:r>
        <w:t>Daarbij heeft het kabinet geen signalen dat zorg thuis niet toegankelijk is en niet kan worden verleend aan ouderen die thuis wonen. Recent onderzoek</w:t>
      </w:r>
      <w:r>
        <w:rPr>
          <w:rStyle w:val="Voetnootmarkering"/>
        </w:rPr>
        <w:footnoteReference w:id="1"/>
      </w:r>
      <w:r>
        <w:t xml:space="preserve"> laat zien dat de toegankelijkheid van de wijkverpleging over het algemeen goed is. De meeste cliënten ontvangen binnen de gewenste termijn zorg. De wachttijden zijn over het algemeen kort, zo ontvangt volgens data van 15 ziekenhuizen 84% van de cliënten binnen één dag na de gewenste ontslagdatum wijkverpleging.</w:t>
      </w:r>
    </w:p>
    <w:p w:rsidR="00533B66" w:rsidP="00533B66" w:rsidRDefault="00533B66" w14:paraId="33A7B5EA" w14:textId="77777777"/>
    <w:p w:rsidR="00533B66" w:rsidP="00533B66" w:rsidRDefault="00533B66" w14:paraId="43FAB2F7" w14:textId="77777777">
      <w:r>
        <w:t xml:space="preserve">Ook zetten we bij de zorg thuis in op tijdige signalering. Door versterking van de eerstelijnszorg verbetert de samenwerking in de wijk tussen zorg en sociaal domein. Een zorg- of hulpverlener die verwaarlozing signaleert kan in samenwerking met andere professionals in de wijk hulp bieden. Ook kunnen mensen met dementie, van beginnend tot vergevorderd, gebruik maken van casemanagement dementie. </w:t>
      </w:r>
      <w:r>
        <w:lastRenderedPageBreak/>
        <w:t>Een casemanager kan helpen om zorg en ondersteuning voor de cliënt en de omgeving goed te organiseren.</w:t>
      </w:r>
    </w:p>
    <w:p w:rsidR="00533B66" w:rsidP="00533B66" w:rsidRDefault="00533B66" w14:paraId="03B08939" w14:textId="77777777"/>
    <w:p w:rsidR="00533B66" w:rsidP="00533B66" w:rsidRDefault="00533B66" w14:paraId="268CFADE" w14:textId="77777777">
      <w:r>
        <w:t xml:space="preserve">Vraag </w:t>
      </w:r>
      <w:r w:rsidRPr="000813C8">
        <w:t xml:space="preserve">3. </w:t>
      </w:r>
    </w:p>
    <w:p w:rsidR="00533B66" w:rsidP="00533B66" w:rsidRDefault="00533B66" w14:paraId="0980E21B" w14:textId="77777777">
      <w:r w:rsidRPr="000813C8">
        <w:t xml:space="preserve">Herkent u het beeld dat eenmaal in het ziekenhuis het moeilijk is om eruit te komen, omdat er een tekort is aan verpleeghuisplekken of gespecialiseerde </w:t>
      </w:r>
    </w:p>
    <w:p w:rsidR="00533B66" w:rsidP="00533B66" w:rsidRDefault="00533B66" w14:paraId="306ED5EA" w14:textId="77777777">
      <w:r w:rsidRPr="000813C8">
        <w:t xml:space="preserve">revalidatiecentra? Zo ja, wat gaat u daaraan doen? </w:t>
      </w:r>
    </w:p>
    <w:p w:rsidR="00533B66" w:rsidP="00533B66" w:rsidRDefault="00533B66" w14:paraId="27113D03" w14:textId="77777777"/>
    <w:p w:rsidR="00533B66" w:rsidP="00533B66" w:rsidRDefault="00533B66" w14:paraId="5B5E6F1C" w14:textId="77777777">
      <w:r>
        <w:t>Antwoord vraag 3.</w:t>
      </w:r>
    </w:p>
    <w:p w:rsidRPr="006B5E51" w:rsidR="00533B66" w:rsidP="00533B66" w:rsidRDefault="00533B66" w14:paraId="50D968E7" w14:textId="77777777">
      <w:r>
        <w:t>Het kabinet</w:t>
      </w:r>
      <w:r w:rsidRPr="006B5E51">
        <w:t xml:space="preserve"> herken</w:t>
      </w:r>
      <w:r>
        <w:t>t</w:t>
      </w:r>
      <w:r w:rsidRPr="006B5E51">
        <w:t xml:space="preserve"> dat patiënten soms langer in het ziekenhuis verblijven dan medisch noodzakelijk. Het is belangrijk dat ouderen passende zorg ontvangen en dat een (te lang) verblijf in het ziekenhuis voorkomen wordt. Daarom werk</w:t>
      </w:r>
      <w:r>
        <w:t>en we</w:t>
      </w:r>
      <w:r w:rsidRPr="006B5E51">
        <w:t xml:space="preserve"> samen met betrokken partijen aan het versterken van de eerstelijnszorg, het verbeteren van zorgcoördinatie en het verder ontwikkelen van de kortdurende zorg, waaronder de geriatrische revalidatiezorg (GRZ) en het eerstelijnsverblijf (ELV). Voor mensen die na een ziekenhuisopname wijkverpleging nodig hebben, </w:t>
      </w:r>
      <w:r>
        <w:t>wordt</w:t>
      </w:r>
      <w:r w:rsidRPr="006B5E51">
        <w:t xml:space="preserve"> deze vervolgzorg</w:t>
      </w:r>
      <w:r>
        <w:t xml:space="preserve"> zoals aangegeven in antwoord op vraag 2 in verreweg de meeste gevallen</w:t>
      </w:r>
      <w:r w:rsidRPr="006B5E51">
        <w:t xml:space="preserve"> tijdig georganiseerd. Een betere samenwerking en coördinatie tussen zorgaanbieders is essentieel</w:t>
      </w:r>
      <w:r>
        <w:t xml:space="preserve"> om mensen snel passende vervolgzorg te bieden</w:t>
      </w:r>
      <w:r w:rsidRPr="006B5E51">
        <w:t xml:space="preserve">. Dit alles </w:t>
      </w:r>
      <w:r>
        <w:t>is</w:t>
      </w:r>
      <w:r w:rsidRPr="006B5E51">
        <w:t xml:space="preserve"> belangrijk, omdat een onnodig lang verblijf in het ziekenhuis niet bevorderlijk is voor herstel en kan leiden tot verminderde zelfredzaamheid, conditieverlies en afname van spierkracht.</w:t>
      </w:r>
      <w:r w:rsidRPr="006B5E51">
        <w:br/>
      </w:r>
    </w:p>
    <w:p w:rsidR="00533B66" w:rsidP="00533B66" w:rsidRDefault="00533B66" w14:paraId="3F9A36B1" w14:textId="77777777">
      <w:r>
        <w:t xml:space="preserve">Vraag </w:t>
      </w:r>
      <w:r w:rsidRPr="006B5E51">
        <w:t xml:space="preserve">4. </w:t>
      </w:r>
    </w:p>
    <w:p w:rsidR="00533B66" w:rsidP="00533B66" w:rsidRDefault="00533B66" w14:paraId="1A30F6CD" w14:textId="77777777">
      <w:r w:rsidRPr="006B5E51">
        <w:t>Hoe groot is het beschreven tekort aan verpleeghuisplekken en hoe rijmt u dat</w:t>
      </w:r>
      <w:r w:rsidRPr="000813C8">
        <w:t xml:space="preserve"> met de berichten over leegstand? </w:t>
      </w:r>
    </w:p>
    <w:p w:rsidR="00533B66" w:rsidP="00533B66" w:rsidRDefault="00533B66" w14:paraId="6378C96C" w14:textId="77777777"/>
    <w:p w:rsidR="00533B66" w:rsidP="00533B66" w:rsidRDefault="00533B66" w14:paraId="2BD421DB" w14:textId="77777777">
      <w:r>
        <w:t>Antwoord vraag 4.</w:t>
      </w:r>
    </w:p>
    <w:p w:rsidR="00533B66" w:rsidP="00533B66" w:rsidRDefault="00533B66" w14:paraId="04239E70" w14:textId="77777777">
      <w:r w:rsidRPr="00C50350">
        <w:t>Op zorgcijferdatabank</w:t>
      </w:r>
      <w:r>
        <w:rPr>
          <w:rStyle w:val="Voetnootmarkering"/>
        </w:rPr>
        <w:footnoteReference w:id="2"/>
      </w:r>
      <w:r w:rsidRPr="00C50350">
        <w:t xml:space="preserve"> worden iedere maand cijfers gepubliceerd over het aantal </w:t>
      </w:r>
      <w:r w:rsidRPr="00E31172">
        <w:t xml:space="preserve">wachtenden binnen de </w:t>
      </w:r>
      <w:proofErr w:type="spellStart"/>
      <w:r w:rsidRPr="00E31172">
        <w:t>Wlz</w:t>
      </w:r>
      <w:proofErr w:type="spellEnd"/>
      <w:r w:rsidRPr="00E31172">
        <w:t xml:space="preserve">. De meest recente cijfers zijn van 1 december 2025. Toen stonden er binnen de ouderenzorg 18.312 mensen op de wachtlijst waarvan 332 met de status ‘urgent plaatsen’. Bij mensen die urgent geplaatst moeten worden lukt het over het algemeen om die binnen </w:t>
      </w:r>
      <w:r>
        <w:t>enkele weken</w:t>
      </w:r>
      <w:r w:rsidRPr="00E31172">
        <w:t xml:space="preserve"> te plaatsen in het verpleeghuis, waarbij er wel regionale verschillen kunnen zijn. </w:t>
      </w:r>
    </w:p>
    <w:p w:rsidR="00533B66" w:rsidP="00533B66" w:rsidRDefault="00533B66" w14:paraId="6581D3ED" w14:textId="77777777">
      <w:r w:rsidRPr="00E31172">
        <w:t xml:space="preserve">De totale omvang van de wachtlijst in de ouderenzorg is overigens lager dan op 1 december in recente voorgaande jaren (1 december 2023 stonden er 22.275 </w:t>
      </w:r>
      <w:r w:rsidRPr="00E31172">
        <w:lastRenderedPageBreak/>
        <w:t xml:space="preserve">mensen op de wachtlijst voor de </w:t>
      </w:r>
      <w:proofErr w:type="spellStart"/>
      <w:r w:rsidRPr="00E31172">
        <w:t>Wlz</w:t>
      </w:r>
      <w:proofErr w:type="spellEnd"/>
      <w:r w:rsidRPr="00E31172">
        <w:t xml:space="preserve">-ouderenzorg en 1 december 2024 20.137 mensen). Het RIVM doet momenteel onderzoek naar de verminderde vraag naar verpleeghuiszorg en de leegstand in verpleeghuizen. </w:t>
      </w:r>
    </w:p>
    <w:p w:rsidR="00533B66" w:rsidP="00533B66" w:rsidRDefault="00533B66" w14:paraId="40AC0F80" w14:textId="77777777"/>
    <w:p w:rsidR="00533B66" w:rsidP="00533B66" w:rsidRDefault="00533B66" w14:paraId="23DB8AA0" w14:textId="77777777">
      <w:r>
        <w:t xml:space="preserve">Vraag </w:t>
      </w:r>
      <w:r w:rsidRPr="000813C8">
        <w:t xml:space="preserve">5. </w:t>
      </w:r>
    </w:p>
    <w:p w:rsidR="00533B66" w:rsidP="00533B66" w:rsidRDefault="00533B66" w14:paraId="3861EFE5" w14:textId="77777777">
      <w:r w:rsidRPr="000813C8">
        <w:t xml:space="preserve">Hoe groot is het tekort aan bedden in revalidatiecentra die gespecialiseerd zijn in oudere mensen met dementie? </w:t>
      </w:r>
    </w:p>
    <w:p w:rsidR="00533B66" w:rsidP="00533B66" w:rsidRDefault="00533B66" w14:paraId="203D00E1" w14:textId="77777777"/>
    <w:p w:rsidR="00533B66" w:rsidP="00533B66" w:rsidRDefault="00533B66" w14:paraId="5F5785AA" w14:textId="77777777">
      <w:r>
        <w:t>Antwoord vraag 5.</w:t>
      </w:r>
    </w:p>
    <w:p w:rsidR="00533B66" w:rsidP="00533B66" w:rsidRDefault="00533B66" w14:paraId="3BAFA100" w14:textId="77777777">
      <w:r>
        <w:t>Het kabinet is</w:t>
      </w:r>
      <w:r w:rsidRPr="00F823C5">
        <w:t xml:space="preserve"> niet bekend met data over het tekort aan bedden in revalidatiecentra voor mensen met dementie of cognitieve problemen waarvan de oorzaak nog niet is vastgesteld. </w:t>
      </w:r>
      <w:r>
        <w:t>We zijn</w:t>
      </w:r>
      <w:r w:rsidRPr="00F823C5">
        <w:t xml:space="preserve"> voornemens een opdracht uit te zetten aan het RIVM voor meer inzicht in de kortdurende en paramedische zorg, met onder andere een terreinbeschrijving. Toegankelijkheid van zorg zal een onderdeel zijn van deze beschrijving. </w:t>
      </w:r>
      <w:r>
        <w:t>We hopen</w:t>
      </w:r>
      <w:r w:rsidRPr="00F823C5">
        <w:t xml:space="preserve"> in het kader van deze opdracht meer inzicht te krijgen in eventuele tekorten. Deze beschrijving zal naar verwachting begin 2027 worden gepubliceerd door het RIVM.</w:t>
      </w:r>
    </w:p>
    <w:p w:rsidR="00533B66" w:rsidP="00533B66" w:rsidRDefault="00533B66" w14:paraId="5BC05976" w14:textId="77777777"/>
    <w:p w:rsidR="00533B66" w:rsidP="00533B66" w:rsidRDefault="00533B66" w14:paraId="7D34E33F" w14:textId="77777777">
      <w:r>
        <w:t xml:space="preserve">Vraag </w:t>
      </w:r>
      <w:r w:rsidRPr="000813C8">
        <w:t xml:space="preserve">6. </w:t>
      </w:r>
    </w:p>
    <w:p w:rsidR="00533B66" w:rsidP="00533B66" w:rsidRDefault="00533B66" w14:paraId="70FEF0DA" w14:textId="77777777">
      <w:r w:rsidRPr="000813C8">
        <w:t xml:space="preserve">Hoeveel verpleeghuisplekken zijn fysiek beschikbaar, maar niet inzetbaar door personeelstekort? </w:t>
      </w:r>
    </w:p>
    <w:p w:rsidR="00533B66" w:rsidP="00533B66" w:rsidRDefault="00533B66" w14:paraId="7F6ADCE5" w14:textId="77777777"/>
    <w:p w:rsidR="00533B66" w:rsidP="00533B66" w:rsidRDefault="00533B66" w14:paraId="41A92737" w14:textId="77777777">
      <w:r>
        <w:t>Antwoord vraag 6.</w:t>
      </w:r>
    </w:p>
    <w:p w:rsidRPr="00C50350" w:rsidR="00533B66" w:rsidP="00533B66" w:rsidRDefault="00533B66" w14:paraId="115243B9" w14:textId="77777777">
      <w:r>
        <w:t>Het kabinet</w:t>
      </w:r>
      <w:r w:rsidRPr="00C50350">
        <w:t xml:space="preserve"> beschik</w:t>
      </w:r>
      <w:r>
        <w:t>t</w:t>
      </w:r>
      <w:r w:rsidRPr="00C50350">
        <w:t xml:space="preserve"> niet over </w:t>
      </w:r>
      <w:r>
        <w:t xml:space="preserve">de </w:t>
      </w:r>
      <w:r w:rsidRPr="00C50350">
        <w:t>cijfers</w:t>
      </w:r>
      <w:r>
        <w:t xml:space="preserve"> om deze vraag te beantwoorden</w:t>
      </w:r>
      <w:r w:rsidRPr="00C50350">
        <w:t>.</w:t>
      </w:r>
    </w:p>
    <w:p w:rsidR="00533B66" w:rsidP="00533B66" w:rsidRDefault="00533B66" w14:paraId="1BFCC269" w14:textId="77777777"/>
    <w:p w:rsidR="00533B66" w:rsidP="00533B66" w:rsidRDefault="00533B66" w14:paraId="4ABB0472" w14:textId="77777777">
      <w:r>
        <w:t xml:space="preserve">Vraag </w:t>
      </w:r>
      <w:r w:rsidRPr="000813C8">
        <w:t xml:space="preserve">7. </w:t>
      </w:r>
    </w:p>
    <w:p w:rsidR="00533B66" w:rsidP="00533B66" w:rsidRDefault="00533B66" w14:paraId="03A65C24" w14:textId="77777777">
      <w:r w:rsidRPr="000813C8">
        <w:t xml:space="preserve">Welke rol spelen zorgverzekeraars bij het inkopen van voldoende verpleeghuisplekken en geriatrische revalidatieplekken? Vindt u dat zij hier voldoende verantwoordelijkheid nemen? </w:t>
      </w:r>
    </w:p>
    <w:p w:rsidR="00533B66" w:rsidP="00533B66" w:rsidRDefault="00533B66" w14:paraId="20297293" w14:textId="77777777"/>
    <w:p w:rsidR="00533B66" w:rsidP="00533B66" w:rsidRDefault="00533B66" w14:paraId="711D2C4B" w14:textId="77777777">
      <w:r>
        <w:t>Antwoord vraag 7.</w:t>
      </w:r>
    </w:p>
    <w:p w:rsidR="00533B66" w:rsidP="00533B66" w:rsidRDefault="00533B66" w14:paraId="0739309C" w14:textId="77777777">
      <w:r w:rsidRPr="004A3E91">
        <w:t xml:space="preserve">Zorgverzekeraars (verantwoordelijk voor de inkoop van geriatrische revalidatiezorg) hebben een wettelijke zorgplicht op basis van de Zorgverzekeringswet. De invulling van de zorgplicht betekent verzekerden binnen een redelijke tijd en reisafstand toegang moeten hebben tot alle zorg uit het basispakket. </w:t>
      </w:r>
      <w:r>
        <w:t xml:space="preserve">Wat een redelijke tijd en reisafstand is hangt af van de zorgvraag van de patiënt. </w:t>
      </w:r>
      <w:r w:rsidRPr="004A3E91">
        <w:t xml:space="preserve">Zorgverzekeraars moeten </w:t>
      </w:r>
      <w:r w:rsidRPr="004A3E91">
        <w:lastRenderedPageBreak/>
        <w:t>daarom voldoende zorg inkopen of bemiddelen als iemand niet snel genoeg bij een zorgaanbieder terecht kan (wachttijdbemiddeling). De Nederlandse Zorgautoriteit (</w:t>
      </w:r>
      <w:proofErr w:type="spellStart"/>
      <w:r w:rsidRPr="004A3E91">
        <w:t>NZa</w:t>
      </w:r>
      <w:proofErr w:type="spellEnd"/>
      <w:r w:rsidRPr="004A3E91">
        <w:t xml:space="preserve">) controleert of de zorgverzekeraars zich houden aan deze zorgplicht. De </w:t>
      </w:r>
      <w:proofErr w:type="spellStart"/>
      <w:r w:rsidRPr="004A3E91">
        <w:t>NZa</w:t>
      </w:r>
      <w:proofErr w:type="spellEnd"/>
      <w:r w:rsidRPr="004A3E91">
        <w:t xml:space="preserve"> heeft dit nader uitgewerkt in de “De zorgplicht: handvatten voor zorgverzekeraars” en in de “Beleidsregel toezichtkader zorgplicht zorgverzekeraars”</w:t>
      </w:r>
      <w:r>
        <w:rPr>
          <w:rStyle w:val="Voetnootmarkering"/>
        </w:rPr>
        <w:footnoteReference w:id="3"/>
      </w:r>
      <w:r w:rsidRPr="004A3E91">
        <w:t xml:space="preserve">. </w:t>
      </w:r>
      <w:r>
        <w:t>We</w:t>
      </w:r>
      <w:r w:rsidRPr="004A3E91">
        <w:t xml:space="preserve"> verwij</w:t>
      </w:r>
      <w:r>
        <w:t>zen</w:t>
      </w:r>
      <w:r w:rsidRPr="004A3E91">
        <w:t xml:space="preserve"> u ook naar de brief van 12 februari 2025</w:t>
      </w:r>
      <w:r>
        <w:rPr>
          <w:rStyle w:val="Voetnootmarkering"/>
        </w:rPr>
        <w:footnoteReference w:id="4"/>
      </w:r>
      <w:r w:rsidRPr="004A3E91">
        <w:t xml:space="preserve"> waarin </w:t>
      </w:r>
      <w:r>
        <w:t>uiteengezet wordt</w:t>
      </w:r>
      <w:r w:rsidRPr="004A3E91">
        <w:t xml:space="preserve"> welke mogelijkheden de </w:t>
      </w:r>
      <w:proofErr w:type="spellStart"/>
      <w:r w:rsidRPr="004A3E91">
        <w:t>NZa</w:t>
      </w:r>
      <w:proofErr w:type="spellEnd"/>
      <w:r w:rsidRPr="004A3E91">
        <w:t xml:space="preserve"> heeft voor het toezicht op de zorgverzekeraars en de handhaving van de zorgplicht. In de brief zijn, naast informele instrumenten zoals </w:t>
      </w:r>
      <w:proofErr w:type="spellStart"/>
      <w:r w:rsidRPr="004A3E91">
        <w:t>normoverdragende</w:t>
      </w:r>
      <w:proofErr w:type="spellEnd"/>
      <w:r w:rsidRPr="004A3E91">
        <w:t xml:space="preserve"> gesprekken en waarschuwingen, ook een aantal formele mogelijkheden genoemd. Deze instrumenten zijn opgenomen in de </w:t>
      </w:r>
      <w:proofErr w:type="spellStart"/>
      <w:r w:rsidRPr="004A3E91">
        <w:t>Wmg</w:t>
      </w:r>
      <w:proofErr w:type="spellEnd"/>
      <w:r w:rsidRPr="004A3E91">
        <w:t xml:space="preserve">, te weten: 1. aanwijzing tot opvolgen van een verplichting; 2. publicatie bij niet-naleving van de aanwijzing; 3. toepassen van last onder bestuursdwang; 4. opleggen van een last onder dwangsom en 5. opleggen van een bestuurlijke boete. Het is daarom ook aan de </w:t>
      </w:r>
      <w:proofErr w:type="spellStart"/>
      <w:r w:rsidRPr="004A3E91">
        <w:t>NZa</w:t>
      </w:r>
      <w:proofErr w:type="spellEnd"/>
      <w:r w:rsidRPr="004A3E91">
        <w:t xml:space="preserve"> om te beoordelen of zorgverzekeraars voldoende verantwoordelijkheid nemen. </w:t>
      </w:r>
    </w:p>
    <w:p w:rsidR="00533B66" w:rsidP="00533B66" w:rsidRDefault="00533B66" w14:paraId="380A91C9" w14:textId="77777777"/>
    <w:p w:rsidRPr="004A3E91" w:rsidR="00533B66" w:rsidP="00533B66" w:rsidRDefault="00533B66" w14:paraId="08879FF1" w14:textId="77777777">
      <w:r w:rsidRPr="004A3E91">
        <w:t xml:space="preserve">Zorgkantoren, verantwoordelijk voor de inkoop van verpleeghuisplekken, hebben op basis van de Wet langdurige zorg een wettelijke zorgplicht ten aanzien van hun verzekerden. Ook voor de zorgkantoren heeft de </w:t>
      </w:r>
      <w:proofErr w:type="spellStart"/>
      <w:r w:rsidRPr="004A3E91">
        <w:t>NZa</w:t>
      </w:r>
      <w:proofErr w:type="spellEnd"/>
      <w:r w:rsidRPr="004A3E91">
        <w:t xml:space="preserve"> Handvatten duiding zorgplicht zorgkantoren</w:t>
      </w:r>
      <w:r>
        <w:rPr>
          <w:rStyle w:val="Voetnootmarkering"/>
        </w:rPr>
        <w:footnoteReference w:id="5"/>
      </w:r>
      <w:r w:rsidRPr="004A3E91">
        <w:t xml:space="preserve"> en een Beleidsregel normenkader </w:t>
      </w:r>
      <w:proofErr w:type="spellStart"/>
      <w:r w:rsidRPr="004A3E91">
        <w:t>Wlz</w:t>
      </w:r>
      <w:proofErr w:type="spellEnd"/>
      <w:r w:rsidRPr="004A3E91">
        <w:t>-uitvoerder opgesteld</w:t>
      </w:r>
      <w:r>
        <w:rPr>
          <w:rStyle w:val="Voetnootmarkering"/>
        </w:rPr>
        <w:footnoteReference w:id="6"/>
      </w:r>
      <w:r>
        <w:t>.</w:t>
      </w:r>
      <w:r w:rsidRPr="004A3E91">
        <w:t xml:space="preserve"> In de </w:t>
      </w:r>
      <w:proofErr w:type="spellStart"/>
      <w:r w:rsidRPr="004A3E91">
        <w:t>NZa</w:t>
      </w:r>
      <w:proofErr w:type="spellEnd"/>
      <w:r w:rsidRPr="004A3E91">
        <w:t>-rapportage “Nu zorgen voor verpleeghuiscliënten van morgen”</w:t>
      </w:r>
      <w:r>
        <w:rPr>
          <w:rStyle w:val="Voetnootmarkering"/>
        </w:rPr>
        <w:footnoteReference w:id="7"/>
      </w:r>
      <w:r w:rsidRPr="004A3E91">
        <w:t xml:space="preserve"> concludeert de </w:t>
      </w:r>
      <w:proofErr w:type="spellStart"/>
      <w:r w:rsidRPr="004A3E91">
        <w:t>NZa</w:t>
      </w:r>
      <w:proofErr w:type="spellEnd"/>
      <w:r w:rsidRPr="004A3E91">
        <w:t xml:space="preserve"> dat zorgkantoren grotendeels voldoen aan hun verplichtingen en dat er tot 2028 naar verwachting tijdige en passende zorg beschikbaar is in het verpleeghuis. Waar de </w:t>
      </w:r>
      <w:proofErr w:type="spellStart"/>
      <w:r w:rsidRPr="004A3E91">
        <w:t>NZa</w:t>
      </w:r>
      <w:proofErr w:type="spellEnd"/>
      <w:r w:rsidRPr="004A3E91">
        <w:t xml:space="preserve"> punten voor verbetering zag, zijn die individueel met zorgkantoren gedeeld. De opvolging van deze aanbevelingen zal de </w:t>
      </w:r>
      <w:proofErr w:type="spellStart"/>
      <w:r w:rsidRPr="004A3E91">
        <w:t>NZa</w:t>
      </w:r>
      <w:proofErr w:type="spellEnd"/>
      <w:r w:rsidRPr="004A3E91">
        <w:t xml:space="preserve"> monitoren.</w:t>
      </w:r>
    </w:p>
    <w:p w:rsidR="00533B66" w:rsidP="00533B66" w:rsidRDefault="00533B66" w14:paraId="560FA4CF" w14:textId="77777777"/>
    <w:p w:rsidR="00533B66" w:rsidP="00533B66" w:rsidRDefault="00533B66" w14:paraId="3132853F" w14:textId="77777777">
      <w:r>
        <w:t xml:space="preserve">Vraag </w:t>
      </w:r>
      <w:r w:rsidRPr="000813C8">
        <w:t xml:space="preserve">8. </w:t>
      </w:r>
    </w:p>
    <w:p w:rsidR="00533B66" w:rsidP="00533B66" w:rsidRDefault="00533B66" w14:paraId="7A2E98E0" w14:textId="77777777">
      <w:r w:rsidRPr="000813C8">
        <w:t xml:space="preserve">Wat zijn de totale meerkosten voor ziekenhuizen door het langer moeten verzorgen van deze patiënten? </w:t>
      </w:r>
    </w:p>
    <w:p w:rsidR="00533B66" w:rsidP="00533B66" w:rsidRDefault="00533B66" w14:paraId="68ABC528" w14:textId="77777777"/>
    <w:p w:rsidR="00533B66" w:rsidP="00533B66" w:rsidRDefault="00533B66" w14:paraId="20B76C12" w14:textId="77777777">
      <w:r>
        <w:t>Antwoord vraag 8.</w:t>
      </w:r>
    </w:p>
    <w:p w:rsidR="00533B66" w:rsidP="00533B66" w:rsidRDefault="00533B66" w14:paraId="37B9AE87" w14:textId="77777777">
      <w:r w:rsidRPr="005715FC">
        <w:t xml:space="preserve">Er zijn geen landelijke, eenduidige cijfers beschikbaar over de totale meerkosten voor ziekenhuizen als gevolg van patiënten die langer verblijven dan medisch noodzakelijk. Wel is duidelijk dat onnodig lange verblijfsduur druk zet op </w:t>
      </w:r>
      <w:r w:rsidRPr="005715FC">
        <w:lastRenderedPageBreak/>
        <w:t>ziekenhuiscapaciteit en kan leiden tot hogere kosten en verminderde beschikbaarheid van bedden voor andere patiënten.</w:t>
      </w:r>
    </w:p>
    <w:p w:rsidR="00533B66" w:rsidP="00533B66" w:rsidRDefault="00533B66" w14:paraId="69694F86" w14:textId="77777777"/>
    <w:p w:rsidR="00533B66" w:rsidP="00533B66" w:rsidRDefault="00533B66" w14:paraId="081CC9C2" w14:textId="77777777"/>
    <w:p w:rsidR="00533B66" w:rsidP="00533B66" w:rsidRDefault="00533B66" w14:paraId="5374D78A" w14:textId="77777777">
      <w:r>
        <w:t xml:space="preserve">Vraag </w:t>
      </w:r>
      <w:r w:rsidRPr="000813C8">
        <w:t xml:space="preserve">9. </w:t>
      </w:r>
    </w:p>
    <w:p w:rsidR="00533B66" w:rsidP="00533B66" w:rsidRDefault="00533B66" w14:paraId="447DAE96" w14:textId="77777777">
      <w:r w:rsidRPr="000813C8">
        <w:t>Deelt u de mening dat nieuwe bezuinigingen aankondigen op de ouderenzorg het laatste wat de politiek nu zou moeten doen?</w:t>
      </w:r>
    </w:p>
    <w:p w:rsidR="00533B66" w:rsidP="00533B66" w:rsidRDefault="00533B66" w14:paraId="249F8816" w14:textId="77777777"/>
    <w:p w:rsidR="00533B66" w:rsidP="00533B66" w:rsidRDefault="00533B66" w14:paraId="1734746F" w14:textId="77777777">
      <w:r>
        <w:t>Antwoord vraag 9.</w:t>
      </w:r>
    </w:p>
    <w:p w:rsidRPr="00E31172" w:rsidR="00533B66" w:rsidP="00533B66" w:rsidRDefault="00533B66" w14:paraId="526381E4" w14:textId="77777777">
      <w:r w:rsidRPr="00E31172">
        <w:t xml:space="preserve">In het coalitieakkoord wordt voor de ouderenzorg ingezet op een verschuiving van intramurale zorg naar investeren in zorgzame buurten en gemeenschapsontwikkeling waardoor ouderen en mensen met een beperking langer thuis kunnen wonen met passende ondersteuning. Dit gaat gepaard met nieuwe woonvormen en zorgzame buurten waar ontmoeting, de aanpak van eenzaamheid en zorg voor elkaar centraal staat. Er </w:t>
      </w:r>
      <w:r w:rsidRPr="00403D11">
        <w:t>wordt</w:t>
      </w:r>
      <w:r w:rsidRPr="00E31172">
        <w:t xml:space="preserve"> een bestuurlijk akkoord gesloten met alle drie de sectoren in de Wet langdurige zorg om te kunnen bereiken dat de uitgavengroei wordt beperkt. Per saldo is er nog altijd sprake van een groei in de uitgaven.</w:t>
      </w:r>
    </w:p>
    <w:p w:rsidR="00533B66" w:rsidP="00533B66" w:rsidRDefault="00533B66" w14:paraId="4E7AF12D" w14:textId="77777777">
      <w:r>
        <w:tab/>
      </w:r>
    </w:p>
    <w:p w:rsidR="00533B66" w:rsidP="00533B66" w:rsidRDefault="00533B66" w14:paraId="5D833405" w14:textId="77777777"/>
    <w:p w:rsidR="00561BB9" w:rsidRDefault="00561BB9" w14:paraId="0D6F9A82" w14:textId="77777777"/>
    <w:sectPr w:rsidR="00561BB9" w:rsidSect="00533B6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8DFA" w14:textId="77777777" w:rsidR="00533B66" w:rsidRDefault="00533B66" w:rsidP="00533B66">
      <w:pPr>
        <w:spacing w:after="0" w:line="240" w:lineRule="auto"/>
      </w:pPr>
      <w:r>
        <w:separator/>
      </w:r>
    </w:p>
  </w:endnote>
  <w:endnote w:type="continuationSeparator" w:id="0">
    <w:p w14:paraId="7A711593" w14:textId="77777777" w:rsidR="00533B66" w:rsidRDefault="00533B66" w:rsidP="00533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54E6" w14:textId="77777777" w:rsidR="00533B66" w:rsidRPr="00533B66" w:rsidRDefault="00533B66" w:rsidP="00533B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7CA0" w14:textId="77777777" w:rsidR="00533B66" w:rsidRPr="00533B66" w:rsidRDefault="00533B66" w:rsidP="00533B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AE10" w14:textId="77777777" w:rsidR="00533B66" w:rsidRPr="00533B66" w:rsidRDefault="00533B66" w:rsidP="00533B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541E0" w14:textId="77777777" w:rsidR="00533B66" w:rsidRDefault="00533B66" w:rsidP="00533B66">
      <w:pPr>
        <w:spacing w:after="0" w:line="240" w:lineRule="auto"/>
      </w:pPr>
      <w:r>
        <w:separator/>
      </w:r>
    </w:p>
  </w:footnote>
  <w:footnote w:type="continuationSeparator" w:id="0">
    <w:p w14:paraId="10FAF5C6" w14:textId="77777777" w:rsidR="00533B66" w:rsidRDefault="00533B66" w:rsidP="00533B66">
      <w:pPr>
        <w:spacing w:after="0" w:line="240" w:lineRule="auto"/>
      </w:pPr>
      <w:r>
        <w:continuationSeparator/>
      </w:r>
    </w:p>
  </w:footnote>
  <w:footnote w:id="1">
    <w:p w14:paraId="61DC9657" w14:textId="77777777" w:rsidR="00533B66" w:rsidRPr="004A3E91" w:rsidRDefault="00533B66" w:rsidP="00533B66">
      <w:pPr>
        <w:pStyle w:val="Voetnoottekst"/>
        <w:rPr>
          <w:sz w:val="16"/>
          <w:szCs w:val="18"/>
        </w:rPr>
      </w:pPr>
      <w:r>
        <w:rPr>
          <w:rStyle w:val="Voetnootmarkering"/>
        </w:rPr>
        <w:footnoteRef/>
      </w:r>
      <w:r w:rsidRPr="00FA5A05">
        <w:t xml:space="preserve"> </w:t>
      </w:r>
      <w:hyperlink r:id="rId1" w:history="1">
        <w:r w:rsidRPr="004A3E91">
          <w:rPr>
            <w:rStyle w:val="Hyperlink"/>
            <w:sz w:val="16"/>
            <w:szCs w:val="18"/>
          </w:rPr>
          <w:t>Cliëntvolgend onderzoek in de wijkverpleging | Rapport | rijksoverheid.nl</w:t>
        </w:r>
      </w:hyperlink>
    </w:p>
  </w:footnote>
  <w:footnote w:id="2">
    <w:p w14:paraId="6680650A" w14:textId="77777777" w:rsidR="00533B66" w:rsidRDefault="00533B66" w:rsidP="00533B66">
      <w:pPr>
        <w:pStyle w:val="Voetnoottekst"/>
      </w:pPr>
      <w:r>
        <w:rPr>
          <w:rStyle w:val="Voetnootmarkering"/>
        </w:rPr>
        <w:footnoteRef/>
      </w:r>
      <w:r>
        <w:t xml:space="preserve"> </w:t>
      </w:r>
      <w:hyperlink r:id="rId2" w:history="1">
        <w:r w:rsidRPr="004A3E91">
          <w:rPr>
            <w:rStyle w:val="Hyperlink"/>
            <w:sz w:val="16"/>
            <w:szCs w:val="18"/>
          </w:rPr>
          <w:t>https://www.zorgcijfersdatabank.nl/toelichting/wachtlijstinformatie/wachtlijstinformatie-wlz</w:t>
        </w:r>
      </w:hyperlink>
    </w:p>
  </w:footnote>
  <w:footnote w:id="3">
    <w:p w14:paraId="66B11DE0" w14:textId="77777777" w:rsidR="00533B66" w:rsidRDefault="00533B66" w:rsidP="00533B66">
      <w:pPr>
        <w:pStyle w:val="Voetnoottekst"/>
      </w:pPr>
      <w:r>
        <w:rPr>
          <w:rStyle w:val="Voetnootmarkering"/>
        </w:rPr>
        <w:footnoteRef/>
      </w:r>
      <w:r>
        <w:t xml:space="preserve"> </w:t>
      </w:r>
      <w:hyperlink r:id="rId3" w:history="1">
        <w:r w:rsidRPr="004A3E91">
          <w:rPr>
            <w:rStyle w:val="Hyperlink"/>
            <w:sz w:val="16"/>
            <w:szCs w:val="18"/>
          </w:rPr>
          <w:t>De zorgplicht: handvatten voor zorgverzekeraars - Nederlandse Zorgautoriteit</w:t>
        </w:r>
      </w:hyperlink>
      <w:r w:rsidRPr="004A3E91">
        <w:rPr>
          <w:sz w:val="16"/>
          <w:szCs w:val="18"/>
        </w:rPr>
        <w:t xml:space="preserve">) </w:t>
      </w:r>
      <w:hyperlink r:id="rId4" w:history="1">
        <w:r w:rsidRPr="004A3E91">
          <w:rPr>
            <w:rStyle w:val="Hyperlink"/>
            <w:sz w:val="16"/>
            <w:szCs w:val="18"/>
          </w:rPr>
          <w:t xml:space="preserve">Beleidsregel toezichtkader zorgplicht zorgverzekeraars </w:t>
        </w:r>
        <w:proofErr w:type="spellStart"/>
        <w:r w:rsidRPr="004A3E91">
          <w:rPr>
            <w:rStyle w:val="Hyperlink"/>
            <w:sz w:val="16"/>
            <w:szCs w:val="18"/>
          </w:rPr>
          <w:t>Zvw</w:t>
        </w:r>
        <w:proofErr w:type="spellEnd"/>
        <w:r w:rsidRPr="004A3E91">
          <w:rPr>
            <w:rStyle w:val="Hyperlink"/>
            <w:sz w:val="16"/>
            <w:szCs w:val="18"/>
          </w:rPr>
          <w:t xml:space="preserve"> - TH/BR-025 - Nederlandse Zorgautoriteit</w:t>
        </w:r>
      </w:hyperlink>
    </w:p>
  </w:footnote>
  <w:footnote w:id="4">
    <w:p w14:paraId="33D41422" w14:textId="77777777" w:rsidR="00533B66" w:rsidRPr="004A3E91" w:rsidRDefault="00533B66" w:rsidP="00533B66">
      <w:pPr>
        <w:pStyle w:val="Voetnoottekst"/>
        <w:rPr>
          <w:sz w:val="16"/>
          <w:szCs w:val="18"/>
        </w:rPr>
      </w:pPr>
      <w:r>
        <w:rPr>
          <w:rStyle w:val="Voetnootmarkering"/>
        </w:rPr>
        <w:footnoteRef/>
      </w:r>
      <w:r>
        <w:t xml:space="preserve"> </w:t>
      </w:r>
      <w:r w:rsidRPr="004A3E91">
        <w:rPr>
          <w:sz w:val="16"/>
          <w:szCs w:val="18"/>
        </w:rPr>
        <w:t>Kamerstukken II, 2024–2025, 36 357, nr. 22</w:t>
      </w:r>
    </w:p>
  </w:footnote>
  <w:footnote w:id="5">
    <w:p w14:paraId="6A153C8F" w14:textId="77777777" w:rsidR="00533B66" w:rsidRPr="004A3E91" w:rsidRDefault="00533B66" w:rsidP="00533B66">
      <w:pPr>
        <w:pStyle w:val="Voetnoottekst"/>
        <w:rPr>
          <w:sz w:val="16"/>
          <w:szCs w:val="18"/>
        </w:rPr>
      </w:pPr>
      <w:r>
        <w:rPr>
          <w:rStyle w:val="Voetnootmarkering"/>
        </w:rPr>
        <w:footnoteRef/>
      </w:r>
      <w:r>
        <w:t xml:space="preserve"> </w:t>
      </w:r>
      <w:hyperlink r:id="rId5" w:history="1">
        <w:r w:rsidRPr="004A3E91">
          <w:rPr>
            <w:rStyle w:val="Hyperlink"/>
            <w:sz w:val="16"/>
            <w:szCs w:val="18"/>
          </w:rPr>
          <w:t>Rapport Handvatten duiding zorgplicht zorgkantoren - Nederlandse Zorgautoriteit</w:t>
        </w:r>
      </w:hyperlink>
    </w:p>
  </w:footnote>
  <w:footnote w:id="6">
    <w:p w14:paraId="4BC11C7B" w14:textId="77777777" w:rsidR="00533B66" w:rsidRDefault="00533B66" w:rsidP="00533B66">
      <w:pPr>
        <w:pStyle w:val="Voetnoottekst"/>
      </w:pPr>
      <w:r>
        <w:rPr>
          <w:rStyle w:val="Voetnootmarkering"/>
        </w:rPr>
        <w:footnoteRef/>
      </w:r>
      <w:r>
        <w:t xml:space="preserve"> </w:t>
      </w:r>
      <w:hyperlink r:id="rId6" w:history="1">
        <w:r w:rsidRPr="004A3E91">
          <w:rPr>
            <w:rStyle w:val="Hyperlink"/>
            <w:sz w:val="16"/>
            <w:szCs w:val="18"/>
          </w:rPr>
          <w:t xml:space="preserve">Beleidsregel normenkader </w:t>
        </w:r>
        <w:proofErr w:type="spellStart"/>
        <w:r w:rsidRPr="004A3E91">
          <w:rPr>
            <w:rStyle w:val="Hyperlink"/>
            <w:sz w:val="16"/>
            <w:szCs w:val="18"/>
          </w:rPr>
          <w:t>Wlz</w:t>
        </w:r>
        <w:proofErr w:type="spellEnd"/>
        <w:r w:rsidRPr="004A3E91">
          <w:rPr>
            <w:rStyle w:val="Hyperlink"/>
            <w:sz w:val="16"/>
            <w:szCs w:val="18"/>
          </w:rPr>
          <w:t>-uitvoerder TH/BR-038 - Nederlandse Zorgautoriteit</w:t>
        </w:r>
      </w:hyperlink>
    </w:p>
  </w:footnote>
  <w:footnote w:id="7">
    <w:p w14:paraId="4A6E6F0D" w14:textId="77777777" w:rsidR="00533B66" w:rsidRDefault="00533B66" w:rsidP="00533B66">
      <w:pPr>
        <w:pStyle w:val="Voetnoottekst"/>
      </w:pPr>
      <w:r>
        <w:rPr>
          <w:rStyle w:val="Voetnootmarkering"/>
        </w:rPr>
        <w:footnoteRef/>
      </w:r>
      <w:r>
        <w:t xml:space="preserve"> </w:t>
      </w:r>
      <w:hyperlink r:id="rId7" w:history="1">
        <w:r w:rsidRPr="004A3E91">
          <w:rPr>
            <w:rStyle w:val="Hyperlink"/>
            <w:sz w:val="16"/>
            <w:szCs w:val="18"/>
          </w:rPr>
          <w:t>Rapportage Nu zorgen voor verpleeghuiscliënten van morgen - Nederlandse Zorgautoriteit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11DA" w14:textId="77777777" w:rsidR="00533B66" w:rsidRPr="00533B66" w:rsidRDefault="00533B66" w:rsidP="00533B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3FF0" w14:textId="77777777" w:rsidR="00533B66" w:rsidRPr="00533B66" w:rsidRDefault="00533B66" w:rsidP="00533B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AED9" w14:textId="77777777" w:rsidR="00533B66" w:rsidRPr="00533B66" w:rsidRDefault="00533B66" w:rsidP="00533B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66"/>
    <w:rsid w:val="003961C9"/>
    <w:rsid w:val="00533B66"/>
    <w:rsid w:val="00561B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481B0"/>
  <w15:chartTrackingRefBased/>
  <w15:docId w15:val="{6BC8F4EE-3863-40CA-A955-7456B5D1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3B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33B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33B6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33B6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33B6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33B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3B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3B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3B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3B6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33B6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33B6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33B6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33B6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33B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3B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3B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3B66"/>
    <w:rPr>
      <w:rFonts w:eastAsiaTheme="majorEastAsia" w:cstheme="majorBidi"/>
      <w:color w:val="272727" w:themeColor="text1" w:themeTint="D8"/>
    </w:rPr>
  </w:style>
  <w:style w:type="paragraph" w:styleId="Titel">
    <w:name w:val="Title"/>
    <w:basedOn w:val="Standaard"/>
    <w:next w:val="Standaard"/>
    <w:link w:val="TitelChar"/>
    <w:uiPriority w:val="10"/>
    <w:qFormat/>
    <w:rsid w:val="00533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3B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3B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3B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3B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3B66"/>
    <w:rPr>
      <w:i/>
      <w:iCs/>
      <w:color w:val="404040" w:themeColor="text1" w:themeTint="BF"/>
    </w:rPr>
  </w:style>
  <w:style w:type="paragraph" w:styleId="Lijstalinea">
    <w:name w:val="List Paragraph"/>
    <w:basedOn w:val="Standaard"/>
    <w:uiPriority w:val="34"/>
    <w:qFormat/>
    <w:rsid w:val="00533B66"/>
    <w:pPr>
      <w:ind w:left="720"/>
      <w:contextualSpacing/>
    </w:pPr>
  </w:style>
  <w:style w:type="character" w:styleId="Intensievebenadrukking">
    <w:name w:val="Intense Emphasis"/>
    <w:basedOn w:val="Standaardalinea-lettertype"/>
    <w:uiPriority w:val="21"/>
    <w:qFormat/>
    <w:rsid w:val="00533B66"/>
    <w:rPr>
      <w:i/>
      <w:iCs/>
      <w:color w:val="2F5496" w:themeColor="accent1" w:themeShade="BF"/>
    </w:rPr>
  </w:style>
  <w:style w:type="paragraph" w:styleId="Duidelijkcitaat">
    <w:name w:val="Intense Quote"/>
    <w:basedOn w:val="Standaard"/>
    <w:next w:val="Standaard"/>
    <w:link w:val="DuidelijkcitaatChar"/>
    <w:uiPriority w:val="30"/>
    <w:qFormat/>
    <w:rsid w:val="00533B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33B66"/>
    <w:rPr>
      <w:i/>
      <w:iCs/>
      <w:color w:val="2F5496" w:themeColor="accent1" w:themeShade="BF"/>
    </w:rPr>
  </w:style>
  <w:style w:type="character" w:styleId="Intensieveverwijzing">
    <w:name w:val="Intense Reference"/>
    <w:basedOn w:val="Standaardalinea-lettertype"/>
    <w:uiPriority w:val="32"/>
    <w:qFormat/>
    <w:rsid w:val="00533B66"/>
    <w:rPr>
      <w:b/>
      <w:bCs/>
      <w:smallCaps/>
      <w:color w:val="2F5496" w:themeColor="accent1" w:themeShade="BF"/>
      <w:spacing w:val="5"/>
    </w:rPr>
  </w:style>
  <w:style w:type="paragraph" w:styleId="Voetnoottekst">
    <w:name w:val="footnote text"/>
    <w:basedOn w:val="Standaard"/>
    <w:link w:val="VoetnoottekstChar"/>
    <w:uiPriority w:val="99"/>
    <w:semiHidden/>
    <w:rsid w:val="00533B6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533B66"/>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533B66"/>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533B6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33B6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33B6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33B66"/>
    <w:rPr>
      <w:rFonts w:ascii="Verdana" w:eastAsia="Times New Roman" w:hAnsi="Verdana" w:cs="Times New Roman"/>
      <w:kern w:val="0"/>
      <w:sz w:val="18"/>
      <w:szCs w:val="20"/>
      <w:lang w:eastAsia="nl-NL"/>
      <w14:ligatures w14:val="none"/>
    </w:rPr>
  </w:style>
  <w:style w:type="character" w:styleId="Hyperlink">
    <w:name w:val="Hyperlink"/>
    <w:basedOn w:val="Standaardalinea-lettertype"/>
    <w:rsid w:val="00533B66"/>
    <w:rPr>
      <w:color w:val="0563C1" w:themeColor="hyperlink"/>
      <w:u w:val="single"/>
    </w:rPr>
  </w:style>
  <w:style w:type="character" w:styleId="Voetnootmarkering">
    <w:name w:val="footnote reference"/>
    <w:basedOn w:val="Standaardalinea-lettertype"/>
    <w:uiPriority w:val="99"/>
    <w:unhideWhenUsed/>
    <w:rsid w:val="00533B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uc.overheid.nl/nza/doc/PUC_323566_22/" TargetMode="External"/><Relationship Id="rId7" Type="http://schemas.openxmlformats.org/officeDocument/2006/relationships/hyperlink" Target="https://puc.overheid.nl/nza/doc/PUC_801534_22/" TargetMode="External"/><Relationship Id="rId2" Type="http://schemas.openxmlformats.org/officeDocument/2006/relationships/hyperlink" Target="https://www.zorgcijfersdatabank.nl/toelichting/wachtlijstinformatie/wachtlijstinformatie-wlz" TargetMode="External"/><Relationship Id="rId1" Type="http://schemas.openxmlformats.org/officeDocument/2006/relationships/hyperlink" Target="https://open.overheid.nl/documenten/b4ec44a9-bf5a-4f6d-af0a-a059112815b1/file" TargetMode="External"/><Relationship Id="rId6" Type="http://schemas.openxmlformats.org/officeDocument/2006/relationships/hyperlink" Target="https://puc.overheid.nl/nza/doc/PUC_782059_22/" TargetMode="External"/><Relationship Id="rId5" Type="http://schemas.openxmlformats.org/officeDocument/2006/relationships/hyperlink" Target="https://puc.overheid.nl/nza/doc/PUC_661270_22/1/" TargetMode="External"/><Relationship Id="rId4" Type="http://schemas.openxmlformats.org/officeDocument/2006/relationships/hyperlink" Target="https://puc.overheid.nl/nza/doc/PUC_21832_22/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1336</ap:Words>
  <ap:Characters>7354</ap:Characters>
  <ap:DocSecurity>0</ap:DocSecurity>
  <ap:Lines>61</ap:Lines>
  <ap:Paragraphs>17</ap:Paragraphs>
  <ap:ScaleCrop>false</ap:ScaleCrop>
  <ap:LinksUpToDate>false</ap:LinksUpToDate>
  <ap:CharactersWithSpaces>8673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2026-02-27T16:00:00.0000000Z</dcterms:created>
  <dcterms:modified xsi:type="dcterms:W3CDTF">2026-02-27T16:01:00.0000000Z</dcterms:modified>
  <version/>
  <category/>
</coreProperties>
</file>