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3949" w:rsidR="006C13A8" w:rsidP="00463949" w:rsidRDefault="00463949" w14:paraId="17D82EFD" w14:textId="4BAC17BA">
      <w:pPr>
        <w:spacing w:before="40" w:after="40" w:line="276" w:lineRule="auto"/>
        <w:ind w:left="2160" w:hanging="2160"/>
        <w:rPr>
          <w:rFonts w:ascii="Times New Roman" w:hAnsi="Times New Roman" w:cs="Times New Roman"/>
          <w:b/>
          <w:bCs/>
          <w:sz w:val="24"/>
          <w:szCs w:val="24"/>
        </w:rPr>
      </w:pPr>
      <w:bookmarkStart w:name="_Hlk190102443" w:id="0"/>
      <w:r w:rsidRPr="00463949">
        <w:rPr>
          <w:rFonts w:ascii="Times New Roman" w:hAnsi="Times New Roman" w:cs="Times New Roman"/>
          <w:b/>
          <w:bCs/>
          <w:sz w:val="24"/>
          <w:szCs w:val="24"/>
        </w:rPr>
        <w:t>36 906</w:t>
      </w:r>
      <w:r w:rsidRPr="00463949">
        <w:rPr>
          <w:rFonts w:ascii="Times New Roman" w:hAnsi="Times New Roman" w:cs="Times New Roman"/>
          <w:b/>
          <w:bCs/>
          <w:sz w:val="24"/>
          <w:szCs w:val="24"/>
        </w:rPr>
        <w:tab/>
      </w:r>
      <w:r w:rsidRPr="00463949" w:rsidR="006C13A8">
        <w:rPr>
          <w:rFonts w:ascii="Times New Roman" w:hAnsi="Times New Roman" w:cs="Times New Roman"/>
          <w:b/>
          <w:bCs/>
          <w:sz w:val="24"/>
          <w:szCs w:val="24"/>
        </w:rPr>
        <w:t>Wijziging van de Boeken 6 en 7 van het Burgerlijk Wetboek en de Overgangswet nieuw Burgerlijk Wetboek ter implementatie van Richtlijn (EU) 2024/2853 van het Europees Parlement en de Raad van 23 oktober 2024 inzake aansprakelijkheid voor gebrekkige producten en tot intrekking van Richtlijn 85/374/EEG van de Raad (Implementatiewet richtlijn herziening productaansprakelijkheid)</w:t>
      </w:r>
    </w:p>
    <w:p w:rsidRPr="00463949" w:rsidR="006C13A8" w:rsidP="006C13A8" w:rsidRDefault="006C13A8" w14:paraId="5B8F606C" w14:textId="77777777">
      <w:pPr>
        <w:spacing w:after="0" w:line="276" w:lineRule="auto"/>
        <w:rPr>
          <w:rFonts w:ascii="Times New Roman" w:hAnsi="Times New Roman" w:cs="Times New Roman"/>
          <w:b/>
          <w:bCs/>
          <w:sz w:val="24"/>
          <w:szCs w:val="24"/>
        </w:rPr>
      </w:pPr>
    </w:p>
    <w:p w:rsidRPr="00463949" w:rsidR="006C13A8" w:rsidP="006C13A8" w:rsidRDefault="006C13A8" w14:paraId="2672F823" w14:textId="77777777">
      <w:pPr>
        <w:spacing w:after="0" w:line="276" w:lineRule="auto"/>
        <w:rPr>
          <w:rFonts w:ascii="Times New Roman" w:hAnsi="Times New Roman" w:cs="Times New Roman"/>
          <w:b/>
          <w:bCs/>
          <w:sz w:val="24"/>
          <w:szCs w:val="24"/>
        </w:rPr>
      </w:pPr>
    </w:p>
    <w:p w:rsidRPr="00463949" w:rsidR="006C13A8" w:rsidP="006C13A8" w:rsidRDefault="00463949" w14:paraId="23A61595" w14:textId="3DFDBFC4">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Nr. 3</w:t>
      </w:r>
      <w:r w:rsidRPr="00463949">
        <w:rPr>
          <w:rFonts w:ascii="Times New Roman" w:hAnsi="Times New Roman" w:cs="Times New Roman"/>
          <w:b/>
          <w:bCs/>
          <w:sz w:val="24"/>
          <w:szCs w:val="24"/>
        </w:rPr>
        <w:tab/>
      </w:r>
      <w:r w:rsidRPr="00463949">
        <w:rPr>
          <w:rFonts w:ascii="Times New Roman" w:hAnsi="Times New Roman" w:cs="Times New Roman"/>
          <w:b/>
          <w:bCs/>
          <w:sz w:val="24"/>
          <w:szCs w:val="24"/>
        </w:rPr>
        <w:tab/>
      </w:r>
      <w:r>
        <w:rPr>
          <w:rFonts w:ascii="Times New Roman" w:hAnsi="Times New Roman" w:cs="Times New Roman"/>
          <w:b/>
          <w:bCs/>
          <w:sz w:val="24"/>
          <w:szCs w:val="24"/>
        </w:rPr>
        <w:tab/>
      </w:r>
      <w:r w:rsidRPr="00463949" w:rsidR="006C13A8">
        <w:rPr>
          <w:rFonts w:ascii="Times New Roman" w:hAnsi="Times New Roman" w:cs="Times New Roman"/>
          <w:b/>
          <w:bCs/>
          <w:sz w:val="24"/>
          <w:szCs w:val="24"/>
        </w:rPr>
        <w:t>MEMORIE VAN TOELICHTING</w:t>
      </w:r>
    </w:p>
    <w:p w:rsidRPr="00463949" w:rsidR="006C13A8" w:rsidP="006C13A8" w:rsidRDefault="006C13A8" w14:paraId="3596B7D1" w14:textId="77777777">
      <w:pPr>
        <w:spacing w:after="0" w:line="276" w:lineRule="auto"/>
        <w:rPr>
          <w:rFonts w:ascii="Times New Roman" w:hAnsi="Times New Roman" w:cs="Times New Roman"/>
          <w:b/>
          <w:bCs/>
          <w:sz w:val="24"/>
          <w:szCs w:val="24"/>
        </w:rPr>
      </w:pPr>
    </w:p>
    <w:p w:rsidRPr="00463949" w:rsidR="006C13A8" w:rsidP="006C13A8" w:rsidRDefault="006C13A8" w14:paraId="721699B9" w14:textId="77777777">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I. ALGEMEEN DEEL</w:t>
      </w:r>
    </w:p>
    <w:p w:rsidRPr="00463949" w:rsidR="006C13A8" w:rsidP="006C13A8" w:rsidRDefault="006C13A8" w14:paraId="68145560" w14:textId="77777777">
      <w:pPr>
        <w:spacing w:after="0" w:line="276" w:lineRule="auto"/>
        <w:rPr>
          <w:rFonts w:ascii="Times New Roman" w:hAnsi="Times New Roman" w:cs="Times New Roman"/>
          <w:b/>
          <w:bCs/>
          <w:sz w:val="24"/>
          <w:szCs w:val="24"/>
        </w:rPr>
      </w:pPr>
    </w:p>
    <w:p w:rsidRPr="00463949" w:rsidR="006C13A8" w:rsidP="006C13A8" w:rsidRDefault="006C13A8" w14:paraId="6F1C37C9" w14:textId="77777777">
      <w:pPr>
        <w:pStyle w:val="Lijstalinea"/>
        <w:numPr>
          <w:ilvl w:val="0"/>
          <w:numId w:val="1"/>
        </w:num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Inleiding</w:t>
      </w:r>
    </w:p>
    <w:p w:rsidRPr="00463949" w:rsidR="009913D7" w:rsidP="009913D7" w:rsidRDefault="009913D7" w14:paraId="22564387" w14:textId="77777777">
      <w:pPr>
        <w:spacing w:after="0" w:line="276" w:lineRule="auto"/>
        <w:rPr>
          <w:rFonts w:ascii="Times New Roman" w:hAnsi="Times New Roman" w:cs="Times New Roman"/>
          <w:b/>
          <w:bCs/>
          <w:sz w:val="24"/>
          <w:szCs w:val="24"/>
        </w:rPr>
      </w:pPr>
    </w:p>
    <w:p w:rsidRPr="00463949" w:rsidR="006C13A8" w:rsidP="006C13A8" w:rsidRDefault="006C13A8" w14:paraId="28951A26" w14:textId="56AAA96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Dit wetsvoorstel</w:t>
      </w:r>
      <w:r w:rsidRPr="00463949" w:rsidR="00830926">
        <w:rPr>
          <w:rFonts w:ascii="Times New Roman" w:hAnsi="Times New Roman" w:cs="Times New Roman"/>
          <w:sz w:val="24"/>
          <w:szCs w:val="24"/>
        </w:rPr>
        <w:t>, dat mede namens de minister van Economische Zaken wordt ingediend,</w:t>
      </w:r>
      <w:r w:rsidRPr="00463949">
        <w:rPr>
          <w:rFonts w:ascii="Times New Roman" w:hAnsi="Times New Roman" w:cs="Times New Roman"/>
          <w:sz w:val="24"/>
          <w:szCs w:val="24"/>
        </w:rPr>
        <w:t xml:space="preserve"> </w:t>
      </w:r>
      <w:r w:rsidRPr="00463949" w:rsidR="001543B4">
        <w:rPr>
          <w:rFonts w:ascii="Times New Roman" w:hAnsi="Times New Roman" w:cs="Times New Roman"/>
          <w:sz w:val="24"/>
          <w:szCs w:val="24"/>
        </w:rPr>
        <w:t>strekt tot implementatie van de Richtlijn herziening productaansprakelijkheid (hierna: de Richtlijn).</w:t>
      </w:r>
      <w:r w:rsidRPr="00463949" w:rsidR="001543B4">
        <w:rPr>
          <w:rStyle w:val="Voetnootmarkering"/>
          <w:rFonts w:ascii="Times New Roman" w:hAnsi="Times New Roman" w:cs="Times New Roman"/>
          <w:sz w:val="24"/>
          <w:szCs w:val="24"/>
        </w:rPr>
        <w:footnoteReference w:id="1"/>
      </w:r>
      <w:r w:rsidRPr="00463949" w:rsidR="001543B4">
        <w:rPr>
          <w:rFonts w:ascii="Times New Roman" w:hAnsi="Times New Roman" w:cs="Times New Roman"/>
          <w:sz w:val="24"/>
          <w:szCs w:val="24"/>
        </w:rPr>
        <w:t xml:space="preserve"> </w:t>
      </w:r>
      <w:r w:rsidRPr="00463949">
        <w:rPr>
          <w:rFonts w:ascii="Times New Roman" w:hAnsi="Times New Roman" w:cs="Times New Roman"/>
          <w:sz w:val="24"/>
          <w:szCs w:val="24"/>
        </w:rPr>
        <w:t xml:space="preserve">De Richtlijn is op 18 november 2024 gepubliceerd (in publicatieblad L) en op 8 december 2024 in werking getreden. De Richtlijn moet uiterlijk op 9 december 2026 zijn omgezet in het nationale recht. </w:t>
      </w:r>
      <w:r w:rsidRPr="00463949" w:rsidR="00923A6A">
        <w:rPr>
          <w:rFonts w:ascii="Times New Roman" w:hAnsi="Times New Roman" w:cs="Times New Roman"/>
          <w:sz w:val="24"/>
          <w:szCs w:val="24"/>
        </w:rPr>
        <w:t xml:space="preserve">Dit </w:t>
      </w:r>
      <w:r w:rsidRPr="00463949" w:rsidR="00A95234">
        <w:rPr>
          <w:rFonts w:ascii="Times New Roman" w:hAnsi="Times New Roman" w:cs="Times New Roman"/>
          <w:sz w:val="24"/>
          <w:szCs w:val="24"/>
        </w:rPr>
        <w:t>wets</w:t>
      </w:r>
      <w:r w:rsidRPr="00463949" w:rsidR="00923A6A">
        <w:rPr>
          <w:rFonts w:ascii="Times New Roman" w:hAnsi="Times New Roman" w:cs="Times New Roman"/>
          <w:sz w:val="24"/>
          <w:szCs w:val="24"/>
        </w:rPr>
        <w:t xml:space="preserve">voorstel </w:t>
      </w:r>
      <w:r w:rsidRPr="00463949">
        <w:rPr>
          <w:rFonts w:ascii="Times New Roman" w:hAnsi="Times New Roman" w:cs="Times New Roman"/>
          <w:sz w:val="24"/>
          <w:szCs w:val="24"/>
        </w:rPr>
        <w:t xml:space="preserve">bevat </w:t>
      </w:r>
      <w:r w:rsidRPr="00463949" w:rsidR="001543B4">
        <w:rPr>
          <w:rFonts w:ascii="Times New Roman" w:hAnsi="Times New Roman" w:cs="Times New Roman"/>
          <w:sz w:val="24"/>
          <w:szCs w:val="24"/>
        </w:rPr>
        <w:t xml:space="preserve">wijzigingen van de Boeken 6 en 7 van het Burgerlijk Wetboek (BW) en de Overgangswet nieuw Burgerlijk Wetboek. Het voorstel bevat </w:t>
      </w:r>
      <w:r w:rsidRPr="00463949">
        <w:rPr>
          <w:rFonts w:ascii="Times New Roman" w:hAnsi="Times New Roman" w:cs="Times New Roman"/>
          <w:sz w:val="24"/>
          <w:szCs w:val="24"/>
        </w:rPr>
        <w:t>uitsluitend regels die noodzakelijk zijn voor de implementatie.</w:t>
      </w:r>
      <w:r w:rsidRPr="00463949">
        <w:rPr>
          <w:rStyle w:val="Voetnootmarkering"/>
          <w:rFonts w:ascii="Times New Roman" w:hAnsi="Times New Roman" w:cs="Times New Roman"/>
          <w:sz w:val="24"/>
          <w:szCs w:val="24"/>
        </w:rPr>
        <w:footnoteReference w:id="2"/>
      </w:r>
      <w:r w:rsidRPr="00463949">
        <w:rPr>
          <w:rFonts w:ascii="Times New Roman" w:hAnsi="Times New Roman" w:cs="Times New Roman"/>
          <w:sz w:val="24"/>
          <w:szCs w:val="24"/>
        </w:rPr>
        <w:t xml:space="preserve"> </w:t>
      </w:r>
      <w:r w:rsidRPr="00463949" w:rsidR="00E855F2">
        <w:rPr>
          <w:rFonts w:ascii="Times New Roman" w:hAnsi="Times New Roman" w:cs="Times New Roman"/>
          <w:sz w:val="24"/>
          <w:szCs w:val="24"/>
        </w:rPr>
        <w:t xml:space="preserve">Daarbij </w:t>
      </w:r>
      <w:r w:rsidRPr="00463949">
        <w:rPr>
          <w:rFonts w:ascii="Times New Roman" w:hAnsi="Times New Roman" w:cs="Times New Roman"/>
          <w:sz w:val="24"/>
          <w:szCs w:val="24"/>
        </w:rPr>
        <w:t>is gekozen voor de implementatiewijze die de minste lasten oplegt aan het bedrijfsleven.</w:t>
      </w:r>
      <w:r w:rsidRPr="00463949">
        <w:rPr>
          <w:rStyle w:val="Voetnootmarkering"/>
          <w:rFonts w:ascii="Times New Roman" w:hAnsi="Times New Roman" w:cs="Times New Roman"/>
          <w:sz w:val="24"/>
          <w:szCs w:val="24"/>
        </w:rPr>
        <w:footnoteReference w:id="3"/>
      </w:r>
    </w:p>
    <w:p w:rsidRPr="00463949" w:rsidR="006C13A8" w:rsidP="006C13A8" w:rsidRDefault="006C13A8" w14:paraId="7B18EEA8" w14:textId="77777777">
      <w:pPr>
        <w:spacing w:after="0" w:line="276" w:lineRule="auto"/>
        <w:rPr>
          <w:rFonts w:ascii="Times New Roman" w:hAnsi="Times New Roman" w:cs="Times New Roman"/>
          <w:sz w:val="24"/>
          <w:szCs w:val="24"/>
        </w:rPr>
      </w:pPr>
    </w:p>
    <w:p w:rsidRPr="00463949" w:rsidR="006C13A8" w:rsidP="006C13A8" w:rsidRDefault="001543B4" w14:paraId="06888E7B" w14:textId="62C04153">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paragraaf 2 wordt stilgestaan bij de </w:t>
      </w:r>
      <w:r w:rsidRPr="00463949" w:rsidR="002E33AC">
        <w:rPr>
          <w:rFonts w:ascii="Times New Roman" w:hAnsi="Times New Roman" w:cs="Times New Roman"/>
          <w:sz w:val="24"/>
          <w:szCs w:val="24"/>
        </w:rPr>
        <w:t xml:space="preserve">achtergrond, </w:t>
      </w:r>
      <w:r w:rsidRPr="00463949">
        <w:rPr>
          <w:rFonts w:ascii="Times New Roman" w:hAnsi="Times New Roman" w:cs="Times New Roman"/>
          <w:sz w:val="24"/>
          <w:szCs w:val="24"/>
        </w:rPr>
        <w:t xml:space="preserve">totstandkoming en inhoud van de Richtlijn, waarna in paragraaf 3 de wijze van implementatie wordt beschreven. Vervolgens wordt in paragraaf 4 aandacht besteed aan </w:t>
      </w:r>
      <w:r w:rsidRPr="00463949" w:rsidR="006C13A8">
        <w:rPr>
          <w:rFonts w:ascii="Times New Roman" w:hAnsi="Times New Roman" w:cs="Times New Roman"/>
          <w:sz w:val="24"/>
          <w:szCs w:val="24"/>
        </w:rPr>
        <w:t xml:space="preserve">de </w:t>
      </w:r>
      <w:r w:rsidRPr="00463949" w:rsidR="00467DCC">
        <w:rPr>
          <w:rFonts w:ascii="Times New Roman" w:hAnsi="Times New Roman" w:cs="Times New Roman"/>
          <w:sz w:val="24"/>
          <w:szCs w:val="24"/>
        </w:rPr>
        <w:t xml:space="preserve">verwachte </w:t>
      </w:r>
      <w:r w:rsidRPr="00463949" w:rsidR="006C13A8">
        <w:rPr>
          <w:rFonts w:ascii="Times New Roman" w:hAnsi="Times New Roman" w:cs="Times New Roman"/>
          <w:sz w:val="24"/>
          <w:szCs w:val="24"/>
        </w:rPr>
        <w:t xml:space="preserve">gevolgen voor burgers, </w:t>
      </w:r>
      <w:r w:rsidRPr="00463949">
        <w:rPr>
          <w:rFonts w:ascii="Times New Roman" w:hAnsi="Times New Roman" w:cs="Times New Roman"/>
          <w:sz w:val="24"/>
          <w:szCs w:val="24"/>
        </w:rPr>
        <w:t xml:space="preserve">het </w:t>
      </w:r>
      <w:r w:rsidRPr="00463949" w:rsidR="006C13A8">
        <w:rPr>
          <w:rFonts w:ascii="Times New Roman" w:hAnsi="Times New Roman" w:cs="Times New Roman"/>
          <w:sz w:val="24"/>
          <w:szCs w:val="24"/>
        </w:rPr>
        <w:t xml:space="preserve">bedrijfsleven en </w:t>
      </w:r>
      <w:r w:rsidRPr="00463949">
        <w:rPr>
          <w:rFonts w:ascii="Times New Roman" w:hAnsi="Times New Roman" w:cs="Times New Roman"/>
          <w:sz w:val="24"/>
          <w:szCs w:val="24"/>
        </w:rPr>
        <w:t xml:space="preserve">de </w:t>
      </w:r>
      <w:r w:rsidRPr="00463949" w:rsidR="006C13A8">
        <w:rPr>
          <w:rFonts w:ascii="Times New Roman" w:hAnsi="Times New Roman" w:cs="Times New Roman"/>
          <w:sz w:val="24"/>
          <w:szCs w:val="24"/>
        </w:rPr>
        <w:t>rechtspraak</w:t>
      </w:r>
      <w:r w:rsidRPr="00463949">
        <w:rPr>
          <w:rFonts w:ascii="Times New Roman" w:hAnsi="Times New Roman" w:cs="Times New Roman"/>
          <w:sz w:val="24"/>
          <w:szCs w:val="24"/>
        </w:rPr>
        <w:t xml:space="preserve">. Paragraaf 5 gaat in op de </w:t>
      </w:r>
      <w:r w:rsidRPr="00463949" w:rsidR="00467DCC">
        <w:rPr>
          <w:rFonts w:ascii="Times New Roman" w:hAnsi="Times New Roman" w:cs="Times New Roman"/>
          <w:sz w:val="24"/>
          <w:szCs w:val="24"/>
        </w:rPr>
        <w:t xml:space="preserve">verwachte </w:t>
      </w:r>
      <w:r w:rsidRPr="00463949">
        <w:rPr>
          <w:rFonts w:ascii="Times New Roman" w:hAnsi="Times New Roman" w:cs="Times New Roman"/>
          <w:sz w:val="24"/>
          <w:szCs w:val="24"/>
        </w:rPr>
        <w:t xml:space="preserve">financiële gevolgen van dit wetsvoorstel. In paragraaf 6 wordt ingegaan op de </w:t>
      </w:r>
      <w:r w:rsidRPr="00463949" w:rsidR="006C13A8">
        <w:rPr>
          <w:rFonts w:ascii="Times New Roman" w:hAnsi="Times New Roman" w:cs="Times New Roman"/>
          <w:sz w:val="24"/>
          <w:szCs w:val="24"/>
        </w:rPr>
        <w:t>adviezen en consultatie</w:t>
      </w:r>
      <w:r w:rsidRPr="00463949">
        <w:rPr>
          <w:rFonts w:ascii="Times New Roman" w:hAnsi="Times New Roman" w:cs="Times New Roman"/>
          <w:sz w:val="24"/>
          <w:szCs w:val="24"/>
        </w:rPr>
        <w:t xml:space="preserve">. Tot slot is paragraaf 7 gewijd aan </w:t>
      </w:r>
      <w:r w:rsidRPr="00463949" w:rsidR="006C13A8">
        <w:rPr>
          <w:rFonts w:ascii="Times New Roman" w:hAnsi="Times New Roman" w:cs="Times New Roman"/>
          <w:sz w:val="24"/>
          <w:szCs w:val="24"/>
        </w:rPr>
        <w:t>het overgangsrecht en de inwerkingtreding</w:t>
      </w:r>
      <w:r w:rsidRPr="00463949">
        <w:rPr>
          <w:rFonts w:ascii="Times New Roman" w:hAnsi="Times New Roman" w:cs="Times New Roman"/>
          <w:sz w:val="24"/>
          <w:szCs w:val="24"/>
        </w:rPr>
        <w:t xml:space="preserve"> van dit wetsvoorstel</w:t>
      </w:r>
      <w:r w:rsidRPr="00463949" w:rsidR="006C13A8">
        <w:rPr>
          <w:rFonts w:ascii="Times New Roman" w:hAnsi="Times New Roman" w:cs="Times New Roman"/>
          <w:sz w:val="24"/>
          <w:szCs w:val="24"/>
        </w:rPr>
        <w:t xml:space="preserve">. </w:t>
      </w:r>
      <w:r w:rsidRPr="00463949">
        <w:rPr>
          <w:rFonts w:ascii="Times New Roman" w:hAnsi="Times New Roman" w:cs="Times New Roman"/>
          <w:sz w:val="24"/>
          <w:szCs w:val="24"/>
        </w:rPr>
        <w:t>Na het algemene deel van de toelichting is een artikelsgewijze toelichting opgenomen.</w:t>
      </w:r>
      <w:r w:rsidRPr="00463949" w:rsidR="006C13A8">
        <w:rPr>
          <w:rFonts w:ascii="Times New Roman" w:hAnsi="Times New Roman" w:cs="Times New Roman"/>
          <w:sz w:val="24"/>
          <w:szCs w:val="24"/>
        </w:rPr>
        <w:t xml:space="preserve"> </w:t>
      </w:r>
      <w:r w:rsidRPr="00463949">
        <w:rPr>
          <w:rFonts w:ascii="Times New Roman" w:hAnsi="Times New Roman" w:cs="Times New Roman"/>
          <w:sz w:val="24"/>
          <w:szCs w:val="24"/>
        </w:rPr>
        <w:t xml:space="preserve">De </w:t>
      </w:r>
      <w:r w:rsidRPr="00463949" w:rsidR="00830926">
        <w:rPr>
          <w:rFonts w:ascii="Times New Roman" w:hAnsi="Times New Roman" w:cs="Times New Roman"/>
          <w:sz w:val="24"/>
          <w:szCs w:val="24"/>
        </w:rPr>
        <w:t xml:space="preserve">bijlage bij </w:t>
      </w:r>
      <w:r w:rsidRPr="00463949" w:rsidR="006C13A8">
        <w:rPr>
          <w:rFonts w:ascii="Times New Roman" w:hAnsi="Times New Roman" w:cs="Times New Roman"/>
          <w:sz w:val="24"/>
          <w:szCs w:val="24"/>
        </w:rPr>
        <w:t xml:space="preserve">de memorie van toelichting </w:t>
      </w:r>
      <w:r w:rsidRPr="00463949">
        <w:rPr>
          <w:rFonts w:ascii="Times New Roman" w:hAnsi="Times New Roman" w:cs="Times New Roman"/>
          <w:sz w:val="24"/>
          <w:szCs w:val="24"/>
        </w:rPr>
        <w:t xml:space="preserve">bevat </w:t>
      </w:r>
      <w:r w:rsidRPr="00463949" w:rsidR="006C13A8">
        <w:rPr>
          <w:rFonts w:ascii="Times New Roman" w:hAnsi="Times New Roman" w:cs="Times New Roman"/>
          <w:sz w:val="24"/>
          <w:szCs w:val="24"/>
        </w:rPr>
        <w:t>een transponeringstabel, waaruit blijkt of en hoe de afzonderlijke bepalingen van de Richtlijn zijn of worden geïmplementeerd.</w:t>
      </w:r>
    </w:p>
    <w:p w:rsidRPr="00463949" w:rsidR="006C13A8" w:rsidP="006C13A8" w:rsidRDefault="006C13A8" w14:paraId="3FCECA71" w14:textId="77777777">
      <w:pPr>
        <w:spacing w:after="0" w:line="276" w:lineRule="auto"/>
        <w:rPr>
          <w:rFonts w:ascii="Times New Roman" w:hAnsi="Times New Roman" w:cs="Times New Roman"/>
          <w:sz w:val="24"/>
          <w:szCs w:val="24"/>
        </w:rPr>
      </w:pPr>
    </w:p>
    <w:p w:rsidRPr="00463949" w:rsidR="006C13A8" w:rsidP="006C13A8" w:rsidRDefault="006C13A8" w14:paraId="7B392F02" w14:textId="77777777">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2. De Richtlijn: de belangrijkste inhoudelijke punten</w:t>
      </w:r>
    </w:p>
    <w:p w:rsidRPr="00463949" w:rsidR="006C13A8" w:rsidP="006C13A8" w:rsidRDefault="006C13A8" w14:paraId="5BCD5763" w14:textId="77777777">
      <w:pPr>
        <w:spacing w:after="0" w:line="276" w:lineRule="auto"/>
        <w:rPr>
          <w:rFonts w:ascii="Times New Roman" w:hAnsi="Times New Roman" w:cs="Times New Roman"/>
          <w:b/>
          <w:bCs/>
          <w:sz w:val="24"/>
          <w:szCs w:val="24"/>
        </w:rPr>
      </w:pPr>
    </w:p>
    <w:p w:rsidRPr="00463949" w:rsidR="006C13A8" w:rsidP="006C13A8" w:rsidRDefault="006C13A8" w14:paraId="6F9E4DF3" w14:textId="3A7C4F79">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2.1 A</w:t>
      </w:r>
      <w:r w:rsidRPr="00463949" w:rsidR="00370469">
        <w:rPr>
          <w:rFonts w:ascii="Times New Roman" w:hAnsi="Times New Roman" w:cs="Times New Roman"/>
          <w:i/>
          <w:iCs/>
          <w:sz w:val="24"/>
          <w:szCs w:val="24"/>
        </w:rPr>
        <w:t>chtergrond: de richtlijn productaansprakelijkheid</w:t>
      </w:r>
      <w:r w:rsidRPr="00463949" w:rsidR="006D63B6">
        <w:rPr>
          <w:rFonts w:ascii="Times New Roman" w:hAnsi="Times New Roman" w:cs="Times New Roman"/>
          <w:i/>
          <w:iCs/>
          <w:sz w:val="24"/>
          <w:szCs w:val="24"/>
        </w:rPr>
        <w:t xml:space="preserve"> uit 1985</w:t>
      </w:r>
    </w:p>
    <w:p w:rsidRPr="00463949" w:rsidR="006C13A8" w:rsidP="006C13A8" w:rsidRDefault="006C13A8" w14:paraId="27214D14" w14:textId="77777777">
      <w:pPr>
        <w:spacing w:after="0" w:line="276" w:lineRule="auto"/>
        <w:rPr>
          <w:rFonts w:ascii="Times New Roman" w:hAnsi="Times New Roman" w:cs="Times New Roman"/>
          <w:sz w:val="24"/>
          <w:szCs w:val="24"/>
        </w:rPr>
      </w:pPr>
    </w:p>
    <w:p w:rsidRPr="00463949" w:rsidR="00990535" w:rsidP="006C13A8" w:rsidRDefault="006C13A8" w14:paraId="33522679" w14:textId="67D30072">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De huidige richtlijn productaansprakelijkheid</w:t>
      </w:r>
      <w:r w:rsidRPr="00463949" w:rsidR="0015111E">
        <w:rPr>
          <w:rFonts w:ascii="Times New Roman" w:hAnsi="Times New Roman" w:cs="Times New Roman"/>
          <w:sz w:val="24"/>
          <w:szCs w:val="24"/>
        </w:rPr>
        <w:t xml:space="preserve"> (hierna: Richtlijn 85/374)</w:t>
      </w:r>
      <w:r w:rsidRPr="00463949">
        <w:rPr>
          <w:rStyle w:val="Voetnootmarkering"/>
          <w:rFonts w:ascii="Times New Roman" w:hAnsi="Times New Roman" w:cs="Times New Roman"/>
          <w:sz w:val="24"/>
          <w:szCs w:val="24"/>
        </w:rPr>
        <w:footnoteReference w:id="4"/>
      </w:r>
      <w:r w:rsidRPr="00463949">
        <w:rPr>
          <w:rFonts w:ascii="Times New Roman" w:hAnsi="Times New Roman" w:cs="Times New Roman"/>
          <w:sz w:val="24"/>
          <w:szCs w:val="24"/>
        </w:rPr>
        <w:t xml:space="preserve"> dateert uit 1985 en voorziet in een harmonisatie van de regels over </w:t>
      </w:r>
      <w:r w:rsidRPr="00463949" w:rsidR="00705CDF">
        <w:rPr>
          <w:rFonts w:ascii="Times New Roman" w:hAnsi="Times New Roman" w:cs="Times New Roman"/>
          <w:sz w:val="24"/>
          <w:szCs w:val="24"/>
        </w:rPr>
        <w:t xml:space="preserve">de </w:t>
      </w:r>
      <w:r w:rsidRPr="00463949">
        <w:rPr>
          <w:rFonts w:ascii="Times New Roman" w:hAnsi="Times New Roman" w:cs="Times New Roman"/>
          <w:sz w:val="24"/>
          <w:szCs w:val="24"/>
        </w:rPr>
        <w:t xml:space="preserve">aansprakelijkheid voor gebrekkige producten. </w:t>
      </w:r>
      <w:r w:rsidRPr="00463949" w:rsidR="001F55BF">
        <w:rPr>
          <w:rFonts w:ascii="Times New Roman" w:hAnsi="Times New Roman" w:cs="Times New Roman"/>
          <w:sz w:val="24"/>
          <w:szCs w:val="24"/>
        </w:rPr>
        <w:t xml:space="preserve">Richtlijn 85/374 </w:t>
      </w:r>
      <w:r w:rsidRPr="00463949">
        <w:rPr>
          <w:rFonts w:ascii="Times New Roman" w:hAnsi="Times New Roman" w:cs="Times New Roman"/>
          <w:sz w:val="24"/>
          <w:szCs w:val="24"/>
        </w:rPr>
        <w:t xml:space="preserve">heeft </w:t>
      </w:r>
      <w:r w:rsidRPr="00463949" w:rsidR="0005138D">
        <w:rPr>
          <w:rFonts w:ascii="Times New Roman" w:hAnsi="Times New Roman" w:cs="Times New Roman"/>
          <w:sz w:val="24"/>
          <w:szCs w:val="24"/>
        </w:rPr>
        <w:t xml:space="preserve">als </w:t>
      </w:r>
      <w:r w:rsidRPr="00463949">
        <w:rPr>
          <w:rFonts w:ascii="Times New Roman" w:hAnsi="Times New Roman" w:cs="Times New Roman"/>
          <w:sz w:val="24"/>
          <w:szCs w:val="24"/>
        </w:rPr>
        <w:t>doel</w:t>
      </w:r>
      <w:r w:rsidRPr="00463949" w:rsidR="00370469">
        <w:rPr>
          <w:rFonts w:ascii="Times New Roman" w:hAnsi="Times New Roman" w:cs="Times New Roman"/>
          <w:sz w:val="24"/>
          <w:szCs w:val="24"/>
        </w:rPr>
        <w:t xml:space="preserve"> bij te dragen </w:t>
      </w:r>
      <w:r w:rsidRPr="00463949" w:rsidR="00872117">
        <w:rPr>
          <w:rFonts w:ascii="Times New Roman" w:hAnsi="Times New Roman" w:cs="Times New Roman"/>
          <w:sz w:val="24"/>
          <w:szCs w:val="24"/>
        </w:rPr>
        <w:t>aan een</w:t>
      </w:r>
      <w:r w:rsidRPr="00463949" w:rsidR="00370469">
        <w:rPr>
          <w:rFonts w:ascii="Times New Roman" w:hAnsi="Times New Roman" w:cs="Times New Roman"/>
          <w:sz w:val="24"/>
          <w:szCs w:val="24"/>
        </w:rPr>
        <w:t xml:space="preserve"> goede werking van de interne markt, onvervalste mededinging en een hoger niveau van </w:t>
      </w:r>
      <w:r w:rsidRPr="00463949" w:rsidR="004155AF">
        <w:rPr>
          <w:rFonts w:ascii="Times New Roman" w:hAnsi="Times New Roman" w:cs="Times New Roman"/>
          <w:sz w:val="24"/>
          <w:szCs w:val="24"/>
        </w:rPr>
        <w:t>consumenten</w:t>
      </w:r>
      <w:r w:rsidRPr="00463949" w:rsidR="00370469">
        <w:rPr>
          <w:rFonts w:ascii="Times New Roman" w:hAnsi="Times New Roman" w:cs="Times New Roman"/>
          <w:sz w:val="24"/>
          <w:szCs w:val="24"/>
        </w:rPr>
        <w:t xml:space="preserve">bescherming. </w:t>
      </w:r>
      <w:r w:rsidRPr="00463949" w:rsidR="00990535">
        <w:rPr>
          <w:rFonts w:ascii="Times New Roman" w:hAnsi="Times New Roman" w:cs="Times New Roman"/>
          <w:sz w:val="24"/>
          <w:szCs w:val="24"/>
        </w:rPr>
        <w:t xml:space="preserve">Productaansprakelijkheid is een </w:t>
      </w:r>
      <w:r w:rsidRPr="00463949" w:rsidR="00990535">
        <w:rPr>
          <w:rFonts w:ascii="Times New Roman" w:hAnsi="Times New Roman" w:cs="Times New Roman"/>
          <w:i/>
          <w:iCs/>
          <w:sz w:val="24"/>
          <w:szCs w:val="24"/>
        </w:rPr>
        <w:t>risicoaansprakelijkheid</w:t>
      </w:r>
      <w:r w:rsidRPr="00463949" w:rsidR="00990535">
        <w:rPr>
          <w:rFonts w:ascii="Times New Roman" w:hAnsi="Times New Roman" w:cs="Times New Roman"/>
          <w:sz w:val="24"/>
          <w:szCs w:val="24"/>
        </w:rPr>
        <w:t>. D</w:t>
      </w:r>
      <w:r w:rsidRPr="00463949" w:rsidR="0008488F">
        <w:rPr>
          <w:rFonts w:ascii="Times New Roman" w:hAnsi="Times New Roman" w:cs="Times New Roman"/>
          <w:sz w:val="24"/>
          <w:szCs w:val="24"/>
        </w:rPr>
        <w:t>i</w:t>
      </w:r>
      <w:r w:rsidRPr="00463949" w:rsidR="00990535">
        <w:rPr>
          <w:rFonts w:ascii="Times New Roman" w:hAnsi="Times New Roman" w:cs="Times New Roman"/>
          <w:sz w:val="24"/>
          <w:szCs w:val="24"/>
        </w:rPr>
        <w:t>t houdt in dat er sprake is van aansprakelijkheid van de producent, zonder dat sprake hoeft te zijn van schuld</w:t>
      </w:r>
      <w:r w:rsidRPr="00463949" w:rsidR="00370469">
        <w:rPr>
          <w:rFonts w:ascii="Times New Roman" w:hAnsi="Times New Roman" w:cs="Times New Roman"/>
          <w:sz w:val="24"/>
          <w:szCs w:val="24"/>
        </w:rPr>
        <w:t xml:space="preserve"> of verwijtbaarheid</w:t>
      </w:r>
      <w:r w:rsidRPr="00463949" w:rsidR="00990535">
        <w:rPr>
          <w:rFonts w:ascii="Times New Roman" w:hAnsi="Times New Roman" w:cs="Times New Roman"/>
          <w:sz w:val="24"/>
          <w:szCs w:val="24"/>
        </w:rPr>
        <w:t xml:space="preserve"> </w:t>
      </w:r>
      <w:bookmarkStart w:name="_Hlk191048615" w:id="2"/>
      <w:r w:rsidRPr="00463949" w:rsidR="00370469">
        <w:rPr>
          <w:rFonts w:ascii="Times New Roman" w:hAnsi="Times New Roman" w:cs="Times New Roman"/>
          <w:sz w:val="24"/>
          <w:szCs w:val="24"/>
        </w:rPr>
        <w:t xml:space="preserve">met betrekking tot </w:t>
      </w:r>
      <w:r w:rsidRPr="00463949" w:rsidR="00990535">
        <w:rPr>
          <w:rFonts w:ascii="Times New Roman" w:hAnsi="Times New Roman" w:cs="Times New Roman"/>
          <w:sz w:val="24"/>
          <w:szCs w:val="24"/>
        </w:rPr>
        <w:t xml:space="preserve">het ontstaan van het gebrek of de schade. </w:t>
      </w:r>
      <w:bookmarkEnd w:id="2"/>
      <w:r w:rsidRPr="00463949" w:rsidR="00990535">
        <w:rPr>
          <w:rFonts w:ascii="Times New Roman" w:hAnsi="Times New Roman" w:cs="Times New Roman"/>
          <w:sz w:val="24"/>
          <w:szCs w:val="24"/>
        </w:rPr>
        <w:t xml:space="preserve">Een benadeelde dient </w:t>
      </w:r>
      <w:r w:rsidRPr="00463949" w:rsidR="00393FB1">
        <w:rPr>
          <w:rFonts w:ascii="Times New Roman" w:hAnsi="Times New Roman" w:cs="Times New Roman"/>
          <w:sz w:val="24"/>
          <w:szCs w:val="24"/>
        </w:rPr>
        <w:t xml:space="preserve">alleen </w:t>
      </w:r>
      <w:r w:rsidRPr="00463949" w:rsidR="00990535">
        <w:rPr>
          <w:rFonts w:ascii="Times New Roman" w:hAnsi="Times New Roman" w:cs="Times New Roman"/>
          <w:sz w:val="24"/>
          <w:szCs w:val="24"/>
        </w:rPr>
        <w:t xml:space="preserve">te bewijzen dat sprake is van schade, een </w:t>
      </w:r>
      <w:r w:rsidRPr="00463949" w:rsidR="00BF4CB6">
        <w:rPr>
          <w:rFonts w:ascii="Times New Roman" w:hAnsi="Times New Roman" w:cs="Times New Roman"/>
          <w:sz w:val="24"/>
          <w:szCs w:val="24"/>
        </w:rPr>
        <w:t xml:space="preserve">gebrekkig </w:t>
      </w:r>
      <w:r w:rsidRPr="00463949" w:rsidR="00990535">
        <w:rPr>
          <w:rFonts w:ascii="Times New Roman" w:hAnsi="Times New Roman" w:cs="Times New Roman"/>
          <w:sz w:val="24"/>
          <w:szCs w:val="24"/>
        </w:rPr>
        <w:t xml:space="preserve">product en een oorzakelijk verband tussen </w:t>
      </w:r>
      <w:r w:rsidRPr="00463949" w:rsidR="000028D4">
        <w:rPr>
          <w:rFonts w:ascii="Times New Roman" w:hAnsi="Times New Roman" w:cs="Times New Roman"/>
          <w:sz w:val="24"/>
          <w:szCs w:val="24"/>
        </w:rPr>
        <w:t>het</w:t>
      </w:r>
      <w:r w:rsidRPr="00463949" w:rsidR="00990535">
        <w:rPr>
          <w:rFonts w:ascii="Times New Roman" w:hAnsi="Times New Roman" w:cs="Times New Roman"/>
          <w:sz w:val="24"/>
          <w:szCs w:val="24"/>
        </w:rPr>
        <w:t xml:space="preserve"> gebrek en de schade.</w:t>
      </w:r>
      <w:r w:rsidRPr="00463949" w:rsidR="00727D24">
        <w:rPr>
          <w:rStyle w:val="Voetnootmarkering"/>
          <w:rFonts w:ascii="Times New Roman" w:hAnsi="Times New Roman" w:cs="Times New Roman"/>
          <w:sz w:val="24"/>
          <w:szCs w:val="24"/>
        </w:rPr>
        <w:footnoteReference w:id="5"/>
      </w:r>
      <w:r w:rsidRPr="00463949" w:rsidR="0054282B">
        <w:rPr>
          <w:rFonts w:ascii="Times New Roman" w:hAnsi="Times New Roman" w:cs="Times New Roman"/>
          <w:sz w:val="24"/>
          <w:szCs w:val="24"/>
        </w:rPr>
        <w:t xml:space="preserve"> </w:t>
      </w:r>
      <w:r w:rsidRPr="00463949" w:rsidR="00A02EA7">
        <w:rPr>
          <w:rFonts w:ascii="Times New Roman" w:hAnsi="Times New Roman" w:cs="Times New Roman"/>
          <w:sz w:val="24"/>
          <w:szCs w:val="24"/>
        </w:rPr>
        <w:t>E</w:t>
      </w:r>
      <w:r w:rsidRPr="00463949" w:rsidR="0054282B">
        <w:rPr>
          <w:rFonts w:ascii="Times New Roman" w:hAnsi="Times New Roman" w:cs="Times New Roman"/>
          <w:sz w:val="24"/>
          <w:szCs w:val="24"/>
        </w:rPr>
        <w:t>en risicoaansprakelijkheid van de producent</w:t>
      </w:r>
      <w:r w:rsidRPr="00463949" w:rsidR="00A02EA7">
        <w:rPr>
          <w:rFonts w:ascii="Times New Roman" w:hAnsi="Times New Roman" w:cs="Times New Roman"/>
          <w:sz w:val="24"/>
          <w:szCs w:val="24"/>
        </w:rPr>
        <w:t xml:space="preserve"> werd gezien als</w:t>
      </w:r>
      <w:r w:rsidRPr="00463949" w:rsidR="0054282B">
        <w:rPr>
          <w:rFonts w:ascii="Times New Roman" w:hAnsi="Times New Roman" w:cs="Times New Roman"/>
          <w:sz w:val="24"/>
          <w:szCs w:val="24"/>
        </w:rPr>
        <w:t xml:space="preserve"> de enige manier om </w:t>
      </w:r>
      <w:r w:rsidRPr="00463949" w:rsidR="009C2B6C">
        <w:rPr>
          <w:rFonts w:ascii="Times New Roman" w:hAnsi="Times New Roman" w:cs="Times New Roman"/>
          <w:sz w:val="24"/>
          <w:szCs w:val="24"/>
        </w:rPr>
        <w:t xml:space="preserve">te komen tot een </w:t>
      </w:r>
      <w:r w:rsidRPr="00463949" w:rsidR="0054282B">
        <w:rPr>
          <w:rFonts w:ascii="Times New Roman" w:hAnsi="Times New Roman" w:cs="Times New Roman"/>
          <w:sz w:val="24"/>
          <w:szCs w:val="24"/>
        </w:rPr>
        <w:t>eerlijke verdeling van risico’s die inherent zijn aan moderne technologische productie.</w:t>
      </w:r>
      <w:r w:rsidRPr="00463949" w:rsidR="00632836">
        <w:rPr>
          <w:rStyle w:val="Voetnootmarkering"/>
          <w:rFonts w:ascii="Times New Roman" w:hAnsi="Times New Roman" w:cs="Times New Roman"/>
          <w:sz w:val="24"/>
          <w:szCs w:val="24"/>
        </w:rPr>
        <w:footnoteReference w:id="6"/>
      </w:r>
    </w:p>
    <w:p w:rsidRPr="00463949" w:rsidR="003D6366" w:rsidP="006C13A8" w:rsidRDefault="003D6366" w14:paraId="0F5942D3" w14:textId="77777777">
      <w:pPr>
        <w:spacing w:after="0" w:line="276" w:lineRule="auto"/>
        <w:rPr>
          <w:rFonts w:ascii="Times New Roman" w:hAnsi="Times New Roman" w:cs="Times New Roman"/>
          <w:sz w:val="24"/>
          <w:szCs w:val="24"/>
        </w:rPr>
      </w:pPr>
    </w:p>
    <w:p w:rsidRPr="00463949" w:rsidR="003D6366" w:rsidP="006C13A8" w:rsidRDefault="00A02EA7" w14:paraId="41768505" w14:textId="1BCC563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Op grond van </w:t>
      </w:r>
      <w:r w:rsidRPr="00463949" w:rsidR="0015111E">
        <w:rPr>
          <w:rFonts w:ascii="Times New Roman" w:hAnsi="Times New Roman" w:cs="Times New Roman"/>
          <w:sz w:val="24"/>
          <w:szCs w:val="24"/>
        </w:rPr>
        <w:t xml:space="preserve">Richtlijn 85/374 </w:t>
      </w:r>
      <w:r w:rsidRPr="00463949">
        <w:rPr>
          <w:rFonts w:ascii="Times New Roman" w:hAnsi="Times New Roman" w:cs="Times New Roman"/>
          <w:sz w:val="24"/>
          <w:szCs w:val="24"/>
        </w:rPr>
        <w:t>is e</w:t>
      </w:r>
      <w:r w:rsidRPr="00463949" w:rsidR="00402EBC">
        <w:rPr>
          <w:rFonts w:ascii="Times New Roman" w:hAnsi="Times New Roman" w:cs="Times New Roman"/>
          <w:sz w:val="24"/>
          <w:szCs w:val="24"/>
        </w:rPr>
        <w:t xml:space="preserve">en product gebrekkig als het niet de veiligheid biedt die het grote publiek mag verwachten. Of aan deze objectieve maatstaf is voldaan, moet worden beoordeeld aan de hand van alle omstandigheden van het geval. </w:t>
      </w:r>
      <w:r w:rsidRPr="00463949" w:rsidR="00C608CC">
        <w:rPr>
          <w:rFonts w:ascii="Times New Roman" w:hAnsi="Times New Roman" w:cs="Times New Roman"/>
          <w:sz w:val="24"/>
          <w:szCs w:val="24"/>
        </w:rPr>
        <w:t>Dit betreft onder meer de presentatie van het product, het redelijkerwijs te verwachten gebruik en het tijdstip waarop het product in het verkeer is gebracht.</w:t>
      </w:r>
      <w:r w:rsidRPr="00463949" w:rsidR="00727D24">
        <w:rPr>
          <w:rStyle w:val="Voetnootmarkering"/>
          <w:rFonts w:ascii="Times New Roman" w:hAnsi="Times New Roman" w:cs="Times New Roman"/>
          <w:sz w:val="24"/>
          <w:szCs w:val="24"/>
        </w:rPr>
        <w:footnoteReference w:id="7"/>
      </w:r>
      <w:r w:rsidRPr="00463949" w:rsidR="00C608CC">
        <w:rPr>
          <w:rFonts w:ascii="Times New Roman" w:hAnsi="Times New Roman" w:cs="Times New Roman"/>
          <w:sz w:val="24"/>
          <w:szCs w:val="24"/>
        </w:rPr>
        <w:t xml:space="preserve"> </w:t>
      </w:r>
      <w:r w:rsidRPr="00463949">
        <w:rPr>
          <w:rFonts w:ascii="Times New Roman" w:hAnsi="Times New Roman" w:cs="Times New Roman"/>
          <w:sz w:val="24"/>
          <w:szCs w:val="24"/>
        </w:rPr>
        <w:t xml:space="preserve">Een benadeelde kan op grond van </w:t>
      </w:r>
      <w:r w:rsidRPr="00463949" w:rsidR="0015111E">
        <w:rPr>
          <w:rFonts w:ascii="Times New Roman" w:hAnsi="Times New Roman" w:cs="Times New Roman"/>
          <w:sz w:val="24"/>
          <w:szCs w:val="24"/>
        </w:rPr>
        <w:t xml:space="preserve">Richtlijn 85/374 </w:t>
      </w:r>
      <w:r w:rsidRPr="00463949" w:rsidR="00ED52CD">
        <w:rPr>
          <w:rFonts w:ascii="Times New Roman" w:hAnsi="Times New Roman" w:cs="Times New Roman"/>
          <w:sz w:val="24"/>
          <w:szCs w:val="24"/>
        </w:rPr>
        <w:t xml:space="preserve">een </w:t>
      </w:r>
      <w:r w:rsidRPr="00463949" w:rsidR="00402EBC">
        <w:rPr>
          <w:rFonts w:ascii="Times New Roman" w:hAnsi="Times New Roman" w:cs="Times New Roman"/>
          <w:sz w:val="24"/>
          <w:szCs w:val="24"/>
        </w:rPr>
        <w:t xml:space="preserve">schadevergoeding </w:t>
      </w:r>
      <w:r w:rsidRPr="00463949">
        <w:rPr>
          <w:rFonts w:ascii="Times New Roman" w:hAnsi="Times New Roman" w:cs="Times New Roman"/>
          <w:sz w:val="24"/>
          <w:szCs w:val="24"/>
        </w:rPr>
        <w:t xml:space="preserve">vorderen </w:t>
      </w:r>
      <w:r w:rsidRPr="00463949" w:rsidR="003D6366">
        <w:rPr>
          <w:rFonts w:ascii="Times New Roman" w:hAnsi="Times New Roman" w:cs="Times New Roman"/>
          <w:sz w:val="24"/>
          <w:szCs w:val="24"/>
        </w:rPr>
        <w:t>voor schade door overlijden of lichamelijk letsel</w:t>
      </w:r>
      <w:r w:rsidRPr="00463949" w:rsidR="00C608CC">
        <w:rPr>
          <w:rFonts w:ascii="Times New Roman" w:hAnsi="Times New Roman" w:cs="Times New Roman"/>
          <w:sz w:val="24"/>
          <w:szCs w:val="24"/>
        </w:rPr>
        <w:t xml:space="preserve"> (bijvoorbeeld begrafeniskosten, medische kosten en gederfde inkomsten) </w:t>
      </w:r>
      <w:r w:rsidRPr="00463949" w:rsidR="00AE1E16">
        <w:rPr>
          <w:rFonts w:ascii="Times New Roman" w:hAnsi="Times New Roman" w:cs="Times New Roman"/>
          <w:sz w:val="24"/>
          <w:szCs w:val="24"/>
        </w:rPr>
        <w:t xml:space="preserve">en schade </w:t>
      </w:r>
      <w:r w:rsidRPr="00463949" w:rsidR="003D6366">
        <w:rPr>
          <w:rFonts w:ascii="Times New Roman" w:hAnsi="Times New Roman" w:cs="Times New Roman"/>
          <w:sz w:val="24"/>
          <w:szCs w:val="24"/>
        </w:rPr>
        <w:t>aan andere zaken dan het product zelf (zaakschade</w:t>
      </w:r>
      <w:r w:rsidRPr="00463949" w:rsidR="00AE1E16">
        <w:rPr>
          <w:rFonts w:ascii="Times New Roman" w:hAnsi="Times New Roman" w:cs="Times New Roman"/>
          <w:sz w:val="24"/>
          <w:szCs w:val="24"/>
        </w:rPr>
        <w:t>)</w:t>
      </w:r>
      <w:r w:rsidRPr="00463949" w:rsidR="00DE0B77">
        <w:rPr>
          <w:rFonts w:ascii="Times New Roman" w:hAnsi="Times New Roman" w:cs="Times New Roman"/>
          <w:sz w:val="24"/>
          <w:szCs w:val="24"/>
        </w:rPr>
        <w:t>.</w:t>
      </w:r>
      <w:r w:rsidRPr="00463949" w:rsidR="00DE0B77">
        <w:rPr>
          <w:rStyle w:val="Voetnootmarkering"/>
          <w:rFonts w:ascii="Times New Roman" w:hAnsi="Times New Roman" w:cs="Times New Roman"/>
          <w:sz w:val="24"/>
          <w:szCs w:val="24"/>
        </w:rPr>
        <w:footnoteReference w:id="8"/>
      </w:r>
      <w:r w:rsidRPr="00463949" w:rsidR="00AE1E16">
        <w:rPr>
          <w:rFonts w:ascii="Times New Roman" w:hAnsi="Times New Roman" w:cs="Times New Roman"/>
          <w:sz w:val="24"/>
          <w:szCs w:val="24"/>
        </w:rPr>
        <w:t xml:space="preserve"> </w:t>
      </w:r>
      <w:r w:rsidRPr="00463949" w:rsidR="00402EBC">
        <w:rPr>
          <w:rFonts w:ascii="Times New Roman" w:hAnsi="Times New Roman" w:cs="Times New Roman"/>
          <w:sz w:val="24"/>
          <w:szCs w:val="24"/>
        </w:rPr>
        <w:t xml:space="preserve">Voor zaakschade geldt </w:t>
      </w:r>
      <w:r w:rsidRPr="00463949" w:rsidR="00AE1E16">
        <w:rPr>
          <w:rFonts w:ascii="Times New Roman" w:hAnsi="Times New Roman" w:cs="Times New Roman"/>
          <w:sz w:val="24"/>
          <w:szCs w:val="24"/>
        </w:rPr>
        <w:t xml:space="preserve">dat het moet gaan om zaken die gewoonlijk voor gebruik of verbruik in de privésfeer zijn bestemd en door de benadeelde ook hoofdzakelijk in de privésfeer zijn gebruikt of verbruikt. </w:t>
      </w:r>
      <w:r w:rsidRPr="00463949" w:rsidR="00402EBC">
        <w:rPr>
          <w:rFonts w:ascii="Times New Roman" w:hAnsi="Times New Roman" w:cs="Times New Roman"/>
          <w:sz w:val="24"/>
          <w:szCs w:val="24"/>
        </w:rPr>
        <w:t>Bovendien</w:t>
      </w:r>
      <w:r w:rsidRPr="00463949" w:rsidR="00AE1E16">
        <w:rPr>
          <w:rFonts w:ascii="Times New Roman" w:hAnsi="Times New Roman" w:cs="Times New Roman"/>
          <w:sz w:val="24"/>
          <w:szCs w:val="24"/>
        </w:rPr>
        <w:t xml:space="preserve"> geldt daarvoor een </w:t>
      </w:r>
      <w:r w:rsidRPr="00463949">
        <w:rPr>
          <w:rFonts w:ascii="Times New Roman" w:hAnsi="Times New Roman" w:cs="Times New Roman"/>
          <w:sz w:val="24"/>
          <w:szCs w:val="24"/>
        </w:rPr>
        <w:t xml:space="preserve">zogenoemde </w:t>
      </w:r>
      <w:r w:rsidRPr="00463949" w:rsidR="00AE1E16">
        <w:rPr>
          <w:rFonts w:ascii="Times New Roman" w:hAnsi="Times New Roman" w:cs="Times New Roman"/>
          <w:sz w:val="24"/>
          <w:szCs w:val="24"/>
        </w:rPr>
        <w:t>franchise van 500 Ecu (European Currency Unit).</w:t>
      </w:r>
      <w:r w:rsidRPr="00463949" w:rsidR="00AE1E16">
        <w:rPr>
          <w:rStyle w:val="Voetnootmarkering"/>
          <w:rFonts w:ascii="Times New Roman" w:hAnsi="Times New Roman" w:cs="Times New Roman"/>
          <w:sz w:val="24"/>
          <w:szCs w:val="24"/>
        </w:rPr>
        <w:footnoteReference w:id="9"/>
      </w:r>
      <w:r w:rsidRPr="00463949" w:rsidR="00727D24">
        <w:rPr>
          <w:rStyle w:val="Voetnootmarkering"/>
          <w:rFonts w:ascii="Times New Roman" w:hAnsi="Times New Roman" w:cs="Times New Roman"/>
          <w:sz w:val="24"/>
          <w:szCs w:val="24"/>
        </w:rPr>
        <w:footnoteReference w:id="10"/>
      </w:r>
      <w:r w:rsidRPr="00463949" w:rsidR="00AE1E16">
        <w:rPr>
          <w:rFonts w:ascii="Times New Roman" w:hAnsi="Times New Roman" w:cs="Times New Roman"/>
          <w:sz w:val="24"/>
          <w:szCs w:val="24"/>
        </w:rPr>
        <w:t xml:space="preserve"> Dit </w:t>
      </w:r>
      <w:r w:rsidRPr="00463949" w:rsidR="00402EBC">
        <w:rPr>
          <w:rFonts w:ascii="Times New Roman" w:hAnsi="Times New Roman" w:cs="Times New Roman"/>
          <w:sz w:val="24"/>
          <w:szCs w:val="24"/>
        </w:rPr>
        <w:t xml:space="preserve">betekent </w:t>
      </w:r>
      <w:r w:rsidRPr="00463949" w:rsidR="00AE1E16">
        <w:rPr>
          <w:rFonts w:ascii="Times New Roman" w:hAnsi="Times New Roman" w:cs="Times New Roman"/>
          <w:sz w:val="24"/>
          <w:szCs w:val="24"/>
        </w:rPr>
        <w:t xml:space="preserve">dat zaakschade </w:t>
      </w:r>
      <w:r w:rsidRPr="00463949" w:rsidR="002A2D5A">
        <w:rPr>
          <w:rFonts w:ascii="Times New Roman" w:hAnsi="Times New Roman" w:cs="Times New Roman"/>
          <w:sz w:val="24"/>
          <w:szCs w:val="24"/>
        </w:rPr>
        <w:t xml:space="preserve">lager dan </w:t>
      </w:r>
      <w:r w:rsidRPr="00463949" w:rsidR="00AE1E16">
        <w:rPr>
          <w:rFonts w:ascii="Times New Roman" w:hAnsi="Times New Roman" w:cs="Times New Roman"/>
          <w:sz w:val="24"/>
          <w:szCs w:val="24"/>
        </w:rPr>
        <w:t>€</w:t>
      </w:r>
      <w:r w:rsidRPr="00463949" w:rsidR="00402EBC">
        <w:rPr>
          <w:rFonts w:ascii="Times New Roman" w:hAnsi="Times New Roman" w:cs="Times New Roman"/>
          <w:sz w:val="24"/>
          <w:szCs w:val="24"/>
        </w:rPr>
        <w:t> </w:t>
      </w:r>
      <w:r w:rsidRPr="00463949" w:rsidR="00AE1E16">
        <w:rPr>
          <w:rFonts w:ascii="Times New Roman" w:hAnsi="Times New Roman" w:cs="Times New Roman"/>
          <w:sz w:val="24"/>
          <w:szCs w:val="24"/>
        </w:rPr>
        <w:t>500,- niet</w:t>
      </w:r>
      <w:r w:rsidRPr="00463949" w:rsidR="003B4DB7">
        <w:rPr>
          <w:rFonts w:ascii="Times New Roman" w:hAnsi="Times New Roman" w:cs="Times New Roman"/>
          <w:sz w:val="24"/>
          <w:szCs w:val="24"/>
        </w:rPr>
        <w:t xml:space="preserve"> </w:t>
      </w:r>
      <w:r w:rsidRPr="00463949" w:rsidR="00A56E0E">
        <w:rPr>
          <w:rFonts w:ascii="Times New Roman" w:hAnsi="Times New Roman" w:cs="Times New Roman"/>
          <w:sz w:val="24"/>
          <w:szCs w:val="24"/>
        </w:rPr>
        <w:t xml:space="preserve">op grond van de richtlijn </w:t>
      </w:r>
      <w:r w:rsidRPr="00463949" w:rsidR="003B4DB7">
        <w:rPr>
          <w:rFonts w:ascii="Times New Roman" w:hAnsi="Times New Roman" w:cs="Times New Roman"/>
          <w:sz w:val="24"/>
          <w:szCs w:val="24"/>
        </w:rPr>
        <w:t>kan worden vergoed</w:t>
      </w:r>
      <w:r w:rsidRPr="00463949" w:rsidR="00402EBC">
        <w:rPr>
          <w:rFonts w:ascii="Times New Roman" w:hAnsi="Times New Roman" w:cs="Times New Roman"/>
          <w:sz w:val="24"/>
          <w:szCs w:val="24"/>
        </w:rPr>
        <w:t>.</w:t>
      </w:r>
    </w:p>
    <w:p w:rsidRPr="00463949" w:rsidR="009C2B6C" w:rsidP="006C13A8" w:rsidRDefault="009C2B6C" w14:paraId="59D2C102" w14:textId="77777777">
      <w:pPr>
        <w:spacing w:after="0" w:line="276" w:lineRule="auto"/>
        <w:rPr>
          <w:rFonts w:ascii="Times New Roman" w:hAnsi="Times New Roman" w:cs="Times New Roman"/>
          <w:sz w:val="24"/>
          <w:szCs w:val="24"/>
        </w:rPr>
      </w:pPr>
    </w:p>
    <w:p w:rsidRPr="00463949" w:rsidR="009C2B6C" w:rsidP="006C13A8" w:rsidRDefault="009C2B6C" w14:paraId="020DB1A2" w14:textId="448A2CF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De benadeelde kan zowel de fabrikant van het gebrekkige eindproduct als de fabrikant van een gebrekkig onderdeel aansprakelijk stellen voor de door hem geleden schade.</w:t>
      </w:r>
      <w:r w:rsidRPr="00463949" w:rsidR="00727D24">
        <w:rPr>
          <w:rStyle w:val="Voetnootmarkering"/>
          <w:rFonts w:ascii="Times New Roman" w:hAnsi="Times New Roman" w:cs="Times New Roman"/>
          <w:sz w:val="24"/>
          <w:szCs w:val="24"/>
        </w:rPr>
        <w:footnoteReference w:id="11"/>
      </w:r>
      <w:r w:rsidRPr="00463949">
        <w:rPr>
          <w:rFonts w:ascii="Times New Roman" w:hAnsi="Times New Roman" w:cs="Times New Roman"/>
          <w:sz w:val="24"/>
          <w:szCs w:val="24"/>
        </w:rPr>
        <w:t xml:space="preserve"> </w:t>
      </w:r>
      <w:r w:rsidRPr="00463949" w:rsidR="00A829D4">
        <w:rPr>
          <w:rFonts w:ascii="Times New Roman" w:hAnsi="Times New Roman" w:cs="Times New Roman"/>
          <w:sz w:val="24"/>
          <w:szCs w:val="24"/>
        </w:rPr>
        <w:t xml:space="preserve">Ook </w:t>
      </w:r>
      <w:r w:rsidRPr="00463949">
        <w:rPr>
          <w:rFonts w:ascii="Times New Roman" w:hAnsi="Times New Roman" w:cs="Times New Roman"/>
          <w:sz w:val="24"/>
          <w:szCs w:val="24"/>
        </w:rPr>
        <w:t xml:space="preserve">de importeur van het gebrekkige product </w:t>
      </w:r>
      <w:r w:rsidRPr="00463949" w:rsidR="00B4305A">
        <w:rPr>
          <w:rFonts w:ascii="Times New Roman" w:hAnsi="Times New Roman" w:cs="Times New Roman"/>
          <w:sz w:val="24"/>
          <w:szCs w:val="24"/>
        </w:rPr>
        <w:t xml:space="preserve">of gebrekkige onderdeel </w:t>
      </w:r>
      <w:r w:rsidRPr="00463949" w:rsidR="00D93AC3">
        <w:rPr>
          <w:rFonts w:ascii="Times New Roman" w:hAnsi="Times New Roman" w:cs="Times New Roman"/>
          <w:sz w:val="24"/>
          <w:szCs w:val="24"/>
        </w:rPr>
        <w:t>kan</w:t>
      </w:r>
      <w:r w:rsidRPr="00463949" w:rsidR="00A829D4">
        <w:rPr>
          <w:rFonts w:ascii="Times New Roman" w:hAnsi="Times New Roman" w:cs="Times New Roman"/>
          <w:sz w:val="24"/>
          <w:szCs w:val="24"/>
        </w:rPr>
        <w:t xml:space="preserve"> </w:t>
      </w:r>
      <w:r w:rsidRPr="00463949" w:rsidR="00A02EA7">
        <w:rPr>
          <w:rFonts w:ascii="Times New Roman" w:hAnsi="Times New Roman" w:cs="Times New Roman"/>
          <w:sz w:val="24"/>
          <w:szCs w:val="24"/>
        </w:rPr>
        <w:t xml:space="preserve">op grond van </w:t>
      </w:r>
      <w:r w:rsidRPr="00463949" w:rsidR="0015111E">
        <w:rPr>
          <w:rFonts w:ascii="Times New Roman" w:hAnsi="Times New Roman" w:cs="Times New Roman"/>
          <w:sz w:val="24"/>
          <w:szCs w:val="24"/>
        </w:rPr>
        <w:t xml:space="preserve">Richtlijn 85/374 </w:t>
      </w:r>
      <w:r w:rsidRPr="00463949" w:rsidR="00A978BE">
        <w:rPr>
          <w:rFonts w:ascii="Times New Roman" w:hAnsi="Times New Roman" w:cs="Times New Roman"/>
          <w:sz w:val="24"/>
          <w:szCs w:val="24"/>
        </w:rPr>
        <w:t>als ‘producent’</w:t>
      </w:r>
      <w:r w:rsidRPr="00463949" w:rsidR="00A829D4">
        <w:rPr>
          <w:rFonts w:ascii="Times New Roman" w:hAnsi="Times New Roman" w:cs="Times New Roman"/>
          <w:sz w:val="24"/>
          <w:szCs w:val="24"/>
        </w:rPr>
        <w:t xml:space="preserve"> aansprakelijk</w:t>
      </w:r>
      <w:r w:rsidRPr="00463949" w:rsidR="00D93AC3">
        <w:rPr>
          <w:rFonts w:ascii="Times New Roman" w:hAnsi="Times New Roman" w:cs="Times New Roman"/>
          <w:sz w:val="24"/>
          <w:szCs w:val="24"/>
        </w:rPr>
        <w:t xml:space="preserve"> worden gesteld</w:t>
      </w:r>
      <w:r w:rsidRPr="00463949">
        <w:rPr>
          <w:rFonts w:ascii="Times New Roman" w:hAnsi="Times New Roman" w:cs="Times New Roman"/>
          <w:sz w:val="24"/>
          <w:szCs w:val="24"/>
        </w:rPr>
        <w:t>.</w:t>
      </w:r>
      <w:r w:rsidRPr="00463949" w:rsidR="00727D24">
        <w:rPr>
          <w:rStyle w:val="Voetnootmarkering"/>
          <w:rFonts w:ascii="Times New Roman" w:hAnsi="Times New Roman" w:cs="Times New Roman"/>
          <w:sz w:val="24"/>
          <w:szCs w:val="24"/>
        </w:rPr>
        <w:footnoteReference w:id="12"/>
      </w:r>
      <w:r w:rsidRPr="00463949">
        <w:rPr>
          <w:rFonts w:ascii="Times New Roman" w:hAnsi="Times New Roman" w:cs="Times New Roman"/>
          <w:sz w:val="24"/>
          <w:szCs w:val="24"/>
        </w:rPr>
        <w:t xml:space="preserve"> </w:t>
      </w:r>
      <w:r w:rsidRPr="00463949" w:rsidR="00A829D4">
        <w:rPr>
          <w:rFonts w:ascii="Times New Roman" w:hAnsi="Times New Roman" w:cs="Times New Roman"/>
          <w:sz w:val="24"/>
          <w:szCs w:val="24"/>
        </w:rPr>
        <w:t xml:space="preserve">Als </w:t>
      </w:r>
      <w:r w:rsidRPr="00463949" w:rsidR="00137A18">
        <w:rPr>
          <w:rFonts w:ascii="Times New Roman" w:hAnsi="Times New Roman" w:cs="Times New Roman"/>
          <w:sz w:val="24"/>
          <w:szCs w:val="24"/>
        </w:rPr>
        <w:t>niet kan worden vastgesteld wie de producent van het product is, word</w:t>
      </w:r>
      <w:r w:rsidRPr="00463949" w:rsidR="00A829D4">
        <w:rPr>
          <w:rFonts w:ascii="Times New Roman" w:hAnsi="Times New Roman" w:cs="Times New Roman"/>
          <w:sz w:val="24"/>
          <w:szCs w:val="24"/>
        </w:rPr>
        <w:t>t</w:t>
      </w:r>
      <w:r w:rsidRPr="00463949" w:rsidR="00137A18">
        <w:rPr>
          <w:rFonts w:ascii="Times New Roman" w:hAnsi="Times New Roman" w:cs="Times New Roman"/>
          <w:sz w:val="24"/>
          <w:szCs w:val="24"/>
        </w:rPr>
        <w:t xml:space="preserve"> elke leverancier </w:t>
      </w:r>
      <w:r w:rsidRPr="00463949" w:rsidR="00A829D4">
        <w:rPr>
          <w:rFonts w:ascii="Times New Roman" w:hAnsi="Times New Roman" w:cs="Times New Roman"/>
          <w:sz w:val="24"/>
          <w:szCs w:val="24"/>
        </w:rPr>
        <w:t>van het product als de</w:t>
      </w:r>
      <w:r w:rsidRPr="00463949" w:rsidR="00137A18">
        <w:rPr>
          <w:rFonts w:ascii="Times New Roman" w:hAnsi="Times New Roman" w:cs="Times New Roman"/>
          <w:sz w:val="24"/>
          <w:szCs w:val="24"/>
        </w:rPr>
        <w:t xml:space="preserve"> producent ervan beschouwd</w:t>
      </w:r>
      <w:r w:rsidRPr="00463949" w:rsidR="00A829D4">
        <w:rPr>
          <w:rFonts w:ascii="Times New Roman" w:hAnsi="Times New Roman" w:cs="Times New Roman"/>
          <w:sz w:val="24"/>
          <w:szCs w:val="24"/>
        </w:rPr>
        <w:t xml:space="preserve">. De leverancier is </w:t>
      </w:r>
      <w:r w:rsidRPr="00463949" w:rsidR="00A02EA7">
        <w:rPr>
          <w:rFonts w:ascii="Times New Roman" w:hAnsi="Times New Roman" w:cs="Times New Roman"/>
          <w:sz w:val="24"/>
          <w:szCs w:val="24"/>
        </w:rPr>
        <w:t xml:space="preserve">echter </w:t>
      </w:r>
      <w:r w:rsidRPr="00463949" w:rsidR="00A829D4">
        <w:rPr>
          <w:rFonts w:ascii="Times New Roman" w:hAnsi="Times New Roman" w:cs="Times New Roman"/>
          <w:sz w:val="24"/>
          <w:szCs w:val="24"/>
        </w:rPr>
        <w:t>niet aansprakelijk</w:t>
      </w:r>
      <w:r w:rsidRPr="00463949" w:rsidR="0015111E">
        <w:rPr>
          <w:rFonts w:ascii="Times New Roman" w:hAnsi="Times New Roman" w:cs="Times New Roman"/>
          <w:sz w:val="24"/>
          <w:szCs w:val="24"/>
        </w:rPr>
        <w:t xml:space="preserve"> op grond van de richtlijn</w:t>
      </w:r>
      <w:r w:rsidRPr="00463949" w:rsidR="00A829D4">
        <w:rPr>
          <w:rFonts w:ascii="Times New Roman" w:hAnsi="Times New Roman" w:cs="Times New Roman"/>
          <w:sz w:val="24"/>
          <w:szCs w:val="24"/>
        </w:rPr>
        <w:t xml:space="preserve"> als </w:t>
      </w:r>
      <w:r w:rsidRPr="00463949" w:rsidR="00137A18">
        <w:rPr>
          <w:rFonts w:ascii="Times New Roman" w:hAnsi="Times New Roman" w:cs="Times New Roman"/>
          <w:sz w:val="24"/>
          <w:szCs w:val="24"/>
        </w:rPr>
        <w:t xml:space="preserve">hij </w:t>
      </w:r>
      <w:r w:rsidRPr="00463949" w:rsidR="00A829D4">
        <w:rPr>
          <w:rFonts w:ascii="Times New Roman" w:hAnsi="Times New Roman" w:cs="Times New Roman"/>
          <w:sz w:val="24"/>
          <w:szCs w:val="24"/>
        </w:rPr>
        <w:t xml:space="preserve">de benadeelde </w:t>
      </w:r>
      <w:r w:rsidRPr="00463949" w:rsidR="00137A18">
        <w:rPr>
          <w:rFonts w:ascii="Times New Roman" w:hAnsi="Times New Roman" w:cs="Times New Roman"/>
          <w:sz w:val="24"/>
          <w:szCs w:val="24"/>
        </w:rPr>
        <w:t xml:space="preserve">binnen een redelijke termijn de </w:t>
      </w:r>
      <w:r w:rsidRPr="00463949" w:rsidR="00A829D4">
        <w:rPr>
          <w:rFonts w:ascii="Times New Roman" w:hAnsi="Times New Roman" w:cs="Times New Roman"/>
          <w:sz w:val="24"/>
          <w:szCs w:val="24"/>
        </w:rPr>
        <w:t>identiteit meedeelt van de producent of van zijn eigen leverancier.</w:t>
      </w:r>
      <w:r w:rsidRPr="00463949" w:rsidR="00727D24">
        <w:rPr>
          <w:rStyle w:val="Voetnootmarkering"/>
          <w:rFonts w:ascii="Times New Roman" w:hAnsi="Times New Roman" w:cs="Times New Roman"/>
          <w:sz w:val="24"/>
          <w:szCs w:val="24"/>
        </w:rPr>
        <w:footnoteReference w:id="13"/>
      </w:r>
      <w:r w:rsidRPr="00463949" w:rsidR="00A829D4">
        <w:rPr>
          <w:rFonts w:ascii="Times New Roman" w:hAnsi="Times New Roman" w:cs="Times New Roman"/>
          <w:sz w:val="24"/>
          <w:szCs w:val="24"/>
        </w:rPr>
        <w:t xml:space="preserve"> Als er op grond van de richtlijn verschillende personen aansprakelij</w:t>
      </w:r>
      <w:r w:rsidRPr="00463949" w:rsidR="00F55880">
        <w:rPr>
          <w:rFonts w:ascii="Times New Roman" w:hAnsi="Times New Roman" w:cs="Times New Roman"/>
          <w:sz w:val="24"/>
          <w:szCs w:val="24"/>
        </w:rPr>
        <w:t>k</w:t>
      </w:r>
      <w:r w:rsidRPr="00463949" w:rsidR="00A829D4">
        <w:rPr>
          <w:rFonts w:ascii="Times New Roman" w:hAnsi="Times New Roman" w:cs="Times New Roman"/>
          <w:sz w:val="24"/>
          <w:szCs w:val="24"/>
        </w:rPr>
        <w:t xml:space="preserve"> zijn voor dezelfde schade, kan de benadeelde kiezen wie hij </w:t>
      </w:r>
      <w:r w:rsidRPr="00463949" w:rsidR="00B4305A">
        <w:rPr>
          <w:rFonts w:ascii="Times New Roman" w:hAnsi="Times New Roman" w:cs="Times New Roman"/>
          <w:sz w:val="24"/>
          <w:szCs w:val="24"/>
        </w:rPr>
        <w:t xml:space="preserve">aanspreekt </w:t>
      </w:r>
      <w:r w:rsidRPr="00463949" w:rsidR="00F55880">
        <w:rPr>
          <w:rFonts w:ascii="Times New Roman" w:hAnsi="Times New Roman" w:cs="Times New Roman"/>
          <w:sz w:val="24"/>
          <w:szCs w:val="24"/>
        </w:rPr>
        <w:t xml:space="preserve">voor de volle omvang van </w:t>
      </w:r>
      <w:r w:rsidRPr="00463949" w:rsidR="003E41BB">
        <w:rPr>
          <w:rFonts w:ascii="Times New Roman" w:hAnsi="Times New Roman" w:cs="Times New Roman"/>
          <w:sz w:val="24"/>
          <w:szCs w:val="24"/>
        </w:rPr>
        <w:t>zijn</w:t>
      </w:r>
      <w:r w:rsidRPr="00463949" w:rsidR="00F55880">
        <w:rPr>
          <w:rFonts w:ascii="Times New Roman" w:hAnsi="Times New Roman" w:cs="Times New Roman"/>
          <w:sz w:val="24"/>
          <w:szCs w:val="24"/>
        </w:rPr>
        <w:t xml:space="preserve"> schade (hoofdelijke aansprakelijkheid)</w:t>
      </w:r>
      <w:r w:rsidRPr="00463949" w:rsidR="00A829D4">
        <w:rPr>
          <w:rFonts w:ascii="Times New Roman" w:hAnsi="Times New Roman" w:cs="Times New Roman"/>
          <w:sz w:val="24"/>
          <w:szCs w:val="24"/>
        </w:rPr>
        <w:t>.</w:t>
      </w:r>
      <w:r w:rsidRPr="00463949" w:rsidR="00727D24">
        <w:rPr>
          <w:rStyle w:val="Voetnootmarkering"/>
          <w:rFonts w:ascii="Times New Roman" w:hAnsi="Times New Roman" w:cs="Times New Roman"/>
          <w:sz w:val="24"/>
          <w:szCs w:val="24"/>
        </w:rPr>
        <w:footnoteReference w:id="14"/>
      </w:r>
      <w:r w:rsidRPr="00463949" w:rsidR="00A829D4">
        <w:rPr>
          <w:rFonts w:ascii="Times New Roman" w:hAnsi="Times New Roman" w:cs="Times New Roman"/>
          <w:sz w:val="24"/>
          <w:szCs w:val="24"/>
        </w:rPr>
        <w:t xml:space="preserve"> </w:t>
      </w:r>
      <w:r w:rsidRPr="00463949" w:rsidR="00F55880">
        <w:rPr>
          <w:rFonts w:ascii="Times New Roman" w:hAnsi="Times New Roman" w:cs="Times New Roman"/>
          <w:sz w:val="24"/>
          <w:szCs w:val="24"/>
        </w:rPr>
        <w:t xml:space="preserve">Het is vervolgens aan de aangesproken persoon om de schade </w:t>
      </w:r>
      <w:r w:rsidRPr="00463949" w:rsidR="00D93AC3">
        <w:rPr>
          <w:rFonts w:ascii="Times New Roman" w:hAnsi="Times New Roman" w:cs="Times New Roman"/>
          <w:sz w:val="24"/>
          <w:szCs w:val="24"/>
        </w:rPr>
        <w:t>die hij heeft vergoed geheel of gedeeltelijk</w:t>
      </w:r>
      <w:r w:rsidRPr="00463949" w:rsidR="00ED52CD">
        <w:rPr>
          <w:rFonts w:ascii="Times New Roman" w:hAnsi="Times New Roman" w:cs="Times New Roman"/>
          <w:sz w:val="24"/>
          <w:szCs w:val="24"/>
        </w:rPr>
        <w:t xml:space="preserve"> </w:t>
      </w:r>
      <w:r w:rsidRPr="00463949" w:rsidR="00A829D4">
        <w:rPr>
          <w:rFonts w:ascii="Times New Roman" w:hAnsi="Times New Roman" w:cs="Times New Roman"/>
          <w:sz w:val="24"/>
          <w:szCs w:val="24"/>
        </w:rPr>
        <w:t xml:space="preserve">op een </w:t>
      </w:r>
      <w:r w:rsidRPr="00463949" w:rsidR="00CC38D3">
        <w:rPr>
          <w:rFonts w:ascii="Times New Roman" w:hAnsi="Times New Roman" w:cs="Times New Roman"/>
          <w:sz w:val="24"/>
          <w:szCs w:val="24"/>
        </w:rPr>
        <w:t>mede</w:t>
      </w:r>
      <w:r w:rsidRPr="00463949" w:rsidR="00A829D4">
        <w:rPr>
          <w:rFonts w:ascii="Times New Roman" w:hAnsi="Times New Roman" w:cs="Times New Roman"/>
          <w:sz w:val="24"/>
          <w:szCs w:val="24"/>
        </w:rPr>
        <w:t xml:space="preserve">aansprakelijke persoon </w:t>
      </w:r>
      <w:r w:rsidRPr="00463949" w:rsidR="0048788F">
        <w:rPr>
          <w:rFonts w:ascii="Times New Roman" w:hAnsi="Times New Roman" w:cs="Times New Roman"/>
          <w:sz w:val="24"/>
          <w:szCs w:val="24"/>
        </w:rPr>
        <w:t xml:space="preserve">te verhalen </w:t>
      </w:r>
      <w:r w:rsidRPr="00463949" w:rsidR="00A829D4">
        <w:rPr>
          <w:rFonts w:ascii="Times New Roman" w:hAnsi="Times New Roman" w:cs="Times New Roman"/>
          <w:sz w:val="24"/>
          <w:szCs w:val="24"/>
        </w:rPr>
        <w:t>(regres).</w:t>
      </w:r>
    </w:p>
    <w:p w:rsidRPr="00463949" w:rsidR="009C2B6C" w:rsidP="006C13A8" w:rsidRDefault="009C2B6C" w14:paraId="6654F523" w14:textId="77777777">
      <w:pPr>
        <w:spacing w:after="0" w:line="276" w:lineRule="auto"/>
        <w:rPr>
          <w:rFonts w:ascii="Times New Roman" w:hAnsi="Times New Roman" w:cs="Times New Roman"/>
          <w:sz w:val="24"/>
          <w:szCs w:val="24"/>
        </w:rPr>
      </w:pPr>
    </w:p>
    <w:p w:rsidRPr="00463949" w:rsidR="00872117" w:rsidP="006C13A8" w:rsidRDefault="00F55880" w14:paraId="31862C91" w14:textId="465FF29D">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producent kan zich bevrijden van aansprakelijkheid als hij het bestaan van hem ontlastende feiten bewijst (vrijstellingsgronden).</w:t>
      </w:r>
      <w:r w:rsidRPr="00463949" w:rsidR="00727D24">
        <w:rPr>
          <w:rStyle w:val="Voetnootmarkering"/>
          <w:rFonts w:ascii="Times New Roman" w:hAnsi="Times New Roman" w:cs="Times New Roman"/>
          <w:sz w:val="24"/>
          <w:szCs w:val="24"/>
        </w:rPr>
        <w:footnoteReference w:id="15"/>
      </w:r>
      <w:r w:rsidRPr="00463949">
        <w:rPr>
          <w:rFonts w:ascii="Times New Roman" w:hAnsi="Times New Roman" w:cs="Times New Roman"/>
          <w:sz w:val="24"/>
          <w:szCs w:val="24"/>
        </w:rPr>
        <w:t xml:space="preserve"> Zo is de producent </w:t>
      </w:r>
      <w:r w:rsidRPr="00463949" w:rsidR="00A56E0E">
        <w:rPr>
          <w:rFonts w:ascii="Times New Roman" w:hAnsi="Times New Roman" w:cs="Times New Roman"/>
          <w:sz w:val="24"/>
          <w:szCs w:val="24"/>
        </w:rPr>
        <w:t xml:space="preserve">bijvoorbeeld </w:t>
      </w:r>
      <w:r w:rsidRPr="00463949">
        <w:rPr>
          <w:rFonts w:ascii="Times New Roman" w:hAnsi="Times New Roman" w:cs="Times New Roman"/>
          <w:sz w:val="24"/>
          <w:szCs w:val="24"/>
        </w:rPr>
        <w:t>niet aansprakelijk als hij bewijst dat het gebrek niet bestond op het tijdstip waarop hij het product in het verkeer heeft gebracht</w:t>
      </w:r>
      <w:r w:rsidRPr="00463949" w:rsidR="003E41BB">
        <w:rPr>
          <w:rFonts w:ascii="Times New Roman" w:hAnsi="Times New Roman" w:cs="Times New Roman"/>
          <w:sz w:val="24"/>
          <w:szCs w:val="24"/>
        </w:rPr>
        <w:t xml:space="preserve"> of dat dit gebrek na dat tijdstip is ontstaan.</w:t>
      </w:r>
      <w:r w:rsidRPr="00463949" w:rsidR="00727D24">
        <w:rPr>
          <w:rStyle w:val="Voetnootmarkering"/>
          <w:rFonts w:ascii="Times New Roman" w:hAnsi="Times New Roman" w:cs="Times New Roman"/>
          <w:sz w:val="24"/>
          <w:szCs w:val="24"/>
        </w:rPr>
        <w:footnoteReference w:id="16"/>
      </w:r>
      <w:r w:rsidRPr="00463949">
        <w:rPr>
          <w:rFonts w:ascii="Times New Roman" w:hAnsi="Times New Roman" w:cs="Times New Roman"/>
          <w:sz w:val="24"/>
          <w:szCs w:val="24"/>
        </w:rPr>
        <w:t xml:space="preserve"> </w:t>
      </w:r>
      <w:r w:rsidRPr="00463949" w:rsidR="003E41BB">
        <w:rPr>
          <w:rFonts w:ascii="Times New Roman" w:hAnsi="Times New Roman" w:cs="Times New Roman"/>
          <w:sz w:val="24"/>
          <w:szCs w:val="24"/>
        </w:rPr>
        <w:t>De producent is evenmin aansprakelijk als hij bewijst dat het op grond van de stand van de wetenschappelijke en technische kennis op het tijdstip waarop hij het product in het verkeer bracht onmogelijk was het bestaan van het gebrek te ontdekken.</w:t>
      </w:r>
      <w:r w:rsidRPr="00463949" w:rsidR="00CB5FA7">
        <w:rPr>
          <w:rStyle w:val="Voetnootmarkering"/>
          <w:rFonts w:ascii="Times New Roman" w:hAnsi="Times New Roman" w:cs="Times New Roman"/>
          <w:sz w:val="24"/>
          <w:szCs w:val="24"/>
        </w:rPr>
        <w:footnoteReference w:id="17"/>
      </w:r>
      <w:r w:rsidRPr="00463949" w:rsidR="003E41BB">
        <w:rPr>
          <w:rFonts w:ascii="Times New Roman" w:hAnsi="Times New Roman" w:cs="Times New Roman"/>
          <w:sz w:val="24"/>
          <w:szCs w:val="24"/>
        </w:rPr>
        <w:t xml:space="preserve"> Dit wordt ook wel het </w:t>
      </w:r>
      <w:r w:rsidRPr="00463949" w:rsidR="00A56E0E">
        <w:rPr>
          <w:rFonts w:ascii="Times New Roman" w:hAnsi="Times New Roman" w:cs="Times New Roman"/>
          <w:sz w:val="24"/>
          <w:szCs w:val="24"/>
        </w:rPr>
        <w:t>“</w:t>
      </w:r>
      <w:r w:rsidRPr="00463949" w:rsidR="003E41BB">
        <w:rPr>
          <w:rFonts w:ascii="Times New Roman" w:hAnsi="Times New Roman" w:cs="Times New Roman"/>
          <w:sz w:val="24"/>
          <w:szCs w:val="24"/>
        </w:rPr>
        <w:t>ontwikkelingsrisicoverweer</w:t>
      </w:r>
      <w:r w:rsidRPr="00463949" w:rsidR="00A56E0E">
        <w:rPr>
          <w:rFonts w:ascii="Times New Roman" w:hAnsi="Times New Roman" w:cs="Times New Roman"/>
          <w:sz w:val="24"/>
          <w:szCs w:val="24"/>
        </w:rPr>
        <w:t>”</w:t>
      </w:r>
      <w:r w:rsidRPr="00463949" w:rsidR="003E41BB">
        <w:rPr>
          <w:rFonts w:ascii="Times New Roman" w:hAnsi="Times New Roman" w:cs="Times New Roman"/>
          <w:sz w:val="24"/>
          <w:szCs w:val="24"/>
        </w:rPr>
        <w:t xml:space="preserve"> genoemd. De risicoaansprakelijkheid van de producent is </w:t>
      </w:r>
      <w:r w:rsidRPr="00463949" w:rsidR="002A2D5A">
        <w:rPr>
          <w:rFonts w:ascii="Times New Roman" w:hAnsi="Times New Roman" w:cs="Times New Roman"/>
          <w:sz w:val="24"/>
          <w:szCs w:val="24"/>
        </w:rPr>
        <w:t xml:space="preserve">daarnaast </w:t>
      </w:r>
      <w:r w:rsidRPr="00463949" w:rsidR="003E41BB">
        <w:rPr>
          <w:rFonts w:ascii="Times New Roman" w:hAnsi="Times New Roman" w:cs="Times New Roman"/>
          <w:sz w:val="24"/>
          <w:szCs w:val="24"/>
        </w:rPr>
        <w:t xml:space="preserve">beperkt in de tijd. </w:t>
      </w:r>
      <w:r w:rsidRPr="00463949" w:rsidR="0048788F">
        <w:rPr>
          <w:rFonts w:ascii="Times New Roman" w:hAnsi="Times New Roman" w:cs="Times New Roman"/>
          <w:sz w:val="24"/>
          <w:szCs w:val="24"/>
        </w:rPr>
        <w:t>De rechtsvordering tot schadevergoeding verjaart drie jaar</w:t>
      </w:r>
      <w:r w:rsidRPr="00463949" w:rsidR="00F162C3">
        <w:rPr>
          <w:rFonts w:ascii="Times New Roman" w:hAnsi="Times New Roman" w:cs="Times New Roman"/>
          <w:sz w:val="24"/>
          <w:szCs w:val="24"/>
        </w:rPr>
        <w:t xml:space="preserve"> nadat </w:t>
      </w:r>
      <w:r w:rsidRPr="00463949" w:rsidR="0048788F">
        <w:rPr>
          <w:rFonts w:ascii="Times New Roman" w:hAnsi="Times New Roman" w:cs="Times New Roman"/>
          <w:sz w:val="24"/>
          <w:szCs w:val="24"/>
        </w:rPr>
        <w:t>de benadeelde kennis kreeg of had moeten krijgen van de schade, het gebrek en de identiteit van de producent.</w:t>
      </w:r>
      <w:r w:rsidRPr="00463949" w:rsidR="00CB5FA7">
        <w:rPr>
          <w:rStyle w:val="Voetnootmarkering"/>
          <w:rFonts w:ascii="Times New Roman" w:hAnsi="Times New Roman" w:cs="Times New Roman"/>
          <w:sz w:val="24"/>
          <w:szCs w:val="24"/>
        </w:rPr>
        <w:footnoteReference w:id="18"/>
      </w:r>
      <w:r w:rsidRPr="00463949" w:rsidR="0048788F">
        <w:rPr>
          <w:rFonts w:ascii="Times New Roman" w:hAnsi="Times New Roman" w:cs="Times New Roman"/>
          <w:sz w:val="24"/>
          <w:szCs w:val="24"/>
        </w:rPr>
        <w:t xml:space="preserve"> Daarnaast bevat </w:t>
      </w:r>
      <w:r w:rsidRPr="00463949" w:rsidR="001F55BF">
        <w:rPr>
          <w:rFonts w:ascii="Times New Roman" w:hAnsi="Times New Roman" w:cs="Times New Roman"/>
          <w:sz w:val="24"/>
          <w:szCs w:val="24"/>
        </w:rPr>
        <w:t>R</w:t>
      </w:r>
      <w:r w:rsidRPr="00463949" w:rsidR="0048788F">
        <w:rPr>
          <w:rFonts w:ascii="Times New Roman" w:hAnsi="Times New Roman" w:cs="Times New Roman"/>
          <w:sz w:val="24"/>
          <w:szCs w:val="24"/>
        </w:rPr>
        <w:t>ichtlijn</w:t>
      </w:r>
      <w:r w:rsidRPr="00463949" w:rsidR="001F55BF">
        <w:rPr>
          <w:rFonts w:ascii="Times New Roman" w:hAnsi="Times New Roman" w:cs="Times New Roman"/>
          <w:sz w:val="24"/>
          <w:szCs w:val="24"/>
        </w:rPr>
        <w:t xml:space="preserve"> 85/374</w:t>
      </w:r>
      <w:r w:rsidRPr="00463949" w:rsidR="0048788F">
        <w:rPr>
          <w:rFonts w:ascii="Times New Roman" w:hAnsi="Times New Roman" w:cs="Times New Roman"/>
          <w:sz w:val="24"/>
          <w:szCs w:val="24"/>
        </w:rPr>
        <w:t xml:space="preserve"> een vervaltermijn van tien jaar nadat het product in het verkeer is gebracht.</w:t>
      </w:r>
      <w:r w:rsidRPr="00463949" w:rsidR="00CB5FA7">
        <w:rPr>
          <w:rStyle w:val="Voetnootmarkering"/>
          <w:rFonts w:ascii="Times New Roman" w:hAnsi="Times New Roman" w:cs="Times New Roman"/>
          <w:sz w:val="24"/>
          <w:szCs w:val="24"/>
        </w:rPr>
        <w:footnoteReference w:id="19"/>
      </w:r>
      <w:r w:rsidRPr="00463949" w:rsidR="00CC38D3">
        <w:rPr>
          <w:rFonts w:ascii="Times New Roman" w:hAnsi="Times New Roman" w:cs="Times New Roman"/>
          <w:sz w:val="24"/>
          <w:szCs w:val="24"/>
        </w:rPr>
        <w:t xml:space="preserve"> Zijn deze termijnen verstreken, dan kan de benadeelde geen schadevergoeding meer vorderen op grond van de richtlijn.</w:t>
      </w:r>
    </w:p>
    <w:p w:rsidRPr="00463949" w:rsidR="002A2D5A" w:rsidP="006C13A8" w:rsidRDefault="002A2D5A" w14:paraId="35A73159" w14:textId="77777777">
      <w:pPr>
        <w:spacing w:after="0" w:line="276" w:lineRule="auto"/>
        <w:rPr>
          <w:rFonts w:ascii="Times New Roman" w:hAnsi="Times New Roman" w:cs="Times New Roman"/>
          <w:sz w:val="24"/>
          <w:szCs w:val="24"/>
        </w:rPr>
      </w:pPr>
    </w:p>
    <w:p w:rsidRPr="00463949" w:rsidR="003D6366" w:rsidP="006C13A8" w:rsidRDefault="0015111E" w14:paraId="3E1ED012" w14:textId="222634CD">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Richtlijn 85/374 </w:t>
      </w:r>
      <w:r w:rsidRPr="00463949" w:rsidR="00872117">
        <w:rPr>
          <w:rFonts w:ascii="Times New Roman" w:hAnsi="Times New Roman" w:cs="Times New Roman"/>
          <w:sz w:val="24"/>
          <w:szCs w:val="24"/>
        </w:rPr>
        <w:t xml:space="preserve">doet geen afbreuk aan de rechten die een benadeelde ontleent aan nationale regels over contractuele of buitencontractuele aansprakelijkheid op andere gronden dan </w:t>
      </w:r>
      <w:r w:rsidRPr="00463949" w:rsidR="0000662C">
        <w:rPr>
          <w:rFonts w:ascii="Times New Roman" w:hAnsi="Times New Roman" w:cs="Times New Roman"/>
          <w:sz w:val="24"/>
          <w:szCs w:val="24"/>
        </w:rPr>
        <w:t xml:space="preserve">het gebrek </w:t>
      </w:r>
      <w:r w:rsidRPr="00463949" w:rsidR="00872117">
        <w:rPr>
          <w:rFonts w:ascii="Times New Roman" w:hAnsi="Times New Roman" w:cs="Times New Roman"/>
          <w:sz w:val="24"/>
          <w:szCs w:val="24"/>
        </w:rPr>
        <w:t>van een product.</w:t>
      </w:r>
      <w:r w:rsidRPr="00463949" w:rsidR="00CB5FA7">
        <w:rPr>
          <w:rStyle w:val="Voetnootmarkering"/>
          <w:rFonts w:ascii="Times New Roman" w:hAnsi="Times New Roman" w:cs="Times New Roman"/>
          <w:sz w:val="24"/>
          <w:szCs w:val="24"/>
        </w:rPr>
        <w:footnoteReference w:id="20"/>
      </w:r>
      <w:r w:rsidRPr="00463949" w:rsidR="00872117">
        <w:rPr>
          <w:rFonts w:ascii="Times New Roman" w:hAnsi="Times New Roman" w:cs="Times New Roman"/>
          <w:sz w:val="24"/>
          <w:szCs w:val="24"/>
        </w:rPr>
        <w:t xml:space="preserve"> </w:t>
      </w:r>
      <w:r w:rsidRPr="00463949" w:rsidR="003D6366">
        <w:rPr>
          <w:rFonts w:ascii="Times New Roman" w:hAnsi="Times New Roman" w:cs="Times New Roman"/>
          <w:sz w:val="24"/>
          <w:szCs w:val="24"/>
        </w:rPr>
        <w:t>Dit betekent dat d</w:t>
      </w:r>
      <w:r w:rsidRPr="00463949">
        <w:rPr>
          <w:rFonts w:ascii="Times New Roman" w:hAnsi="Times New Roman" w:cs="Times New Roman"/>
          <w:sz w:val="24"/>
          <w:szCs w:val="24"/>
        </w:rPr>
        <w:t>i</w:t>
      </w:r>
      <w:r w:rsidRPr="00463949" w:rsidR="003D6366">
        <w:rPr>
          <w:rFonts w:ascii="Times New Roman" w:hAnsi="Times New Roman" w:cs="Times New Roman"/>
          <w:sz w:val="24"/>
          <w:szCs w:val="24"/>
        </w:rPr>
        <w:t>e richtlijn er niet aan in de weg staat dat een benadeelde een vordering instelt op grond van onrechtmatige daad</w:t>
      </w:r>
      <w:r w:rsidRPr="00463949" w:rsidR="00CC38D3">
        <w:rPr>
          <w:rFonts w:ascii="Times New Roman" w:hAnsi="Times New Roman" w:cs="Times New Roman"/>
          <w:sz w:val="24"/>
          <w:szCs w:val="24"/>
        </w:rPr>
        <w:t xml:space="preserve"> (schuldaansprakelijkheid)</w:t>
      </w:r>
      <w:r w:rsidRPr="00463949" w:rsidR="003D6366">
        <w:rPr>
          <w:rFonts w:ascii="Times New Roman" w:hAnsi="Times New Roman" w:cs="Times New Roman"/>
          <w:sz w:val="24"/>
          <w:szCs w:val="24"/>
        </w:rPr>
        <w:t xml:space="preserve">. Deze mogelijkheid is met name van belang in verband met de verjarings- en vervaltermijnen in de richtlijn. Wanneer deze termijnen zijn verstreken, kan de benadeelde geen vordering meer instellen op grond van </w:t>
      </w:r>
      <w:r w:rsidRPr="00463949" w:rsidR="00A56E0E">
        <w:rPr>
          <w:rFonts w:ascii="Times New Roman" w:hAnsi="Times New Roman" w:cs="Times New Roman"/>
          <w:sz w:val="24"/>
          <w:szCs w:val="24"/>
        </w:rPr>
        <w:t xml:space="preserve">de regeling van de </w:t>
      </w:r>
      <w:r w:rsidRPr="00463949" w:rsidR="003D6366">
        <w:rPr>
          <w:rFonts w:ascii="Times New Roman" w:hAnsi="Times New Roman" w:cs="Times New Roman"/>
          <w:sz w:val="24"/>
          <w:szCs w:val="24"/>
        </w:rPr>
        <w:t xml:space="preserve">productaansprakelijkheid. </w:t>
      </w:r>
      <w:r w:rsidRPr="00463949" w:rsidR="00EE63C1">
        <w:rPr>
          <w:rFonts w:ascii="Times New Roman" w:hAnsi="Times New Roman" w:cs="Times New Roman"/>
          <w:sz w:val="24"/>
          <w:szCs w:val="24"/>
        </w:rPr>
        <w:t>Of e</w:t>
      </w:r>
      <w:r w:rsidRPr="00463949" w:rsidR="003D6366">
        <w:rPr>
          <w:rFonts w:ascii="Times New Roman" w:hAnsi="Times New Roman" w:cs="Times New Roman"/>
          <w:sz w:val="24"/>
          <w:szCs w:val="24"/>
        </w:rPr>
        <w:t>en vordering op grond van onrechtmatige daad</w:t>
      </w:r>
      <w:r w:rsidRPr="00463949" w:rsidR="00EE63C1">
        <w:rPr>
          <w:rFonts w:ascii="Times New Roman" w:hAnsi="Times New Roman" w:cs="Times New Roman"/>
          <w:sz w:val="24"/>
          <w:szCs w:val="24"/>
        </w:rPr>
        <w:t xml:space="preserve"> nog wel mogelijk is</w:t>
      </w:r>
      <w:r w:rsidRPr="00463949" w:rsidR="003D6366">
        <w:rPr>
          <w:rFonts w:ascii="Times New Roman" w:hAnsi="Times New Roman" w:cs="Times New Roman"/>
          <w:sz w:val="24"/>
          <w:szCs w:val="24"/>
        </w:rPr>
        <w:t>,</w:t>
      </w:r>
      <w:r w:rsidRPr="00463949" w:rsidDel="00EE63C1" w:rsidR="00EE63C1">
        <w:rPr>
          <w:rFonts w:ascii="Times New Roman" w:hAnsi="Times New Roman" w:cs="Times New Roman"/>
          <w:sz w:val="24"/>
          <w:szCs w:val="24"/>
        </w:rPr>
        <w:t xml:space="preserve"> </w:t>
      </w:r>
      <w:r w:rsidRPr="00463949" w:rsidR="003D6366">
        <w:rPr>
          <w:rFonts w:ascii="Times New Roman" w:hAnsi="Times New Roman" w:cs="Times New Roman"/>
          <w:sz w:val="24"/>
          <w:szCs w:val="24"/>
        </w:rPr>
        <w:t>is</w:t>
      </w:r>
      <w:r w:rsidRPr="00463949" w:rsidR="00EE63C1">
        <w:rPr>
          <w:rFonts w:ascii="Times New Roman" w:hAnsi="Times New Roman" w:cs="Times New Roman"/>
          <w:sz w:val="24"/>
          <w:szCs w:val="24"/>
        </w:rPr>
        <w:t xml:space="preserve"> afhankelijk van het nationale recht</w:t>
      </w:r>
      <w:r w:rsidRPr="00463949" w:rsidR="003D6366">
        <w:rPr>
          <w:rFonts w:ascii="Times New Roman" w:hAnsi="Times New Roman" w:cs="Times New Roman"/>
          <w:sz w:val="24"/>
          <w:szCs w:val="24"/>
        </w:rPr>
        <w:t xml:space="preserve">. </w:t>
      </w:r>
      <w:r w:rsidRPr="00463949" w:rsidR="003D6366">
        <w:rPr>
          <w:rFonts w:ascii="Times New Roman" w:hAnsi="Times New Roman" w:cs="Times New Roman"/>
          <w:sz w:val="24"/>
          <w:szCs w:val="24"/>
        </w:rPr>
        <w:lastRenderedPageBreak/>
        <w:t>De benadeelde zal in dat geval wel aannemelijk moeten maken dat er sprake is van schuld of verwijtbaarheid (‘toerekenbaarheid’)</w:t>
      </w:r>
      <w:r w:rsidRPr="00463949" w:rsidR="002A2D5A">
        <w:rPr>
          <w:rFonts w:ascii="Times New Roman" w:hAnsi="Times New Roman" w:cs="Times New Roman"/>
          <w:sz w:val="24"/>
          <w:szCs w:val="24"/>
        </w:rPr>
        <w:t xml:space="preserve"> van de producent</w:t>
      </w:r>
      <w:r w:rsidRPr="00463949" w:rsidR="003D6366">
        <w:rPr>
          <w:rFonts w:ascii="Times New Roman" w:hAnsi="Times New Roman" w:cs="Times New Roman"/>
          <w:sz w:val="24"/>
          <w:szCs w:val="24"/>
        </w:rPr>
        <w:t>.</w:t>
      </w:r>
    </w:p>
    <w:p w:rsidRPr="00463949" w:rsidR="00370469" w:rsidP="006C13A8" w:rsidRDefault="00370469" w14:paraId="25C2CB07" w14:textId="77777777">
      <w:pPr>
        <w:spacing w:after="0" w:line="276" w:lineRule="auto"/>
        <w:rPr>
          <w:rFonts w:ascii="Times New Roman" w:hAnsi="Times New Roman" w:cs="Times New Roman"/>
          <w:sz w:val="24"/>
          <w:szCs w:val="24"/>
        </w:rPr>
      </w:pPr>
    </w:p>
    <w:p w:rsidRPr="00463949" w:rsidR="00370469" w:rsidP="006C13A8" w:rsidRDefault="00370469" w14:paraId="648AB26B" w14:textId="6B78B6D0">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2.2 Aanleiding en doelstellingen van de Richtlijn</w:t>
      </w:r>
    </w:p>
    <w:p w:rsidRPr="00463949" w:rsidR="005647B2" w:rsidP="00990535" w:rsidRDefault="005647B2" w14:paraId="3D9BE198" w14:textId="77777777">
      <w:pPr>
        <w:spacing w:after="0" w:line="276" w:lineRule="auto"/>
        <w:rPr>
          <w:rFonts w:ascii="Times New Roman" w:hAnsi="Times New Roman" w:cs="Times New Roman"/>
          <w:sz w:val="24"/>
          <w:szCs w:val="24"/>
        </w:rPr>
      </w:pPr>
    </w:p>
    <w:p w:rsidRPr="00463949" w:rsidR="005647B2" w:rsidP="00990535" w:rsidRDefault="001F2D33" w14:paraId="13C63E5E" w14:textId="2856DEE6">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Uit de preambule</w:t>
      </w:r>
      <w:r w:rsidRPr="00463949" w:rsidR="00C52D6B">
        <w:rPr>
          <w:rFonts w:ascii="Times New Roman" w:hAnsi="Times New Roman" w:cs="Times New Roman"/>
          <w:sz w:val="24"/>
          <w:szCs w:val="24"/>
        </w:rPr>
        <w:t xml:space="preserve"> van</w:t>
      </w:r>
      <w:r w:rsidRPr="00463949">
        <w:rPr>
          <w:rFonts w:ascii="Times New Roman" w:hAnsi="Times New Roman" w:cs="Times New Roman"/>
          <w:sz w:val="24"/>
          <w:szCs w:val="24"/>
        </w:rPr>
        <w:t xml:space="preserve"> de Richtlijn volgt dat</w:t>
      </w:r>
      <w:r w:rsidRPr="00463949" w:rsidR="00467DCC">
        <w:rPr>
          <w:rFonts w:ascii="Times New Roman" w:hAnsi="Times New Roman" w:cs="Times New Roman"/>
          <w:sz w:val="24"/>
          <w:szCs w:val="24"/>
        </w:rPr>
        <w:t>,</w:t>
      </w:r>
      <w:r w:rsidRPr="00463949">
        <w:rPr>
          <w:rFonts w:ascii="Times New Roman" w:hAnsi="Times New Roman" w:cs="Times New Roman"/>
          <w:sz w:val="24"/>
          <w:szCs w:val="24"/>
        </w:rPr>
        <w:t xml:space="preserve"> h</w:t>
      </w:r>
      <w:r w:rsidRPr="00463949" w:rsidR="002934BC">
        <w:rPr>
          <w:rFonts w:ascii="Times New Roman" w:hAnsi="Times New Roman" w:cs="Times New Roman"/>
          <w:sz w:val="24"/>
          <w:szCs w:val="24"/>
        </w:rPr>
        <w:t xml:space="preserve">oewel </w:t>
      </w:r>
      <w:r w:rsidRPr="00463949" w:rsidR="001F55BF">
        <w:rPr>
          <w:rFonts w:ascii="Times New Roman" w:hAnsi="Times New Roman" w:cs="Times New Roman"/>
          <w:sz w:val="24"/>
          <w:szCs w:val="24"/>
        </w:rPr>
        <w:t xml:space="preserve">Richtlijn 85/374 </w:t>
      </w:r>
      <w:r w:rsidRPr="00463949" w:rsidR="002934BC">
        <w:rPr>
          <w:rFonts w:ascii="Times New Roman" w:hAnsi="Times New Roman" w:cs="Times New Roman"/>
          <w:sz w:val="24"/>
          <w:szCs w:val="24"/>
        </w:rPr>
        <w:t xml:space="preserve">een doeltreffend en belangrijk instrument is geweest, </w:t>
      </w:r>
      <w:r w:rsidRPr="00463949" w:rsidR="00441A60">
        <w:rPr>
          <w:rFonts w:ascii="Times New Roman" w:hAnsi="Times New Roman" w:cs="Times New Roman"/>
          <w:sz w:val="24"/>
          <w:szCs w:val="24"/>
        </w:rPr>
        <w:t xml:space="preserve">deze </w:t>
      </w:r>
      <w:r w:rsidRPr="00463949" w:rsidR="0066443A">
        <w:rPr>
          <w:rFonts w:ascii="Times New Roman" w:hAnsi="Times New Roman" w:cs="Times New Roman"/>
          <w:sz w:val="24"/>
          <w:szCs w:val="24"/>
        </w:rPr>
        <w:t xml:space="preserve">is </w:t>
      </w:r>
      <w:r w:rsidRPr="00463949" w:rsidR="002934BC">
        <w:rPr>
          <w:rFonts w:ascii="Times New Roman" w:hAnsi="Times New Roman" w:cs="Times New Roman"/>
          <w:sz w:val="24"/>
          <w:szCs w:val="24"/>
        </w:rPr>
        <w:t xml:space="preserve">herzien in het licht van </w:t>
      </w:r>
      <w:r w:rsidRPr="00463949" w:rsidR="00467DCC">
        <w:rPr>
          <w:rFonts w:ascii="Times New Roman" w:hAnsi="Times New Roman" w:cs="Times New Roman"/>
          <w:sz w:val="24"/>
          <w:szCs w:val="24"/>
        </w:rPr>
        <w:t xml:space="preserve">de opkomst van </w:t>
      </w:r>
      <w:r w:rsidRPr="00463949" w:rsidR="002934BC">
        <w:rPr>
          <w:rFonts w:ascii="Times New Roman" w:hAnsi="Times New Roman" w:cs="Times New Roman"/>
          <w:sz w:val="24"/>
          <w:szCs w:val="24"/>
        </w:rPr>
        <w:t>nieuwe</w:t>
      </w:r>
      <w:r w:rsidRPr="00463949" w:rsidR="00393FB1">
        <w:rPr>
          <w:rFonts w:ascii="Times New Roman" w:hAnsi="Times New Roman" w:cs="Times New Roman"/>
          <w:sz w:val="24"/>
          <w:szCs w:val="24"/>
        </w:rPr>
        <w:t xml:space="preserve"> (digitale)</w:t>
      </w:r>
      <w:r w:rsidRPr="00463949" w:rsidR="002934BC">
        <w:rPr>
          <w:rFonts w:ascii="Times New Roman" w:hAnsi="Times New Roman" w:cs="Times New Roman"/>
          <w:sz w:val="24"/>
          <w:szCs w:val="24"/>
        </w:rPr>
        <w:t xml:space="preserve"> technologieën, </w:t>
      </w:r>
      <w:r w:rsidRPr="00463949" w:rsidR="00F00DCD">
        <w:rPr>
          <w:rFonts w:ascii="Times New Roman" w:hAnsi="Times New Roman" w:cs="Times New Roman"/>
          <w:sz w:val="24"/>
          <w:szCs w:val="24"/>
        </w:rPr>
        <w:t>waaronder</w:t>
      </w:r>
      <w:r w:rsidRPr="00463949" w:rsidR="002934BC">
        <w:rPr>
          <w:rFonts w:ascii="Times New Roman" w:hAnsi="Times New Roman" w:cs="Times New Roman"/>
          <w:sz w:val="24"/>
          <w:szCs w:val="24"/>
        </w:rPr>
        <w:t xml:space="preserve"> kunstmatige intelligentie (AI), nieuwe bedrijfsmodellen voor de circulaire economie en nieuwe mondiale toeleveringsketens. Deze ontwikkelingen hebben geleid tot inconsistenties en rechtsonzekerheid</w:t>
      </w:r>
      <w:r w:rsidRPr="00463949" w:rsidR="002C3809">
        <w:rPr>
          <w:rFonts w:ascii="Times New Roman" w:hAnsi="Times New Roman" w:cs="Times New Roman"/>
          <w:sz w:val="24"/>
          <w:szCs w:val="24"/>
        </w:rPr>
        <w:t xml:space="preserve"> over de toepassing van </w:t>
      </w:r>
      <w:r w:rsidRPr="00463949" w:rsidR="001F55BF">
        <w:rPr>
          <w:rFonts w:ascii="Times New Roman" w:hAnsi="Times New Roman" w:cs="Times New Roman"/>
          <w:sz w:val="24"/>
          <w:szCs w:val="24"/>
        </w:rPr>
        <w:t>Richtlijn 85/374</w:t>
      </w:r>
      <w:r w:rsidRPr="00463949" w:rsidR="002934BC">
        <w:rPr>
          <w:rFonts w:ascii="Times New Roman" w:hAnsi="Times New Roman" w:cs="Times New Roman"/>
          <w:sz w:val="24"/>
          <w:szCs w:val="24"/>
        </w:rPr>
        <w:t>, met name met betrekking tot de betekenis van het begrip “product”.</w:t>
      </w:r>
      <w:r w:rsidRPr="00463949" w:rsidR="00A56E0E">
        <w:rPr>
          <w:rFonts w:ascii="Times New Roman" w:hAnsi="Times New Roman" w:cs="Times New Roman"/>
          <w:sz w:val="24"/>
          <w:szCs w:val="24"/>
        </w:rPr>
        <w:t xml:space="preserve"> </w:t>
      </w:r>
      <w:r w:rsidRPr="00463949" w:rsidR="00A67F39">
        <w:rPr>
          <w:rFonts w:ascii="Times New Roman" w:hAnsi="Times New Roman" w:cs="Times New Roman"/>
          <w:sz w:val="24"/>
          <w:szCs w:val="24"/>
        </w:rPr>
        <w:t xml:space="preserve">Daarnaast </w:t>
      </w:r>
      <w:r w:rsidRPr="00463949" w:rsidR="00393FB1">
        <w:rPr>
          <w:rFonts w:ascii="Times New Roman" w:hAnsi="Times New Roman" w:cs="Times New Roman"/>
          <w:sz w:val="24"/>
          <w:szCs w:val="24"/>
        </w:rPr>
        <w:t xml:space="preserve">is uit </w:t>
      </w:r>
      <w:r w:rsidRPr="00463949" w:rsidR="002934BC">
        <w:rPr>
          <w:rFonts w:ascii="Times New Roman" w:hAnsi="Times New Roman" w:cs="Times New Roman"/>
          <w:sz w:val="24"/>
          <w:szCs w:val="24"/>
        </w:rPr>
        <w:t>de ervaring met de toepassing van d</w:t>
      </w:r>
      <w:r w:rsidRPr="00463949" w:rsidR="001F55BF">
        <w:rPr>
          <w:rFonts w:ascii="Times New Roman" w:hAnsi="Times New Roman" w:cs="Times New Roman"/>
          <w:sz w:val="24"/>
          <w:szCs w:val="24"/>
        </w:rPr>
        <w:t>i</w:t>
      </w:r>
      <w:r w:rsidRPr="00463949" w:rsidR="002934BC">
        <w:rPr>
          <w:rFonts w:ascii="Times New Roman" w:hAnsi="Times New Roman" w:cs="Times New Roman"/>
          <w:sz w:val="24"/>
          <w:szCs w:val="24"/>
        </w:rPr>
        <w:t>e rich</w:t>
      </w:r>
      <w:r w:rsidRPr="00463949" w:rsidR="00F00DCD">
        <w:rPr>
          <w:rFonts w:ascii="Times New Roman" w:hAnsi="Times New Roman" w:cs="Times New Roman"/>
          <w:sz w:val="24"/>
          <w:szCs w:val="24"/>
        </w:rPr>
        <w:t xml:space="preserve">tlijn gebleken dat benadeelden moeilijkheden ondervinden bij het verkrijgen van schadevergoeding. </w:t>
      </w:r>
      <w:r w:rsidRPr="00463949" w:rsidR="005740B1">
        <w:rPr>
          <w:rFonts w:ascii="Times New Roman" w:hAnsi="Times New Roman" w:cs="Times New Roman"/>
          <w:sz w:val="24"/>
          <w:szCs w:val="24"/>
        </w:rPr>
        <w:t>Dit komt door beperkingen op het instellen van vorderingen tot schadevergoeding</w:t>
      </w:r>
      <w:r w:rsidRPr="00463949" w:rsidR="0023423C">
        <w:rPr>
          <w:rFonts w:ascii="Times New Roman" w:hAnsi="Times New Roman" w:cs="Times New Roman"/>
          <w:sz w:val="24"/>
          <w:szCs w:val="24"/>
        </w:rPr>
        <w:t xml:space="preserve"> en </w:t>
      </w:r>
      <w:r w:rsidRPr="00463949" w:rsidR="00460636">
        <w:rPr>
          <w:rFonts w:ascii="Times New Roman" w:hAnsi="Times New Roman" w:cs="Times New Roman"/>
          <w:sz w:val="24"/>
          <w:szCs w:val="24"/>
        </w:rPr>
        <w:t>bewijs</w:t>
      </w:r>
      <w:r w:rsidRPr="00463949" w:rsidR="0023423C">
        <w:rPr>
          <w:rFonts w:ascii="Times New Roman" w:hAnsi="Times New Roman" w:cs="Times New Roman"/>
          <w:sz w:val="24"/>
          <w:szCs w:val="24"/>
        </w:rPr>
        <w:t>problemen</w:t>
      </w:r>
      <w:r w:rsidRPr="00463949" w:rsidR="00460636">
        <w:rPr>
          <w:rFonts w:ascii="Times New Roman" w:hAnsi="Times New Roman" w:cs="Times New Roman"/>
          <w:sz w:val="24"/>
          <w:szCs w:val="24"/>
        </w:rPr>
        <w:t>.</w:t>
      </w:r>
      <w:r w:rsidRPr="00463949" w:rsidR="0023423C">
        <w:rPr>
          <w:rFonts w:ascii="Times New Roman" w:hAnsi="Times New Roman" w:cs="Times New Roman"/>
          <w:sz w:val="24"/>
          <w:szCs w:val="24"/>
        </w:rPr>
        <w:t xml:space="preserve"> </w:t>
      </w:r>
      <w:r w:rsidRPr="00463949" w:rsidR="00BF4CB6">
        <w:rPr>
          <w:rFonts w:ascii="Times New Roman" w:hAnsi="Times New Roman" w:cs="Times New Roman"/>
          <w:sz w:val="24"/>
          <w:szCs w:val="24"/>
        </w:rPr>
        <w:t>Dit speelt met name in technisch en wetenschappelijk complexe zaken</w:t>
      </w:r>
      <w:r w:rsidRPr="00463949" w:rsidR="00340059">
        <w:rPr>
          <w:rFonts w:ascii="Times New Roman" w:hAnsi="Times New Roman" w:cs="Times New Roman"/>
          <w:sz w:val="24"/>
          <w:szCs w:val="24"/>
        </w:rPr>
        <w:t xml:space="preserve"> (zie overweging 3)</w:t>
      </w:r>
      <w:r w:rsidRPr="00463949" w:rsidR="00E91F44">
        <w:rPr>
          <w:rFonts w:ascii="Times New Roman" w:hAnsi="Times New Roman" w:cs="Times New Roman"/>
          <w:sz w:val="24"/>
          <w:szCs w:val="24"/>
        </w:rPr>
        <w:t>. Hierbij valt b</w:t>
      </w:r>
      <w:r w:rsidRPr="00463949" w:rsidR="00BF4CB6">
        <w:rPr>
          <w:rFonts w:ascii="Times New Roman" w:hAnsi="Times New Roman" w:cs="Times New Roman"/>
          <w:sz w:val="24"/>
          <w:szCs w:val="24"/>
        </w:rPr>
        <w:t>ijvoorbeeld</w:t>
      </w:r>
      <w:r w:rsidRPr="00463949" w:rsidR="00E91F44">
        <w:rPr>
          <w:rFonts w:ascii="Times New Roman" w:hAnsi="Times New Roman" w:cs="Times New Roman"/>
          <w:sz w:val="24"/>
          <w:szCs w:val="24"/>
        </w:rPr>
        <w:t xml:space="preserve"> te denken aan</w:t>
      </w:r>
      <w:r w:rsidRPr="00463949" w:rsidR="00BF4CB6">
        <w:rPr>
          <w:rFonts w:ascii="Times New Roman" w:hAnsi="Times New Roman" w:cs="Times New Roman"/>
          <w:sz w:val="24"/>
          <w:szCs w:val="24"/>
        </w:rPr>
        <w:t xml:space="preserve"> </w:t>
      </w:r>
      <w:r w:rsidRPr="00463949" w:rsidR="007C5A1B">
        <w:rPr>
          <w:rFonts w:ascii="Times New Roman" w:hAnsi="Times New Roman" w:cs="Times New Roman"/>
          <w:sz w:val="24"/>
          <w:szCs w:val="24"/>
        </w:rPr>
        <w:t xml:space="preserve">zaken </w:t>
      </w:r>
      <w:r w:rsidRPr="00463949" w:rsidR="00A67F39">
        <w:rPr>
          <w:rFonts w:ascii="Times New Roman" w:hAnsi="Times New Roman" w:cs="Times New Roman"/>
          <w:sz w:val="24"/>
          <w:szCs w:val="24"/>
        </w:rPr>
        <w:t xml:space="preserve">over </w:t>
      </w:r>
      <w:r w:rsidRPr="00463949" w:rsidR="00BF4CB6">
        <w:rPr>
          <w:rFonts w:ascii="Times New Roman" w:hAnsi="Times New Roman" w:cs="Times New Roman"/>
          <w:sz w:val="24"/>
          <w:szCs w:val="24"/>
        </w:rPr>
        <w:t>medicijnen, ‘</w:t>
      </w:r>
      <w:r w:rsidRPr="00463949" w:rsidR="00BF4CB6">
        <w:rPr>
          <w:rFonts w:ascii="Times New Roman" w:hAnsi="Times New Roman" w:cs="Times New Roman"/>
          <w:i/>
          <w:iCs/>
          <w:sz w:val="24"/>
          <w:szCs w:val="24"/>
        </w:rPr>
        <w:t>smart products</w:t>
      </w:r>
      <w:r w:rsidRPr="00463949" w:rsidR="00BF4CB6">
        <w:rPr>
          <w:rFonts w:ascii="Times New Roman" w:hAnsi="Times New Roman" w:cs="Times New Roman"/>
          <w:sz w:val="24"/>
          <w:szCs w:val="24"/>
        </w:rPr>
        <w:t>’ en AI.</w:t>
      </w:r>
      <w:r w:rsidRPr="00463949" w:rsidR="0004460E">
        <w:rPr>
          <w:rStyle w:val="Voetnootmarkering"/>
          <w:rFonts w:ascii="Times New Roman" w:hAnsi="Times New Roman" w:cs="Times New Roman"/>
          <w:sz w:val="24"/>
          <w:szCs w:val="24"/>
        </w:rPr>
        <w:footnoteReference w:id="21"/>
      </w:r>
    </w:p>
    <w:p w:rsidRPr="00463949" w:rsidR="006C13A8" w:rsidP="00990535" w:rsidRDefault="006C13A8" w14:paraId="58F73295" w14:textId="2E4CFA94">
      <w:pPr>
        <w:spacing w:after="0" w:line="276" w:lineRule="auto"/>
        <w:rPr>
          <w:rFonts w:ascii="Times New Roman" w:hAnsi="Times New Roman" w:cs="Times New Roman"/>
          <w:sz w:val="24"/>
          <w:szCs w:val="24"/>
        </w:rPr>
      </w:pPr>
    </w:p>
    <w:p w:rsidRPr="00463949" w:rsidR="006C13A8" w:rsidP="00990535" w:rsidRDefault="00C52D6B" w14:paraId="58A48B62" w14:textId="7BF345F9">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Uit de preambule volgt verder dat de </w:t>
      </w:r>
      <w:r w:rsidRPr="00463949" w:rsidR="006C13A8">
        <w:rPr>
          <w:rFonts w:ascii="Times New Roman" w:hAnsi="Times New Roman" w:cs="Times New Roman"/>
          <w:sz w:val="24"/>
          <w:szCs w:val="24"/>
        </w:rPr>
        <w:t xml:space="preserve">herziening van </w:t>
      </w:r>
      <w:r w:rsidRPr="00463949" w:rsidR="001F55BF">
        <w:rPr>
          <w:rFonts w:ascii="Times New Roman" w:hAnsi="Times New Roman" w:cs="Times New Roman"/>
          <w:sz w:val="24"/>
          <w:szCs w:val="24"/>
        </w:rPr>
        <w:t xml:space="preserve">Richtlijn 85/374 </w:t>
      </w:r>
      <w:r w:rsidRPr="00463949" w:rsidR="006C13A8">
        <w:rPr>
          <w:rFonts w:ascii="Times New Roman" w:hAnsi="Times New Roman" w:cs="Times New Roman"/>
          <w:sz w:val="24"/>
          <w:szCs w:val="24"/>
        </w:rPr>
        <w:t xml:space="preserve">als doel </w:t>
      </w:r>
      <w:r w:rsidRPr="00463949">
        <w:rPr>
          <w:rFonts w:ascii="Times New Roman" w:hAnsi="Times New Roman" w:cs="Times New Roman"/>
          <w:sz w:val="24"/>
          <w:szCs w:val="24"/>
        </w:rPr>
        <w:t xml:space="preserve">heeft </w:t>
      </w:r>
      <w:r w:rsidRPr="00463949" w:rsidR="006C13A8">
        <w:rPr>
          <w:rFonts w:ascii="Times New Roman" w:hAnsi="Times New Roman" w:cs="Times New Roman"/>
          <w:sz w:val="24"/>
          <w:szCs w:val="24"/>
        </w:rPr>
        <w:t xml:space="preserve">de uitrol en invoering van nieuwe technologieën, waaronder AI, aan te moedigen. Tegelijkertijd </w:t>
      </w:r>
      <w:r w:rsidRPr="00463949" w:rsidR="006E7D85">
        <w:rPr>
          <w:rFonts w:ascii="Times New Roman" w:hAnsi="Times New Roman" w:cs="Times New Roman"/>
          <w:sz w:val="24"/>
          <w:szCs w:val="24"/>
        </w:rPr>
        <w:t>moet d</w:t>
      </w:r>
      <w:r w:rsidRPr="00463949" w:rsidR="00246D31">
        <w:rPr>
          <w:rFonts w:ascii="Times New Roman" w:hAnsi="Times New Roman" w:cs="Times New Roman"/>
          <w:sz w:val="24"/>
          <w:szCs w:val="24"/>
        </w:rPr>
        <w:t>e herziening</w:t>
      </w:r>
      <w:r w:rsidRPr="00463949" w:rsidR="006E7D85">
        <w:rPr>
          <w:rFonts w:ascii="Times New Roman" w:hAnsi="Times New Roman" w:cs="Times New Roman"/>
          <w:sz w:val="24"/>
          <w:szCs w:val="24"/>
        </w:rPr>
        <w:t xml:space="preserve"> </w:t>
      </w:r>
      <w:r w:rsidRPr="00463949" w:rsidR="006C13A8">
        <w:rPr>
          <w:rFonts w:ascii="Times New Roman" w:hAnsi="Times New Roman" w:cs="Times New Roman"/>
          <w:sz w:val="24"/>
          <w:szCs w:val="24"/>
        </w:rPr>
        <w:t xml:space="preserve">ervoor zorgen dat consumenten en andere natuurlijke personen hetzelfde </w:t>
      </w:r>
      <w:r w:rsidRPr="00463949" w:rsidR="00A67F39">
        <w:rPr>
          <w:rFonts w:ascii="Times New Roman" w:hAnsi="Times New Roman" w:cs="Times New Roman"/>
          <w:sz w:val="24"/>
          <w:szCs w:val="24"/>
        </w:rPr>
        <w:t xml:space="preserve">hoge </w:t>
      </w:r>
      <w:r w:rsidRPr="00463949" w:rsidR="006C13A8">
        <w:rPr>
          <w:rFonts w:ascii="Times New Roman" w:hAnsi="Times New Roman" w:cs="Times New Roman"/>
          <w:sz w:val="24"/>
          <w:szCs w:val="24"/>
        </w:rPr>
        <w:t xml:space="preserve">niveau van bescherming genieten, ongeacht de betrokken technologie. </w:t>
      </w:r>
      <w:r w:rsidRPr="00463949" w:rsidR="007765FD">
        <w:rPr>
          <w:rFonts w:ascii="Times New Roman" w:hAnsi="Times New Roman" w:cs="Times New Roman"/>
          <w:sz w:val="24"/>
          <w:szCs w:val="24"/>
        </w:rPr>
        <w:t xml:space="preserve">Daarnaast </w:t>
      </w:r>
      <w:r w:rsidRPr="00463949" w:rsidR="00BC4EDA">
        <w:rPr>
          <w:rFonts w:ascii="Times New Roman" w:hAnsi="Times New Roman" w:cs="Times New Roman"/>
          <w:sz w:val="24"/>
          <w:szCs w:val="24"/>
        </w:rPr>
        <w:t>zouden</w:t>
      </w:r>
      <w:r w:rsidRPr="00463949" w:rsidR="00293F45">
        <w:rPr>
          <w:rFonts w:ascii="Times New Roman" w:hAnsi="Times New Roman" w:cs="Times New Roman"/>
          <w:sz w:val="24"/>
          <w:szCs w:val="24"/>
        </w:rPr>
        <w:t xml:space="preserve"> a</w:t>
      </w:r>
      <w:r w:rsidRPr="00463949" w:rsidR="006C13A8">
        <w:rPr>
          <w:rFonts w:ascii="Times New Roman" w:hAnsi="Times New Roman" w:cs="Times New Roman"/>
          <w:sz w:val="24"/>
          <w:szCs w:val="24"/>
        </w:rPr>
        <w:t xml:space="preserve">lle bedrijven voordeel </w:t>
      </w:r>
      <w:r w:rsidRPr="00463949" w:rsidR="00BC4EDA">
        <w:rPr>
          <w:rFonts w:ascii="Times New Roman" w:hAnsi="Times New Roman" w:cs="Times New Roman"/>
          <w:sz w:val="24"/>
          <w:szCs w:val="24"/>
        </w:rPr>
        <w:t xml:space="preserve">moeten </w:t>
      </w:r>
      <w:r w:rsidRPr="00463949" w:rsidR="006C13A8">
        <w:rPr>
          <w:rFonts w:ascii="Times New Roman" w:hAnsi="Times New Roman" w:cs="Times New Roman"/>
          <w:sz w:val="24"/>
          <w:szCs w:val="24"/>
        </w:rPr>
        <w:t>halen uit meer rechtszekerheid en een gelijk speelveld</w:t>
      </w:r>
      <w:r w:rsidRPr="00463949" w:rsidR="00340059">
        <w:rPr>
          <w:rFonts w:ascii="Times New Roman" w:hAnsi="Times New Roman" w:cs="Times New Roman"/>
          <w:sz w:val="24"/>
          <w:szCs w:val="24"/>
        </w:rPr>
        <w:t xml:space="preserve"> (zie overweging 3)</w:t>
      </w:r>
      <w:r w:rsidRPr="00463949" w:rsidR="006C13A8">
        <w:rPr>
          <w:rFonts w:ascii="Times New Roman" w:hAnsi="Times New Roman" w:cs="Times New Roman"/>
          <w:sz w:val="24"/>
          <w:szCs w:val="24"/>
        </w:rPr>
        <w:t xml:space="preserve">. </w:t>
      </w:r>
      <w:r w:rsidRPr="00463949" w:rsidR="00CB5FA7">
        <w:rPr>
          <w:rFonts w:ascii="Times New Roman" w:hAnsi="Times New Roman" w:cs="Times New Roman"/>
          <w:sz w:val="24"/>
          <w:szCs w:val="24"/>
        </w:rPr>
        <w:t xml:space="preserve">Met de herziening </w:t>
      </w:r>
      <w:r w:rsidRPr="00463949" w:rsidR="00A56E0E">
        <w:rPr>
          <w:rFonts w:ascii="Times New Roman" w:hAnsi="Times New Roman" w:cs="Times New Roman"/>
          <w:sz w:val="24"/>
          <w:szCs w:val="24"/>
        </w:rPr>
        <w:t xml:space="preserve">is </w:t>
      </w:r>
      <w:r w:rsidRPr="00463949" w:rsidR="00BC4EDA">
        <w:rPr>
          <w:rFonts w:ascii="Times New Roman" w:hAnsi="Times New Roman" w:cs="Times New Roman"/>
          <w:sz w:val="24"/>
          <w:szCs w:val="24"/>
        </w:rPr>
        <w:t>beoog</w:t>
      </w:r>
      <w:r w:rsidRPr="00463949" w:rsidR="00CB5FA7">
        <w:rPr>
          <w:rFonts w:ascii="Times New Roman" w:hAnsi="Times New Roman" w:cs="Times New Roman"/>
          <w:sz w:val="24"/>
          <w:szCs w:val="24"/>
        </w:rPr>
        <w:t>d</w:t>
      </w:r>
      <w:r w:rsidRPr="00463949" w:rsidR="00BC4EDA">
        <w:rPr>
          <w:rFonts w:ascii="Times New Roman" w:hAnsi="Times New Roman" w:cs="Times New Roman"/>
          <w:sz w:val="24"/>
          <w:szCs w:val="24"/>
        </w:rPr>
        <w:t xml:space="preserve"> te zorgen </w:t>
      </w:r>
      <w:r w:rsidRPr="00463949" w:rsidR="006C13A8">
        <w:rPr>
          <w:rFonts w:ascii="Times New Roman" w:hAnsi="Times New Roman" w:cs="Times New Roman"/>
          <w:sz w:val="24"/>
          <w:szCs w:val="24"/>
        </w:rPr>
        <w:t>voor samenhang en consistentie met de wetgeving inzake productveiligheid en mark</w:t>
      </w:r>
      <w:r w:rsidRPr="00463949" w:rsidR="00293F45">
        <w:rPr>
          <w:rFonts w:ascii="Times New Roman" w:hAnsi="Times New Roman" w:cs="Times New Roman"/>
          <w:sz w:val="24"/>
          <w:szCs w:val="24"/>
        </w:rPr>
        <w:t xml:space="preserve">ttoezicht op Unie- en nationaal niveau. </w:t>
      </w:r>
      <w:r w:rsidRPr="00463949" w:rsidR="00246D31">
        <w:rPr>
          <w:rFonts w:ascii="Times New Roman" w:hAnsi="Times New Roman" w:cs="Times New Roman"/>
          <w:sz w:val="24"/>
          <w:szCs w:val="24"/>
        </w:rPr>
        <w:t xml:space="preserve">Daarnaast </w:t>
      </w:r>
      <w:r w:rsidRPr="00463949" w:rsidR="00D6608C">
        <w:rPr>
          <w:rFonts w:ascii="Times New Roman" w:hAnsi="Times New Roman" w:cs="Times New Roman"/>
          <w:sz w:val="24"/>
          <w:szCs w:val="24"/>
        </w:rPr>
        <w:t xml:space="preserve">zijn </w:t>
      </w:r>
      <w:r w:rsidRPr="00463949" w:rsidR="0005138D">
        <w:rPr>
          <w:rFonts w:ascii="Times New Roman" w:hAnsi="Times New Roman" w:cs="Times New Roman"/>
          <w:sz w:val="24"/>
          <w:szCs w:val="24"/>
        </w:rPr>
        <w:t>b</w:t>
      </w:r>
      <w:r w:rsidRPr="00463949" w:rsidR="00293F45">
        <w:rPr>
          <w:rFonts w:ascii="Times New Roman" w:hAnsi="Times New Roman" w:cs="Times New Roman"/>
          <w:sz w:val="24"/>
          <w:szCs w:val="24"/>
        </w:rPr>
        <w:t xml:space="preserve">asisbegrippen en </w:t>
      </w:r>
      <w:r w:rsidRPr="00463949" w:rsidR="00257264">
        <w:rPr>
          <w:rFonts w:ascii="Times New Roman" w:hAnsi="Times New Roman" w:cs="Times New Roman"/>
          <w:sz w:val="24"/>
          <w:szCs w:val="24"/>
        </w:rPr>
        <w:noBreakHyphen/>
      </w:r>
      <w:r w:rsidRPr="00463949" w:rsidR="00293F45">
        <w:rPr>
          <w:rFonts w:ascii="Times New Roman" w:hAnsi="Times New Roman" w:cs="Times New Roman"/>
          <w:sz w:val="24"/>
          <w:szCs w:val="24"/>
        </w:rPr>
        <w:t xml:space="preserve">concepten </w:t>
      </w:r>
      <w:r w:rsidRPr="00463949" w:rsidR="006E7D85">
        <w:rPr>
          <w:rFonts w:ascii="Times New Roman" w:hAnsi="Times New Roman" w:cs="Times New Roman"/>
          <w:sz w:val="24"/>
          <w:szCs w:val="24"/>
        </w:rPr>
        <w:t xml:space="preserve">verduidelijkt om </w:t>
      </w:r>
      <w:r w:rsidRPr="00463949" w:rsidR="00293F45">
        <w:rPr>
          <w:rFonts w:ascii="Times New Roman" w:hAnsi="Times New Roman" w:cs="Times New Roman"/>
          <w:sz w:val="24"/>
          <w:szCs w:val="24"/>
        </w:rPr>
        <w:t>samenhang en rechtszekerheid en een gelijk speelveld op de interne markt</w:t>
      </w:r>
      <w:r w:rsidRPr="00463949" w:rsidR="006E7D85">
        <w:rPr>
          <w:rFonts w:ascii="Times New Roman" w:hAnsi="Times New Roman" w:cs="Times New Roman"/>
          <w:sz w:val="24"/>
          <w:szCs w:val="24"/>
        </w:rPr>
        <w:t xml:space="preserve"> te waarborgen</w:t>
      </w:r>
      <w:r w:rsidRPr="00463949" w:rsidR="00293F45">
        <w:rPr>
          <w:rFonts w:ascii="Times New Roman" w:hAnsi="Times New Roman" w:cs="Times New Roman"/>
          <w:sz w:val="24"/>
          <w:szCs w:val="24"/>
        </w:rPr>
        <w:t>.</w:t>
      </w:r>
      <w:r w:rsidRPr="00463949" w:rsidR="00296D46">
        <w:rPr>
          <w:rStyle w:val="Voetnootmarkering"/>
          <w:rFonts w:ascii="Times New Roman" w:hAnsi="Times New Roman" w:cs="Times New Roman"/>
          <w:sz w:val="24"/>
          <w:szCs w:val="24"/>
        </w:rPr>
        <w:footnoteReference w:id="22"/>
      </w:r>
      <w:r w:rsidRPr="00463949" w:rsidR="00293F45">
        <w:rPr>
          <w:rFonts w:ascii="Times New Roman" w:hAnsi="Times New Roman" w:cs="Times New Roman"/>
          <w:sz w:val="24"/>
          <w:szCs w:val="24"/>
        </w:rPr>
        <w:t xml:space="preserve"> </w:t>
      </w:r>
      <w:r w:rsidRPr="00463949" w:rsidR="00A67F39">
        <w:rPr>
          <w:rFonts w:ascii="Times New Roman" w:hAnsi="Times New Roman" w:cs="Times New Roman"/>
          <w:sz w:val="24"/>
          <w:szCs w:val="24"/>
        </w:rPr>
        <w:t>Daar</w:t>
      </w:r>
      <w:r w:rsidRPr="00463949" w:rsidR="00293F45">
        <w:rPr>
          <w:rFonts w:ascii="Times New Roman" w:hAnsi="Times New Roman" w:cs="Times New Roman"/>
          <w:sz w:val="24"/>
          <w:szCs w:val="24"/>
        </w:rPr>
        <w:t xml:space="preserve">bij </w:t>
      </w:r>
      <w:r w:rsidRPr="00463949" w:rsidR="00246D31">
        <w:rPr>
          <w:rFonts w:ascii="Times New Roman" w:hAnsi="Times New Roman" w:cs="Times New Roman"/>
          <w:sz w:val="24"/>
          <w:szCs w:val="24"/>
        </w:rPr>
        <w:t xml:space="preserve">is </w:t>
      </w:r>
      <w:r w:rsidRPr="00463949" w:rsidR="00293F45">
        <w:rPr>
          <w:rFonts w:ascii="Times New Roman" w:hAnsi="Times New Roman" w:cs="Times New Roman"/>
          <w:sz w:val="24"/>
          <w:szCs w:val="24"/>
        </w:rPr>
        <w:t>rekening gehouden met recente rechtspraak van het Hof van Justitie van de Europese Unie</w:t>
      </w:r>
      <w:r w:rsidRPr="00463949" w:rsidR="00340059">
        <w:rPr>
          <w:rFonts w:ascii="Times New Roman" w:hAnsi="Times New Roman" w:cs="Times New Roman"/>
          <w:sz w:val="24"/>
          <w:szCs w:val="24"/>
        </w:rPr>
        <w:t xml:space="preserve"> (zie overweging 4)</w:t>
      </w:r>
      <w:r w:rsidRPr="00463949" w:rsidR="00293F45">
        <w:rPr>
          <w:rFonts w:ascii="Times New Roman" w:hAnsi="Times New Roman" w:cs="Times New Roman"/>
          <w:sz w:val="24"/>
          <w:szCs w:val="24"/>
        </w:rPr>
        <w:t>.</w:t>
      </w:r>
    </w:p>
    <w:p w:rsidRPr="00463949" w:rsidR="0054282B" w:rsidP="00990535" w:rsidRDefault="0054282B" w14:paraId="2AF5B444" w14:textId="77777777">
      <w:pPr>
        <w:spacing w:after="0" w:line="276" w:lineRule="auto"/>
        <w:rPr>
          <w:rFonts w:ascii="Times New Roman" w:hAnsi="Times New Roman" w:cs="Times New Roman"/>
          <w:sz w:val="24"/>
          <w:szCs w:val="24"/>
        </w:rPr>
      </w:pPr>
    </w:p>
    <w:p w:rsidRPr="00463949" w:rsidR="005740B1" w:rsidP="00990535" w:rsidRDefault="0054282B" w14:paraId="2D4BF72A" w14:textId="27CF42D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Gelet op de </w:t>
      </w:r>
      <w:r w:rsidRPr="00463949" w:rsidR="004E5549">
        <w:rPr>
          <w:rFonts w:ascii="Times New Roman" w:hAnsi="Times New Roman" w:cs="Times New Roman"/>
          <w:sz w:val="24"/>
          <w:szCs w:val="24"/>
        </w:rPr>
        <w:t xml:space="preserve">hoeveelheid </w:t>
      </w:r>
      <w:r w:rsidRPr="00463949">
        <w:rPr>
          <w:rFonts w:ascii="Times New Roman" w:hAnsi="Times New Roman" w:cs="Times New Roman"/>
          <w:sz w:val="24"/>
          <w:szCs w:val="24"/>
        </w:rPr>
        <w:t xml:space="preserve">wijzigingen die nodig zou zijn om </w:t>
      </w:r>
      <w:r w:rsidRPr="00463949" w:rsidR="001F55BF">
        <w:rPr>
          <w:rFonts w:ascii="Times New Roman" w:hAnsi="Times New Roman" w:cs="Times New Roman"/>
          <w:sz w:val="24"/>
          <w:szCs w:val="24"/>
        </w:rPr>
        <w:t xml:space="preserve">Richtlijn 85/374 </w:t>
      </w:r>
      <w:r w:rsidRPr="00463949">
        <w:rPr>
          <w:rFonts w:ascii="Times New Roman" w:hAnsi="Times New Roman" w:cs="Times New Roman"/>
          <w:sz w:val="24"/>
          <w:szCs w:val="24"/>
        </w:rPr>
        <w:t xml:space="preserve">doeltreffend te laten blijven en met het oog op de duidelijkheid en rechtszekerheid, is ervoor gekozen om </w:t>
      </w:r>
      <w:r w:rsidRPr="00463949" w:rsidR="001F55BF">
        <w:rPr>
          <w:rFonts w:ascii="Times New Roman" w:hAnsi="Times New Roman" w:cs="Times New Roman"/>
          <w:sz w:val="24"/>
          <w:szCs w:val="24"/>
        </w:rPr>
        <w:t xml:space="preserve">die </w:t>
      </w:r>
      <w:r w:rsidRPr="00463949">
        <w:rPr>
          <w:rFonts w:ascii="Times New Roman" w:hAnsi="Times New Roman" w:cs="Times New Roman"/>
          <w:sz w:val="24"/>
          <w:szCs w:val="24"/>
        </w:rPr>
        <w:t>richtlijn in te trekken en te vervangen door een nieuwe richtlijn</w:t>
      </w:r>
      <w:r w:rsidRPr="00463949" w:rsidR="00340059">
        <w:rPr>
          <w:rFonts w:ascii="Times New Roman" w:hAnsi="Times New Roman" w:cs="Times New Roman"/>
          <w:sz w:val="24"/>
          <w:szCs w:val="24"/>
        </w:rPr>
        <w:t xml:space="preserve"> (zie overweging 5)</w:t>
      </w:r>
      <w:r w:rsidRPr="00463949">
        <w:rPr>
          <w:rFonts w:ascii="Times New Roman" w:hAnsi="Times New Roman" w:cs="Times New Roman"/>
          <w:sz w:val="24"/>
          <w:szCs w:val="24"/>
        </w:rPr>
        <w:t>. Over die nieuwe richtlijn is op 14 december 2023 een politiek akkoord bereikt. Op 23 oktober 20</w:t>
      </w:r>
      <w:r w:rsidRPr="00463949" w:rsidR="009913D7">
        <w:rPr>
          <w:rFonts w:ascii="Times New Roman" w:hAnsi="Times New Roman" w:cs="Times New Roman"/>
          <w:sz w:val="24"/>
          <w:szCs w:val="24"/>
        </w:rPr>
        <w:t>2</w:t>
      </w:r>
      <w:r w:rsidRPr="00463949">
        <w:rPr>
          <w:rFonts w:ascii="Times New Roman" w:hAnsi="Times New Roman" w:cs="Times New Roman"/>
          <w:sz w:val="24"/>
          <w:szCs w:val="24"/>
        </w:rPr>
        <w:t xml:space="preserve">4 is de </w:t>
      </w:r>
      <w:r w:rsidRPr="00463949" w:rsidR="009913D7">
        <w:rPr>
          <w:rFonts w:ascii="Times New Roman" w:hAnsi="Times New Roman" w:cs="Times New Roman"/>
          <w:sz w:val="24"/>
          <w:szCs w:val="24"/>
        </w:rPr>
        <w:t>R</w:t>
      </w:r>
      <w:r w:rsidRPr="00463949">
        <w:rPr>
          <w:rFonts w:ascii="Times New Roman" w:hAnsi="Times New Roman" w:cs="Times New Roman"/>
          <w:sz w:val="24"/>
          <w:szCs w:val="24"/>
        </w:rPr>
        <w:t>ichtlijn vastgesteld.</w:t>
      </w:r>
    </w:p>
    <w:p w:rsidRPr="00463949" w:rsidR="00990535" w:rsidP="00D045E0" w:rsidRDefault="00990535" w14:paraId="0EE7814B" w14:textId="77777777">
      <w:pPr>
        <w:spacing w:after="0" w:line="276" w:lineRule="auto"/>
        <w:rPr>
          <w:rFonts w:ascii="Times New Roman" w:hAnsi="Times New Roman" w:cs="Times New Roman"/>
          <w:sz w:val="24"/>
          <w:szCs w:val="24"/>
        </w:rPr>
      </w:pPr>
    </w:p>
    <w:p w:rsidRPr="00463949" w:rsidR="00CD211B" w:rsidP="00D045E0" w:rsidRDefault="00CD211B" w14:paraId="49682EE8" w14:textId="598EA3B1">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2.</w:t>
      </w:r>
      <w:r w:rsidRPr="00463949" w:rsidR="00D045E0">
        <w:rPr>
          <w:rFonts w:ascii="Times New Roman" w:hAnsi="Times New Roman" w:cs="Times New Roman"/>
          <w:i/>
          <w:iCs/>
          <w:sz w:val="24"/>
          <w:szCs w:val="24"/>
        </w:rPr>
        <w:t>2</w:t>
      </w:r>
      <w:r w:rsidRPr="00463949">
        <w:rPr>
          <w:rFonts w:ascii="Times New Roman" w:hAnsi="Times New Roman" w:cs="Times New Roman"/>
          <w:i/>
          <w:iCs/>
          <w:sz w:val="24"/>
          <w:szCs w:val="24"/>
        </w:rPr>
        <w:t xml:space="preserve"> Toepassings</w:t>
      </w:r>
      <w:r w:rsidRPr="00463949" w:rsidR="00A91F09">
        <w:rPr>
          <w:rFonts w:ascii="Times New Roman" w:hAnsi="Times New Roman" w:cs="Times New Roman"/>
          <w:i/>
          <w:iCs/>
          <w:sz w:val="24"/>
          <w:szCs w:val="24"/>
        </w:rPr>
        <w:t>bereik</w:t>
      </w:r>
    </w:p>
    <w:p w:rsidRPr="00463949" w:rsidR="009913D7" w:rsidP="00D045E0" w:rsidRDefault="009913D7" w14:paraId="2497DA6E" w14:textId="77777777">
      <w:pPr>
        <w:spacing w:after="0" w:line="276" w:lineRule="auto"/>
        <w:rPr>
          <w:rFonts w:ascii="Times New Roman" w:hAnsi="Times New Roman" w:cs="Times New Roman"/>
          <w:sz w:val="24"/>
          <w:szCs w:val="24"/>
        </w:rPr>
      </w:pPr>
    </w:p>
    <w:p w:rsidRPr="00463949" w:rsidR="003D6366" w:rsidP="00D045E0" w:rsidRDefault="0054282B" w14:paraId="540C7683" w14:textId="15CC7103">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Richtlijn bevat </w:t>
      </w:r>
      <w:r w:rsidRPr="00463949" w:rsidR="009913D7">
        <w:rPr>
          <w:rFonts w:ascii="Times New Roman" w:hAnsi="Times New Roman" w:cs="Times New Roman"/>
          <w:sz w:val="24"/>
          <w:szCs w:val="24"/>
        </w:rPr>
        <w:t xml:space="preserve">gemeenschappelijke </w:t>
      </w:r>
      <w:r w:rsidRPr="00463949">
        <w:rPr>
          <w:rFonts w:ascii="Times New Roman" w:hAnsi="Times New Roman" w:cs="Times New Roman"/>
          <w:sz w:val="24"/>
          <w:szCs w:val="24"/>
        </w:rPr>
        <w:t>regels over de aansprakelijkheid van marktdeelnemers voor door natuurlijke personen geleden schade die wordt veroorzaakt door gebrekkige producten</w:t>
      </w:r>
      <w:r w:rsidRPr="00463949" w:rsidR="00BC4EDA">
        <w:rPr>
          <w:rFonts w:ascii="Times New Roman" w:hAnsi="Times New Roman" w:cs="Times New Roman"/>
          <w:sz w:val="24"/>
          <w:szCs w:val="24"/>
        </w:rPr>
        <w:t xml:space="preserve">. Daarnaast bevat de Richtlijn regels </w:t>
      </w:r>
      <w:r w:rsidRPr="00463949">
        <w:rPr>
          <w:rFonts w:ascii="Times New Roman" w:hAnsi="Times New Roman" w:cs="Times New Roman"/>
          <w:sz w:val="24"/>
          <w:szCs w:val="24"/>
        </w:rPr>
        <w:t xml:space="preserve">over de vergoeding van </w:t>
      </w:r>
      <w:r w:rsidRPr="00463949" w:rsidR="003D6366">
        <w:rPr>
          <w:rFonts w:ascii="Times New Roman" w:hAnsi="Times New Roman" w:cs="Times New Roman"/>
          <w:sz w:val="24"/>
          <w:szCs w:val="24"/>
        </w:rPr>
        <w:t>d</w:t>
      </w:r>
      <w:r w:rsidRPr="00463949" w:rsidR="006D406C">
        <w:rPr>
          <w:rFonts w:ascii="Times New Roman" w:hAnsi="Times New Roman" w:cs="Times New Roman"/>
          <w:sz w:val="24"/>
          <w:szCs w:val="24"/>
        </w:rPr>
        <w:t>i</w:t>
      </w:r>
      <w:r w:rsidRPr="00463949" w:rsidR="00056324">
        <w:rPr>
          <w:rFonts w:ascii="Times New Roman" w:hAnsi="Times New Roman" w:cs="Times New Roman"/>
          <w:sz w:val="24"/>
          <w:szCs w:val="24"/>
        </w:rPr>
        <w:t>e</w:t>
      </w:r>
      <w:r w:rsidRPr="00463949" w:rsidR="003D6366">
        <w:rPr>
          <w:rFonts w:ascii="Times New Roman" w:hAnsi="Times New Roman" w:cs="Times New Roman"/>
          <w:sz w:val="24"/>
          <w:szCs w:val="24"/>
        </w:rPr>
        <w:t xml:space="preserve"> </w:t>
      </w:r>
      <w:r w:rsidRPr="00463949">
        <w:rPr>
          <w:rFonts w:ascii="Times New Roman" w:hAnsi="Times New Roman" w:cs="Times New Roman"/>
          <w:sz w:val="24"/>
          <w:szCs w:val="24"/>
        </w:rPr>
        <w:t>schade (artikel 1</w:t>
      </w:r>
      <w:r w:rsidRPr="00463949" w:rsidR="00056324">
        <w:rPr>
          <w:rFonts w:ascii="Times New Roman" w:hAnsi="Times New Roman" w:cs="Times New Roman"/>
          <w:sz w:val="24"/>
          <w:szCs w:val="24"/>
        </w:rPr>
        <w:t xml:space="preserve"> Richtlijn</w:t>
      </w:r>
      <w:r w:rsidRPr="00463949">
        <w:rPr>
          <w:rFonts w:ascii="Times New Roman" w:hAnsi="Times New Roman" w:cs="Times New Roman"/>
          <w:sz w:val="24"/>
          <w:szCs w:val="24"/>
        </w:rPr>
        <w:t>). De Richtlijn is van toepassing op producten die op of na 9 december 2026 in de handel zijn gebracht of in gebruik zijn gesteld</w:t>
      </w:r>
      <w:r w:rsidRPr="00463949" w:rsidR="0005138D">
        <w:rPr>
          <w:rFonts w:ascii="Times New Roman" w:hAnsi="Times New Roman" w:cs="Times New Roman"/>
          <w:sz w:val="24"/>
          <w:szCs w:val="24"/>
        </w:rPr>
        <w:t xml:space="preserve"> (artikel 2 lid 1</w:t>
      </w:r>
      <w:r w:rsidRPr="00463949" w:rsidR="00BC4EDA">
        <w:rPr>
          <w:rFonts w:ascii="Times New Roman" w:hAnsi="Times New Roman" w:cs="Times New Roman"/>
          <w:sz w:val="24"/>
          <w:szCs w:val="24"/>
        </w:rPr>
        <w:t xml:space="preserve"> Richtlijn</w:t>
      </w:r>
      <w:r w:rsidRPr="00463949" w:rsidR="0005138D">
        <w:rPr>
          <w:rFonts w:ascii="Times New Roman" w:hAnsi="Times New Roman" w:cs="Times New Roman"/>
          <w:sz w:val="24"/>
          <w:szCs w:val="24"/>
        </w:rPr>
        <w:t>)</w:t>
      </w:r>
      <w:r w:rsidRPr="00463949">
        <w:rPr>
          <w:rFonts w:ascii="Times New Roman" w:hAnsi="Times New Roman" w:cs="Times New Roman"/>
          <w:sz w:val="24"/>
          <w:szCs w:val="24"/>
        </w:rPr>
        <w:t xml:space="preserve">. </w:t>
      </w:r>
      <w:r w:rsidRPr="00463949" w:rsidR="00D6608C">
        <w:rPr>
          <w:rFonts w:ascii="Times New Roman" w:hAnsi="Times New Roman" w:cs="Times New Roman"/>
          <w:sz w:val="24"/>
          <w:szCs w:val="24"/>
        </w:rPr>
        <w:t>Nadrukkelijk u</w:t>
      </w:r>
      <w:r w:rsidRPr="00463949">
        <w:rPr>
          <w:rFonts w:ascii="Times New Roman" w:hAnsi="Times New Roman" w:cs="Times New Roman"/>
          <w:sz w:val="24"/>
          <w:szCs w:val="24"/>
        </w:rPr>
        <w:t>itgesloten van het toepassingsbereik is gratis en opensourcesoftware die buiten het kader van een handelsactiviteit wordt ontwikkeld of geleverd (artikel 2 lid 2</w:t>
      </w:r>
      <w:r w:rsidRPr="00463949" w:rsidR="00BC4EDA">
        <w:rPr>
          <w:rFonts w:ascii="Times New Roman" w:hAnsi="Times New Roman" w:cs="Times New Roman"/>
          <w:sz w:val="24"/>
          <w:szCs w:val="24"/>
        </w:rPr>
        <w:t xml:space="preserve"> Richtlijn</w:t>
      </w:r>
      <w:r w:rsidRPr="00463949">
        <w:rPr>
          <w:rFonts w:ascii="Times New Roman" w:hAnsi="Times New Roman" w:cs="Times New Roman"/>
          <w:sz w:val="24"/>
          <w:szCs w:val="24"/>
        </w:rPr>
        <w:t>). De Richtlijn is evenmin van toepassing op schade als gevolg van nucleaire ongevallen, voor zover de aansprakelijkheid voor dergelijke schade op grond van door de lidstaten geratificeerde internationale verdragen wordt gedekt (artikel 2 lid 3</w:t>
      </w:r>
      <w:r w:rsidRPr="00463949" w:rsidR="00BC4EDA">
        <w:rPr>
          <w:rFonts w:ascii="Times New Roman" w:hAnsi="Times New Roman" w:cs="Times New Roman"/>
          <w:sz w:val="24"/>
          <w:szCs w:val="24"/>
        </w:rPr>
        <w:t xml:space="preserve"> Richtlijn</w:t>
      </w:r>
      <w:r w:rsidRPr="00463949">
        <w:rPr>
          <w:rFonts w:ascii="Times New Roman" w:hAnsi="Times New Roman" w:cs="Times New Roman"/>
          <w:sz w:val="24"/>
          <w:szCs w:val="24"/>
        </w:rPr>
        <w:t>).</w:t>
      </w:r>
      <w:r w:rsidRPr="00463949" w:rsidR="00CB5FA7">
        <w:rPr>
          <w:rStyle w:val="Voetnootmarkering"/>
          <w:rFonts w:ascii="Times New Roman" w:hAnsi="Times New Roman" w:cs="Times New Roman"/>
          <w:sz w:val="24"/>
          <w:szCs w:val="24"/>
        </w:rPr>
        <w:footnoteReference w:id="23"/>
      </w:r>
      <w:r w:rsidRPr="00463949">
        <w:rPr>
          <w:rFonts w:ascii="Times New Roman" w:hAnsi="Times New Roman" w:cs="Times New Roman"/>
          <w:sz w:val="24"/>
          <w:szCs w:val="24"/>
        </w:rPr>
        <w:t xml:space="preserve"> </w:t>
      </w:r>
      <w:r w:rsidRPr="00463949" w:rsidR="00056324">
        <w:rPr>
          <w:rFonts w:ascii="Times New Roman" w:hAnsi="Times New Roman" w:cs="Times New Roman"/>
          <w:sz w:val="24"/>
          <w:szCs w:val="24"/>
        </w:rPr>
        <w:t xml:space="preserve">Deze uitzonderingen komen </w:t>
      </w:r>
      <w:r w:rsidRPr="00463949" w:rsidR="0066443A">
        <w:rPr>
          <w:rFonts w:ascii="Times New Roman" w:hAnsi="Times New Roman" w:cs="Times New Roman"/>
          <w:sz w:val="24"/>
          <w:szCs w:val="24"/>
        </w:rPr>
        <w:t xml:space="preserve">nader </w:t>
      </w:r>
      <w:r w:rsidRPr="00463949" w:rsidR="00056324">
        <w:rPr>
          <w:rFonts w:ascii="Times New Roman" w:hAnsi="Times New Roman" w:cs="Times New Roman"/>
          <w:sz w:val="24"/>
          <w:szCs w:val="24"/>
        </w:rPr>
        <w:t>aan de orde in het artikelsgewijze deel van</w:t>
      </w:r>
      <w:r w:rsidRPr="00463949">
        <w:rPr>
          <w:rFonts w:ascii="Times New Roman" w:hAnsi="Times New Roman" w:cs="Times New Roman"/>
          <w:sz w:val="24"/>
          <w:szCs w:val="24"/>
        </w:rPr>
        <w:t xml:space="preserve"> de</w:t>
      </w:r>
      <w:r w:rsidRPr="00463949" w:rsidR="00056324">
        <w:rPr>
          <w:rFonts w:ascii="Times New Roman" w:hAnsi="Times New Roman" w:cs="Times New Roman"/>
          <w:sz w:val="24"/>
          <w:szCs w:val="24"/>
        </w:rPr>
        <w:t xml:space="preserve">ze memorie van </w:t>
      </w:r>
      <w:r w:rsidRPr="00463949">
        <w:rPr>
          <w:rFonts w:ascii="Times New Roman" w:hAnsi="Times New Roman" w:cs="Times New Roman"/>
          <w:sz w:val="24"/>
          <w:szCs w:val="24"/>
        </w:rPr>
        <w:t>toelichting</w:t>
      </w:r>
      <w:r w:rsidRPr="00463949" w:rsidR="00246D31">
        <w:rPr>
          <w:rFonts w:ascii="Times New Roman" w:hAnsi="Times New Roman" w:cs="Times New Roman"/>
          <w:sz w:val="24"/>
          <w:szCs w:val="24"/>
        </w:rPr>
        <w:t xml:space="preserve"> (</w:t>
      </w:r>
      <w:r w:rsidRPr="00463949" w:rsidR="00D6608C">
        <w:rPr>
          <w:rFonts w:ascii="Times New Roman" w:hAnsi="Times New Roman" w:cs="Times New Roman"/>
          <w:sz w:val="24"/>
          <w:szCs w:val="24"/>
        </w:rPr>
        <w:t xml:space="preserve">zie </w:t>
      </w:r>
      <w:r w:rsidRPr="00463949" w:rsidR="005D4969">
        <w:rPr>
          <w:rFonts w:ascii="Times New Roman" w:hAnsi="Times New Roman" w:cs="Times New Roman"/>
          <w:sz w:val="24"/>
          <w:szCs w:val="24"/>
        </w:rPr>
        <w:t>O</w:t>
      </w:r>
      <w:r w:rsidRPr="00463949" w:rsidR="00246D31">
        <w:rPr>
          <w:rFonts w:ascii="Times New Roman" w:hAnsi="Times New Roman" w:cs="Times New Roman"/>
          <w:sz w:val="24"/>
          <w:szCs w:val="24"/>
        </w:rPr>
        <w:t>nderdeel C)</w:t>
      </w:r>
      <w:r w:rsidRPr="00463949">
        <w:rPr>
          <w:rFonts w:ascii="Times New Roman" w:hAnsi="Times New Roman" w:cs="Times New Roman"/>
          <w:sz w:val="24"/>
          <w:szCs w:val="24"/>
        </w:rPr>
        <w:t>.</w:t>
      </w:r>
    </w:p>
    <w:p w:rsidRPr="00463949" w:rsidR="003D6366" w:rsidP="00D045E0" w:rsidRDefault="003D6366" w14:paraId="046B931E" w14:textId="77777777">
      <w:pPr>
        <w:spacing w:after="0" w:line="276" w:lineRule="auto"/>
        <w:rPr>
          <w:rFonts w:ascii="Times New Roman" w:hAnsi="Times New Roman" w:cs="Times New Roman"/>
          <w:sz w:val="24"/>
          <w:szCs w:val="24"/>
        </w:rPr>
      </w:pPr>
    </w:p>
    <w:p w:rsidRPr="00463949" w:rsidR="000A19A6" w:rsidP="00D045E0" w:rsidRDefault="000A19A6" w14:paraId="49883A8F" w14:textId="77777777">
      <w:pPr>
        <w:spacing w:after="0" w:line="276" w:lineRule="auto"/>
        <w:rPr>
          <w:rFonts w:ascii="Times New Roman" w:hAnsi="Times New Roman" w:cs="Times New Roman"/>
          <w:sz w:val="24"/>
          <w:szCs w:val="24"/>
        </w:rPr>
      </w:pPr>
    </w:p>
    <w:p w:rsidRPr="00463949" w:rsidR="00E20A34" w:rsidP="00D045E0" w:rsidRDefault="00BC4EDA" w14:paraId="76DE34C0" w14:textId="438357B4">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Net als</w:t>
      </w:r>
      <w:r w:rsidRPr="00463949" w:rsidR="001F55BF">
        <w:rPr>
          <w:rFonts w:ascii="Times New Roman" w:hAnsi="Times New Roman" w:cs="Times New Roman"/>
          <w:sz w:val="24"/>
          <w:szCs w:val="24"/>
        </w:rPr>
        <w:t xml:space="preserve"> Richtlijn 85/374</w:t>
      </w:r>
      <w:r w:rsidRPr="00463949" w:rsidR="00CB5FA7">
        <w:rPr>
          <w:rStyle w:val="Voetnootmarkering"/>
          <w:rFonts w:ascii="Times New Roman" w:hAnsi="Times New Roman" w:cs="Times New Roman"/>
          <w:sz w:val="24"/>
          <w:szCs w:val="24"/>
        </w:rPr>
        <w:footnoteReference w:id="24"/>
      </w:r>
      <w:r w:rsidRPr="00463949">
        <w:rPr>
          <w:rFonts w:ascii="Times New Roman" w:hAnsi="Times New Roman" w:cs="Times New Roman"/>
          <w:sz w:val="24"/>
          <w:szCs w:val="24"/>
        </w:rPr>
        <w:t xml:space="preserve">, doet de Richtlijn </w:t>
      </w:r>
      <w:r w:rsidRPr="00463949" w:rsidR="006E7D85">
        <w:rPr>
          <w:rFonts w:ascii="Times New Roman" w:hAnsi="Times New Roman" w:cs="Times New Roman"/>
          <w:sz w:val="24"/>
          <w:szCs w:val="24"/>
        </w:rPr>
        <w:t xml:space="preserve">geen afbreuk aan de rechten die een benadeelde ontleent aan nationale regels over contractuele of buitencontractuele aansprakelijkheid op andere gronden dan </w:t>
      </w:r>
      <w:r w:rsidRPr="00463949" w:rsidR="000E08A5">
        <w:rPr>
          <w:rFonts w:ascii="Times New Roman" w:hAnsi="Times New Roman" w:cs="Times New Roman"/>
          <w:sz w:val="24"/>
          <w:szCs w:val="24"/>
        </w:rPr>
        <w:t xml:space="preserve">het gebrek </w:t>
      </w:r>
      <w:r w:rsidRPr="00463949" w:rsidR="006E7D85">
        <w:rPr>
          <w:rFonts w:ascii="Times New Roman" w:hAnsi="Times New Roman" w:cs="Times New Roman"/>
          <w:sz w:val="24"/>
          <w:szCs w:val="24"/>
        </w:rPr>
        <w:t>van een product (artikel 2 lid 4, onderdeel b).</w:t>
      </w:r>
      <w:r w:rsidRPr="00463949" w:rsidR="004F14BB">
        <w:rPr>
          <w:rFonts w:ascii="Times New Roman" w:hAnsi="Times New Roman" w:cs="Times New Roman"/>
          <w:sz w:val="24"/>
          <w:szCs w:val="24"/>
        </w:rPr>
        <w:t xml:space="preserve"> </w:t>
      </w:r>
      <w:bookmarkStart w:name="_Hlk191289670" w:id="3"/>
      <w:r w:rsidRPr="00463949" w:rsidR="00E20A34">
        <w:rPr>
          <w:rFonts w:ascii="Times New Roman" w:hAnsi="Times New Roman" w:cs="Times New Roman"/>
          <w:sz w:val="24"/>
          <w:szCs w:val="24"/>
        </w:rPr>
        <w:t xml:space="preserve">Dit betekent dat de Richtlijn er </w:t>
      </w:r>
      <w:r w:rsidRPr="00463949" w:rsidR="004F14BB">
        <w:rPr>
          <w:rFonts w:ascii="Times New Roman" w:hAnsi="Times New Roman" w:cs="Times New Roman"/>
          <w:sz w:val="24"/>
          <w:szCs w:val="24"/>
        </w:rPr>
        <w:t>niet aan in de weg</w:t>
      </w:r>
      <w:r w:rsidRPr="00463949" w:rsidR="00E20A34">
        <w:rPr>
          <w:rFonts w:ascii="Times New Roman" w:hAnsi="Times New Roman" w:cs="Times New Roman"/>
          <w:sz w:val="24"/>
          <w:szCs w:val="24"/>
        </w:rPr>
        <w:t xml:space="preserve"> staat</w:t>
      </w:r>
      <w:r w:rsidRPr="00463949" w:rsidR="004F14BB">
        <w:rPr>
          <w:rFonts w:ascii="Times New Roman" w:hAnsi="Times New Roman" w:cs="Times New Roman"/>
          <w:sz w:val="24"/>
          <w:szCs w:val="24"/>
        </w:rPr>
        <w:t xml:space="preserve"> dat een benadeelde een vordering</w:t>
      </w:r>
      <w:r w:rsidRPr="00463949" w:rsidR="00E20A34">
        <w:rPr>
          <w:rFonts w:ascii="Times New Roman" w:hAnsi="Times New Roman" w:cs="Times New Roman"/>
          <w:sz w:val="24"/>
          <w:szCs w:val="24"/>
        </w:rPr>
        <w:t xml:space="preserve"> </w:t>
      </w:r>
      <w:r w:rsidRPr="00463949" w:rsidR="004F14BB">
        <w:rPr>
          <w:rFonts w:ascii="Times New Roman" w:hAnsi="Times New Roman" w:cs="Times New Roman"/>
          <w:sz w:val="24"/>
          <w:szCs w:val="24"/>
        </w:rPr>
        <w:t>instelt op grond van</w:t>
      </w:r>
      <w:r w:rsidRPr="00463949" w:rsidR="0087210C">
        <w:rPr>
          <w:rFonts w:ascii="Times New Roman" w:hAnsi="Times New Roman" w:cs="Times New Roman"/>
          <w:sz w:val="24"/>
          <w:szCs w:val="24"/>
        </w:rPr>
        <w:t xml:space="preserve"> </w:t>
      </w:r>
      <w:r w:rsidRPr="00463949" w:rsidR="00296D46">
        <w:rPr>
          <w:rFonts w:ascii="Times New Roman" w:hAnsi="Times New Roman" w:cs="Times New Roman"/>
          <w:sz w:val="24"/>
          <w:szCs w:val="24"/>
        </w:rPr>
        <w:t xml:space="preserve">wanprestatie of </w:t>
      </w:r>
      <w:r w:rsidRPr="00463949" w:rsidR="004F14BB">
        <w:rPr>
          <w:rFonts w:ascii="Times New Roman" w:hAnsi="Times New Roman" w:cs="Times New Roman"/>
          <w:sz w:val="24"/>
          <w:szCs w:val="24"/>
        </w:rPr>
        <w:t>onrechtmatige daad.</w:t>
      </w:r>
      <w:bookmarkEnd w:id="3"/>
    </w:p>
    <w:p w:rsidRPr="00463949" w:rsidR="00C740B0" w:rsidP="00D045E0" w:rsidRDefault="00C740B0" w14:paraId="1354D4E0" w14:textId="77777777">
      <w:pPr>
        <w:spacing w:after="0" w:line="276" w:lineRule="auto"/>
        <w:rPr>
          <w:rFonts w:ascii="Times New Roman" w:hAnsi="Times New Roman" w:cs="Times New Roman"/>
          <w:sz w:val="24"/>
          <w:szCs w:val="24"/>
        </w:rPr>
      </w:pPr>
    </w:p>
    <w:p w:rsidRPr="00463949" w:rsidR="00936C06" w:rsidP="00D045E0" w:rsidRDefault="00936C06" w14:paraId="08B669E7" w14:textId="0E541F22">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2.3 Harmonisatieniveau</w:t>
      </w:r>
    </w:p>
    <w:p w:rsidRPr="00463949" w:rsidR="009913D7" w:rsidP="00D045E0" w:rsidRDefault="009913D7" w14:paraId="4A0E32A1" w14:textId="77777777">
      <w:pPr>
        <w:spacing w:after="0" w:line="276" w:lineRule="auto"/>
        <w:rPr>
          <w:rFonts w:ascii="Times New Roman" w:hAnsi="Times New Roman" w:cs="Times New Roman"/>
          <w:sz w:val="24"/>
          <w:szCs w:val="24"/>
        </w:rPr>
      </w:pPr>
    </w:p>
    <w:p w:rsidRPr="00463949" w:rsidR="00936C06" w:rsidP="00D045E0" w:rsidRDefault="00936C06" w14:paraId="0F0B3FD5" w14:textId="2BDA2A4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Richtlijn </w:t>
      </w:r>
      <w:r w:rsidRPr="00463949" w:rsidR="0020610B">
        <w:rPr>
          <w:rFonts w:ascii="Times New Roman" w:hAnsi="Times New Roman" w:cs="Times New Roman"/>
          <w:sz w:val="24"/>
          <w:szCs w:val="24"/>
        </w:rPr>
        <w:t xml:space="preserve">voorziet in een </w:t>
      </w:r>
      <w:r w:rsidRPr="00463949">
        <w:rPr>
          <w:rFonts w:ascii="Times New Roman" w:hAnsi="Times New Roman" w:cs="Times New Roman"/>
          <w:sz w:val="24"/>
          <w:szCs w:val="24"/>
        </w:rPr>
        <w:t>volledige harmonisatie</w:t>
      </w:r>
      <w:r w:rsidRPr="00463949" w:rsidR="009913D7">
        <w:rPr>
          <w:rFonts w:ascii="Times New Roman" w:hAnsi="Times New Roman" w:cs="Times New Roman"/>
          <w:sz w:val="24"/>
          <w:szCs w:val="24"/>
        </w:rPr>
        <w:t xml:space="preserve"> (artikel 3</w:t>
      </w:r>
      <w:r w:rsidRPr="00463949" w:rsidR="007C5A1B">
        <w:rPr>
          <w:rFonts w:ascii="Times New Roman" w:hAnsi="Times New Roman" w:cs="Times New Roman"/>
          <w:sz w:val="24"/>
          <w:szCs w:val="24"/>
        </w:rPr>
        <w:t xml:space="preserve"> Richtlijn</w:t>
      </w:r>
      <w:r w:rsidRPr="00463949" w:rsidR="009913D7">
        <w:rPr>
          <w:rFonts w:ascii="Times New Roman" w:hAnsi="Times New Roman" w:cs="Times New Roman"/>
          <w:sz w:val="24"/>
          <w:szCs w:val="24"/>
        </w:rPr>
        <w:t>)</w:t>
      </w:r>
      <w:r w:rsidRPr="00463949">
        <w:rPr>
          <w:rFonts w:ascii="Times New Roman" w:hAnsi="Times New Roman" w:cs="Times New Roman"/>
          <w:sz w:val="24"/>
          <w:szCs w:val="24"/>
        </w:rPr>
        <w:t xml:space="preserve">. </w:t>
      </w:r>
      <w:r w:rsidRPr="00463949" w:rsidR="0020610B">
        <w:rPr>
          <w:rFonts w:ascii="Times New Roman" w:hAnsi="Times New Roman" w:cs="Times New Roman"/>
          <w:sz w:val="24"/>
          <w:szCs w:val="24"/>
        </w:rPr>
        <w:t>D</w:t>
      </w:r>
      <w:r w:rsidRPr="00463949" w:rsidR="006E06A1">
        <w:rPr>
          <w:rFonts w:ascii="Times New Roman" w:hAnsi="Times New Roman" w:cs="Times New Roman"/>
          <w:sz w:val="24"/>
          <w:szCs w:val="24"/>
        </w:rPr>
        <w:t>it betekent dat de</w:t>
      </w:r>
      <w:r w:rsidRPr="00463949" w:rsidR="0020610B">
        <w:rPr>
          <w:rFonts w:ascii="Times New Roman" w:hAnsi="Times New Roman" w:cs="Times New Roman"/>
          <w:sz w:val="24"/>
          <w:szCs w:val="24"/>
        </w:rPr>
        <w:t xml:space="preserve"> lidstaten in hun </w:t>
      </w:r>
      <w:r w:rsidRPr="00463949" w:rsidR="0056767F">
        <w:rPr>
          <w:rFonts w:ascii="Times New Roman" w:hAnsi="Times New Roman" w:cs="Times New Roman"/>
          <w:sz w:val="24"/>
          <w:szCs w:val="24"/>
        </w:rPr>
        <w:t>nationale recht</w:t>
      </w:r>
      <w:r w:rsidRPr="00463949" w:rsidR="0020610B">
        <w:rPr>
          <w:rFonts w:ascii="Times New Roman" w:hAnsi="Times New Roman" w:cs="Times New Roman"/>
          <w:sz w:val="24"/>
          <w:szCs w:val="24"/>
        </w:rPr>
        <w:t xml:space="preserve"> </w:t>
      </w:r>
      <w:r w:rsidRPr="00463949" w:rsidR="0056767F">
        <w:rPr>
          <w:rFonts w:ascii="Times New Roman" w:hAnsi="Times New Roman" w:cs="Times New Roman"/>
          <w:sz w:val="24"/>
          <w:szCs w:val="24"/>
        </w:rPr>
        <w:t xml:space="preserve">geen bepalingen </w:t>
      </w:r>
      <w:r w:rsidRPr="00463949" w:rsidR="006E06A1">
        <w:rPr>
          <w:rFonts w:ascii="Times New Roman" w:hAnsi="Times New Roman" w:cs="Times New Roman"/>
          <w:sz w:val="24"/>
          <w:szCs w:val="24"/>
        </w:rPr>
        <w:t xml:space="preserve">mogen </w:t>
      </w:r>
      <w:r w:rsidRPr="00463949" w:rsidR="0056767F">
        <w:rPr>
          <w:rFonts w:ascii="Times New Roman" w:hAnsi="Times New Roman" w:cs="Times New Roman"/>
          <w:sz w:val="24"/>
          <w:szCs w:val="24"/>
        </w:rPr>
        <w:t xml:space="preserve">handhaven of invoeren die </w:t>
      </w:r>
      <w:r w:rsidRPr="00463949" w:rsidR="00A7729B">
        <w:rPr>
          <w:rFonts w:ascii="Times New Roman" w:hAnsi="Times New Roman" w:cs="Times New Roman"/>
          <w:sz w:val="24"/>
          <w:szCs w:val="24"/>
        </w:rPr>
        <w:t>strenger of minder streng zijn dan</w:t>
      </w:r>
      <w:r w:rsidRPr="00463949" w:rsidR="0056767F">
        <w:rPr>
          <w:rFonts w:ascii="Times New Roman" w:hAnsi="Times New Roman" w:cs="Times New Roman"/>
          <w:sz w:val="24"/>
          <w:szCs w:val="24"/>
        </w:rPr>
        <w:t xml:space="preserve"> de in de Richtlijn vastgestelde bepalingen, tenzij in de Richtlijn anders is bepaald.</w:t>
      </w:r>
    </w:p>
    <w:p w:rsidRPr="00463949" w:rsidR="000D293A" w:rsidP="00D045E0" w:rsidRDefault="000D293A" w14:paraId="1C85CA51" w14:textId="77777777">
      <w:pPr>
        <w:spacing w:after="0" w:line="276" w:lineRule="auto"/>
        <w:rPr>
          <w:rFonts w:ascii="Times New Roman" w:hAnsi="Times New Roman" w:cs="Times New Roman"/>
          <w:sz w:val="24"/>
          <w:szCs w:val="24"/>
        </w:rPr>
      </w:pPr>
    </w:p>
    <w:p w:rsidRPr="00463949" w:rsidR="000D293A" w:rsidP="00056324" w:rsidRDefault="00056324" w14:paraId="042F6735" w14:textId="4E89B84E">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2.4 </w:t>
      </w:r>
      <w:r w:rsidRPr="00463949" w:rsidR="000D293A">
        <w:rPr>
          <w:rFonts w:ascii="Times New Roman" w:hAnsi="Times New Roman" w:cs="Times New Roman"/>
          <w:i/>
          <w:iCs/>
          <w:sz w:val="24"/>
          <w:szCs w:val="24"/>
        </w:rPr>
        <w:t>Inhoud van de Richtlijn</w:t>
      </w:r>
    </w:p>
    <w:p w:rsidRPr="00463949" w:rsidR="009913D7" w:rsidP="00D045E0" w:rsidRDefault="009913D7" w14:paraId="657C5C1D" w14:textId="77777777">
      <w:pPr>
        <w:spacing w:after="0" w:line="276" w:lineRule="auto"/>
        <w:rPr>
          <w:rFonts w:ascii="Times New Roman" w:hAnsi="Times New Roman" w:cs="Times New Roman"/>
          <w:sz w:val="24"/>
          <w:szCs w:val="24"/>
        </w:rPr>
      </w:pPr>
    </w:p>
    <w:p w:rsidRPr="00463949" w:rsidR="00056324" w:rsidP="00056324" w:rsidRDefault="00056324" w14:paraId="384D4E3F" w14:textId="2D1D563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deze paragraaf wordt kort stilgestaan bij de </w:t>
      </w:r>
      <w:r w:rsidRPr="00463949" w:rsidR="00936C06">
        <w:rPr>
          <w:rFonts w:ascii="Times New Roman" w:hAnsi="Times New Roman" w:cs="Times New Roman"/>
          <w:sz w:val="24"/>
          <w:szCs w:val="24"/>
        </w:rPr>
        <w:t>belangrijk</w:t>
      </w:r>
      <w:r w:rsidRPr="00463949" w:rsidR="003F3EAA">
        <w:rPr>
          <w:rFonts w:ascii="Times New Roman" w:hAnsi="Times New Roman" w:cs="Times New Roman"/>
          <w:sz w:val="24"/>
          <w:szCs w:val="24"/>
        </w:rPr>
        <w:t>st</w:t>
      </w:r>
      <w:r w:rsidRPr="00463949" w:rsidR="00936C06">
        <w:rPr>
          <w:rFonts w:ascii="Times New Roman" w:hAnsi="Times New Roman" w:cs="Times New Roman"/>
          <w:sz w:val="24"/>
          <w:szCs w:val="24"/>
        </w:rPr>
        <w:t>e wijzigingen ten opzichte van</w:t>
      </w:r>
      <w:r w:rsidRPr="00463949" w:rsidR="001F55BF">
        <w:rPr>
          <w:rFonts w:ascii="Times New Roman" w:hAnsi="Times New Roman" w:cs="Times New Roman"/>
          <w:sz w:val="24"/>
          <w:szCs w:val="24"/>
        </w:rPr>
        <w:t xml:space="preserve"> Richtlijn 85/374</w:t>
      </w:r>
      <w:r w:rsidRPr="00463949" w:rsidR="00260121">
        <w:rPr>
          <w:rFonts w:ascii="Times New Roman" w:hAnsi="Times New Roman" w:cs="Times New Roman"/>
          <w:sz w:val="24"/>
          <w:szCs w:val="24"/>
        </w:rPr>
        <w:t xml:space="preserve">. </w:t>
      </w:r>
      <w:r w:rsidRPr="00463949">
        <w:rPr>
          <w:rFonts w:ascii="Times New Roman" w:hAnsi="Times New Roman" w:cs="Times New Roman"/>
          <w:sz w:val="24"/>
          <w:szCs w:val="24"/>
        </w:rPr>
        <w:t xml:space="preserve">De inhoud van de </w:t>
      </w:r>
      <w:r w:rsidRPr="00463949" w:rsidR="002A504A">
        <w:rPr>
          <w:rFonts w:ascii="Times New Roman" w:hAnsi="Times New Roman" w:cs="Times New Roman"/>
          <w:sz w:val="24"/>
          <w:szCs w:val="24"/>
        </w:rPr>
        <w:t>R</w:t>
      </w:r>
      <w:r w:rsidRPr="00463949">
        <w:rPr>
          <w:rFonts w:ascii="Times New Roman" w:hAnsi="Times New Roman" w:cs="Times New Roman"/>
          <w:sz w:val="24"/>
          <w:szCs w:val="24"/>
        </w:rPr>
        <w:t xml:space="preserve">ichtlijn komt </w:t>
      </w:r>
      <w:r w:rsidRPr="00463949" w:rsidR="00032974">
        <w:rPr>
          <w:rFonts w:ascii="Times New Roman" w:hAnsi="Times New Roman" w:cs="Times New Roman"/>
          <w:sz w:val="24"/>
          <w:szCs w:val="24"/>
        </w:rPr>
        <w:t xml:space="preserve">uitvoeriger </w:t>
      </w:r>
      <w:r w:rsidRPr="00463949">
        <w:rPr>
          <w:rFonts w:ascii="Times New Roman" w:hAnsi="Times New Roman" w:cs="Times New Roman"/>
          <w:sz w:val="24"/>
          <w:szCs w:val="24"/>
        </w:rPr>
        <w:t>aan de orde in het artikelsgewijze deel van deze memorie van toelichting.</w:t>
      </w:r>
    </w:p>
    <w:p w:rsidRPr="00463949" w:rsidR="001923DE" w:rsidP="00D045E0" w:rsidRDefault="001923DE" w14:paraId="5536815C" w14:textId="77777777">
      <w:pPr>
        <w:spacing w:after="0" w:line="276" w:lineRule="auto"/>
        <w:rPr>
          <w:rFonts w:ascii="Times New Roman" w:hAnsi="Times New Roman" w:cs="Times New Roman"/>
          <w:sz w:val="24"/>
          <w:szCs w:val="24"/>
        </w:rPr>
      </w:pPr>
    </w:p>
    <w:p w:rsidRPr="00463949" w:rsidR="00641918" w:rsidP="001A22A4" w:rsidRDefault="002064B8" w14:paraId="5FE6F654" w14:textId="6DA25DD2">
      <w:pPr>
        <w:pStyle w:val="Lijstalinea"/>
        <w:numPr>
          <w:ilvl w:val="0"/>
          <w:numId w:val="23"/>
        </w:numPr>
        <w:spacing w:after="0" w:line="276" w:lineRule="auto"/>
        <w:rPr>
          <w:rFonts w:ascii="Times New Roman" w:hAnsi="Times New Roman" w:cs="Times New Roman"/>
          <w:sz w:val="24"/>
          <w:szCs w:val="24"/>
        </w:rPr>
      </w:pPr>
      <w:r w:rsidRPr="00463949">
        <w:rPr>
          <w:rFonts w:ascii="Times New Roman" w:hAnsi="Times New Roman" w:cs="Times New Roman"/>
          <w:i/>
          <w:iCs/>
          <w:sz w:val="24"/>
          <w:szCs w:val="24"/>
        </w:rPr>
        <w:t>Aanpassing</w:t>
      </w:r>
      <w:r w:rsidRPr="00463949" w:rsidR="00641918">
        <w:rPr>
          <w:rFonts w:ascii="Times New Roman" w:hAnsi="Times New Roman" w:cs="Times New Roman"/>
          <w:i/>
          <w:iCs/>
          <w:sz w:val="24"/>
          <w:szCs w:val="24"/>
        </w:rPr>
        <w:t>en</w:t>
      </w:r>
      <w:r w:rsidRPr="00463949">
        <w:rPr>
          <w:rFonts w:ascii="Times New Roman" w:hAnsi="Times New Roman" w:cs="Times New Roman"/>
          <w:i/>
          <w:iCs/>
          <w:sz w:val="24"/>
          <w:szCs w:val="24"/>
        </w:rPr>
        <w:t xml:space="preserve"> </w:t>
      </w:r>
      <w:r w:rsidRPr="00463949" w:rsidR="00606DE9">
        <w:rPr>
          <w:rFonts w:ascii="Times New Roman" w:hAnsi="Times New Roman" w:cs="Times New Roman"/>
          <w:i/>
          <w:iCs/>
          <w:sz w:val="24"/>
          <w:szCs w:val="24"/>
        </w:rPr>
        <w:t>met het oog op</w:t>
      </w:r>
      <w:r w:rsidRPr="00463949" w:rsidR="00E91F44">
        <w:rPr>
          <w:rFonts w:ascii="Times New Roman" w:hAnsi="Times New Roman" w:cs="Times New Roman"/>
          <w:i/>
          <w:iCs/>
          <w:sz w:val="24"/>
          <w:szCs w:val="24"/>
        </w:rPr>
        <w:t xml:space="preserve"> nieuwe digitale technologieën</w:t>
      </w:r>
    </w:p>
    <w:p w:rsidRPr="00463949" w:rsidR="00E91F44" w:rsidP="00E91F44" w:rsidRDefault="00E91F44" w14:paraId="0F555365" w14:textId="77777777">
      <w:pPr>
        <w:spacing w:after="0" w:line="276" w:lineRule="auto"/>
        <w:rPr>
          <w:rFonts w:ascii="Times New Roman" w:hAnsi="Times New Roman" w:cs="Times New Roman"/>
          <w:sz w:val="24"/>
          <w:szCs w:val="24"/>
        </w:rPr>
      </w:pPr>
    </w:p>
    <w:p w:rsidRPr="00463949" w:rsidR="00D6608C" w:rsidP="000E2F12" w:rsidRDefault="001A22A4" w14:paraId="525AF90D" w14:textId="58EA5D28">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Ten eerste </w:t>
      </w:r>
      <w:r w:rsidRPr="00463949" w:rsidR="0031739A">
        <w:rPr>
          <w:rFonts w:ascii="Times New Roman" w:hAnsi="Times New Roman" w:cs="Times New Roman"/>
          <w:sz w:val="24"/>
          <w:szCs w:val="24"/>
        </w:rPr>
        <w:t xml:space="preserve">bevat </w:t>
      </w:r>
      <w:r w:rsidRPr="00463949">
        <w:rPr>
          <w:rFonts w:ascii="Times New Roman" w:hAnsi="Times New Roman" w:cs="Times New Roman"/>
          <w:sz w:val="24"/>
          <w:szCs w:val="24"/>
        </w:rPr>
        <w:t xml:space="preserve">de Richtlijn </w:t>
      </w:r>
      <w:r w:rsidRPr="00463949" w:rsidR="00A011C1">
        <w:rPr>
          <w:rFonts w:ascii="Times New Roman" w:hAnsi="Times New Roman" w:cs="Times New Roman"/>
          <w:sz w:val="24"/>
          <w:szCs w:val="24"/>
        </w:rPr>
        <w:t xml:space="preserve">een aantal </w:t>
      </w:r>
      <w:r w:rsidRPr="00463949">
        <w:rPr>
          <w:rFonts w:ascii="Times New Roman" w:hAnsi="Times New Roman" w:cs="Times New Roman"/>
          <w:sz w:val="24"/>
          <w:szCs w:val="24"/>
        </w:rPr>
        <w:t>aanpassingen met het oog op nieuwe digitale technologieën.</w:t>
      </w:r>
      <w:r w:rsidRPr="00463949" w:rsidR="00D6608C">
        <w:rPr>
          <w:rFonts w:ascii="Times New Roman" w:hAnsi="Times New Roman" w:cs="Times New Roman"/>
          <w:sz w:val="24"/>
          <w:szCs w:val="24"/>
        </w:rPr>
        <w:t xml:space="preserve"> De belangrijkste wijzigingen worden hierna toegelicht.</w:t>
      </w:r>
    </w:p>
    <w:p w:rsidRPr="00463949" w:rsidR="00D6608C" w:rsidP="000E2F12" w:rsidRDefault="00D6608C" w14:paraId="3E320A49" w14:textId="77777777">
      <w:pPr>
        <w:spacing w:after="0" w:line="276" w:lineRule="auto"/>
        <w:rPr>
          <w:rFonts w:ascii="Times New Roman" w:hAnsi="Times New Roman" w:cs="Times New Roman"/>
          <w:sz w:val="24"/>
          <w:szCs w:val="24"/>
        </w:rPr>
      </w:pPr>
    </w:p>
    <w:p w:rsidRPr="00463949" w:rsidR="000E2F12" w:rsidP="000E2F12" w:rsidRDefault="00D6608C" w14:paraId="5656EEB3" w14:textId="37AEE1F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 xml:space="preserve">De Richtlijn voorziet in een </w:t>
      </w:r>
      <w:r w:rsidRPr="00463949" w:rsidR="00E91F44">
        <w:rPr>
          <w:rFonts w:ascii="Times New Roman" w:hAnsi="Times New Roman" w:cs="Times New Roman"/>
          <w:sz w:val="24"/>
          <w:szCs w:val="24"/>
        </w:rPr>
        <w:t>verduidelijking en verruiming van</w:t>
      </w:r>
      <w:r w:rsidRPr="00463949" w:rsidR="00BC4EDA">
        <w:rPr>
          <w:rFonts w:ascii="Times New Roman" w:hAnsi="Times New Roman" w:cs="Times New Roman"/>
          <w:sz w:val="24"/>
          <w:szCs w:val="24"/>
        </w:rPr>
        <w:t xml:space="preserve"> </w:t>
      </w:r>
      <w:r w:rsidRPr="00463949" w:rsidR="000E2F12">
        <w:rPr>
          <w:rFonts w:ascii="Times New Roman" w:hAnsi="Times New Roman" w:cs="Times New Roman"/>
          <w:sz w:val="24"/>
          <w:szCs w:val="24"/>
        </w:rPr>
        <w:t>het begrip “product”</w:t>
      </w:r>
      <w:r w:rsidRPr="00463949" w:rsidR="00DA2831">
        <w:rPr>
          <w:rFonts w:ascii="Times New Roman" w:hAnsi="Times New Roman" w:cs="Times New Roman"/>
          <w:sz w:val="24"/>
          <w:szCs w:val="24"/>
        </w:rPr>
        <w:t xml:space="preserve"> </w:t>
      </w:r>
      <w:r w:rsidRPr="00463949" w:rsidR="00606DE9">
        <w:rPr>
          <w:rFonts w:ascii="Times New Roman" w:hAnsi="Times New Roman" w:cs="Times New Roman"/>
          <w:sz w:val="24"/>
          <w:szCs w:val="24"/>
        </w:rPr>
        <w:t>(artikel 4, onder 1</w:t>
      </w:r>
      <w:r w:rsidRPr="00463949" w:rsidR="00BC4EDA">
        <w:rPr>
          <w:rFonts w:ascii="Times New Roman" w:hAnsi="Times New Roman" w:cs="Times New Roman"/>
          <w:sz w:val="24"/>
          <w:szCs w:val="24"/>
        </w:rPr>
        <w:t xml:space="preserve"> Richtlijn</w:t>
      </w:r>
      <w:r w:rsidRPr="00463949" w:rsidR="00606DE9">
        <w:rPr>
          <w:rFonts w:ascii="Times New Roman" w:hAnsi="Times New Roman" w:cs="Times New Roman"/>
          <w:sz w:val="24"/>
          <w:szCs w:val="24"/>
        </w:rPr>
        <w:t>)</w:t>
      </w:r>
      <w:r w:rsidRPr="00463949" w:rsidR="000E2F12">
        <w:rPr>
          <w:rFonts w:ascii="Times New Roman" w:hAnsi="Times New Roman" w:cs="Times New Roman"/>
          <w:sz w:val="24"/>
          <w:szCs w:val="24"/>
        </w:rPr>
        <w:t xml:space="preserve">. </w:t>
      </w:r>
      <w:r w:rsidRPr="00463949" w:rsidR="00E02ADA">
        <w:rPr>
          <w:rFonts w:ascii="Times New Roman" w:hAnsi="Times New Roman" w:cs="Times New Roman"/>
          <w:sz w:val="24"/>
          <w:szCs w:val="24"/>
        </w:rPr>
        <w:t xml:space="preserve">Daaronder vallen </w:t>
      </w:r>
      <w:r w:rsidRPr="00463949" w:rsidR="000E2F12">
        <w:rPr>
          <w:rFonts w:ascii="Times New Roman" w:hAnsi="Times New Roman" w:cs="Times New Roman"/>
          <w:sz w:val="24"/>
          <w:szCs w:val="24"/>
        </w:rPr>
        <w:t xml:space="preserve">alle roerende zaken, ook nadat zij zijn geïntegreerd in of onderling zijn verbonden met andere roerende of onroerende zaken. </w:t>
      </w:r>
      <w:r w:rsidRPr="00463949" w:rsidR="004B2BEA">
        <w:rPr>
          <w:rFonts w:ascii="Times New Roman" w:hAnsi="Times New Roman" w:cs="Times New Roman"/>
          <w:sz w:val="24"/>
          <w:szCs w:val="24"/>
        </w:rPr>
        <w:t>V</w:t>
      </w:r>
      <w:r w:rsidRPr="00463949" w:rsidR="00032974">
        <w:rPr>
          <w:rFonts w:ascii="Times New Roman" w:hAnsi="Times New Roman" w:cs="Times New Roman"/>
          <w:sz w:val="24"/>
          <w:szCs w:val="24"/>
        </w:rPr>
        <w:t>erhelderd</w:t>
      </w:r>
      <w:r w:rsidRPr="00463949" w:rsidR="00BF5807">
        <w:rPr>
          <w:rFonts w:ascii="Times New Roman" w:hAnsi="Times New Roman" w:cs="Times New Roman"/>
          <w:sz w:val="24"/>
          <w:szCs w:val="24"/>
        </w:rPr>
        <w:t xml:space="preserve"> </w:t>
      </w:r>
      <w:r w:rsidRPr="00463949" w:rsidR="004B2BEA">
        <w:rPr>
          <w:rFonts w:ascii="Times New Roman" w:hAnsi="Times New Roman" w:cs="Times New Roman"/>
          <w:sz w:val="24"/>
          <w:szCs w:val="24"/>
        </w:rPr>
        <w:t xml:space="preserve">is voorts </w:t>
      </w:r>
      <w:r w:rsidRPr="00463949" w:rsidR="00BF5807">
        <w:rPr>
          <w:rFonts w:ascii="Times New Roman" w:hAnsi="Times New Roman" w:cs="Times New Roman"/>
          <w:sz w:val="24"/>
          <w:szCs w:val="24"/>
        </w:rPr>
        <w:t xml:space="preserve">dat </w:t>
      </w:r>
      <w:r w:rsidRPr="00463949">
        <w:rPr>
          <w:rFonts w:ascii="Times New Roman" w:hAnsi="Times New Roman" w:cs="Times New Roman"/>
          <w:sz w:val="24"/>
          <w:szCs w:val="24"/>
        </w:rPr>
        <w:t xml:space="preserve">ook </w:t>
      </w:r>
      <w:r w:rsidRPr="00463949" w:rsidR="00BF5807">
        <w:rPr>
          <w:rFonts w:ascii="Times New Roman" w:hAnsi="Times New Roman" w:cs="Times New Roman"/>
          <w:sz w:val="24"/>
          <w:szCs w:val="24"/>
        </w:rPr>
        <w:t>grondstoffen, zoals gas en water</w:t>
      </w:r>
      <w:r w:rsidRPr="00463949" w:rsidR="0015111E">
        <w:rPr>
          <w:rFonts w:ascii="Times New Roman" w:hAnsi="Times New Roman" w:cs="Times New Roman"/>
          <w:sz w:val="24"/>
          <w:szCs w:val="24"/>
        </w:rPr>
        <w:t>,</w:t>
      </w:r>
      <w:r w:rsidRPr="00463949" w:rsidR="00BF5807">
        <w:rPr>
          <w:rFonts w:ascii="Times New Roman" w:hAnsi="Times New Roman" w:cs="Times New Roman"/>
          <w:sz w:val="24"/>
          <w:szCs w:val="24"/>
        </w:rPr>
        <w:t xml:space="preserve"> en elektriciteit producten zijn</w:t>
      </w:r>
      <w:r w:rsidRPr="00463949" w:rsidR="003C0462">
        <w:rPr>
          <w:rFonts w:ascii="Times New Roman" w:hAnsi="Times New Roman" w:cs="Times New Roman"/>
          <w:sz w:val="24"/>
          <w:szCs w:val="24"/>
        </w:rPr>
        <w:t xml:space="preserve"> (zie overweging 16)</w:t>
      </w:r>
      <w:r w:rsidRPr="00463949" w:rsidR="00BF5807">
        <w:rPr>
          <w:rFonts w:ascii="Times New Roman" w:hAnsi="Times New Roman" w:cs="Times New Roman"/>
          <w:sz w:val="24"/>
          <w:szCs w:val="24"/>
        </w:rPr>
        <w:t xml:space="preserve">. </w:t>
      </w:r>
      <w:r w:rsidRPr="00463949" w:rsidR="00BC4EDA">
        <w:rPr>
          <w:rFonts w:ascii="Times New Roman" w:hAnsi="Times New Roman" w:cs="Times New Roman"/>
          <w:sz w:val="24"/>
          <w:szCs w:val="24"/>
        </w:rPr>
        <w:t xml:space="preserve">Omwille van de rechtszekerheid </w:t>
      </w:r>
      <w:r w:rsidRPr="00463949" w:rsidR="00480622">
        <w:rPr>
          <w:rFonts w:ascii="Times New Roman" w:hAnsi="Times New Roman" w:cs="Times New Roman"/>
          <w:sz w:val="24"/>
          <w:szCs w:val="24"/>
        </w:rPr>
        <w:t xml:space="preserve">is </w:t>
      </w:r>
      <w:r w:rsidRPr="00463949">
        <w:rPr>
          <w:rFonts w:ascii="Times New Roman" w:hAnsi="Times New Roman" w:cs="Times New Roman"/>
          <w:sz w:val="24"/>
          <w:szCs w:val="24"/>
        </w:rPr>
        <w:t xml:space="preserve">daarnaast </w:t>
      </w:r>
      <w:r w:rsidRPr="00463949" w:rsidR="00E02ADA">
        <w:rPr>
          <w:rFonts w:ascii="Times New Roman" w:hAnsi="Times New Roman" w:cs="Times New Roman"/>
          <w:sz w:val="24"/>
          <w:szCs w:val="24"/>
        </w:rPr>
        <w:t>verduidelijkt dat</w:t>
      </w:r>
      <w:r w:rsidRPr="00463949" w:rsidR="002C3809">
        <w:rPr>
          <w:rFonts w:ascii="Times New Roman" w:hAnsi="Times New Roman" w:cs="Times New Roman"/>
          <w:sz w:val="24"/>
          <w:szCs w:val="24"/>
        </w:rPr>
        <w:t xml:space="preserve"> </w:t>
      </w:r>
      <w:r w:rsidRPr="00463949" w:rsidR="00E02ADA">
        <w:rPr>
          <w:rFonts w:ascii="Times New Roman" w:hAnsi="Times New Roman" w:cs="Times New Roman"/>
          <w:sz w:val="24"/>
          <w:szCs w:val="24"/>
        </w:rPr>
        <w:t>software</w:t>
      </w:r>
      <w:r w:rsidRPr="00463949" w:rsidR="00DA2831">
        <w:rPr>
          <w:rFonts w:ascii="Times New Roman" w:hAnsi="Times New Roman" w:cs="Times New Roman"/>
          <w:sz w:val="24"/>
          <w:szCs w:val="24"/>
        </w:rPr>
        <w:t xml:space="preserve"> en digitale fabricagedossiers</w:t>
      </w:r>
      <w:r w:rsidRPr="00463949" w:rsidR="00BF5807">
        <w:rPr>
          <w:rFonts w:ascii="Times New Roman" w:hAnsi="Times New Roman" w:cs="Times New Roman"/>
          <w:sz w:val="24"/>
          <w:szCs w:val="24"/>
        </w:rPr>
        <w:t xml:space="preserve"> als product moeten worden beschouwd</w:t>
      </w:r>
      <w:r w:rsidRPr="00463949" w:rsidR="003C0462">
        <w:rPr>
          <w:rFonts w:ascii="Times New Roman" w:hAnsi="Times New Roman" w:cs="Times New Roman"/>
          <w:sz w:val="24"/>
          <w:szCs w:val="24"/>
        </w:rPr>
        <w:t xml:space="preserve"> (zie overwegingen 13 en 16)</w:t>
      </w:r>
      <w:r w:rsidRPr="00463949" w:rsidR="00246D31">
        <w:rPr>
          <w:rFonts w:ascii="Times New Roman" w:hAnsi="Times New Roman" w:cs="Times New Roman"/>
          <w:sz w:val="24"/>
          <w:szCs w:val="24"/>
        </w:rPr>
        <w:t xml:space="preserve">. </w:t>
      </w:r>
      <w:r w:rsidRPr="00463949" w:rsidR="00DA2831">
        <w:rPr>
          <w:rFonts w:ascii="Times New Roman" w:hAnsi="Times New Roman" w:cs="Times New Roman"/>
          <w:sz w:val="24"/>
          <w:szCs w:val="24"/>
        </w:rPr>
        <w:t xml:space="preserve">Het begrip </w:t>
      </w:r>
      <w:r w:rsidRPr="00463949" w:rsidR="003F3EAA">
        <w:rPr>
          <w:rFonts w:ascii="Times New Roman" w:hAnsi="Times New Roman" w:cs="Times New Roman"/>
          <w:sz w:val="24"/>
          <w:szCs w:val="24"/>
        </w:rPr>
        <w:t>“</w:t>
      </w:r>
      <w:r w:rsidRPr="00463949" w:rsidR="00DA2831">
        <w:rPr>
          <w:rFonts w:ascii="Times New Roman" w:hAnsi="Times New Roman" w:cs="Times New Roman"/>
          <w:sz w:val="24"/>
          <w:szCs w:val="24"/>
        </w:rPr>
        <w:t>software</w:t>
      </w:r>
      <w:r w:rsidRPr="00463949" w:rsidR="003F3EAA">
        <w:rPr>
          <w:rFonts w:ascii="Times New Roman" w:hAnsi="Times New Roman" w:cs="Times New Roman"/>
          <w:sz w:val="24"/>
          <w:szCs w:val="24"/>
        </w:rPr>
        <w:t xml:space="preserve">” </w:t>
      </w:r>
      <w:r w:rsidRPr="00463949" w:rsidR="004155AF">
        <w:rPr>
          <w:rFonts w:ascii="Times New Roman" w:hAnsi="Times New Roman" w:cs="Times New Roman"/>
          <w:sz w:val="24"/>
          <w:szCs w:val="24"/>
        </w:rPr>
        <w:t xml:space="preserve">wordt </w:t>
      </w:r>
      <w:r w:rsidRPr="00463949" w:rsidR="00DA2831">
        <w:rPr>
          <w:rFonts w:ascii="Times New Roman" w:hAnsi="Times New Roman" w:cs="Times New Roman"/>
          <w:sz w:val="24"/>
          <w:szCs w:val="24"/>
        </w:rPr>
        <w:t>ruim</w:t>
      </w:r>
      <w:r w:rsidRPr="00463949">
        <w:rPr>
          <w:rFonts w:ascii="Times New Roman" w:hAnsi="Times New Roman" w:cs="Times New Roman"/>
          <w:sz w:val="24"/>
          <w:szCs w:val="24"/>
        </w:rPr>
        <w:t xml:space="preserve"> </w:t>
      </w:r>
      <w:r w:rsidRPr="00463949" w:rsidR="00DA2831">
        <w:rPr>
          <w:rFonts w:ascii="Times New Roman" w:hAnsi="Times New Roman" w:cs="Times New Roman"/>
          <w:sz w:val="24"/>
          <w:szCs w:val="24"/>
        </w:rPr>
        <w:t xml:space="preserve">uitgelegd en omvat onder meer </w:t>
      </w:r>
      <w:r w:rsidRPr="00463949" w:rsidR="00E02ADA">
        <w:rPr>
          <w:rFonts w:ascii="Times New Roman" w:hAnsi="Times New Roman" w:cs="Times New Roman"/>
          <w:sz w:val="24"/>
          <w:szCs w:val="24"/>
        </w:rPr>
        <w:t>besturingssystemen, firmware, computerprogramma’s, applicaties of AI-systemen,</w:t>
      </w:r>
      <w:r w:rsidRPr="00463949" w:rsidR="002C3809">
        <w:rPr>
          <w:rFonts w:ascii="Times New Roman" w:hAnsi="Times New Roman" w:cs="Times New Roman"/>
          <w:sz w:val="24"/>
          <w:szCs w:val="24"/>
        </w:rPr>
        <w:t xml:space="preserve"> ongeacht de wijze van levering of gebruik</w:t>
      </w:r>
      <w:r w:rsidRPr="00463949" w:rsidR="003C0462">
        <w:rPr>
          <w:rFonts w:ascii="Times New Roman" w:hAnsi="Times New Roman" w:cs="Times New Roman"/>
          <w:sz w:val="24"/>
          <w:szCs w:val="24"/>
        </w:rPr>
        <w:t xml:space="preserve"> (zie overweging 13)</w:t>
      </w:r>
      <w:r w:rsidRPr="00463949" w:rsidR="002C3809">
        <w:rPr>
          <w:rFonts w:ascii="Times New Roman" w:hAnsi="Times New Roman" w:cs="Times New Roman"/>
          <w:sz w:val="24"/>
          <w:szCs w:val="24"/>
        </w:rPr>
        <w:t>.</w:t>
      </w:r>
      <w:r w:rsidRPr="00463949" w:rsidR="00E02ADA">
        <w:rPr>
          <w:rFonts w:ascii="Times New Roman" w:hAnsi="Times New Roman" w:cs="Times New Roman"/>
          <w:sz w:val="24"/>
          <w:szCs w:val="24"/>
        </w:rPr>
        <w:t xml:space="preserve"> </w:t>
      </w:r>
      <w:r w:rsidRPr="00463949" w:rsidR="001142DE">
        <w:rPr>
          <w:rFonts w:ascii="Times New Roman" w:hAnsi="Times New Roman" w:cs="Times New Roman"/>
          <w:sz w:val="24"/>
          <w:szCs w:val="24"/>
        </w:rPr>
        <w:t xml:space="preserve">Een </w:t>
      </w:r>
      <w:r w:rsidRPr="00463949" w:rsidR="003F3EAA">
        <w:rPr>
          <w:rFonts w:ascii="Times New Roman" w:hAnsi="Times New Roman" w:cs="Times New Roman"/>
          <w:sz w:val="24"/>
          <w:szCs w:val="24"/>
        </w:rPr>
        <w:t>“</w:t>
      </w:r>
      <w:r w:rsidRPr="00463949" w:rsidR="001142DE">
        <w:rPr>
          <w:rFonts w:ascii="Times New Roman" w:hAnsi="Times New Roman" w:cs="Times New Roman"/>
          <w:sz w:val="24"/>
          <w:szCs w:val="24"/>
        </w:rPr>
        <w:t>digitaal fabricagedossier</w:t>
      </w:r>
      <w:r w:rsidRPr="00463949" w:rsidR="003F3EAA">
        <w:rPr>
          <w:rFonts w:ascii="Times New Roman" w:hAnsi="Times New Roman" w:cs="Times New Roman"/>
          <w:sz w:val="24"/>
          <w:szCs w:val="24"/>
        </w:rPr>
        <w:t xml:space="preserve">” </w:t>
      </w:r>
      <w:r w:rsidRPr="00463949" w:rsidR="001142DE">
        <w:rPr>
          <w:rFonts w:ascii="Times New Roman" w:hAnsi="Times New Roman" w:cs="Times New Roman"/>
          <w:sz w:val="24"/>
          <w:szCs w:val="24"/>
        </w:rPr>
        <w:t>is een digitale versie van of een digitale template voor een roerende zaak die de functionele informatie bevat die nodig is om een tastbaar voorwerp te produceren door geautomatiseerde besturing van machines of gereedschappen mogelijk te maken</w:t>
      </w:r>
      <w:r w:rsidRPr="00463949" w:rsidR="0038541D">
        <w:rPr>
          <w:rFonts w:ascii="Times New Roman" w:hAnsi="Times New Roman" w:cs="Times New Roman"/>
          <w:sz w:val="24"/>
          <w:szCs w:val="24"/>
        </w:rPr>
        <w:t xml:space="preserve">, zoals boormachines, draaibanken, molens en 3D-printers </w:t>
      </w:r>
      <w:r w:rsidRPr="00463949" w:rsidR="00606DE9">
        <w:rPr>
          <w:rFonts w:ascii="Times New Roman" w:hAnsi="Times New Roman" w:cs="Times New Roman"/>
          <w:sz w:val="24"/>
          <w:szCs w:val="24"/>
        </w:rPr>
        <w:t>(artikel 4 onder 2</w:t>
      </w:r>
      <w:r w:rsidRPr="00463949" w:rsidR="007C5A1B">
        <w:rPr>
          <w:rFonts w:ascii="Times New Roman" w:hAnsi="Times New Roman" w:cs="Times New Roman"/>
          <w:sz w:val="24"/>
          <w:szCs w:val="24"/>
        </w:rPr>
        <w:t xml:space="preserve"> Richtlijn</w:t>
      </w:r>
      <w:r w:rsidRPr="00463949" w:rsidR="0038541D">
        <w:rPr>
          <w:rFonts w:ascii="Times New Roman" w:hAnsi="Times New Roman" w:cs="Times New Roman"/>
          <w:sz w:val="24"/>
          <w:szCs w:val="24"/>
        </w:rPr>
        <w:t>; zie ook overweging 16</w:t>
      </w:r>
      <w:r w:rsidRPr="00463949" w:rsidR="00606DE9">
        <w:rPr>
          <w:rFonts w:ascii="Times New Roman" w:hAnsi="Times New Roman" w:cs="Times New Roman"/>
          <w:sz w:val="24"/>
          <w:szCs w:val="24"/>
        </w:rPr>
        <w:t>)</w:t>
      </w:r>
      <w:r w:rsidRPr="00463949" w:rsidR="001142DE">
        <w:rPr>
          <w:rFonts w:ascii="Times New Roman" w:hAnsi="Times New Roman" w:cs="Times New Roman"/>
          <w:sz w:val="24"/>
          <w:szCs w:val="24"/>
        </w:rPr>
        <w:t>.</w:t>
      </w:r>
      <w:r w:rsidRPr="00463949" w:rsidR="003C0462">
        <w:rPr>
          <w:rFonts w:ascii="Times New Roman" w:hAnsi="Times New Roman" w:cs="Times New Roman"/>
          <w:sz w:val="24"/>
          <w:szCs w:val="24"/>
        </w:rPr>
        <w:t xml:space="preserve"> Door ook digitale fabricagedossiers als product te beschouwen, wordt de bescherming van natuurlijke personen gewaarborgd in gevallen waarin dergelijke bestanden gebrekkig zijn (zie overweging 16).</w:t>
      </w:r>
    </w:p>
    <w:p w:rsidRPr="00463949" w:rsidR="002C3809" w:rsidP="000E2F12" w:rsidRDefault="002C3809" w14:paraId="12914E07" w14:textId="77777777">
      <w:pPr>
        <w:spacing w:after="0" w:line="276" w:lineRule="auto"/>
        <w:rPr>
          <w:rFonts w:ascii="Times New Roman" w:hAnsi="Times New Roman" w:cs="Times New Roman"/>
          <w:sz w:val="24"/>
          <w:szCs w:val="24"/>
        </w:rPr>
      </w:pPr>
    </w:p>
    <w:p w:rsidRPr="00463949" w:rsidR="005D4797" w:rsidP="005D4797" w:rsidRDefault="00961AE0" w14:paraId="30193691" w14:textId="11C3DF8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Hoewel de Richtlijn niet van toepassing is op diensten als zodanig, </w:t>
      </w:r>
      <w:r w:rsidRPr="00463949" w:rsidR="003F3EAA">
        <w:rPr>
          <w:rFonts w:ascii="Times New Roman" w:hAnsi="Times New Roman" w:cs="Times New Roman"/>
          <w:sz w:val="24"/>
          <w:szCs w:val="24"/>
        </w:rPr>
        <w:t xml:space="preserve">is </w:t>
      </w:r>
      <w:r w:rsidRPr="00463949" w:rsidR="00ED20E2">
        <w:rPr>
          <w:rFonts w:ascii="Times New Roman" w:hAnsi="Times New Roman" w:cs="Times New Roman"/>
          <w:sz w:val="24"/>
          <w:szCs w:val="24"/>
        </w:rPr>
        <w:t xml:space="preserve">het noodzakelijk geacht om de risicoaansprakelijkheid uit te breiden tot </w:t>
      </w:r>
      <w:r w:rsidRPr="00463949" w:rsidR="00DA2831">
        <w:rPr>
          <w:rFonts w:ascii="Times New Roman" w:hAnsi="Times New Roman" w:cs="Times New Roman"/>
          <w:sz w:val="24"/>
          <w:szCs w:val="24"/>
        </w:rPr>
        <w:t>“bijbehorende diensten”</w:t>
      </w:r>
      <w:r w:rsidRPr="00463949" w:rsidR="00711B85">
        <w:rPr>
          <w:rFonts w:ascii="Times New Roman" w:hAnsi="Times New Roman" w:cs="Times New Roman"/>
          <w:sz w:val="24"/>
          <w:szCs w:val="24"/>
        </w:rPr>
        <w:t xml:space="preserve"> (“</w:t>
      </w:r>
      <w:r w:rsidRPr="00463949" w:rsidR="00711B85">
        <w:rPr>
          <w:rFonts w:ascii="Times New Roman" w:hAnsi="Times New Roman" w:cs="Times New Roman"/>
          <w:i/>
          <w:iCs/>
          <w:sz w:val="24"/>
          <w:szCs w:val="24"/>
        </w:rPr>
        <w:t>related services</w:t>
      </w:r>
      <w:r w:rsidRPr="00463949" w:rsidR="00711B85">
        <w:rPr>
          <w:rFonts w:ascii="Times New Roman" w:hAnsi="Times New Roman" w:cs="Times New Roman"/>
          <w:sz w:val="24"/>
          <w:szCs w:val="24"/>
        </w:rPr>
        <w:t>”)</w:t>
      </w:r>
      <w:r w:rsidRPr="00463949" w:rsidR="00ED20E2">
        <w:rPr>
          <w:rFonts w:ascii="Times New Roman" w:hAnsi="Times New Roman" w:cs="Times New Roman"/>
          <w:sz w:val="24"/>
          <w:szCs w:val="24"/>
        </w:rPr>
        <w:t xml:space="preserve">. </w:t>
      </w:r>
      <w:r w:rsidRPr="00463949" w:rsidR="003F3EAA">
        <w:rPr>
          <w:rFonts w:ascii="Times New Roman" w:hAnsi="Times New Roman" w:cs="Times New Roman"/>
          <w:sz w:val="24"/>
          <w:szCs w:val="24"/>
        </w:rPr>
        <w:t>“</w:t>
      </w:r>
      <w:r w:rsidRPr="00463949" w:rsidR="00ED20E2">
        <w:rPr>
          <w:rFonts w:ascii="Times New Roman" w:hAnsi="Times New Roman" w:cs="Times New Roman"/>
          <w:sz w:val="24"/>
          <w:szCs w:val="24"/>
        </w:rPr>
        <w:t xml:space="preserve">Bijbehorende diensten” </w:t>
      </w:r>
      <w:r w:rsidRPr="00463949" w:rsidR="005D4797">
        <w:rPr>
          <w:rFonts w:ascii="Times New Roman" w:hAnsi="Times New Roman" w:cs="Times New Roman"/>
          <w:sz w:val="24"/>
          <w:szCs w:val="24"/>
        </w:rPr>
        <w:t>zijn digitale diensten die zodanig in een product zijn geïntegreerd of daarmee onderling zijn verbonden dat het product zonder die dienst een of meer van zijn functies niet zou kunnen vervullen</w:t>
      </w:r>
      <w:r w:rsidRPr="00463949" w:rsidR="00ED20E2">
        <w:rPr>
          <w:rFonts w:ascii="Times New Roman" w:hAnsi="Times New Roman" w:cs="Times New Roman"/>
          <w:sz w:val="24"/>
          <w:szCs w:val="24"/>
        </w:rPr>
        <w:t xml:space="preserve"> (artikel 4 onder 3 Richtlijn).</w:t>
      </w:r>
      <w:r w:rsidRPr="00463949" w:rsidR="005D4797">
        <w:rPr>
          <w:rFonts w:ascii="Times New Roman" w:hAnsi="Times New Roman" w:cs="Times New Roman"/>
          <w:sz w:val="24"/>
          <w:szCs w:val="24"/>
        </w:rPr>
        <w:t xml:space="preserve"> </w:t>
      </w:r>
      <w:r w:rsidRPr="00463949" w:rsidR="00797F6A">
        <w:rPr>
          <w:rFonts w:ascii="Times New Roman" w:hAnsi="Times New Roman" w:cs="Times New Roman"/>
          <w:sz w:val="24"/>
          <w:szCs w:val="24"/>
        </w:rPr>
        <w:t xml:space="preserve">Zij worden aangemerkt als component van een product (artikel 4 onder 4 Richtlijn). De gedachte hierachter is dat dergelijke diensten net zo bepalend zijn voor de veiligheid van het product als fysieke en digitale componenten. </w:t>
      </w:r>
      <w:r w:rsidRPr="00463949" w:rsidR="00ED20E2">
        <w:rPr>
          <w:rFonts w:ascii="Times New Roman" w:hAnsi="Times New Roman" w:cs="Times New Roman"/>
          <w:sz w:val="24"/>
          <w:szCs w:val="24"/>
        </w:rPr>
        <w:t xml:space="preserve">Voorbeelden zijn </w:t>
      </w:r>
      <w:r w:rsidRPr="00463949" w:rsidR="005D4797">
        <w:rPr>
          <w:rFonts w:ascii="Times New Roman" w:hAnsi="Times New Roman" w:cs="Times New Roman"/>
          <w:sz w:val="24"/>
          <w:szCs w:val="24"/>
        </w:rPr>
        <w:t>de continue levering van verkeersgegevens in een navigatiesysteem</w:t>
      </w:r>
      <w:r w:rsidRPr="00463949" w:rsidR="003F3EAA">
        <w:rPr>
          <w:rFonts w:ascii="Times New Roman" w:hAnsi="Times New Roman" w:cs="Times New Roman"/>
          <w:sz w:val="24"/>
          <w:szCs w:val="24"/>
        </w:rPr>
        <w:t xml:space="preserve"> </w:t>
      </w:r>
      <w:r w:rsidRPr="00463949" w:rsidR="0092051D">
        <w:rPr>
          <w:rFonts w:ascii="Times New Roman" w:hAnsi="Times New Roman" w:cs="Times New Roman"/>
          <w:sz w:val="24"/>
          <w:szCs w:val="24"/>
        </w:rPr>
        <w:t xml:space="preserve">en </w:t>
      </w:r>
      <w:r w:rsidRPr="00463949" w:rsidR="005D4797">
        <w:rPr>
          <w:rFonts w:ascii="Times New Roman" w:hAnsi="Times New Roman" w:cs="Times New Roman"/>
          <w:sz w:val="24"/>
          <w:szCs w:val="24"/>
        </w:rPr>
        <w:t>een gezondheidsmonitoringsdienst die zich baseert op de sensoren van een fysiek product om de fysieke activiteiten of gezondheidsgegevens van de gebruiker in de gaten te houden</w:t>
      </w:r>
      <w:r w:rsidRPr="00463949" w:rsidR="003F3EAA">
        <w:rPr>
          <w:rFonts w:ascii="Times New Roman" w:hAnsi="Times New Roman" w:cs="Times New Roman"/>
          <w:sz w:val="24"/>
          <w:szCs w:val="24"/>
        </w:rPr>
        <w:t xml:space="preserve">. </w:t>
      </w:r>
      <w:r w:rsidRPr="00463949" w:rsidR="0092051D">
        <w:rPr>
          <w:rFonts w:ascii="Times New Roman" w:hAnsi="Times New Roman" w:cs="Times New Roman"/>
          <w:sz w:val="24"/>
          <w:szCs w:val="24"/>
        </w:rPr>
        <w:t xml:space="preserve">Andere voorbeelden zijn </w:t>
      </w:r>
      <w:r w:rsidRPr="00463949" w:rsidR="00ED20E2">
        <w:rPr>
          <w:rFonts w:ascii="Times New Roman" w:hAnsi="Times New Roman" w:cs="Times New Roman"/>
          <w:sz w:val="24"/>
          <w:szCs w:val="24"/>
        </w:rPr>
        <w:t>een temperatuurregelingsdienst die de temperatuur van een slimme koelkast monitort en reguleert</w:t>
      </w:r>
      <w:r w:rsidRPr="00463949" w:rsidR="0092051D">
        <w:rPr>
          <w:rFonts w:ascii="Times New Roman" w:hAnsi="Times New Roman" w:cs="Times New Roman"/>
          <w:sz w:val="24"/>
          <w:szCs w:val="24"/>
        </w:rPr>
        <w:t>, en</w:t>
      </w:r>
      <w:r w:rsidRPr="00463949" w:rsidR="00ED20E2">
        <w:rPr>
          <w:rFonts w:ascii="Times New Roman" w:hAnsi="Times New Roman" w:cs="Times New Roman"/>
          <w:sz w:val="24"/>
          <w:szCs w:val="24"/>
        </w:rPr>
        <w:t xml:space="preserve"> een voice</w:t>
      </w:r>
      <w:r w:rsidRPr="00463949" w:rsidR="007D2DAB">
        <w:rPr>
          <w:rFonts w:ascii="Times New Roman" w:hAnsi="Times New Roman" w:cs="Times New Roman"/>
          <w:sz w:val="24"/>
          <w:szCs w:val="24"/>
        </w:rPr>
        <w:t>assistent-dienst die het mogelijk maa</w:t>
      </w:r>
      <w:r w:rsidRPr="00463949" w:rsidR="003F3EAA">
        <w:rPr>
          <w:rFonts w:ascii="Times New Roman" w:hAnsi="Times New Roman" w:cs="Times New Roman"/>
          <w:sz w:val="24"/>
          <w:szCs w:val="24"/>
        </w:rPr>
        <w:t>k</w:t>
      </w:r>
      <w:r w:rsidRPr="00463949" w:rsidR="007D2DAB">
        <w:rPr>
          <w:rFonts w:ascii="Times New Roman" w:hAnsi="Times New Roman" w:cs="Times New Roman"/>
          <w:sz w:val="24"/>
          <w:szCs w:val="24"/>
        </w:rPr>
        <w:t>t een of meer producten te controleren door middel van spraakopdrachten</w:t>
      </w:r>
      <w:r w:rsidRPr="00463949" w:rsidR="00ED20E2">
        <w:rPr>
          <w:rFonts w:ascii="Times New Roman" w:hAnsi="Times New Roman" w:cs="Times New Roman"/>
          <w:sz w:val="24"/>
          <w:szCs w:val="24"/>
        </w:rPr>
        <w:t xml:space="preserve"> (zie overweging 17)</w:t>
      </w:r>
      <w:r w:rsidRPr="00463949" w:rsidR="005D4797">
        <w:rPr>
          <w:rFonts w:ascii="Times New Roman" w:hAnsi="Times New Roman" w:cs="Times New Roman"/>
          <w:sz w:val="24"/>
          <w:szCs w:val="24"/>
        </w:rPr>
        <w:t>.</w:t>
      </w:r>
    </w:p>
    <w:p w:rsidRPr="00463949" w:rsidR="00F56C38" w:rsidP="005D4797" w:rsidRDefault="00F56C38" w14:paraId="3F9B13F1" w14:textId="77777777">
      <w:pPr>
        <w:spacing w:after="0" w:line="276" w:lineRule="auto"/>
        <w:rPr>
          <w:rFonts w:ascii="Times New Roman" w:hAnsi="Times New Roman" w:cs="Times New Roman"/>
          <w:sz w:val="24"/>
          <w:szCs w:val="24"/>
        </w:rPr>
      </w:pPr>
    </w:p>
    <w:p w:rsidRPr="00463949" w:rsidR="00A760A4" w:rsidP="005D4797" w:rsidRDefault="003F3EAA" w14:paraId="1F6EC0C9" w14:textId="7491BC1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Verder is van belang dat de </w:t>
      </w:r>
      <w:r w:rsidRPr="00463949" w:rsidR="00251A9B">
        <w:rPr>
          <w:rFonts w:ascii="Times New Roman" w:hAnsi="Times New Roman" w:cs="Times New Roman"/>
          <w:sz w:val="24"/>
          <w:szCs w:val="24"/>
        </w:rPr>
        <w:t xml:space="preserve">Richtlijn rekening </w:t>
      </w:r>
      <w:r w:rsidRPr="00463949">
        <w:rPr>
          <w:rFonts w:ascii="Times New Roman" w:hAnsi="Times New Roman" w:cs="Times New Roman"/>
          <w:sz w:val="24"/>
          <w:szCs w:val="24"/>
        </w:rPr>
        <w:t xml:space="preserve">houdt </w:t>
      </w:r>
      <w:r w:rsidRPr="00463949" w:rsidR="00251A9B">
        <w:rPr>
          <w:rFonts w:ascii="Times New Roman" w:hAnsi="Times New Roman" w:cs="Times New Roman"/>
          <w:sz w:val="24"/>
          <w:szCs w:val="24"/>
        </w:rPr>
        <w:t>met het feit dat in het digitale tijdperk veel producten onder de zeggenschap van de fabrikant blijven n</w:t>
      </w:r>
      <w:r w:rsidRPr="00463949" w:rsidR="00797F6A">
        <w:rPr>
          <w:rFonts w:ascii="Times New Roman" w:hAnsi="Times New Roman" w:cs="Times New Roman"/>
          <w:sz w:val="24"/>
          <w:szCs w:val="24"/>
        </w:rPr>
        <w:t>á</w:t>
      </w:r>
      <w:r w:rsidRPr="00463949" w:rsidR="00251A9B">
        <w:rPr>
          <w:rFonts w:ascii="Times New Roman" w:hAnsi="Times New Roman" w:cs="Times New Roman"/>
          <w:sz w:val="24"/>
          <w:szCs w:val="24"/>
        </w:rPr>
        <w:t>dat zij in de handel zijn gebracht. Hiervan is bijvoorbeeld sprake als de fabrikant zelf of via een derde software-updates of -upgrades kan blijven leveren</w:t>
      </w:r>
      <w:r w:rsidRPr="00463949" w:rsidR="00BF366D">
        <w:rPr>
          <w:rFonts w:ascii="Times New Roman" w:hAnsi="Times New Roman" w:cs="Times New Roman"/>
          <w:sz w:val="24"/>
          <w:szCs w:val="24"/>
        </w:rPr>
        <w:t xml:space="preserve"> (artikel 4 onder 5</w:t>
      </w:r>
      <w:r w:rsidRPr="00463949" w:rsidR="00765AFD">
        <w:rPr>
          <w:rFonts w:ascii="Times New Roman" w:hAnsi="Times New Roman" w:cs="Times New Roman"/>
          <w:sz w:val="24"/>
          <w:szCs w:val="24"/>
        </w:rPr>
        <w:t xml:space="preserve"> Richtlijn</w:t>
      </w:r>
      <w:r w:rsidRPr="00463949" w:rsidR="00BF366D">
        <w:rPr>
          <w:rFonts w:ascii="Times New Roman" w:hAnsi="Times New Roman" w:cs="Times New Roman"/>
          <w:sz w:val="24"/>
          <w:szCs w:val="24"/>
        </w:rPr>
        <w:t>)</w:t>
      </w:r>
      <w:r w:rsidRPr="00463949" w:rsidR="00251A9B">
        <w:rPr>
          <w:rFonts w:ascii="Times New Roman" w:hAnsi="Times New Roman" w:cs="Times New Roman"/>
          <w:sz w:val="24"/>
          <w:szCs w:val="24"/>
        </w:rPr>
        <w:t xml:space="preserve">. </w:t>
      </w:r>
      <w:r w:rsidRPr="00463949" w:rsidR="00E061E5">
        <w:rPr>
          <w:rFonts w:ascii="Times New Roman" w:hAnsi="Times New Roman" w:cs="Times New Roman"/>
          <w:sz w:val="24"/>
          <w:szCs w:val="24"/>
        </w:rPr>
        <w:t xml:space="preserve">De </w:t>
      </w:r>
      <w:r w:rsidRPr="00463949" w:rsidR="00BF366D">
        <w:rPr>
          <w:rFonts w:ascii="Times New Roman" w:hAnsi="Times New Roman" w:cs="Times New Roman"/>
          <w:sz w:val="24"/>
          <w:szCs w:val="24"/>
        </w:rPr>
        <w:t xml:space="preserve">vraag of een fabrikant </w:t>
      </w:r>
      <w:r w:rsidRPr="00463949" w:rsidR="001E4809">
        <w:rPr>
          <w:rFonts w:ascii="Times New Roman" w:hAnsi="Times New Roman" w:cs="Times New Roman"/>
          <w:sz w:val="24"/>
          <w:szCs w:val="24"/>
        </w:rPr>
        <w:t xml:space="preserve">nog </w:t>
      </w:r>
      <w:r w:rsidRPr="00463949" w:rsidR="00BF366D">
        <w:rPr>
          <w:rFonts w:ascii="Times New Roman" w:hAnsi="Times New Roman" w:cs="Times New Roman"/>
          <w:sz w:val="24"/>
          <w:szCs w:val="24"/>
        </w:rPr>
        <w:t>zeggenschap</w:t>
      </w:r>
      <w:r w:rsidRPr="00463949" w:rsidR="00D0546F">
        <w:rPr>
          <w:rFonts w:ascii="Times New Roman" w:hAnsi="Times New Roman" w:cs="Times New Roman"/>
          <w:sz w:val="24"/>
          <w:szCs w:val="24"/>
        </w:rPr>
        <w:t xml:space="preserve"> over het product</w:t>
      </w:r>
      <w:r w:rsidRPr="00463949" w:rsidR="00BF366D">
        <w:rPr>
          <w:rFonts w:ascii="Times New Roman" w:hAnsi="Times New Roman" w:cs="Times New Roman"/>
          <w:sz w:val="24"/>
          <w:szCs w:val="24"/>
        </w:rPr>
        <w:t xml:space="preserve"> </w:t>
      </w:r>
      <w:r w:rsidRPr="00463949" w:rsidR="00AA52D3">
        <w:rPr>
          <w:rFonts w:ascii="Times New Roman" w:hAnsi="Times New Roman" w:cs="Times New Roman"/>
          <w:sz w:val="24"/>
          <w:szCs w:val="24"/>
        </w:rPr>
        <w:t xml:space="preserve">heeft, </w:t>
      </w:r>
      <w:r w:rsidRPr="00463949" w:rsidR="00E061E5">
        <w:rPr>
          <w:rFonts w:ascii="Times New Roman" w:hAnsi="Times New Roman" w:cs="Times New Roman"/>
          <w:sz w:val="24"/>
          <w:szCs w:val="24"/>
        </w:rPr>
        <w:t xml:space="preserve">is </w:t>
      </w:r>
      <w:r w:rsidRPr="00463949" w:rsidR="00BF5807">
        <w:rPr>
          <w:rFonts w:ascii="Times New Roman" w:hAnsi="Times New Roman" w:cs="Times New Roman"/>
          <w:sz w:val="24"/>
          <w:szCs w:val="24"/>
        </w:rPr>
        <w:t xml:space="preserve">onder meer </w:t>
      </w:r>
      <w:r w:rsidRPr="00463949" w:rsidR="00E061E5">
        <w:rPr>
          <w:rFonts w:ascii="Times New Roman" w:hAnsi="Times New Roman" w:cs="Times New Roman"/>
          <w:sz w:val="24"/>
          <w:szCs w:val="24"/>
        </w:rPr>
        <w:t>van belang voor</w:t>
      </w:r>
      <w:r w:rsidRPr="00463949" w:rsidR="00D0546F">
        <w:rPr>
          <w:rFonts w:ascii="Times New Roman" w:hAnsi="Times New Roman" w:cs="Times New Roman"/>
          <w:sz w:val="24"/>
          <w:szCs w:val="24"/>
        </w:rPr>
        <w:t xml:space="preserve"> de</w:t>
      </w:r>
      <w:r w:rsidRPr="00463949" w:rsidR="00E061E5">
        <w:rPr>
          <w:rFonts w:ascii="Times New Roman" w:hAnsi="Times New Roman" w:cs="Times New Roman"/>
          <w:sz w:val="24"/>
          <w:szCs w:val="24"/>
        </w:rPr>
        <w:t xml:space="preserve"> beoordeling van de gebrekkigheid</w:t>
      </w:r>
      <w:r w:rsidRPr="00463949" w:rsidR="00056324">
        <w:rPr>
          <w:rFonts w:ascii="Times New Roman" w:hAnsi="Times New Roman" w:cs="Times New Roman"/>
          <w:sz w:val="24"/>
          <w:szCs w:val="24"/>
        </w:rPr>
        <w:t xml:space="preserve"> van </w:t>
      </w:r>
      <w:r w:rsidRPr="00463949" w:rsidR="002A504A">
        <w:rPr>
          <w:rFonts w:ascii="Times New Roman" w:hAnsi="Times New Roman" w:cs="Times New Roman"/>
          <w:sz w:val="24"/>
          <w:szCs w:val="24"/>
        </w:rPr>
        <w:t xml:space="preserve">het </w:t>
      </w:r>
      <w:r w:rsidRPr="00463949" w:rsidR="00056324">
        <w:rPr>
          <w:rFonts w:ascii="Times New Roman" w:hAnsi="Times New Roman" w:cs="Times New Roman"/>
          <w:sz w:val="24"/>
          <w:szCs w:val="24"/>
        </w:rPr>
        <w:t>product</w:t>
      </w:r>
      <w:r w:rsidRPr="00463949" w:rsidR="00E061E5">
        <w:rPr>
          <w:rFonts w:ascii="Times New Roman" w:hAnsi="Times New Roman" w:cs="Times New Roman"/>
          <w:sz w:val="24"/>
          <w:szCs w:val="24"/>
        </w:rPr>
        <w:t xml:space="preserve"> </w:t>
      </w:r>
      <w:r w:rsidRPr="00463949" w:rsidR="00BF366D">
        <w:rPr>
          <w:rFonts w:ascii="Times New Roman" w:hAnsi="Times New Roman" w:cs="Times New Roman"/>
          <w:sz w:val="24"/>
          <w:szCs w:val="24"/>
        </w:rPr>
        <w:t>(artikel 7 lid 2, onderdeel c</w:t>
      </w:r>
      <w:r w:rsidRPr="00463949" w:rsidR="00765AFD">
        <w:rPr>
          <w:rFonts w:ascii="Times New Roman" w:hAnsi="Times New Roman" w:cs="Times New Roman"/>
          <w:sz w:val="24"/>
          <w:szCs w:val="24"/>
        </w:rPr>
        <w:t>, Richtlijn</w:t>
      </w:r>
      <w:r w:rsidRPr="00463949" w:rsidR="00BF366D">
        <w:rPr>
          <w:rFonts w:ascii="Times New Roman" w:hAnsi="Times New Roman" w:cs="Times New Roman"/>
          <w:sz w:val="24"/>
          <w:szCs w:val="24"/>
        </w:rPr>
        <w:t>)</w:t>
      </w:r>
      <w:r w:rsidRPr="00463949" w:rsidR="00BF5807">
        <w:rPr>
          <w:rFonts w:ascii="Times New Roman" w:hAnsi="Times New Roman" w:cs="Times New Roman"/>
          <w:sz w:val="24"/>
          <w:szCs w:val="24"/>
        </w:rPr>
        <w:t>.</w:t>
      </w:r>
      <w:r w:rsidRPr="00463949">
        <w:rPr>
          <w:rFonts w:ascii="Times New Roman" w:hAnsi="Times New Roman" w:cs="Times New Roman"/>
          <w:sz w:val="24"/>
          <w:szCs w:val="24"/>
        </w:rPr>
        <w:t xml:space="preserve"> Ook is dit </w:t>
      </w:r>
      <w:r w:rsidRPr="00463949" w:rsidR="002B1676">
        <w:rPr>
          <w:rFonts w:ascii="Times New Roman" w:hAnsi="Times New Roman" w:cs="Times New Roman"/>
          <w:sz w:val="24"/>
          <w:szCs w:val="24"/>
        </w:rPr>
        <w:t xml:space="preserve">relevant </w:t>
      </w:r>
      <w:r w:rsidRPr="00463949" w:rsidR="00BF5807">
        <w:rPr>
          <w:rFonts w:ascii="Times New Roman" w:hAnsi="Times New Roman" w:cs="Times New Roman"/>
          <w:sz w:val="24"/>
          <w:szCs w:val="24"/>
        </w:rPr>
        <w:t xml:space="preserve">voor de vraag of de fabrikant een beroep </w:t>
      </w:r>
      <w:r w:rsidRPr="00463949">
        <w:rPr>
          <w:rFonts w:ascii="Times New Roman" w:hAnsi="Times New Roman" w:cs="Times New Roman"/>
          <w:sz w:val="24"/>
          <w:szCs w:val="24"/>
        </w:rPr>
        <w:t xml:space="preserve">kan doen </w:t>
      </w:r>
      <w:r w:rsidRPr="00463949" w:rsidR="00BF5807">
        <w:rPr>
          <w:rFonts w:ascii="Times New Roman" w:hAnsi="Times New Roman" w:cs="Times New Roman"/>
          <w:sz w:val="24"/>
          <w:szCs w:val="24"/>
        </w:rPr>
        <w:t>op vrijstelling van aansprakelijkheid</w:t>
      </w:r>
      <w:r w:rsidRPr="00463949" w:rsidR="00E061E5">
        <w:rPr>
          <w:rFonts w:ascii="Times New Roman" w:hAnsi="Times New Roman" w:cs="Times New Roman"/>
          <w:sz w:val="24"/>
          <w:szCs w:val="24"/>
        </w:rPr>
        <w:t xml:space="preserve">. </w:t>
      </w:r>
      <w:r w:rsidRPr="00463949" w:rsidR="00A760A4">
        <w:rPr>
          <w:rFonts w:ascii="Times New Roman" w:hAnsi="Times New Roman" w:cs="Times New Roman"/>
          <w:sz w:val="24"/>
          <w:szCs w:val="24"/>
        </w:rPr>
        <w:t xml:space="preserve">Als de fabrikant zeggenschap heeft over een bijbehorende dienst, software, </w:t>
      </w:r>
      <w:r w:rsidRPr="00463949" w:rsidR="00711B85">
        <w:rPr>
          <w:rFonts w:ascii="Times New Roman" w:hAnsi="Times New Roman" w:cs="Times New Roman"/>
          <w:sz w:val="24"/>
          <w:szCs w:val="24"/>
        </w:rPr>
        <w:t xml:space="preserve">met inbegrip van </w:t>
      </w:r>
      <w:r w:rsidRPr="00463949" w:rsidR="00A760A4">
        <w:rPr>
          <w:rFonts w:ascii="Times New Roman" w:hAnsi="Times New Roman" w:cs="Times New Roman"/>
          <w:sz w:val="24"/>
          <w:szCs w:val="24"/>
        </w:rPr>
        <w:t>software-updates of upgrades</w:t>
      </w:r>
      <w:r w:rsidRPr="00463949">
        <w:rPr>
          <w:rFonts w:ascii="Times New Roman" w:hAnsi="Times New Roman" w:cs="Times New Roman"/>
          <w:sz w:val="24"/>
          <w:szCs w:val="24"/>
        </w:rPr>
        <w:t>,</w:t>
      </w:r>
      <w:r w:rsidRPr="00463949" w:rsidR="00A760A4">
        <w:rPr>
          <w:rFonts w:ascii="Times New Roman" w:hAnsi="Times New Roman" w:cs="Times New Roman"/>
          <w:sz w:val="24"/>
          <w:szCs w:val="24"/>
        </w:rPr>
        <w:t xml:space="preserve"> of het ontbreken van software-updates of upgrades die nodig zijn om de veiligheid te handhaven, en als </w:t>
      </w:r>
      <w:r w:rsidRPr="00463949" w:rsidR="000E08A5">
        <w:rPr>
          <w:rFonts w:ascii="Times New Roman" w:hAnsi="Times New Roman" w:cs="Times New Roman"/>
          <w:sz w:val="24"/>
          <w:szCs w:val="24"/>
        </w:rPr>
        <w:t xml:space="preserve">het gebrek </w:t>
      </w:r>
      <w:r w:rsidRPr="00463949" w:rsidR="00A760A4">
        <w:rPr>
          <w:rFonts w:ascii="Times New Roman" w:hAnsi="Times New Roman" w:cs="Times New Roman"/>
          <w:sz w:val="24"/>
          <w:szCs w:val="24"/>
        </w:rPr>
        <w:t>van het product aan één van d</w:t>
      </w:r>
      <w:r w:rsidRPr="00463949" w:rsidR="00801AB8">
        <w:rPr>
          <w:rFonts w:ascii="Times New Roman" w:hAnsi="Times New Roman" w:cs="Times New Roman"/>
          <w:sz w:val="24"/>
          <w:szCs w:val="24"/>
        </w:rPr>
        <w:t xml:space="preserve">ie </w:t>
      </w:r>
      <w:r w:rsidRPr="00463949" w:rsidR="00A760A4">
        <w:rPr>
          <w:rFonts w:ascii="Times New Roman" w:hAnsi="Times New Roman" w:cs="Times New Roman"/>
          <w:sz w:val="24"/>
          <w:szCs w:val="24"/>
        </w:rPr>
        <w:t xml:space="preserve">factoren is te wijten, kan die fabrikant niet aan aansprakelijkheid ontkomen door aan te voeren dat </w:t>
      </w:r>
      <w:r w:rsidRPr="00463949" w:rsidR="000E08A5">
        <w:rPr>
          <w:rFonts w:ascii="Times New Roman" w:hAnsi="Times New Roman" w:cs="Times New Roman"/>
          <w:sz w:val="24"/>
          <w:szCs w:val="24"/>
        </w:rPr>
        <w:t xml:space="preserve">het gebrek </w:t>
      </w:r>
      <w:r w:rsidRPr="00463949" w:rsidR="00A760A4">
        <w:rPr>
          <w:rFonts w:ascii="Times New Roman" w:hAnsi="Times New Roman" w:cs="Times New Roman"/>
          <w:sz w:val="24"/>
          <w:szCs w:val="24"/>
        </w:rPr>
        <w:t xml:space="preserve">is ontstaan nadat het product in de handel is gebracht of in </w:t>
      </w:r>
      <w:r w:rsidRPr="00463949" w:rsidR="00A760A4">
        <w:rPr>
          <w:rFonts w:ascii="Times New Roman" w:hAnsi="Times New Roman" w:cs="Times New Roman"/>
          <w:sz w:val="24"/>
          <w:szCs w:val="24"/>
        </w:rPr>
        <w:lastRenderedPageBreak/>
        <w:t>gebruik is gesteld (artikel 11 lid 1, onderdeel c, en lid 2, onderdelen a-c, Richtlijn).</w:t>
      </w:r>
      <w:r w:rsidRPr="00463949" w:rsidR="00711B85">
        <w:rPr>
          <w:rFonts w:ascii="Times New Roman" w:hAnsi="Times New Roman" w:cs="Times New Roman"/>
          <w:sz w:val="24"/>
          <w:szCs w:val="24"/>
        </w:rPr>
        <w:t xml:space="preserve"> Hij blijft in dat geval dus aansprakelijk voor de door het gebrekkige product veroorzaakte schade. </w:t>
      </w:r>
    </w:p>
    <w:p w:rsidRPr="00463949" w:rsidR="00A760A4" w:rsidP="005D4797" w:rsidRDefault="00A760A4" w14:paraId="06A5E2C7" w14:textId="77777777">
      <w:pPr>
        <w:spacing w:after="0" w:line="276" w:lineRule="auto"/>
        <w:rPr>
          <w:rFonts w:ascii="Times New Roman" w:hAnsi="Times New Roman" w:cs="Times New Roman"/>
          <w:sz w:val="24"/>
          <w:szCs w:val="24"/>
        </w:rPr>
      </w:pPr>
    </w:p>
    <w:p w:rsidRPr="00463949" w:rsidR="00C9765A" w:rsidP="005D4797" w:rsidRDefault="002B1676" w14:paraId="21A29B80" w14:textId="31E57F1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Vanwege de toenemende relevantie en waarde van </w:t>
      </w:r>
      <w:r w:rsidRPr="00463949" w:rsidR="00C141E8">
        <w:rPr>
          <w:rFonts w:ascii="Times New Roman" w:hAnsi="Times New Roman" w:cs="Times New Roman"/>
          <w:sz w:val="24"/>
          <w:szCs w:val="24"/>
        </w:rPr>
        <w:t xml:space="preserve">gegevens </w:t>
      </w:r>
      <w:r w:rsidRPr="00463949" w:rsidR="0049287A">
        <w:rPr>
          <w:rFonts w:ascii="Times New Roman" w:hAnsi="Times New Roman" w:cs="Times New Roman"/>
          <w:sz w:val="24"/>
          <w:szCs w:val="24"/>
        </w:rPr>
        <w:t>(</w:t>
      </w:r>
      <w:r w:rsidRPr="00463949" w:rsidR="0049287A">
        <w:rPr>
          <w:rFonts w:ascii="Times New Roman" w:hAnsi="Times New Roman" w:cs="Times New Roman"/>
          <w:i/>
          <w:iCs/>
          <w:sz w:val="24"/>
          <w:szCs w:val="24"/>
        </w:rPr>
        <w:t>“data”</w:t>
      </w:r>
      <w:r w:rsidRPr="00463949" w:rsidR="0049287A">
        <w:rPr>
          <w:rFonts w:ascii="Times New Roman" w:hAnsi="Times New Roman" w:cs="Times New Roman"/>
          <w:sz w:val="24"/>
          <w:szCs w:val="24"/>
        </w:rPr>
        <w:t>)</w:t>
      </w:r>
      <w:r w:rsidRPr="00463949">
        <w:rPr>
          <w:rFonts w:ascii="Times New Roman" w:hAnsi="Times New Roman" w:cs="Times New Roman"/>
          <w:sz w:val="24"/>
          <w:szCs w:val="24"/>
        </w:rPr>
        <w:t xml:space="preserve">, </w:t>
      </w:r>
      <w:r w:rsidRPr="00463949" w:rsidR="003F3EAA">
        <w:rPr>
          <w:rFonts w:ascii="Times New Roman" w:hAnsi="Times New Roman" w:cs="Times New Roman"/>
          <w:sz w:val="24"/>
          <w:szCs w:val="24"/>
        </w:rPr>
        <w:t xml:space="preserve">regelt de Richtlijn dat voortaan </w:t>
      </w:r>
      <w:r w:rsidRPr="00463949" w:rsidR="00BF5807">
        <w:rPr>
          <w:rFonts w:ascii="Times New Roman" w:hAnsi="Times New Roman" w:cs="Times New Roman"/>
          <w:sz w:val="24"/>
          <w:szCs w:val="24"/>
        </w:rPr>
        <w:t>ook een</w:t>
      </w:r>
      <w:r w:rsidRPr="00463949" w:rsidR="00765AFD">
        <w:rPr>
          <w:rFonts w:ascii="Times New Roman" w:hAnsi="Times New Roman" w:cs="Times New Roman"/>
          <w:sz w:val="24"/>
          <w:szCs w:val="24"/>
        </w:rPr>
        <w:t xml:space="preserve"> </w:t>
      </w:r>
      <w:r w:rsidRPr="00463949" w:rsidR="0064714A">
        <w:rPr>
          <w:rFonts w:ascii="Times New Roman" w:hAnsi="Times New Roman" w:cs="Times New Roman"/>
          <w:sz w:val="24"/>
          <w:szCs w:val="24"/>
        </w:rPr>
        <w:t xml:space="preserve">schadevergoeding </w:t>
      </w:r>
      <w:r w:rsidRPr="00463949" w:rsidR="003F3EAA">
        <w:rPr>
          <w:rFonts w:ascii="Times New Roman" w:hAnsi="Times New Roman" w:cs="Times New Roman"/>
          <w:sz w:val="24"/>
          <w:szCs w:val="24"/>
        </w:rPr>
        <w:t xml:space="preserve">kan worden </w:t>
      </w:r>
      <w:r w:rsidRPr="00463949" w:rsidR="0064714A">
        <w:rPr>
          <w:rFonts w:ascii="Times New Roman" w:hAnsi="Times New Roman" w:cs="Times New Roman"/>
          <w:sz w:val="24"/>
          <w:szCs w:val="24"/>
        </w:rPr>
        <w:t>verkregen voor</w:t>
      </w:r>
      <w:r w:rsidRPr="00463949" w:rsidR="00F56C38">
        <w:rPr>
          <w:rFonts w:ascii="Times New Roman" w:hAnsi="Times New Roman" w:cs="Times New Roman"/>
          <w:sz w:val="24"/>
          <w:szCs w:val="24"/>
        </w:rPr>
        <w:t xml:space="preserve"> </w:t>
      </w:r>
      <w:r w:rsidRPr="00463949" w:rsidR="0010164C">
        <w:rPr>
          <w:rFonts w:ascii="Times New Roman" w:hAnsi="Times New Roman" w:cs="Times New Roman"/>
          <w:sz w:val="24"/>
          <w:szCs w:val="24"/>
        </w:rPr>
        <w:t xml:space="preserve">de </w:t>
      </w:r>
      <w:r w:rsidRPr="00463949" w:rsidR="00F56C38">
        <w:rPr>
          <w:rFonts w:ascii="Times New Roman" w:hAnsi="Times New Roman" w:cs="Times New Roman"/>
          <w:sz w:val="24"/>
          <w:szCs w:val="24"/>
        </w:rPr>
        <w:t xml:space="preserve">vernietiging of </w:t>
      </w:r>
      <w:r w:rsidRPr="00463949" w:rsidR="003F3EAA">
        <w:rPr>
          <w:rFonts w:ascii="Times New Roman" w:hAnsi="Times New Roman" w:cs="Times New Roman"/>
          <w:sz w:val="24"/>
          <w:szCs w:val="24"/>
        </w:rPr>
        <w:t xml:space="preserve">de </w:t>
      </w:r>
      <w:r w:rsidRPr="00463949" w:rsidR="00F56C38">
        <w:rPr>
          <w:rFonts w:ascii="Times New Roman" w:hAnsi="Times New Roman" w:cs="Times New Roman"/>
          <w:sz w:val="24"/>
          <w:szCs w:val="24"/>
        </w:rPr>
        <w:t>corruptie van niet voor beroepsdoeleinden gebruikte gegevens</w:t>
      </w:r>
      <w:r w:rsidRPr="00463949" w:rsidR="001E4809">
        <w:rPr>
          <w:rFonts w:ascii="Times New Roman" w:hAnsi="Times New Roman" w:cs="Times New Roman"/>
          <w:sz w:val="24"/>
          <w:szCs w:val="24"/>
        </w:rPr>
        <w:t xml:space="preserve"> </w:t>
      </w:r>
      <w:r w:rsidRPr="00463949" w:rsidR="00D0546F">
        <w:rPr>
          <w:rFonts w:ascii="Times New Roman" w:hAnsi="Times New Roman" w:cs="Times New Roman"/>
          <w:sz w:val="24"/>
          <w:szCs w:val="24"/>
        </w:rPr>
        <w:t>(artikel 6 lid 1, onderdeel c</w:t>
      </w:r>
      <w:r w:rsidRPr="00463949" w:rsidR="00765AFD">
        <w:rPr>
          <w:rFonts w:ascii="Times New Roman" w:hAnsi="Times New Roman" w:cs="Times New Roman"/>
          <w:sz w:val="24"/>
          <w:szCs w:val="24"/>
        </w:rPr>
        <w:t>, Richtlijn</w:t>
      </w:r>
      <w:r w:rsidRPr="00463949" w:rsidR="00D0546F">
        <w:rPr>
          <w:rFonts w:ascii="Times New Roman" w:hAnsi="Times New Roman" w:cs="Times New Roman"/>
          <w:sz w:val="24"/>
          <w:szCs w:val="24"/>
        </w:rPr>
        <w:t>).</w:t>
      </w:r>
      <w:r w:rsidRPr="00463949" w:rsidR="00F56C38">
        <w:rPr>
          <w:rFonts w:ascii="Times New Roman" w:hAnsi="Times New Roman" w:cs="Times New Roman"/>
          <w:sz w:val="24"/>
          <w:szCs w:val="24"/>
        </w:rPr>
        <w:t xml:space="preserve"> </w:t>
      </w:r>
      <w:r w:rsidRPr="00463949" w:rsidR="00D0546F">
        <w:rPr>
          <w:rFonts w:ascii="Times New Roman" w:hAnsi="Times New Roman" w:cs="Times New Roman"/>
          <w:sz w:val="24"/>
          <w:szCs w:val="24"/>
        </w:rPr>
        <w:t xml:space="preserve">Hierbij </w:t>
      </w:r>
      <w:r w:rsidRPr="00463949" w:rsidR="003F3EAA">
        <w:rPr>
          <w:rFonts w:ascii="Times New Roman" w:hAnsi="Times New Roman" w:cs="Times New Roman"/>
          <w:sz w:val="24"/>
          <w:szCs w:val="24"/>
        </w:rPr>
        <w:t xml:space="preserve">valt bijvoorbeeld te denken </w:t>
      </w:r>
      <w:r w:rsidRPr="00463949" w:rsidR="00D0546F">
        <w:rPr>
          <w:rFonts w:ascii="Times New Roman" w:hAnsi="Times New Roman" w:cs="Times New Roman"/>
          <w:sz w:val="24"/>
          <w:szCs w:val="24"/>
        </w:rPr>
        <w:t xml:space="preserve">aan </w:t>
      </w:r>
      <w:r w:rsidRPr="00463949" w:rsidR="007200CF">
        <w:rPr>
          <w:rFonts w:ascii="Times New Roman" w:hAnsi="Times New Roman" w:cs="Times New Roman"/>
          <w:sz w:val="24"/>
          <w:szCs w:val="24"/>
        </w:rPr>
        <w:t xml:space="preserve">van </w:t>
      </w:r>
      <w:r w:rsidRPr="00463949" w:rsidR="00F56C38">
        <w:rPr>
          <w:rFonts w:ascii="Times New Roman" w:hAnsi="Times New Roman" w:cs="Times New Roman"/>
          <w:sz w:val="24"/>
          <w:szCs w:val="24"/>
        </w:rPr>
        <w:t xml:space="preserve">een harde schijf verwijderde digitale </w:t>
      </w:r>
      <w:r w:rsidRPr="00463949" w:rsidR="00E061E5">
        <w:rPr>
          <w:rFonts w:ascii="Times New Roman" w:hAnsi="Times New Roman" w:cs="Times New Roman"/>
          <w:sz w:val="24"/>
          <w:szCs w:val="24"/>
        </w:rPr>
        <w:t>privé</w:t>
      </w:r>
      <w:r w:rsidRPr="00463949" w:rsidR="00F56C38">
        <w:rPr>
          <w:rFonts w:ascii="Times New Roman" w:hAnsi="Times New Roman" w:cs="Times New Roman"/>
          <w:sz w:val="24"/>
          <w:szCs w:val="24"/>
        </w:rPr>
        <w:t>bestanden</w:t>
      </w:r>
      <w:r w:rsidRPr="00463949" w:rsidR="00765AFD">
        <w:rPr>
          <w:rFonts w:ascii="Times New Roman" w:hAnsi="Times New Roman" w:cs="Times New Roman"/>
          <w:sz w:val="24"/>
          <w:szCs w:val="24"/>
        </w:rPr>
        <w:t>, zoals foto</w:t>
      </w:r>
      <w:r w:rsidRPr="00463949" w:rsidR="00B26C29">
        <w:rPr>
          <w:rFonts w:ascii="Times New Roman" w:hAnsi="Times New Roman" w:cs="Times New Roman"/>
          <w:sz w:val="24"/>
          <w:szCs w:val="24"/>
        </w:rPr>
        <w:t>’</w:t>
      </w:r>
      <w:r w:rsidRPr="00463949" w:rsidR="00765AFD">
        <w:rPr>
          <w:rFonts w:ascii="Times New Roman" w:hAnsi="Times New Roman" w:cs="Times New Roman"/>
          <w:sz w:val="24"/>
          <w:szCs w:val="24"/>
        </w:rPr>
        <w:t>s</w:t>
      </w:r>
      <w:r w:rsidRPr="00463949" w:rsidR="007C0897">
        <w:rPr>
          <w:rFonts w:ascii="Times New Roman" w:hAnsi="Times New Roman" w:cs="Times New Roman"/>
          <w:sz w:val="24"/>
          <w:szCs w:val="24"/>
        </w:rPr>
        <w:t>, met inbegrip van de kosten voor het terugwinnen of herstellen daarvan (zie overweging 20).</w:t>
      </w:r>
      <w:r w:rsidRPr="00463949" w:rsidR="00BF5807">
        <w:rPr>
          <w:rFonts w:ascii="Times New Roman" w:hAnsi="Times New Roman" w:cs="Times New Roman"/>
          <w:sz w:val="24"/>
          <w:szCs w:val="24"/>
        </w:rPr>
        <w:t xml:space="preserve"> </w:t>
      </w:r>
    </w:p>
    <w:p w:rsidRPr="00463949" w:rsidR="00C9765A" w:rsidP="005D4797" w:rsidRDefault="00C9765A" w14:paraId="4CB4C811" w14:textId="77777777">
      <w:pPr>
        <w:spacing w:after="0" w:line="276" w:lineRule="auto"/>
        <w:rPr>
          <w:rFonts w:ascii="Times New Roman" w:hAnsi="Times New Roman" w:cs="Times New Roman"/>
          <w:sz w:val="24"/>
          <w:szCs w:val="24"/>
        </w:rPr>
      </w:pPr>
    </w:p>
    <w:p w:rsidRPr="00463949" w:rsidR="00F56C38" w:rsidP="005D4797" w:rsidRDefault="001A22A4" w14:paraId="5C276AB0" w14:textId="53E7CEB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Tot slot </w:t>
      </w:r>
      <w:r w:rsidRPr="00463949" w:rsidR="00C9765A">
        <w:rPr>
          <w:rFonts w:ascii="Times New Roman" w:hAnsi="Times New Roman" w:cs="Times New Roman"/>
          <w:sz w:val="24"/>
          <w:szCs w:val="24"/>
        </w:rPr>
        <w:t xml:space="preserve">verduidelijkt de Richtlijn </w:t>
      </w:r>
      <w:r w:rsidRPr="00463949">
        <w:rPr>
          <w:rFonts w:ascii="Times New Roman" w:hAnsi="Times New Roman" w:cs="Times New Roman"/>
          <w:sz w:val="24"/>
          <w:szCs w:val="24"/>
        </w:rPr>
        <w:t xml:space="preserve">dat bij de beoordeling van de gebrekkigheid van het product </w:t>
      </w:r>
      <w:r w:rsidRPr="00463949" w:rsidR="007200CF">
        <w:rPr>
          <w:rFonts w:ascii="Times New Roman" w:hAnsi="Times New Roman" w:cs="Times New Roman"/>
          <w:sz w:val="24"/>
          <w:szCs w:val="24"/>
        </w:rPr>
        <w:t xml:space="preserve">ook </w:t>
      </w:r>
      <w:r w:rsidRPr="00463949" w:rsidR="00F77D70">
        <w:rPr>
          <w:rFonts w:ascii="Times New Roman" w:hAnsi="Times New Roman" w:cs="Times New Roman"/>
          <w:sz w:val="24"/>
          <w:szCs w:val="24"/>
        </w:rPr>
        <w:t xml:space="preserve">rekening moet worden gehouden met </w:t>
      </w:r>
      <w:r w:rsidRPr="00463949" w:rsidR="005D18FC">
        <w:rPr>
          <w:rFonts w:ascii="Times New Roman" w:hAnsi="Times New Roman" w:cs="Times New Roman"/>
          <w:sz w:val="24"/>
          <w:szCs w:val="24"/>
        </w:rPr>
        <w:t xml:space="preserve">het effect op het product van het vermogen om te blijven leren of nieuwe functies te verwerven (bijvoorbeeld relevant voor </w:t>
      </w:r>
      <w:r w:rsidRPr="00463949" w:rsidR="007200CF">
        <w:rPr>
          <w:rFonts w:ascii="Times New Roman" w:hAnsi="Times New Roman" w:cs="Times New Roman"/>
          <w:sz w:val="24"/>
          <w:szCs w:val="24"/>
        </w:rPr>
        <w:t xml:space="preserve">zelflerende </w:t>
      </w:r>
      <w:r w:rsidRPr="00463949" w:rsidR="005D18FC">
        <w:rPr>
          <w:rFonts w:ascii="Times New Roman" w:hAnsi="Times New Roman" w:cs="Times New Roman"/>
          <w:sz w:val="24"/>
          <w:szCs w:val="24"/>
        </w:rPr>
        <w:t>AI</w:t>
      </w:r>
      <w:r w:rsidRPr="00463949" w:rsidR="00765AFD">
        <w:rPr>
          <w:rFonts w:ascii="Times New Roman" w:hAnsi="Times New Roman" w:cs="Times New Roman"/>
          <w:sz w:val="24"/>
          <w:szCs w:val="24"/>
        </w:rPr>
        <w:t>-systemen</w:t>
      </w:r>
      <w:r w:rsidRPr="00463949" w:rsidR="005D18FC">
        <w:rPr>
          <w:rFonts w:ascii="Times New Roman" w:hAnsi="Times New Roman" w:cs="Times New Roman"/>
          <w:sz w:val="24"/>
          <w:szCs w:val="24"/>
        </w:rPr>
        <w:t>) en het redelijkerwijs te verwachten effect op het product van andere producten waarvan kan worden verwacht dat zij samen met het product worden gebruikt (bijvoorbeeld relevant voor een ‘smart-home-systeem’)</w:t>
      </w:r>
      <w:r w:rsidRPr="00463949" w:rsidR="00BF366D">
        <w:rPr>
          <w:rFonts w:ascii="Times New Roman" w:hAnsi="Times New Roman" w:cs="Times New Roman"/>
          <w:sz w:val="24"/>
          <w:szCs w:val="24"/>
        </w:rPr>
        <w:t xml:space="preserve"> (artikel 7 lid 2, onderdelen c en d</w:t>
      </w:r>
      <w:r w:rsidRPr="00463949" w:rsidR="00765AFD">
        <w:rPr>
          <w:rFonts w:ascii="Times New Roman" w:hAnsi="Times New Roman" w:cs="Times New Roman"/>
          <w:sz w:val="24"/>
          <w:szCs w:val="24"/>
        </w:rPr>
        <w:t>, Richtlijn</w:t>
      </w:r>
      <w:r w:rsidRPr="00463949" w:rsidR="00BF366D">
        <w:rPr>
          <w:rFonts w:ascii="Times New Roman" w:hAnsi="Times New Roman" w:cs="Times New Roman"/>
          <w:sz w:val="24"/>
          <w:szCs w:val="24"/>
        </w:rPr>
        <w:t>).</w:t>
      </w:r>
    </w:p>
    <w:p w:rsidRPr="00463949" w:rsidR="00DA2831" w:rsidP="0073352B" w:rsidRDefault="00DA2831" w14:paraId="34115581" w14:textId="77777777">
      <w:pPr>
        <w:spacing w:after="0" w:line="276" w:lineRule="auto"/>
        <w:rPr>
          <w:rFonts w:ascii="Times New Roman" w:hAnsi="Times New Roman" w:cs="Times New Roman"/>
          <w:sz w:val="24"/>
          <w:szCs w:val="24"/>
        </w:rPr>
      </w:pPr>
    </w:p>
    <w:p w:rsidRPr="00463949" w:rsidR="003862A6" w:rsidP="001A22A4" w:rsidRDefault="0073352B" w14:paraId="62A3A6E0" w14:textId="55D4CDD0">
      <w:pPr>
        <w:pStyle w:val="Lijstalinea"/>
        <w:numPr>
          <w:ilvl w:val="0"/>
          <w:numId w:val="23"/>
        </w:num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Uitbreiding van de kring van aansprakelijke </w:t>
      </w:r>
      <w:r w:rsidRPr="00463949" w:rsidR="004E5549">
        <w:rPr>
          <w:rFonts w:ascii="Times New Roman" w:hAnsi="Times New Roman" w:cs="Times New Roman"/>
          <w:i/>
          <w:iCs/>
          <w:sz w:val="24"/>
          <w:szCs w:val="24"/>
        </w:rPr>
        <w:t>personen</w:t>
      </w:r>
    </w:p>
    <w:p w:rsidRPr="00463949" w:rsidR="00D14ADB" w:rsidP="00936C06" w:rsidRDefault="00D14ADB" w14:paraId="52B59BEF" w14:textId="77777777">
      <w:pPr>
        <w:spacing w:after="0" w:line="276" w:lineRule="auto"/>
        <w:rPr>
          <w:rFonts w:ascii="Times New Roman" w:hAnsi="Times New Roman" w:cs="Times New Roman"/>
          <w:sz w:val="24"/>
          <w:szCs w:val="24"/>
        </w:rPr>
      </w:pPr>
    </w:p>
    <w:p w:rsidRPr="00463949" w:rsidR="00C9765A" w:rsidP="00936C06" w:rsidRDefault="001A22A4" w14:paraId="289D5A7A" w14:textId="5BF94D9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Ten tweede </w:t>
      </w:r>
      <w:r w:rsidRPr="00463949" w:rsidR="005D4797">
        <w:rPr>
          <w:rFonts w:ascii="Times New Roman" w:hAnsi="Times New Roman" w:cs="Times New Roman"/>
          <w:sz w:val="24"/>
          <w:szCs w:val="24"/>
        </w:rPr>
        <w:t>voorziet de Richtlijn in een uitbreiding van de kring van aansprakelijke personen</w:t>
      </w:r>
      <w:r w:rsidRPr="00463949" w:rsidR="00726D1F">
        <w:rPr>
          <w:rFonts w:ascii="Times New Roman" w:hAnsi="Times New Roman" w:cs="Times New Roman"/>
          <w:sz w:val="24"/>
          <w:szCs w:val="24"/>
        </w:rPr>
        <w:t xml:space="preserve"> (artikel </w:t>
      </w:r>
      <w:r w:rsidRPr="00463949" w:rsidR="008A4794">
        <w:rPr>
          <w:rFonts w:ascii="Times New Roman" w:hAnsi="Times New Roman" w:cs="Times New Roman"/>
          <w:sz w:val="24"/>
          <w:szCs w:val="24"/>
        </w:rPr>
        <w:t>8</w:t>
      </w:r>
      <w:r w:rsidRPr="00463949">
        <w:rPr>
          <w:rFonts w:ascii="Times New Roman" w:hAnsi="Times New Roman" w:cs="Times New Roman"/>
          <w:sz w:val="24"/>
          <w:szCs w:val="24"/>
        </w:rPr>
        <w:t xml:space="preserve"> Richtlijn</w:t>
      </w:r>
      <w:r w:rsidRPr="00463949" w:rsidR="00726D1F">
        <w:rPr>
          <w:rFonts w:ascii="Times New Roman" w:hAnsi="Times New Roman" w:cs="Times New Roman"/>
          <w:sz w:val="24"/>
          <w:szCs w:val="24"/>
        </w:rPr>
        <w:t>)</w:t>
      </w:r>
      <w:r w:rsidRPr="00463949" w:rsidR="005D4797">
        <w:rPr>
          <w:rFonts w:ascii="Times New Roman" w:hAnsi="Times New Roman" w:cs="Times New Roman"/>
          <w:sz w:val="24"/>
          <w:szCs w:val="24"/>
        </w:rPr>
        <w:t>.</w:t>
      </w:r>
      <w:r w:rsidRPr="00463949" w:rsidR="002064B8">
        <w:rPr>
          <w:rFonts w:ascii="Times New Roman" w:hAnsi="Times New Roman" w:cs="Times New Roman"/>
          <w:sz w:val="24"/>
          <w:szCs w:val="24"/>
        </w:rPr>
        <w:t xml:space="preserve"> </w:t>
      </w:r>
      <w:r w:rsidRPr="00463949" w:rsidR="00D6608C">
        <w:rPr>
          <w:rFonts w:ascii="Times New Roman" w:hAnsi="Times New Roman" w:cs="Times New Roman"/>
          <w:sz w:val="24"/>
          <w:szCs w:val="24"/>
        </w:rPr>
        <w:t>D</w:t>
      </w:r>
      <w:r w:rsidRPr="00463949" w:rsidR="00C9765A">
        <w:rPr>
          <w:rFonts w:ascii="Times New Roman" w:hAnsi="Times New Roman" w:cs="Times New Roman"/>
          <w:sz w:val="24"/>
          <w:szCs w:val="24"/>
        </w:rPr>
        <w:t>it</w:t>
      </w:r>
      <w:r w:rsidRPr="00463949" w:rsidR="00D6608C">
        <w:rPr>
          <w:rFonts w:ascii="Times New Roman" w:hAnsi="Times New Roman" w:cs="Times New Roman"/>
          <w:sz w:val="24"/>
          <w:szCs w:val="24"/>
        </w:rPr>
        <w:t xml:space="preserve"> </w:t>
      </w:r>
      <w:r w:rsidRPr="00463949" w:rsidR="00765AFD">
        <w:rPr>
          <w:rFonts w:ascii="Times New Roman" w:hAnsi="Times New Roman" w:cs="Times New Roman"/>
          <w:sz w:val="24"/>
          <w:szCs w:val="24"/>
        </w:rPr>
        <w:t xml:space="preserve">moet ervoor zorgen dat benadeelden </w:t>
      </w:r>
      <w:r w:rsidRPr="00463949" w:rsidR="00BF01AD">
        <w:rPr>
          <w:rFonts w:ascii="Times New Roman" w:hAnsi="Times New Roman" w:cs="Times New Roman"/>
          <w:sz w:val="24"/>
          <w:szCs w:val="24"/>
        </w:rPr>
        <w:t xml:space="preserve">zo vaak als mogelijk </w:t>
      </w:r>
      <w:r w:rsidRPr="00463949" w:rsidR="00765AFD">
        <w:rPr>
          <w:rFonts w:ascii="Times New Roman" w:hAnsi="Times New Roman" w:cs="Times New Roman"/>
          <w:sz w:val="24"/>
          <w:szCs w:val="24"/>
        </w:rPr>
        <w:t>een afdwingbare vordering tot schadevergoeding hebben, ook als de fabrikant van het gebrekkige product buiten de EU is gevestigd</w:t>
      </w:r>
      <w:r w:rsidRPr="00463949" w:rsidR="00711B85">
        <w:rPr>
          <w:rFonts w:ascii="Times New Roman" w:hAnsi="Times New Roman" w:cs="Times New Roman"/>
          <w:sz w:val="24"/>
          <w:szCs w:val="24"/>
        </w:rPr>
        <w:t xml:space="preserve">, </w:t>
      </w:r>
      <w:r w:rsidRPr="00463949" w:rsidR="00765AFD">
        <w:rPr>
          <w:rFonts w:ascii="Times New Roman" w:hAnsi="Times New Roman" w:cs="Times New Roman"/>
          <w:sz w:val="24"/>
          <w:szCs w:val="24"/>
        </w:rPr>
        <w:t>bijvoorbeeld in China</w:t>
      </w:r>
      <w:r w:rsidRPr="00463949" w:rsidR="00056324">
        <w:rPr>
          <w:rFonts w:ascii="Times New Roman" w:hAnsi="Times New Roman" w:cs="Times New Roman"/>
          <w:sz w:val="24"/>
          <w:szCs w:val="24"/>
        </w:rPr>
        <w:t xml:space="preserve"> of de Verenigde Staten</w:t>
      </w:r>
      <w:r w:rsidRPr="00463949" w:rsidR="00C9765A">
        <w:rPr>
          <w:rFonts w:ascii="Times New Roman" w:hAnsi="Times New Roman" w:cs="Times New Roman"/>
          <w:sz w:val="24"/>
          <w:szCs w:val="24"/>
        </w:rPr>
        <w:t xml:space="preserve"> (zie overweging 37)</w:t>
      </w:r>
      <w:r w:rsidRPr="00463949" w:rsidR="00765AFD">
        <w:rPr>
          <w:rFonts w:ascii="Times New Roman" w:hAnsi="Times New Roman" w:cs="Times New Roman"/>
          <w:sz w:val="24"/>
          <w:szCs w:val="24"/>
        </w:rPr>
        <w:t>.</w:t>
      </w:r>
    </w:p>
    <w:p w:rsidRPr="00463949" w:rsidR="00C9765A" w:rsidP="00936C06" w:rsidRDefault="00C9765A" w14:paraId="48130A16" w14:textId="77777777">
      <w:pPr>
        <w:spacing w:after="0" w:line="276" w:lineRule="auto"/>
        <w:rPr>
          <w:rFonts w:ascii="Times New Roman" w:hAnsi="Times New Roman" w:cs="Times New Roman"/>
          <w:sz w:val="24"/>
          <w:szCs w:val="24"/>
        </w:rPr>
      </w:pPr>
    </w:p>
    <w:p w:rsidRPr="00463949" w:rsidR="00C57210" w:rsidP="00936C06" w:rsidRDefault="00F857BE" w14:paraId="236300A4" w14:textId="4E37F5E3">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Marktdeelnemers die op grond van de Richtlijn aansprakelijk kunnen worden gesteld voor schade</w:t>
      </w:r>
      <w:r w:rsidRPr="00463949" w:rsidR="002464D4">
        <w:rPr>
          <w:rFonts w:ascii="Times New Roman" w:hAnsi="Times New Roman" w:cs="Times New Roman"/>
          <w:sz w:val="24"/>
          <w:szCs w:val="24"/>
        </w:rPr>
        <w:t xml:space="preserve"> </w:t>
      </w:r>
      <w:r w:rsidRPr="00463949">
        <w:rPr>
          <w:rFonts w:ascii="Times New Roman" w:hAnsi="Times New Roman" w:cs="Times New Roman"/>
          <w:sz w:val="24"/>
          <w:szCs w:val="24"/>
        </w:rPr>
        <w:t>veroorzaakt door gebrekkige producten zijn: de fabrikant van een product of een component, een aanbieder van een bijbehorende dienst, een gemachtigde, een importeur, een fulfilmentdienstverlener of een distributeur</w:t>
      </w:r>
      <w:r w:rsidRPr="00463949" w:rsidR="00C9765A">
        <w:rPr>
          <w:rFonts w:ascii="Times New Roman" w:hAnsi="Times New Roman" w:cs="Times New Roman"/>
          <w:sz w:val="24"/>
          <w:szCs w:val="24"/>
        </w:rPr>
        <w:t xml:space="preserve"> (artikel 4 onder 15 Richtlijn)</w:t>
      </w:r>
      <w:r w:rsidRPr="00463949">
        <w:rPr>
          <w:rFonts w:ascii="Times New Roman" w:hAnsi="Times New Roman" w:cs="Times New Roman"/>
          <w:sz w:val="24"/>
          <w:szCs w:val="24"/>
        </w:rPr>
        <w:t xml:space="preserve">. </w:t>
      </w:r>
      <w:r w:rsidRPr="00463949" w:rsidR="007200CF">
        <w:rPr>
          <w:rFonts w:ascii="Times New Roman" w:hAnsi="Times New Roman" w:cs="Times New Roman"/>
          <w:sz w:val="24"/>
          <w:szCs w:val="24"/>
        </w:rPr>
        <w:t xml:space="preserve">Verder is het onder </w:t>
      </w:r>
      <w:r w:rsidRPr="00463949">
        <w:rPr>
          <w:rFonts w:ascii="Times New Roman" w:hAnsi="Times New Roman" w:cs="Times New Roman"/>
          <w:sz w:val="24"/>
          <w:szCs w:val="24"/>
        </w:rPr>
        <w:t xml:space="preserve">omstandigheden mogelijk om </w:t>
      </w:r>
      <w:r w:rsidRPr="00463949" w:rsidR="00056324">
        <w:rPr>
          <w:rFonts w:ascii="Times New Roman" w:hAnsi="Times New Roman" w:cs="Times New Roman"/>
          <w:sz w:val="24"/>
          <w:szCs w:val="24"/>
        </w:rPr>
        <w:t xml:space="preserve">ook </w:t>
      </w:r>
      <w:r w:rsidRPr="00463949">
        <w:rPr>
          <w:rFonts w:ascii="Times New Roman" w:hAnsi="Times New Roman" w:cs="Times New Roman"/>
          <w:sz w:val="24"/>
          <w:szCs w:val="24"/>
        </w:rPr>
        <w:t xml:space="preserve">een onlineplatform aansprakelijk te stellen. De Richtlijn gaat </w:t>
      </w:r>
      <w:r w:rsidRPr="00463949" w:rsidR="00FA37BB">
        <w:rPr>
          <w:rFonts w:ascii="Times New Roman" w:hAnsi="Times New Roman" w:cs="Times New Roman"/>
          <w:sz w:val="24"/>
          <w:szCs w:val="24"/>
        </w:rPr>
        <w:t xml:space="preserve">hierbij </w:t>
      </w:r>
      <w:r w:rsidRPr="00463949">
        <w:rPr>
          <w:rFonts w:ascii="Times New Roman" w:hAnsi="Times New Roman" w:cs="Times New Roman"/>
          <w:sz w:val="24"/>
          <w:szCs w:val="24"/>
        </w:rPr>
        <w:t xml:space="preserve">uit van een getrapt systeem. In de eerste plaats </w:t>
      </w:r>
      <w:r w:rsidRPr="00463949" w:rsidR="00C9765A">
        <w:rPr>
          <w:rFonts w:ascii="Times New Roman" w:hAnsi="Times New Roman" w:cs="Times New Roman"/>
          <w:sz w:val="24"/>
          <w:szCs w:val="24"/>
        </w:rPr>
        <w:t xml:space="preserve">kan </w:t>
      </w:r>
      <w:r w:rsidRPr="00463949">
        <w:rPr>
          <w:rFonts w:ascii="Times New Roman" w:hAnsi="Times New Roman" w:cs="Times New Roman"/>
          <w:sz w:val="24"/>
          <w:szCs w:val="24"/>
        </w:rPr>
        <w:t xml:space="preserve">een benadeelde </w:t>
      </w:r>
      <w:r w:rsidRPr="00463949" w:rsidR="00257C5B">
        <w:rPr>
          <w:rFonts w:ascii="Times New Roman" w:hAnsi="Times New Roman" w:cs="Times New Roman"/>
          <w:sz w:val="24"/>
          <w:szCs w:val="24"/>
        </w:rPr>
        <w:t xml:space="preserve">de </w:t>
      </w:r>
      <w:r w:rsidRPr="00463949">
        <w:rPr>
          <w:rFonts w:ascii="Times New Roman" w:hAnsi="Times New Roman" w:cs="Times New Roman"/>
          <w:sz w:val="24"/>
          <w:szCs w:val="24"/>
        </w:rPr>
        <w:t xml:space="preserve">in de EU gevestigde fabrikant </w:t>
      </w:r>
      <w:r w:rsidRPr="00463949" w:rsidR="00257C5B">
        <w:rPr>
          <w:rFonts w:ascii="Times New Roman" w:hAnsi="Times New Roman" w:cs="Times New Roman"/>
          <w:sz w:val="24"/>
          <w:szCs w:val="24"/>
        </w:rPr>
        <w:t xml:space="preserve">van het gebrekkige product of </w:t>
      </w:r>
      <w:r w:rsidRPr="00463949" w:rsidR="00C9765A">
        <w:rPr>
          <w:rFonts w:ascii="Times New Roman" w:hAnsi="Times New Roman" w:cs="Times New Roman"/>
          <w:sz w:val="24"/>
          <w:szCs w:val="24"/>
        </w:rPr>
        <w:t xml:space="preserve">een </w:t>
      </w:r>
      <w:r w:rsidRPr="00463949" w:rsidR="00257C5B">
        <w:rPr>
          <w:rFonts w:ascii="Times New Roman" w:hAnsi="Times New Roman" w:cs="Times New Roman"/>
          <w:sz w:val="24"/>
          <w:szCs w:val="24"/>
        </w:rPr>
        <w:t xml:space="preserve">gebrekkige component </w:t>
      </w:r>
      <w:r w:rsidRPr="00463949">
        <w:rPr>
          <w:rFonts w:ascii="Times New Roman" w:hAnsi="Times New Roman" w:cs="Times New Roman"/>
          <w:sz w:val="24"/>
          <w:szCs w:val="24"/>
        </w:rPr>
        <w:t>aansprakelijk stellen</w:t>
      </w:r>
      <w:r w:rsidRPr="00463949" w:rsidR="00E15BAB">
        <w:rPr>
          <w:rFonts w:ascii="Times New Roman" w:hAnsi="Times New Roman" w:cs="Times New Roman"/>
          <w:sz w:val="24"/>
          <w:szCs w:val="24"/>
        </w:rPr>
        <w:t xml:space="preserve"> voor de door </w:t>
      </w:r>
      <w:r w:rsidRPr="00463949" w:rsidR="00F44506">
        <w:rPr>
          <w:rFonts w:ascii="Times New Roman" w:hAnsi="Times New Roman" w:cs="Times New Roman"/>
          <w:sz w:val="24"/>
          <w:szCs w:val="24"/>
        </w:rPr>
        <w:t xml:space="preserve">hem geleden </w:t>
      </w:r>
      <w:r w:rsidRPr="00463949" w:rsidR="00E15BAB">
        <w:rPr>
          <w:rFonts w:ascii="Times New Roman" w:hAnsi="Times New Roman" w:cs="Times New Roman"/>
          <w:sz w:val="24"/>
          <w:szCs w:val="24"/>
        </w:rPr>
        <w:t>schade</w:t>
      </w:r>
      <w:r w:rsidRPr="00463949" w:rsidR="006775CA">
        <w:rPr>
          <w:rFonts w:ascii="Times New Roman" w:hAnsi="Times New Roman" w:cs="Times New Roman"/>
          <w:sz w:val="24"/>
          <w:szCs w:val="24"/>
        </w:rPr>
        <w:t xml:space="preserve"> (artikel 8 lid 1, onderdeel a, Richtlijn)</w:t>
      </w:r>
      <w:r w:rsidRPr="00463949">
        <w:rPr>
          <w:rFonts w:ascii="Times New Roman" w:hAnsi="Times New Roman" w:cs="Times New Roman"/>
          <w:sz w:val="24"/>
          <w:szCs w:val="24"/>
        </w:rPr>
        <w:t>. Als er geen in de EU gevestigde fabrikant is, kan</w:t>
      </w:r>
      <w:r w:rsidRPr="00463949" w:rsidR="008F6486">
        <w:rPr>
          <w:rFonts w:ascii="Times New Roman" w:hAnsi="Times New Roman" w:cs="Times New Roman"/>
          <w:sz w:val="24"/>
          <w:szCs w:val="24"/>
        </w:rPr>
        <w:t xml:space="preserve"> </w:t>
      </w:r>
      <w:r w:rsidRPr="00463949" w:rsidR="00E15BAB">
        <w:rPr>
          <w:rFonts w:ascii="Times New Roman" w:hAnsi="Times New Roman" w:cs="Times New Roman"/>
          <w:sz w:val="24"/>
          <w:szCs w:val="24"/>
        </w:rPr>
        <w:t xml:space="preserve">hij </w:t>
      </w:r>
      <w:r w:rsidRPr="00463949" w:rsidR="008F6486">
        <w:rPr>
          <w:rFonts w:ascii="Times New Roman" w:hAnsi="Times New Roman" w:cs="Times New Roman"/>
          <w:sz w:val="24"/>
          <w:szCs w:val="24"/>
        </w:rPr>
        <w:t>de importeur van het gebrekkige product</w:t>
      </w:r>
      <w:r w:rsidRPr="00463949" w:rsidR="00CB37AD">
        <w:rPr>
          <w:rFonts w:ascii="Times New Roman" w:hAnsi="Times New Roman" w:cs="Times New Roman"/>
          <w:sz w:val="24"/>
          <w:szCs w:val="24"/>
        </w:rPr>
        <w:t xml:space="preserve"> </w:t>
      </w:r>
      <w:r w:rsidRPr="00463949" w:rsidR="00D36AB8">
        <w:rPr>
          <w:rFonts w:ascii="Times New Roman" w:hAnsi="Times New Roman" w:cs="Times New Roman"/>
          <w:sz w:val="24"/>
          <w:szCs w:val="24"/>
        </w:rPr>
        <w:t xml:space="preserve">in de EU </w:t>
      </w:r>
      <w:r w:rsidRPr="00463949" w:rsidR="008F6486">
        <w:rPr>
          <w:rFonts w:ascii="Times New Roman" w:hAnsi="Times New Roman" w:cs="Times New Roman"/>
          <w:sz w:val="24"/>
          <w:szCs w:val="24"/>
        </w:rPr>
        <w:t xml:space="preserve">of de gemachtigde van de fabrikant </w:t>
      </w:r>
      <w:r w:rsidRPr="00463949" w:rsidR="00056324">
        <w:rPr>
          <w:rFonts w:ascii="Times New Roman" w:hAnsi="Times New Roman" w:cs="Times New Roman"/>
          <w:sz w:val="24"/>
          <w:szCs w:val="24"/>
        </w:rPr>
        <w:t>(</w:t>
      </w:r>
      <w:r w:rsidRPr="00463949" w:rsidR="00711B85">
        <w:rPr>
          <w:rFonts w:ascii="Times New Roman" w:hAnsi="Times New Roman" w:cs="Times New Roman"/>
          <w:sz w:val="24"/>
          <w:szCs w:val="24"/>
        </w:rPr>
        <w:t>“</w:t>
      </w:r>
      <w:r w:rsidRPr="00463949" w:rsidR="00056324">
        <w:rPr>
          <w:rFonts w:ascii="Times New Roman" w:hAnsi="Times New Roman" w:cs="Times New Roman"/>
          <w:i/>
          <w:iCs/>
          <w:sz w:val="24"/>
          <w:szCs w:val="24"/>
        </w:rPr>
        <w:t>authorised representative</w:t>
      </w:r>
      <w:r w:rsidRPr="00463949" w:rsidR="00711B85">
        <w:rPr>
          <w:rFonts w:ascii="Times New Roman" w:hAnsi="Times New Roman" w:cs="Times New Roman"/>
          <w:i/>
          <w:iCs/>
          <w:sz w:val="24"/>
          <w:szCs w:val="24"/>
        </w:rPr>
        <w:t>”</w:t>
      </w:r>
      <w:r w:rsidRPr="00463949" w:rsidR="00056324">
        <w:rPr>
          <w:rFonts w:ascii="Times New Roman" w:hAnsi="Times New Roman" w:cs="Times New Roman"/>
          <w:sz w:val="24"/>
          <w:szCs w:val="24"/>
        </w:rPr>
        <w:t xml:space="preserve">) </w:t>
      </w:r>
      <w:r w:rsidRPr="00463949" w:rsidR="008F6486">
        <w:rPr>
          <w:rFonts w:ascii="Times New Roman" w:hAnsi="Times New Roman" w:cs="Times New Roman"/>
          <w:sz w:val="24"/>
          <w:szCs w:val="24"/>
        </w:rPr>
        <w:t>aansprakelijk stellen</w:t>
      </w:r>
      <w:r w:rsidRPr="00463949" w:rsidR="006775CA">
        <w:rPr>
          <w:rFonts w:ascii="Times New Roman" w:hAnsi="Times New Roman" w:cs="Times New Roman"/>
          <w:sz w:val="24"/>
          <w:szCs w:val="24"/>
        </w:rPr>
        <w:t xml:space="preserve"> (artikel 8 lid 2, onderdeel c, subonderdelen i en ii, Richtlijn)</w:t>
      </w:r>
      <w:r w:rsidRPr="00463949" w:rsidR="008F6486">
        <w:rPr>
          <w:rFonts w:ascii="Times New Roman" w:hAnsi="Times New Roman" w:cs="Times New Roman"/>
          <w:sz w:val="24"/>
          <w:szCs w:val="24"/>
        </w:rPr>
        <w:t xml:space="preserve">. Is er geen in de EU gevestigde importeur of gemachtigde, dan kan </w:t>
      </w:r>
      <w:r w:rsidRPr="00463949" w:rsidR="00F44506">
        <w:rPr>
          <w:rFonts w:ascii="Times New Roman" w:hAnsi="Times New Roman" w:cs="Times New Roman"/>
          <w:sz w:val="24"/>
          <w:szCs w:val="24"/>
        </w:rPr>
        <w:t xml:space="preserve">hij </w:t>
      </w:r>
      <w:r w:rsidRPr="00463949" w:rsidR="008F6486">
        <w:rPr>
          <w:rFonts w:ascii="Times New Roman" w:hAnsi="Times New Roman" w:cs="Times New Roman"/>
          <w:sz w:val="24"/>
          <w:szCs w:val="24"/>
        </w:rPr>
        <w:t>de fulfilmentdienstverlener aansprakelijk stellen voor de door het gebrekkige product veroorzaakte schade</w:t>
      </w:r>
      <w:r w:rsidRPr="00463949" w:rsidR="006775CA">
        <w:rPr>
          <w:rFonts w:ascii="Times New Roman" w:hAnsi="Times New Roman" w:cs="Times New Roman"/>
          <w:sz w:val="24"/>
          <w:szCs w:val="24"/>
        </w:rPr>
        <w:t xml:space="preserve"> (artikel 8 lid 2, onderdeel c, subonderdeel iii, Richtlijn)</w:t>
      </w:r>
      <w:r w:rsidRPr="00463949" w:rsidR="008F6486">
        <w:rPr>
          <w:rFonts w:ascii="Times New Roman" w:hAnsi="Times New Roman" w:cs="Times New Roman"/>
          <w:sz w:val="24"/>
          <w:szCs w:val="24"/>
        </w:rPr>
        <w:t xml:space="preserve">. </w:t>
      </w:r>
      <w:r w:rsidRPr="00463949" w:rsidR="00F44506">
        <w:rPr>
          <w:rFonts w:ascii="Times New Roman" w:hAnsi="Times New Roman" w:cs="Times New Roman"/>
          <w:sz w:val="24"/>
          <w:szCs w:val="24"/>
        </w:rPr>
        <w:t>Een fulfilmentdienstverlener</w:t>
      </w:r>
      <w:r w:rsidRPr="00463949" w:rsidR="00C9765A">
        <w:rPr>
          <w:rFonts w:ascii="Times New Roman" w:hAnsi="Times New Roman" w:cs="Times New Roman"/>
          <w:sz w:val="24"/>
          <w:szCs w:val="24"/>
        </w:rPr>
        <w:t xml:space="preserve"> is een persoon die in het kader van een handelsactiviteit, kort gezegd, ten minste twee van de volgende diensten aanbiedt: opslag, verpakking, adressering en verzending van een product, zonder eigenaar van dat product te zijn (artikel 4 onder 13 Richtlijn).</w:t>
      </w:r>
    </w:p>
    <w:p w:rsidRPr="00463949" w:rsidR="00C57210" w:rsidP="00936C06" w:rsidRDefault="00C57210" w14:paraId="60856E41" w14:textId="77777777">
      <w:pPr>
        <w:spacing w:after="0" w:line="276" w:lineRule="auto"/>
        <w:rPr>
          <w:rFonts w:ascii="Times New Roman" w:hAnsi="Times New Roman" w:cs="Times New Roman"/>
          <w:sz w:val="24"/>
          <w:szCs w:val="24"/>
        </w:rPr>
      </w:pPr>
    </w:p>
    <w:p w:rsidRPr="00463949" w:rsidR="00C57210" w:rsidP="00C57210" w:rsidRDefault="00711B85" w14:paraId="0654C274" w14:textId="23A976F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 xml:space="preserve">Net als </w:t>
      </w:r>
      <w:r w:rsidRPr="00463949" w:rsidR="001F55BF">
        <w:rPr>
          <w:rFonts w:ascii="Times New Roman" w:hAnsi="Times New Roman" w:cs="Times New Roman"/>
          <w:sz w:val="24"/>
          <w:szCs w:val="24"/>
        </w:rPr>
        <w:t>R</w:t>
      </w:r>
      <w:r w:rsidRPr="00463949">
        <w:rPr>
          <w:rFonts w:ascii="Times New Roman" w:hAnsi="Times New Roman" w:cs="Times New Roman"/>
          <w:sz w:val="24"/>
          <w:szCs w:val="24"/>
        </w:rPr>
        <w:t>ichtlijn</w:t>
      </w:r>
      <w:r w:rsidRPr="00463949" w:rsidR="001F55BF">
        <w:rPr>
          <w:rFonts w:ascii="Times New Roman" w:hAnsi="Times New Roman" w:cs="Times New Roman"/>
          <w:sz w:val="24"/>
          <w:szCs w:val="24"/>
        </w:rPr>
        <w:t xml:space="preserve"> 85/374</w:t>
      </w:r>
      <w:r w:rsidRPr="00463949">
        <w:rPr>
          <w:rStyle w:val="Voetnootmarkering"/>
          <w:rFonts w:ascii="Times New Roman" w:hAnsi="Times New Roman" w:cs="Times New Roman"/>
          <w:sz w:val="24"/>
          <w:szCs w:val="24"/>
        </w:rPr>
        <w:footnoteReference w:id="25"/>
      </w:r>
      <w:r w:rsidRPr="00463949">
        <w:rPr>
          <w:rFonts w:ascii="Times New Roman" w:hAnsi="Times New Roman" w:cs="Times New Roman"/>
          <w:sz w:val="24"/>
          <w:szCs w:val="24"/>
        </w:rPr>
        <w:t xml:space="preserve">, voorziet de </w:t>
      </w:r>
      <w:r w:rsidRPr="00463949" w:rsidR="00F44506">
        <w:rPr>
          <w:rFonts w:ascii="Times New Roman" w:hAnsi="Times New Roman" w:cs="Times New Roman"/>
          <w:sz w:val="24"/>
          <w:szCs w:val="24"/>
        </w:rPr>
        <w:t xml:space="preserve">Richtlijn ook </w:t>
      </w:r>
      <w:r w:rsidRPr="00463949" w:rsidR="00765AFD">
        <w:rPr>
          <w:rFonts w:ascii="Times New Roman" w:hAnsi="Times New Roman" w:cs="Times New Roman"/>
          <w:sz w:val="24"/>
          <w:szCs w:val="24"/>
        </w:rPr>
        <w:t xml:space="preserve">in </w:t>
      </w:r>
      <w:r w:rsidRPr="00463949" w:rsidR="008F6486">
        <w:rPr>
          <w:rFonts w:ascii="Times New Roman" w:hAnsi="Times New Roman" w:cs="Times New Roman"/>
          <w:sz w:val="24"/>
          <w:szCs w:val="24"/>
        </w:rPr>
        <w:t xml:space="preserve">een regeling voor </w:t>
      </w:r>
      <w:r w:rsidRPr="00463949" w:rsidR="00C57210">
        <w:rPr>
          <w:rFonts w:ascii="Times New Roman" w:hAnsi="Times New Roman" w:cs="Times New Roman"/>
          <w:sz w:val="24"/>
          <w:szCs w:val="24"/>
        </w:rPr>
        <w:t xml:space="preserve">de situatie </w:t>
      </w:r>
      <w:r w:rsidRPr="00463949" w:rsidR="008F6486">
        <w:rPr>
          <w:rFonts w:ascii="Times New Roman" w:hAnsi="Times New Roman" w:cs="Times New Roman"/>
          <w:sz w:val="24"/>
          <w:szCs w:val="24"/>
        </w:rPr>
        <w:t xml:space="preserve">dat niet kan worden vastgesteld wie de fabrikant, importeur, gemachtigde of fulfilmentdienstverlener is. In dat geval kan de benadeelde de distributeur van het product aansprakelijk stellen. De distributeur is </w:t>
      </w:r>
      <w:r w:rsidRPr="00463949" w:rsidR="00C57210">
        <w:rPr>
          <w:rFonts w:ascii="Times New Roman" w:hAnsi="Times New Roman" w:cs="Times New Roman"/>
          <w:sz w:val="24"/>
          <w:szCs w:val="24"/>
        </w:rPr>
        <w:t xml:space="preserve">echter </w:t>
      </w:r>
      <w:r w:rsidRPr="00463949" w:rsidR="008F6486">
        <w:rPr>
          <w:rFonts w:ascii="Times New Roman" w:hAnsi="Times New Roman" w:cs="Times New Roman"/>
          <w:sz w:val="24"/>
          <w:szCs w:val="24"/>
        </w:rPr>
        <w:t xml:space="preserve">niet aansprakelijk als hij </w:t>
      </w:r>
      <w:r w:rsidRPr="00463949" w:rsidR="00765AFD">
        <w:rPr>
          <w:rFonts w:ascii="Times New Roman" w:hAnsi="Times New Roman" w:cs="Times New Roman"/>
          <w:sz w:val="24"/>
          <w:szCs w:val="24"/>
        </w:rPr>
        <w:t xml:space="preserve">op verzoek van de benadeelde </w:t>
      </w:r>
      <w:r w:rsidRPr="00463949" w:rsidR="008F6486">
        <w:rPr>
          <w:rFonts w:ascii="Times New Roman" w:hAnsi="Times New Roman" w:cs="Times New Roman"/>
          <w:sz w:val="24"/>
          <w:szCs w:val="24"/>
        </w:rPr>
        <w:t>binnen een maand de identiteit meedeelt van een</w:t>
      </w:r>
      <w:r w:rsidRPr="00463949" w:rsidR="00CB37AD">
        <w:rPr>
          <w:rFonts w:ascii="Times New Roman" w:hAnsi="Times New Roman" w:cs="Times New Roman"/>
          <w:sz w:val="24"/>
          <w:szCs w:val="24"/>
        </w:rPr>
        <w:t xml:space="preserve"> andere</w:t>
      </w:r>
      <w:r w:rsidRPr="00463949" w:rsidR="008F6486">
        <w:rPr>
          <w:rFonts w:ascii="Times New Roman" w:hAnsi="Times New Roman" w:cs="Times New Roman"/>
          <w:sz w:val="24"/>
          <w:szCs w:val="24"/>
        </w:rPr>
        <w:t xml:space="preserve"> in de EU gevestigde marktdeelnemer of van zijn eigen distributeur</w:t>
      </w:r>
      <w:r w:rsidRPr="00463949" w:rsidR="006775CA">
        <w:rPr>
          <w:rFonts w:ascii="Times New Roman" w:hAnsi="Times New Roman" w:cs="Times New Roman"/>
          <w:sz w:val="24"/>
          <w:szCs w:val="24"/>
        </w:rPr>
        <w:t xml:space="preserve"> (artikel 8 lid 3 Richtlijn)</w:t>
      </w:r>
      <w:r w:rsidRPr="00463949" w:rsidR="008F6486">
        <w:rPr>
          <w:rFonts w:ascii="Times New Roman" w:hAnsi="Times New Roman" w:cs="Times New Roman"/>
          <w:sz w:val="24"/>
          <w:szCs w:val="24"/>
        </w:rPr>
        <w:t>.</w:t>
      </w:r>
      <w:r w:rsidRPr="00463949" w:rsidR="00923404">
        <w:rPr>
          <w:rFonts w:ascii="Times New Roman" w:hAnsi="Times New Roman" w:cs="Times New Roman"/>
          <w:sz w:val="24"/>
          <w:szCs w:val="24"/>
        </w:rPr>
        <w:t xml:space="preserve"> </w:t>
      </w:r>
      <w:r w:rsidRPr="00463949" w:rsidR="008F6486">
        <w:rPr>
          <w:rFonts w:ascii="Times New Roman" w:hAnsi="Times New Roman" w:cs="Times New Roman"/>
          <w:sz w:val="24"/>
          <w:szCs w:val="24"/>
        </w:rPr>
        <w:t>De</w:t>
      </w:r>
      <w:r w:rsidRPr="00463949" w:rsidR="00257C5B">
        <w:rPr>
          <w:rFonts w:ascii="Times New Roman" w:hAnsi="Times New Roman" w:cs="Times New Roman"/>
          <w:sz w:val="24"/>
          <w:szCs w:val="24"/>
        </w:rPr>
        <w:t xml:space="preserve"> Richtlijn verklaart de</w:t>
      </w:r>
      <w:r w:rsidRPr="00463949" w:rsidR="008F6486">
        <w:rPr>
          <w:rFonts w:ascii="Times New Roman" w:hAnsi="Times New Roman" w:cs="Times New Roman"/>
          <w:sz w:val="24"/>
          <w:szCs w:val="24"/>
        </w:rPr>
        <w:t xml:space="preserve">ze regeling onder bepaalde voorwaarden </w:t>
      </w:r>
      <w:r w:rsidRPr="00463949">
        <w:rPr>
          <w:rFonts w:ascii="Times New Roman" w:hAnsi="Times New Roman" w:cs="Times New Roman"/>
          <w:sz w:val="24"/>
          <w:szCs w:val="24"/>
        </w:rPr>
        <w:t xml:space="preserve">van </w:t>
      </w:r>
      <w:r w:rsidRPr="00463949" w:rsidR="00CD48EF">
        <w:rPr>
          <w:rFonts w:ascii="Times New Roman" w:hAnsi="Times New Roman" w:cs="Times New Roman"/>
          <w:sz w:val="24"/>
          <w:szCs w:val="24"/>
        </w:rPr>
        <w:t xml:space="preserve">overeenkomstige </w:t>
      </w:r>
      <w:r w:rsidRPr="00463949" w:rsidR="008F6486">
        <w:rPr>
          <w:rFonts w:ascii="Times New Roman" w:hAnsi="Times New Roman" w:cs="Times New Roman"/>
          <w:sz w:val="24"/>
          <w:szCs w:val="24"/>
        </w:rPr>
        <w:t>toepassing op aanbieder</w:t>
      </w:r>
      <w:r w:rsidRPr="00463949" w:rsidR="00C57210">
        <w:rPr>
          <w:rFonts w:ascii="Times New Roman" w:hAnsi="Times New Roman" w:cs="Times New Roman"/>
          <w:sz w:val="24"/>
          <w:szCs w:val="24"/>
        </w:rPr>
        <w:t>s</w:t>
      </w:r>
      <w:r w:rsidRPr="00463949" w:rsidR="008F6486">
        <w:rPr>
          <w:rFonts w:ascii="Times New Roman" w:hAnsi="Times New Roman" w:cs="Times New Roman"/>
          <w:sz w:val="24"/>
          <w:szCs w:val="24"/>
        </w:rPr>
        <w:t xml:space="preserve"> van een onlineplatform dat consumenten in staat stelt overeenkomsten op afstand te sluiten</w:t>
      </w:r>
      <w:r w:rsidRPr="00463949" w:rsidR="006775CA">
        <w:rPr>
          <w:rFonts w:ascii="Times New Roman" w:hAnsi="Times New Roman" w:cs="Times New Roman"/>
          <w:sz w:val="24"/>
          <w:szCs w:val="24"/>
        </w:rPr>
        <w:t xml:space="preserve"> (artikel 8 lid 4 Richtlijn)</w:t>
      </w:r>
      <w:r w:rsidRPr="00463949" w:rsidR="008F6486">
        <w:rPr>
          <w:rFonts w:ascii="Times New Roman" w:hAnsi="Times New Roman" w:cs="Times New Roman"/>
          <w:sz w:val="24"/>
          <w:szCs w:val="24"/>
        </w:rPr>
        <w:t>.</w:t>
      </w:r>
    </w:p>
    <w:p w:rsidRPr="00463949" w:rsidR="005B1D1E" w:rsidP="00936C06" w:rsidRDefault="005B1D1E" w14:paraId="74F0B8A3" w14:textId="77777777">
      <w:pPr>
        <w:spacing w:after="0" w:line="276" w:lineRule="auto"/>
        <w:rPr>
          <w:rFonts w:ascii="Times New Roman" w:hAnsi="Times New Roman" w:cs="Times New Roman"/>
          <w:sz w:val="24"/>
          <w:szCs w:val="24"/>
        </w:rPr>
      </w:pPr>
    </w:p>
    <w:p w:rsidRPr="00463949" w:rsidR="003862A6" w:rsidP="001A22A4" w:rsidRDefault="0020610B" w14:paraId="3EE90594" w14:textId="762D8810">
      <w:pPr>
        <w:pStyle w:val="Lijstalinea"/>
        <w:numPr>
          <w:ilvl w:val="0"/>
          <w:numId w:val="23"/>
        </w:num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Verbetering van de </w:t>
      </w:r>
      <w:r w:rsidRPr="00463949" w:rsidR="00692F5B">
        <w:rPr>
          <w:rFonts w:ascii="Times New Roman" w:hAnsi="Times New Roman" w:cs="Times New Roman"/>
          <w:i/>
          <w:iCs/>
          <w:sz w:val="24"/>
          <w:szCs w:val="24"/>
        </w:rPr>
        <w:t>(</w:t>
      </w:r>
      <w:r w:rsidRPr="00463949">
        <w:rPr>
          <w:rFonts w:ascii="Times New Roman" w:hAnsi="Times New Roman" w:cs="Times New Roman"/>
          <w:i/>
          <w:iCs/>
          <w:sz w:val="24"/>
          <w:szCs w:val="24"/>
        </w:rPr>
        <w:t>bewijs</w:t>
      </w:r>
      <w:r w:rsidRPr="00463949" w:rsidR="00692F5B">
        <w:rPr>
          <w:rFonts w:ascii="Times New Roman" w:hAnsi="Times New Roman" w:cs="Times New Roman"/>
          <w:i/>
          <w:iCs/>
          <w:sz w:val="24"/>
          <w:szCs w:val="24"/>
        </w:rPr>
        <w:t>)</w:t>
      </w:r>
      <w:r w:rsidRPr="00463949">
        <w:rPr>
          <w:rFonts w:ascii="Times New Roman" w:hAnsi="Times New Roman" w:cs="Times New Roman"/>
          <w:i/>
          <w:iCs/>
          <w:sz w:val="24"/>
          <w:szCs w:val="24"/>
        </w:rPr>
        <w:t>positie van de benadeelde</w:t>
      </w:r>
    </w:p>
    <w:p w:rsidRPr="00463949" w:rsidR="000E2F12" w:rsidP="000E2F12" w:rsidRDefault="000E2F12" w14:paraId="2BC71D4A" w14:textId="77777777">
      <w:pPr>
        <w:spacing w:after="0" w:line="276" w:lineRule="auto"/>
        <w:rPr>
          <w:rFonts w:ascii="Times New Roman" w:hAnsi="Times New Roman" w:cs="Times New Roman"/>
          <w:sz w:val="24"/>
          <w:szCs w:val="24"/>
        </w:rPr>
      </w:pPr>
    </w:p>
    <w:p w:rsidRPr="00463949" w:rsidR="00F44506" w:rsidP="002464D4" w:rsidRDefault="002464D4" w14:paraId="598C5C96" w14:textId="7D8D179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Ten derde </w:t>
      </w:r>
      <w:r w:rsidRPr="00463949" w:rsidR="00F44506">
        <w:rPr>
          <w:rFonts w:ascii="Times New Roman" w:hAnsi="Times New Roman" w:cs="Times New Roman"/>
          <w:sz w:val="24"/>
          <w:szCs w:val="24"/>
        </w:rPr>
        <w:t xml:space="preserve">voorziet </w:t>
      </w:r>
      <w:r w:rsidRPr="00463949">
        <w:rPr>
          <w:rFonts w:ascii="Times New Roman" w:hAnsi="Times New Roman" w:cs="Times New Roman"/>
          <w:sz w:val="24"/>
          <w:szCs w:val="24"/>
        </w:rPr>
        <w:t>de Richtlijn</w:t>
      </w:r>
      <w:r w:rsidRPr="00463949" w:rsidR="00F44506">
        <w:rPr>
          <w:rFonts w:ascii="Times New Roman" w:hAnsi="Times New Roman" w:cs="Times New Roman"/>
          <w:sz w:val="24"/>
          <w:szCs w:val="24"/>
        </w:rPr>
        <w:t xml:space="preserve"> in </w:t>
      </w:r>
      <w:r w:rsidRPr="00463949">
        <w:rPr>
          <w:rFonts w:ascii="Times New Roman" w:hAnsi="Times New Roman" w:cs="Times New Roman"/>
          <w:sz w:val="24"/>
          <w:szCs w:val="24"/>
        </w:rPr>
        <w:t>bepalingen om het voor benadeelden</w:t>
      </w:r>
      <w:r w:rsidRPr="00463949" w:rsidR="00F44506">
        <w:rPr>
          <w:rFonts w:ascii="Times New Roman" w:hAnsi="Times New Roman" w:cs="Times New Roman"/>
          <w:sz w:val="24"/>
          <w:szCs w:val="24"/>
        </w:rPr>
        <w:t>, met name in complexe zaken,</w:t>
      </w:r>
      <w:r w:rsidRPr="00463949">
        <w:rPr>
          <w:rFonts w:ascii="Times New Roman" w:hAnsi="Times New Roman" w:cs="Times New Roman"/>
          <w:sz w:val="24"/>
          <w:szCs w:val="24"/>
        </w:rPr>
        <w:t xml:space="preserve"> makkelijker te maken om bewijs te leveren van </w:t>
      </w:r>
      <w:r w:rsidRPr="00463949" w:rsidR="0000662C">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van het product en het oorzakelijk verband tussen </w:t>
      </w:r>
      <w:r w:rsidRPr="00463949" w:rsidR="0000662C">
        <w:rPr>
          <w:rFonts w:ascii="Times New Roman" w:hAnsi="Times New Roman" w:cs="Times New Roman"/>
          <w:sz w:val="24"/>
          <w:szCs w:val="24"/>
        </w:rPr>
        <w:t xml:space="preserve">het gebrek </w:t>
      </w:r>
      <w:r w:rsidRPr="00463949">
        <w:rPr>
          <w:rFonts w:ascii="Times New Roman" w:hAnsi="Times New Roman" w:cs="Times New Roman"/>
          <w:sz w:val="24"/>
          <w:szCs w:val="24"/>
        </w:rPr>
        <w:t>en de schade</w:t>
      </w:r>
      <w:r w:rsidRPr="00463949" w:rsidR="00F44506">
        <w:rPr>
          <w:rFonts w:ascii="Times New Roman" w:hAnsi="Times New Roman" w:cs="Times New Roman"/>
          <w:sz w:val="24"/>
          <w:szCs w:val="24"/>
        </w:rPr>
        <w:t>.</w:t>
      </w:r>
    </w:p>
    <w:p w:rsidRPr="00463949" w:rsidR="00F44506" w:rsidP="002464D4" w:rsidRDefault="00F44506" w14:paraId="4CCE7D47" w14:textId="77777777">
      <w:pPr>
        <w:spacing w:after="0" w:line="276" w:lineRule="auto"/>
        <w:rPr>
          <w:rFonts w:ascii="Times New Roman" w:hAnsi="Times New Roman" w:cs="Times New Roman"/>
          <w:sz w:val="24"/>
          <w:szCs w:val="24"/>
        </w:rPr>
      </w:pPr>
    </w:p>
    <w:p w:rsidRPr="00463949" w:rsidR="00D17322" w:rsidP="002464D4" w:rsidRDefault="002464D4" w14:paraId="1F647BF3" w14:textId="7AC35A6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Net als in</w:t>
      </w:r>
      <w:r w:rsidRPr="00463949" w:rsidR="001F55BF">
        <w:rPr>
          <w:rFonts w:ascii="Times New Roman" w:hAnsi="Times New Roman" w:cs="Times New Roman"/>
          <w:sz w:val="24"/>
          <w:szCs w:val="24"/>
        </w:rPr>
        <w:t xml:space="preserve"> Richtlijn 85/374</w:t>
      </w:r>
      <w:r w:rsidRPr="00463949" w:rsidR="001A5128">
        <w:rPr>
          <w:rFonts w:ascii="Times New Roman" w:hAnsi="Times New Roman" w:cs="Times New Roman"/>
          <w:sz w:val="24"/>
          <w:szCs w:val="24"/>
        </w:rPr>
        <w:t>,</w:t>
      </w:r>
      <w:r w:rsidRPr="00463949" w:rsidR="00CB5FA7">
        <w:rPr>
          <w:rStyle w:val="Voetnootmarkering"/>
          <w:rFonts w:ascii="Times New Roman" w:hAnsi="Times New Roman" w:cs="Times New Roman"/>
          <w:sz w:val="24"/>
          <w:szCs w:val="24"/>
        </w:rPr>
        <w:footnoteReference w:id="26"/>
      </w:r>
      <w:r w:rsidRPr="00463949">
        <w:rPr>
          <w:rFonts w:ascii="Times New Roman" w:hAnsi="Times New Roman" w:cs="Times New Roman"/>
          <w:sz w:val="24"/>
          <w:szCs w:val="24"/>
        </w:rPr>
        <w:t xml:space="preserve"> ligt de bewijslast bij </w:t>
      </w:r>
      <w:r w:rsidRPr="00463949" w:rsidR="008A4794">
        <w:rPr>
          <w:rFonts w:ascii="Times New Roman" w:hAnsi="Times New Roman" w:cs="Times New Roman"/>
          <w:sz w:val="24"/>
          <w:szCs w:val="24"/>
        </w:rPr>
        <w:t xml:space="preserve">natuurlijke </w:t>
      </w:r>
      <w:r w:rsidRPr="00463949">
        <w:rPr>
          <w:rFonts w:ascii="Times New Roman" w:hAnsi="Times New Roman" w:cs="Times New Roman"/>
          <w:sz w:val="24"/>
          <w:szCs w:val="24"/>
        </w:rPr>
        <w:t xml:space="preserve">personen die schade hebben </w:t>
      </w:r>
      <w:r w:rsidRPr="00463949" w:rsidR="000B6F8B">
        <w:rPr>
          <w:rFonts w:ascii="Times New Roman" w:hAnsi="Times New Roman" w:cs="Times New Roman"/>
          <w:sz w:val="24"/>
          <w:szCs w:val="24"/>
        </w:rPr>
        <w:t xml:space="preserve">geleden </w:t>
      </w:r>
      <w:r w:rsidRPr="00463949">
        <w:rPr>
          <w:rFonts w:ascii="Times New Roman" w:hAnsi="Times New Roman" w:cs="Times New Roman"/>
          <w:sz w:val="24"/>
          <w:szCs w:val="24"/>
        </w:rPr>
        <w:t xml:space="preserve">als gevolg van </w:t>
      </w:r>
      <w:r w:rsidRPr="00463949" w:rsidR="00515470">
        <w:rPr>
          <w:rFonts w:ascii="Times New Roman" w:hAnsi="Times New Roman" w:cs="Times New Roman"/>
          <w:sz w:val="24"/>
          <w:szCs w:val="24"/>
        </w:rPr>
        <w:t xml:space="preserve">een gebrekkig </w:t>
      </w:r>
      <w:r w:rsidRPr="00463949">
        <w:rPr>
          <w:rFonts w:ascii="Times New Roman" w:hAnsi="Times New Roman" w:cs="Times New Roman"/>
          <w:sz w:val="24"/>
          <w:szCs w:val="24"/>
        </w:rPr>
        <w:t>product</w:t>
      </w:r>
      <w:r w:rsidRPr="00463949" w:rsidR="00070F75">
        <w:rPr>
          <w:rFonts w:ascii="Times New Roman" w:hAnsi="Times New Roman" w:cs="Times New Roman"/>
          <w:sz w:val="24"/>
          <w:szCs w:val="24"/>
        </w:rPr>
        <w:t xml:space="preserve"> (artikel 10 lid 1 Richtlijn)</w:t>
      </w:r>
      <w:r w:rsidRPr="00463949">
        <w:rPr>
          <w:rFonts w:ascii="Times New Roman" w:hAnsi="Times New Roman" w:cs="Times New Roman"/>
          <w:sz w:val="24"/>
          <w:szCs w:val="24"/>
        </w:rPr>
        <w:t xml:space="preserve">. </w:t>
      </w:r>
      <w:r w:rsidRPr="00463949" w:rsidR="00F26CB0">
        <w:rPr>
          <w:rFonts w:ascii="Times New Roman" w:hAnsi="Times New Roman" w:cs="Times New Roman"/>
          <w:sz w:val="24"/>
          <w:szCs w:val="24"/>
        </w:rPr>
        <w:t xml:space="preserve">Benadeelden die schadevergoeding vorderen, verkeren ten opzichte van fabrikanten echter vaak in het nadeel wat betreft de toegang tot en het begrijpen van informatie over hoe een product is geproduceerd en hoe het werkt. </w:t>
      </w:r>
      <w:r w:rsidRPr="00463949" w:rsidR="00D22924">
        <w:rPr>
          <w:rFonts w:ascii="Times New Roman" w:hAnsi="Times New Roman" w:cs="Times New Roman"/>
          <w:sz w:val="24"/>
          <w:szCs w:val="24"/>
        </w:rPr>
        <w:t>D</w:t>
      </w:r>
      <w:r w:rsidRPr="00463949" w:rsidR="00F26CB0">
        <w:rPr>
          <w:rFonts w:ascii="Times New Roman" w:hAnsi="Times New Roman" w:cs="Times New Roman"/>
          <w:sz w:val="24"/>
          <w:szCs w:val="24"/>
        </w:rPr>
        <w:t xml:space="preserve">ie informatieasymmetrie </w:t>
      </w:r>
      <w:r w:rsidRPr="00463949" w:rsidR="00D22924">
        <w:rPr>
          <w:rFonts w:ascii="Times New Roman" w:hAnsi="Times New Roman" w:cs="Times New Roman"/>
          <w:sz w:val="24"/>
          <w:szCs w:val="24"/>
        </w:rPr>
        <w:t xml:space="preserve">kan </w:t>
      </w:r>
      <w:r w:rsidRPr="00463949" w:rsidR="00F26CB0">
        <w:rPr>
          <w:rFonts w:ascii="Times New Roman" w:hAnsi="Times New Roman" w:cs="Times New Roman"/>
          <w:sz w:val="24"/>
          <w:szCs w:val="24"/>
        </w:rPr>
        <w:t>de eerlijke risicoverdeling ondermijnen, met name in gevallen waarin sprake is van technische of wetenschappelijke complexiteit</w:t>
      </w:r>
      <w:r w:rsidRPr="00463949" w:rsidR="00D22924">
        <w:rPr>
          <w:rFonts w:ascii="Times New Roman" w:hAnsi="Times New Roman" w:cs="Times New Roman"/>
          <w:sz w:val="24"/>
          <w:szCs w:val="24"/>
        </w:rPr>
        <w:t>. Daarom</w:t>
      </w:r>
      <w:r w:rsidRPr="00463949" w:rsidR="00F26CB0">
        <w:rPr>
          <w:rFonts w:ascii="Times New Roman" w:hAnsi="Times New Roman" w:cs="Times New Roman"/>
          <w:sz w:val="24"/>
          <w:szCs w:val="24"/>
        </w:rPr>
        <w:t xml:space="preserve"> voorziet de Richtlijn </w:t>
      </w:r>
      <w:r w:rsidRPr="00463949" w:rsidR="00984F81">
        <w:rPr>
          <w:rFonts w:ascii="Times New Roman" w:hAnsi="Times New Roman" w:cs="Times New Roman"/>
          <w:sz w:val="24"/>
          <w:szCs w:val="24"/>
        </w:rPr>
        <w:t>in een</w:t>
      </w:r>
      <w:r w:rsidRPr="00463949" w:rsidR="008664EF">
        <w:rPr>
          <w:rFonts w:ascii="Times New Roman" w:hAnsi="Times New Roman" w:cs="Times New Roman"/>
          <w:sz w:val="24"/>
          <w:szCs w:val="24"/>
        </w:rPr>
        <w:t xml:space="preserve"> </w:t>
      </w:r>
      <w:r w:rsidRPr="00463949" w:rsidR="00765AFD">
        <w:rPr>
          <w:rFonts w:ascii="Times New Roman" w:hAnsi="Times New Roman" w:cs="Times New Roman"/>
          <w:sz w:val="24"/>
          <w:szCs w:val="24"/>
        </w:rPr>
        <w:t xml:space="preserve">geharmoniseerd </w:t>
      </w:r>
      <w:r w:rsidRPr="00463949" w:rsidR="00984F81">
        <w:rPr>
          <w:rFonts w:ascii="Times New Roman" w:hAnsi="Times New Roman" w:cs="Times New Roman"/>
          <w:sz w:val="24"/>
          <w:szCs w:val="24"/>
        </w:rPr>
        <w:t>recht</w:t>
      </w:r>
      <w:r w:rsidRPr="00463949" w:rsidR="001A22A4">
        <w:rPr>
          <w:rFonts w:ascii="Times New Roman" w:hAnsi="Times New Roman" w:cs="Times New Roman"/>
          <w:sz w:val="24"/>
          <w:szCs w:val="24"/>
        </w:rPr>
        <w:t xml:space="preserve"> op toegang tot bewijsmateriaal</w:t>
      </w:r>
      <w:r w:rsidRPr="00463949" w:rsidR="000B6F8B">
        <w:rPr>
          <w:rFonts w:ascii="Times New Roman" w:hAnsi="Times New Roman" w:cs="Times New Roman"/>
          <w:sz w:val="24"/>
          <w:szCs w:val="24"/>
        </w:rPr>
        <w:t xml:space="preserve"> (</w:t>
      </w:r>
      <w:r w:rsidRPr="00463949" w:rsidR="00D22924">
        <w:rPr>
          <w:rFonts w:ascii="Times New Roman" w:hAnsi="Times New Roman" w:cs="Times New Roman"/>
          <w:sz w:val="24"/>
          <w:szCs w:val="24"/>
        </w:rPr>
        <w:t>“</w:t>
      </w:r>
      <w:r w:rsidRPr="00463949" w:rsidR="000B6F8B">
        <w:rPr>
          <w:rFonts w:ascii="Times New Roman" w:hAnsi="Times New Roman" w:cs="Times New Roman"/>
          <w:i/>
          <w:iCs/>
          <w:sz w:val="24"/>
          <w:szCs w:val="24"/>
        </w:rPr>
        <w:t>disclosure of evidence</w:t>
      </w:r>
      <w:r w:rsidRPr="00463949" w:rsidR="00D22924">
        <w:rPr>
          <w:rFonts w:ascii="Times New Roman" w:hAnsi="Times New Roman" w:cs="Times New Roman"/>
          <w:sz w:val="24"/>
          <w:szCs w:val="24"/>
        </w:rPr>
        <w:t>”</w:t>
      </w:r>
      <w:r w:rsidRPr="00463949" w:rsidR="000B6F8B">
        <w:rPr>
          <w:rFonts w:ascii="Times New Roman" w:hAnsi="Times New Roman" w:cs="Times New Roman"/>
          <w:sz w:val="24"/>
          <w:szCs w:val="24"/>
        </w:rPr>
        <w:t xml:space="preserve">) </w:t>
      </w:r>
      <w:r w:rsidRPr="00463949" w:rsidR="00726D1F">
        <w:rPr>
          <w:rFonts w:ascii="Times New Roman" w:hAnsi="Times New Roman" w:cs="Times New Roman"/>
          <w:sz w:val="24"/>
          <w:szCs w:val="24"/>
        </w:rPr>
        <w:t>(artikel 9</w:t>
      </w:r>
      <w:r w:rsidRPr="00463949" w:rsidR="0000627E">
        <w:rPr>
          <w:rFonts w:ascii="Times New Roman" w:hAnsi="Times New Roman" w:cs="Times New Roman"/>
          <w:sz w:val="24"/>
          <w:szCs w:val="24"/>
        </w:rPr>
        <w:t xml:space="preserve"> Richtlijn</w:t>
      </w:r>
      <w:r w:rsidRPr="00463949" w:rsidR="00D22924">
        <w:rPr>
          <w:rFonts w:ascii="Times New Roman" w:hAnsi="Times New Roman" w:cs="Times New Roman"/>
          <w:sz w:val="24"/>
          <w:szCs w:val="24"/>
        </w:rPr>
        <w:t>; zie ook overweging 42)</w:t>
      </w:r>
      <w:r w:rsidRPr="00463949" w:rsidR="00984F81">
        <w:rPr>
          <w:rFonts w:ascii="Times New Roman" w:hAnsi="Times New Roman" w:cs="Times New Roman"/>
          <w:sz w:val="24"/>
          <w:szCs w:val="24"/>
        </w:rPr>
        <w:t>. D</w:t>
      </w:r>
      <w:r w:rsidRPr="00463949" w:rsidR="00726D1F">
        <w:rPr>
          <w:rFonts w:ascii="Times New Roman" w:hAnsi="Times New Roman" w:cs="Times New Roman"/>
          <w:sz w:val="24"/>
          <w:szCs w:val="24"/>
        </w:rPr>
        <w:t>e eiser</w:t>
      </w:r>
      <w:r w:rsidRPr="00463949" w:rsidR="00E15BAB">
        <w:rPr>
          <w:rFonts w:ascii="Times New Roman" w:hAnsi="Times New Roman" w:cs="Times New Roman"/>
          <w:sz w:val="24"/>
          <w:szCs w:val="24"/>
        </w:rPr>
        <w:t xml:space="preserve"> die</w:t>
      </w:r>
      <w:r w:rsidRPr="00463949" w:rsidR="004038A6">
        <w:rPr>
          <w:rFonts w:ascii="Times New Roman" w:hAnsi="Times New Roman" w:cs="Times New Roman"/>
          <w:sz w:val="24"/>
          <w:szCs w:val="24"/>
        </w:rPr>
        <w:t xml:space="preserve"> </w:t>
      </w:r>
      <w:r w:rsidRPr="00463949" w:rsidR="00F4307F">
        <w:rPr>
          <w:rFonts w:ascii="Times New Roman" w:hAnsi="Times New Roman" w:cs="Times New Roman"/>
          <w:sz w:val="24"/>
          <w:szCs w:val="24"/>
        </w:rPr>
        <w:t xml:space="preserve">in een gerechtelijke procedure </w:t>
      </w:r>
      <w:r w:rsidRPr="00463949" w:rsidR="00E15BAB">
        <w:rPr>
          <w:rFonts w:ascii="Times New Roman" w:hAnsi="Times New Roman" w:cs="Times New Roman"/>
          <w:sz w:val="24"/>
          <w:szCs w:val="24"/>
        </w:rPr>
        <w:t xml:space="preserve">vergoeding vordert voor de door een gebrekkig product veroorzaakte schade </w:t>
      </w:r>
      <w:r w:rsidRPr="00463949" w:rsidR="00726D1F">
        <w:rPr>
          <w:rFonts w:ascii="Times New Roman" w:hAnsi="Times New Roman" w:cs="Times New Roman"/>
          <w:sz w:val="24"/>
          <w:szCs w:val="24"/>
        </w:rPr>
        <w:t xml:space="preserve">kan de rechter verzoeken de gedaagde te bevelen om alle relevante bewijsstukken </w:t>
      </w:r>
      <w:r w:rsidRPr="00463949" w:rsidR="00772983">
        <w:rPr>
          <w:rFonts w:ascii="Times New Roman" w:hAnsi="Times New Roman" w:cs="Times New Roman"/>
          <w:sz w:val="24"/>
          <w:szCs w:val="24"/>
        </w:rPr>
        <w:t xml:space="preserve">waarover hij beschikt te verstrekken </w:t>
      </w:r>
      <w:r w:rsidRPr="00463949" w:rsidR="00070F75">
        <w:rPr>
          <w:rFonts w:ascii="Times New Roman" w:hAnsi="Times New Roman" w:cs="Times New Roman"/>
          <w:sz w:val="24"/>
          <w:szCs w:val="24"/>
        </w:rPr>
        <w:t>(artikel 9 lid 1 Richtlijn)</w:t>
      </w:r>
      <w:r w:rsidRPr="00463949" w:rsidR="00726D1F">
        <w:rPr>
          <w:rFonts w:ascii="Times New Roman" w:hAnsi="Times New Roman" w:cs="Times New Roman"/>
          <w:sz w:val="24"/>
          <w:szCs w:val="24"/>
        </w:rPr>
        <w:t xml:space="preserve">. </w:t>
      </w:r>
      <w:r w:rsidRPr="00463949" w:rsidR="00E15BAB">
        <w:rPr>
          <w:rFonts w:ascii="Times New Roman" w:hAnsi="Times New Roman" w:cs="Times New Roman"/>
          <w:sz w:val="24"/>
          <w:szCs w:val="24"/>
        </w:rPr>
        <w:t xml:space="preserve">Andersom geldt dat </w:t>
      </w:r>
      <w:r w:rsidRPr="00463949" w:rsidR="00A85B63">
        <w:rPr>
          <w:rFonts w:ascii="Times New Roman" w:hAnsi="Times New Roman" w:cs="Times New Roman"/>
          <w:sz w:val="24"/>
          <w:szCs w:val="24"/>
        </w:rPr>
        <w:t xml:space="preserve">ook </w:t>
      </w:r>
      <w:r w:rsidRPr="00463949" w:rsidR="00923404">
        <w:rPr>
          <w:rFonts w:ascii="Times New Roman" w:hAnsi="Times New Roman" w:cs="Times New Roman"/>
          <w:sz w:val="24"/>
          <w:szCs w:val="24"/>
        </w:rPr>
        <w:t>de gedaagde</w:t>
      </w:r>
      <w:r w:rsidRPr="00463949" w:rsidR="00A85B63">
        <w:rPr>
          <w:rFonts w:ascii="Times New Roman" w:hAnsi="Times New Roman" w:cs="Times New Roman"/>
          <w:sz w:val="24"/>
          <w:szCs w:val="24"/>
        </w:rPr>
        <w:t>,</w:t>
      </w:r>
      <w:r w:rsidRPr="00463949" w:rsidR="00923404">
        <w:rPr>
          <w:rFonts w:ascii="Times New Roman" w:hAnsi="Times New Roman" w:cs="Times New Roman"/>
          <w:sz w:val="24"/>
          <w:szCs w:val="24"/>
        </w:rPr>
        <w:t xml:space="preserve"> die bewijsmateriaal </w:t>
      </w:r>
      <w:r w:rsidRPr="00463949" w:rsidR="00C85729">
        <w:rPr>
          <w:rFonts w:ascii="Times New Roman" w:hAnsi="Times New Roman" w:cs="Times New Roman"/>
          <w:sz w:val="24"/>
          <w:szCs w:val="24"/>
        </w:rPr>
        <w:t xml:space="preserve">nodig heeft </w:t>
      </w:r>
      <w:r w:rsidRPr="00463949" w:rsidR="00923404">
        <w:rPr>
          <w:rFonts w:ascii="Times New Roman" w:hAnsi="Times New Roman" w:cs="Times New Roman"/>
          <w:sz w:val="24"/>
          <w:szCs w:val="24"/>
        </w:rPr>
        <w:t>om een vordering tot schadevergoeding te betwisten</w:t>
      </w:r>
      <w:r w:rsidRPr="00463949" w:rsidR="00A85B63">
        <w:rPr>
          <w:rFonts w:ascii="Times New Roman" w:hAnsi="Times New Roman" w:cs="Times New Roman"/>
          <w:sz w:val="24"/>
          <w:szCs w:val="24"/>
        </w:rPr>
        <w:t>,</w:t>
      </w:r>
      <w:r w:rsidRPr="00463949" w:rsidR="00923404">
        <w:rPr>
          <w:rFonts w:ascii="Times New Roman" w:hAnsi="Times New Roman" w:cs="Times New Roman"/>
          <w:sz w:val="24"/>
          <w:szCs w:val="24"/>
        </w:rPr>
        <w:t xml:space="preserve"> de rechter kan verzoeken om de eiser te bevelen om toegang te verlenen tot relevant bewijsmateriaal </w:t>
      </w:r>
      <w:r w:rsidRPr="00463949" w:rsidR="00A5540A">
        <w:rPr>
          <w:rFonts w:ascii="Times New Roman" w:hAnsi="Times New Roman" w:cs="Times New Roman"/>
          <w:sz w:val="24"/>
          <w:szCs w:val="24"/>
        </w:rPr>
        <w:t>(artikel 9 lid 2 Richtlijn)</w:t>
      </w:r>
      <w:r w:rsidRPr="00463949" w:rsidR="00D17322">
        <w:rPr>
          <w:rFonts w:ascii="Times New Roman" w:hAnsi="Times New Roman" w:cs="Times New Roman"/>
          <w:sz w:val="24"/>
          <w:szCs w:val="24"/>
        </w:rPr>
        <w:t>.</w:t>
      </w:r>
      <w:r w:rsidRPr="00463949" w:rsidR="00A5540A">
        <w:rPr>
          <w:rFonts w:ascii="Times New Roman" w:hAnsi="Times New Roman" w:cs="Times New Roman"/>
          <w:sz w:val="24"/>
          <w:szCs w:val="24"/>
        </w:rPr>
        <w:t xml:space="preserve"> </w:t>
      </w:r>
      <w:r w:rsidRPr="00463949" w:rsidR="00772983">
        <w:rPr>
          <w:rFonts w:ascii="Times New Roman" w:hAnsi="Times New Roman" w:cs="Times New Roman"/>
          <w:sz w:val="24"/>
          <w:szCs w:val="24"/>
        </w:rPr>
        <w:t xml:space="preserve">Bij de </w:t>
      </w:r>
      <w:r w:rsidRPr="00463949" w:rsidR="00D17322">
        <w:rPr>
          <w:rFonts w:ascii="Times New Roman" w:hAnsi="Times New Roman" w:cs="Times New Roman"/>
          <w:sz w:val="24"/>
          <w:szCs w:val="24"/>
        </w:rPr>
        <w:t>beoordeling van deze verzoeken moet de rechter ervoor zorgen dat de toegang tot het bewijsmateriaal</w:t>
      </w:r>
      <w:r w:rsidRPr="00463949" w:rsidR="00D22924">
        <w:rPr>
          <w:rFonts w:ascii="Times New Roman" w:hAnsi="Times New Roman" w:cs="Times New Roman"/>
          <w:sz w:val="24"/>
          <w:szCs w:val="24"/>
        </w:rPr>
        <w:t>, overeenkomstig het nationale recht,</w:t>
      </w:r>
      <w:r w:rsidRPr="00463949" w:rsidR="00D17322">
        <w:rPr>
          <w:rFonts w:ascii="Times New Roman" w:hAnsi="Times New Roman" w:cs="Times New Roman"/>
          <w:sz w:val="24"/>
          <w:szCs w:val="24"/>
        </w:rPr>
        <w:t xml:space="preserve"> beperkt blijft tot wat noodzakelijk en evenredig i</w:t>
      </w:r>
      <w:r w:rsidRPr="00463949" w:rsidR="00D22924">
        <w:rPr>
          <w:rFonts w:ascii="Times New Roman" w:hAnsi="Times New Roman" w:cs="Times New Roman"/>
          <w:sz w:val="24"/>
          <w:szCs w:val="24"/>
        </w:rPr>
        <w:t>s</w:t>
      </w:r>
      <w:r w:rsidRPr="00463949" w:rsidR="00D17322">
        <w:rPr>
          <w:rFonts w:ascii="Times New Roman" w:hAnsi="Times New Roman" w:cs="Times New Roman"/>
          <w:sz w:val="24"/>
          <w:szCs w:val="24"/>
        </w:rPr>
        <w:t xml:space="preserve"> (artikel 9 lid 3 Richtlijn). De rechter zal daarbij rekening moeten houden met de rechtmatige belangen van alle betrokkenen, waaronder de bescherming van vertrouwelijke informatie en bedrijfsgeheimen</w:t>
      </w:r>
      <w:r w:rsidRPr="00463949" w:rsidR="007678D0">
        <w:rPr>
          <w:rStyle w:val="Voetnootmarkering"/>
          <w:rFonts w:ascii="Times New Roman" w:hAnsi="Times New Roman" w:cs="Times New Roman"/>
          <w:sz w:val="24"/>
          <w:szCs w:val="24"/>
        </w:rPr>
        <w:footnoteReference w:id="27"/>
      </w:r>
      <w:r w:rsidRPr="00463949" w:rsidR="00D17322">
        <w:rPr>
          <w:rFonts w:ascii="Times New Roman" w:hAnsi="Times New Roman" w:cs="Times New Roman"/>
          <w:sz w:val="24"/>
          <w:szCs w:val="24"/>
        </w:rPr>
        <w:t xml:space="preserve"> (artikel 9 lid 4 Richtlijn). Indien nodig, kan de rechter specifieke maatregelen treffen om die vertrouwelijkheid te waarborgen</w:t>
      </w:r>
      <w:r w:rsidRPr="00463949" w:rsidR="00AF1146">
        <w:rPr>
          <w:rFonts w:ascii="Times New Roman" w:hAnsi="Times New Roman" w:cs="Times New Roman"/>
          <w:sz w:val="24"/>
          <w:szCs w:val="24"/>
        </w:rPr>
        <w:t>, zoals het beperken van de toegang tot een klein aantal personen</w:t>
      </w:r>
      <w:r w:rsidRPr="00463949" w:rsidR="00F153DB">
        <w:rPr>
          <w:rFonts w:ascii="Times New Roman" w:hAnsi="Times New Roman" w:cs="Times New Roman"/>
          <w:sz w:val="24"/>
          <w:szCs w:val="24"/>
        </w:rPr>
        <w:t xml:space="preserve"> </w:t>
      </w:r>
      <w:r w:rsidRPr="00463949" w:rsidR="00D17322">
        <w:rPr>
          <w:rFonts w:ascii="Times New Roman" w:hAnsi="Times New Roman" w:cs="Times New Roman"/>
          <w:sz w:val="24"/>
          <w:szCs w:val="24"/>
        </w:rPr>
        <w:t>(artikel 9 lid 5</w:t>
      </w:r>
      <w:r w:rsidRPr="00463949" w:rsidR="00AF1146">
        <w:rPr>
          <w:rFonts w:ascii="Times New Roman" w:hAnsi="Times New Roman" w:cs="Times New Roman"/>
          <w:sz w:val="24"/>
          <w:szCs w:val="24"/>
        </w:rPr>
        <w:t>; zie ook overweging 45</w:t>
      </w:r>
      <w:r w:rsidRPr="00463949" w:rsidR="00D17322">
        <w:rPr>
          <w:rFonts w:ascii="Times New Roman" w:hAnsi="Times New Roman" w:cs="Times New Roman"/>
          <w:sz w:val="24"/>
          <w:szCs w:val="24"/>
        </w:rPr>
        <w:t xml:space="preserve">). Gelet op de complexiteit van bepaalde soorten bewijsmateriaal (bijvoorbeeld bij digitale producten), </w:t>
      </w:r>
      <w:r w:rsidRPr="00463949" w:rsidR="00A85B63">
        <w:rPr>
          <w:rFonts w:ascii="Times New Roman" w:hAnsi="Times New Roman" w:cs="Times New Roman"/>
          <w:sz w:val="24"/>
          <w:szCs w:val="24"/>
        </w:rPr>
        <w:t xml:space="preserve">kan </w:t>
      </w:r>
      <w:r w:rsidRPr="00463949" w:rsidR="00D17322">
        <w:rPr>
          <w:rFonts w:ascii="Times New Roman" w:hAnsi="Times New Roman" w:cs="Times New Roman"/>
          <w:sz w:val="24"/>
          <w:szCs w:val="24"/>
        </w:rPr>
        <w:t>de rechter</w:t>
      </w:r>
      <w:r w:rsidRPr="00463949" w:rsidR="00A85B63">
        <w:rPr>
          <w:rFonts w:ascii="Times New Roman" w:hAnsi="Times New Roman" w:cs="Times New Roman"/>
          <w:sz w:val="24"/>
          <w:szCs w:val="24"/>
        </w:rPr>
        <w:t xml:space="preserve"> </w:t>
      </w:r>
      <w:r w:rsidRPr="00463949" w:rsidR="00D17322">
        <w:rPr>
          <w:rFonts w:ascii="Times New Roman" w:hAnsi="Times New Roman" w:cs="Times New Roman"/>
          <w:sz w:val="24"/>
          <w:szCs w:val="24"/>
        </w:rPr>
        <w:t xml:space="preserve">bij de toewijzing van het verzoek als voorwaarde </w:t>
      </w:r>
      <w:r w:rsidRPr="00463949" w:rsidR="004038A6">
        <w:rPr>
          <w:rFonts w:ascii="Times New Roman" w:hAnsi="Times New Roman" w:cs="Times New Roman"/>
          <w:sz w:val="24"/>
          <w:szCs w:val="24"/>
        </w:rPr>
        <w:t xml:space="preserve">stellen dat </w:t>
      </w:r>
      <w:r w:rsidRPr="00463949" w:rsidR="00A5540A">
        <w:rPr>
          <w:rFonts w:ascii="Times New Roman" w:hAnsi="Times New Roman" w:cs="Times New Roman"/>
          <w:sz w:val="24"/>
          <w:szCs w:val="24"/>
        </w:rPr>
        <w:t xml:space="preserve">een partij </w:t>
      </w:r>
      <w:r w:rsidRPr="00463949" w:rsidR="004038A6">
        <w:rPr>
          <w:rFonts w:ascii="Times New Roman" w:hAnsi="Times New Roman" w:cs="Times New Roman"/>
          <w:sz w:val="24"/>
          <w:szCs w:val="24"/>
        </w:rPr>
        <w:t xml:space="preserve">het </w:t>
      </w:r>
      <w:r w:rsidRPr="00463949" w:rsidR="004038A6">
        <w:rPr>
          <w:rFonts w:ascii="Times New Roman" w:hAnsi="Times New Roman" w:cs="Times New Roman"/>
          <w:sz w:val="24"/>
          <w:szCs w:val="24"/>
        </w:rPr>
        <w:lastRenderedPageBreak/>
        <w:t>bewijsmateriaal op een gemakkelijk toegankelijke en begrijpelijke wijze verstrekt</w:t>
      </w:r>
      <w:r w:rsidRPr="00463949" w:rsidR="00070F75">
        <w:rPr>
          <w:rFonts w:ascii="Times New Roman" w:hAnsi="Times New Roman" w:cs="Times New Roman"/>
          <w:sz w:val="24"/>
          <w:szCs w:val="24"/>
        </w:rPr>
        <w:t xml:space="preserve"> (artikel 9 lid 6 Richtlijn)</w:t>
      </w:r>
      <w:r w:rsidRPr="00463949" w:rsidR="004038A6">
        <w:rPr>
          <w:rFonts w:ascii="Times New Roman" w:hAnsi="Times New Roman" w:cs="Times New Roman"/>
          <w:sz w:val="24"/>
          <w:szCs w:val="24"/>
        </w:rPr>
        <w:t>.</w:t>
      </w:r>
    </w:p>
    <w:p w:rsidRPr="00463949" w:rsidR="00F26CB0" w:rsidP="002464D4" w:rsidRDefault="00F26CB0" w14:paraId="754DB25E" w14:textId="77777777">
      <w:pPr>
        <w:spacing w:after="0" w:line="276" w:lineRule="auto"/>
        <w:rPr>
          <w:rFonts w:ascii="Times New Roman" w:hAnsi="Times New Roman" w:cs="Times New Roman"/>
          <w:sz w:val="24"/>
          <w:szCs w:val="24"/>
        </w:rPr>
      </w:pPr>
    </w:p>
    <w:p w:rsidRPr="00463949" w:rsidR="00A85B63" w:rsidP="002464D4" w:rsidRDefault="00D22924" w14:paraId="124D3A84" w14:textId="0CCA1309">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Daarnaast </w:t>
      </w:r>
      <w:r w:rsidRPr="00463949" w:rsidR="0000627E">
        <w:rPr>
          <w:rFonts w:ascii="Times New Roman" w:hAnsi="Times New Roman" w:cs="Times New Roman"/>
          <w:sz w:val="24"/>
          <w:szCs w:val="24"/>
        </w:rPr>
        <w:t xml:space="preserve">bevat </w:t>
      </w:r>
      <w:r w:rsidRPr="00463949" w:rsidR="005E4B12">
        <w:rPr>
          <w:rFonts w:ascii="Times New Roman" w:hAnsi="Times New Roman" w:cs="Times New Roman"/>
          <w:sz w:val="24"/>
          <w:szCs w:val="24"/>
        </w:rPr>
        <w:t xml:space="preserve">de Richtlijn een </w:t>
      </w:r>
      <w:r w:rsidRPr="00463949" w:rsidR="00692B0F">
        <w:rPr>
          <w:rFonts w:ascii="Times New Roman" w:hAnsi="Times New Roman" w:cs="Times New Roman"/>
          <w:sz w:val="24"/>
          <w:szCs w:val="24"/>
        </w:rPr>
        <w:t>aantal</w:t>
      </w:r>
      <w:r w:rsidRPr="00463949">
        <w:rPr>
          <w:rFonts w:ascii="Times New Roman" w:hAnsi="Times New Roman" w:cs="Times New Roman"/>
          <w:sz w:val="24"/>
          <w:szCs w:val="24"/>
        </w:rPr>
        <w:t xml:space="preserve"> weerlegbare</w:t>
      </w:r>
      <w:r w:rsidRPr="00463949" w:rsidR="00692B0F">
        <w:rPr>
          <w:rFonts w:ascii="Times New Roman" w:hAnsi="Times New Roman" w:cs="Times New Roman"/>
          <w:sz w:val="24"/>
          <w:szCs w:val="24"/>
        </w:rPr>
        <w:t xml:space="preserve"> </w:t>
      </w:r>
      <w:r w:rsidRPr="00463949" w:rsidR="003A0489">
        <w:rPr>
          <w:rFonts w:ascii="Times New Roman" w:hAnsi="Times New Roman" w:cs="Times New Roman"/>
          <w:sz w:val="24"/>
          <w:szCs w:val="24"/>
        </w:rPr>
        <w:t xml:space="preserve">vermoedens ten aanzien van </w:t>
      </w:r>
      <w:r w:rsidRPr="00463949" w:rsidR="0000662C">
        <w:rPr>
          <w:rFonts w:ascii="Times New Roman" w:hAnsi="Times New Roman" w:cs="Times New Roman"/>
          <w:sz w:val="24"/>
          <w:szCs w:val="24"/>
        </w:rPr>
        <w:t xml:space="preserve">het gebrek </w:t>
      </w:r>
      <w:r w:rsidRPr="00463949" w:rsidR="003A0489">
        <w:rPr>
          <w:rFonts w:ascii="Times New Roman" w:hAnsi="Times New Roman" w:cs="Times New Roman"/>
          <w:sz w:val="24"/>
          <w:szCs w:val="24"/>
        </w:rPr>
        <w:t xml:space="preserve">van het product en het oorzakelijk verband tussen </w:t>
      </w:r>
      <w:r w:rsidRPr="00463949" w:rsidR="0000662C">
        <w:rPr>
          <w:rFonts w:ascii="Times New Roman" w:hAnsi="Times New Roman" w:cs="Times New Roman"/>
          <w:sz w:val="24"/>
          <w:szCs w:val="24"/>
        </w:rPr>
        <w:t xml:space="preserve">dat gebrek </w:t>
      </w:r>
      <w:r w:rsidRPr="00463949" w:rsidR="003A0489">
        <w:rPr>
          <w:rFonts w:ascii="Times New Roman" w:hAnsi="Times New Roman" w:cs="Times New Roman"/>
          <w:sz w:val="24"/>
          <w:szCs w:val="24"/>
        </w:rPr>
        <w:t>en de schade</w:t>
      </w:r>
      <w:r w:rsidRPr="00463949" w:rsidR="00606DE9">
        <w:rPr>
          <w:rFonts w:ascii="Times New Roman" w:hAnsi="Times New Roman" w:cs="Times New Roman"/>
          <w:sz w:val="24"/>
          <w:szCs w:val="24"/>
        </w:rPr>
        <w:t xml:space="preserve"> (artikel </w:t>
      </w:r>
      <w:r w:rsidRPr="00463949" w:rsidR="005E4B12">
        <w:rPr>
          <w:rFonts w:ascii="Times New Roman" w:hAnsi="Times New Roman" w:cs="Times New Roman"/>
          <w:sz w:val="24"/>
          <w:szCs w:val="24"/>
        </w:rPr>
        <w:t>10</w:t>
      </w:r>
      <w:r w:rsidRPr="00463949">
        <w:rPr>
          <w:rFonts w:ascii="Times New Roman" w:hAnsi="Times New Roman" w:cs="Times New Roman"/>
          <w:sz w:val="24"/>
          <w:szCs w:val="24"/>
        </w:rPr>
        <w:t xml:space="preserve"> leden 2-5</w:t>
      </w:r>
      <w:r w:rsidRPr="00463949" w:rsidR="0000627E">
        <w:rPr>
          <w:rFonts w:ascii="Times New Roman" w:hAnsi="Times New Roman" w:cs="Times New Roman"/>
          <w:sz w:val="24"/>
          <w:szCs w:val="24"/>
        </w:rPr>
        <w:t xml:space="preserve"> Richtlijn</w:t>
      </w:r>
      <w:r w:rsidRPr="00463949" w:rsidR="00606DE9">
        <w:rPr>
          <w:rFonts w:ascii="Times New Roman" w:hAnsi="Times New Roman" w:cs="Times New Roman"/>
          <w:sz w:val="24"/>
          <w:szCs w:val="24"/>
        </w:rPr>
        <w:t>)</w:t>
      </w:r>
      <w:r w:rsidRPr="00463949" w:rsidR="003A0489">
        <w:rPr>
          <w:rFonts w:ascii="Times New Roman" w:hAnsi="Times New Roman" w:cs="Times New Roman"/>
          <w:sz w:val="24"/>
          <w:szCs w:val="24"/>
        </w:rPr>
        <w:t>.</w:t>
      </w:r>
      <w:r w:rsidRPr="00463949" w:rsidR="00692B0F">
        <w:rPr>
          <w:rFonts w:ascii="Times New Roman" w:hAnsi="Times New Roman" w:cs="Times New Roman"/>
          <w:sz w:val="24"/>
          <w:szCs w:val="24"/>
        </w:rPr>
        <w:t xml:space="preserve"> De</w:t>
      </w:r>
      <w:r w:rsidRPr="00463949" w:rsidR="005E4B12">
        <w:rPr>
          <w:rFonts w:ascii="Times New Roman" w:hAnsi="Times New Roman" w:cs="Times New Roman"/>
          <w:sz w:val="24"/>
          <w:szCs w:val="24"/>
        </w:rPr>
        <w:t>ze</w:t>
      </w:r>
      <w:r w:rsidRPr="00463949" w:rsidR="00692B0F">
        <w:rPr>
          <w:rFonts w:ascii="Times New Roman" w:hAnsi="Times New Roman" w:cs="Times New Roman"/>
          <w:sz w:val="24"/>
          <w:szCs w:val="24"/>
        </w:rPr>
        <w:t xml:space="preserve"> vermoedens stellen de rechter in staat het bestaan van een </w:t>
      </w:r>
      <w:r w:rsidRPr="00463949" w:rsidR="0000662C">
        <w:rPr>
          <w:rFonts w:ascii="Times New Roman" w:hAnsi="Times New Roman" w:cs="Times New Roman"/>
          <w:sz w:val="24"/>
          <w:szCs w:val="24"/>
        </w:rPr>
        <w:t xml:space="preserve">gebrek </w:t>
      </w:r>
      <w:r w:rsidRPr="00463949" w:rsidR="00692B0F">
        <w:rPr>
          <w:rFonts w:ascii="Times New Roman" w:hAnsi="Times New Roman" w:cs="Times New Roman"/>
          <w:sz w:val="24"/>
          <w:szCs w:val="24"/>
        </w:rPr>
        <w:t xml:space="preserve">of van een oorzakelijk verband te baseren op het bestaan van een </w:t>
      </w:r>
      <w:r w:rsidRPr="00463949" w:rsidR="009D671C">
        <w:rPr>
          <w:rFonts w:ascii="Times New Roman" w:hAnsi="Times New Roman" w:cs="Times New Roman"/>
          <w:sz w:val="24"/>
          <w:szCs w:val="24"/>
        </w:rPr>
        <w:t>a</w:t>
      </w:r>
      <w:r w:rsidRPr="00463949" w:rsidR="00692B0F">
        <w:rPr>
          <w:rFonts w:ascii="Times New Roman" w:hAnsi="Times New Roman" w:cs="Times New Roman"/>
          <w:sz w:val="24"/>
          <w:szCs w:val="24"/>
        </w:rPr>
        <w:t>nder</w:t>
      </w:r>
      <w:r w:rsidRPr="00463949" w:rsidR="00F40084">
        <w:rPr>
          <w:rFonts w:ascii="Times New Roman" w:hAnsi="Times New Roman" w:cs="Times New Roman"/>
          <w:sz w:val="24"/>
          <w:szCs w:val="24"/>
        </w:rPr>
        <w:t xml:space="preserve"> </w:t>
      </w:r>
      <w:r w:rsidRPr="00463949" w:rsidR="00692B0F">
        <w:rPr>
          <w:rFonts w:ascii="Times New Roman" w:hAnsi="Times New Roman" w:cs="Times New Roman"/>
          <w:sz w:val="24"/>
          <w:szCs w:val="24"/>
        </w:rPr>
        <w:t>bewezen feit</w:t>
      </w:r>
      <w:r w:rsidRPr="00463949" w:rsidR="00D667D2">
        <w:rPr>
          <w:rFonts w:ascii="Times New Roman" w:hAnsi="Times New Roman" w:cs="Times New Roman"/>
          <w:sz w:val="24"/>
          <w:szCs w:val="24"/>
        </w:rPr>
        <w:t xml:space="preserve">. </w:t>
      </w:r>
      <w:r w:rsidRPr="00463949" w:rsidR="00804150">
        <w:rPr>
          <w:rFonts w:ascii="Times New Roman" w:hAnsi="Times New Roman" w:cs="Times New Roman"/>
          <w:sz w:val="24"/>
          <w:szCs w:val="24"/>
        </w:rPr>
        <w:t xml:space="preserve">Vaak zal dat een feit zijn dat voor de eiser eenvoudiger is om te bewijzen. </w:t>
      </w:r>
      <w:r w:rsidRPr="00463949" w:rsidR="005E4B12">
        <w:rPr>
          <w:rFonts w:ascii="Times New Roman" w:hAnsi="Times New Roman" w:cs="Times New Roman"/>
          <w:sz w:val="24"/>
          <w:szCs w:val="24"/>
        </w:rPr>
        <w:t xml:space="preserve">Dit </w:t>
      </w:r>
      <w:r w:rsidRPr="00463949" w:rsidR="00F153DB">
        <w:rPr>
          <w:rFonts w:ascii="Times New Roman" w:hAnsi="Times New Roman" w:cs="Times New Roman"/>
          <w:sz w:val="24"/>
          <w:szCs w:val="24"/>
        </w:rPr>
        <w:t xml:space="preserve">is </w:t>
      </w:r>
      <w:r w:rsidRPr="00463949" w:rsidR="00B73C22">
        <w:rPr>
          <w:rFonts w:ascii="Times New Roman" w:hAnsi="Times New Roman" w:cs="Times New Roman"/>
          <w:sz w:val="24"/>
          <w:szCs w:val="24"/>
        </w:rPr>
        <w:t>(ook in Nederland)</w:t>
      </w:r>
      <w:r w:rsidRPr="00463949" w:rsidR="00AF1146">
        <w:rPr>
          <w:rStyle w:val="Voetnootmarkering"/>
          <w:rFonts w:ascii="Times New Roman" w:hAnsi="Times New Roman" w:cs="Times New Roman"/>
          <w:sz w:val="24"/>
          <w:szCs w:val="24"/>
        </w:rPr>
        <w:footnoteReference w:id="28"/>
      </w:r>
      <w:r w:rsidRPr="00463949" w:rsidR="00B73C22">
        <w:rPr>
          <w:rFonts w:ascii="Times New Roman" w:hAnsi="Times New Roman" w:cs="Times New Roman"/>
          <w:sz w:val="24"/>
          <w:szCs w:val="24"/>
        </w:rPr>
        <w:t xml:space="preserve"> </w:t>
      </w:r>
      <w:r w:rsidRPr="00463949" w:rsidR="005E4B12">
        <w:rPr>
          <w:rFonts w:ascii="Times New Roman" w:hAnsi="Times New Roman" w:cs="Times New Roman"/>
          <w:sz w:val="24"/>
          <w:szCs w:val="24"/>
        </w:rPr>
        <w:t xml:space="preserve">een gangbaar mechanisme om de bewijslast van </w:t>
      </w:r>
      <w:r w:rsidRPr="00463949" w:rsidR="00B770AB">
        <w:rPr>
          <w:rFonts w:ascii="Times New Roman" w:hAnsi="Times New Roman" w:cs="Times New Roman"/>
          <w:sz w:val="24"/>
          <w:szCs w:val="24"/>
        </w:rPr>
        <w:t>de eiser te verlich</w:t>
      </w:r>
      <w:r w:rsidRPr="00463949" w:rsidR="00B73C22">
        <w:rPr>
          <w:rFonts w:ascii="Times New Roman" w:hAnsi="Times New Roman" w:cs="Times New Roman"/>
          <w:sz w:val="24"/>
          <w:szCs w:val="24"/>
        </w:rPr>
        <w:t>ten</w:t>
      </w:r>
      <w:r w:rsidRPr="00463949">
        <w:rPr>
          <w:rFonts w:ascii="Times New Roman" w:hAnsi="Times New Roman" w:cs="Times New Roman"/>
          <w:sz w:val="24"/>
          <w:szCs w:val="24"/>
        </w:rPr>
        <w:t xml:space="preserve"> (zie overweging 46)</w:t>
      </w:r>
      <w:r w:rsidRPr="00463949" w:rsidR="00B770AB">
        <w:rPr>
          <w:rFonts w:ascii="Times New Roman" w:hAnsi="Times New Roman" w:cs="Times New Roman"/>
          <w:sz w:val="24"/>
          <w:szCs w:val="24"/>
        </w:rPr>
        <w:t xml:space="preserve">. </w:t>
      </w:r>
      <w:r w:rsidRPr="00463949">
        <w:rPr>
          <w:rFonts w:ascii="Times New Roman" w:hAnsi="Times New Roman" w:cs="Times New Roman"/>
          <w:sz w:val="24"/>
          <w:szCs w:val="24"/>
        </w:rPr>
        <w:t xml:space="preserve">Een </w:t>
      </w:r>
      <w:r w:rsidRPr="00463949" w:rsidR="005E4B12">
        <w:rPr>
          <w:rFonts w:ascii="Times New Roman" w:hAnsi="Times New Roman" w:cs="Times New Roman"/>
          <w:sz w:val="24"/>
          <w:szCs w:val="24"/>
        </w:rPr>
        <w:t xml:space="preserve">product wordt </w:t>
      </w:r>
      <w:r w:rsidRPr="00463949">
        <w:rPr>
          <w:rFonts w:ascii="Times New Roman" w:hAnsi="Times New Roman" w:cs="Times New Roman"/>
          <w:sz w:val="24"/>
          <w:szCs w:val="24"/>
        </w:rPr>
        <w:t xml:space="preserve">in de eerste plaats </w:t>
      </w:r>
      <w:r w:rsidRPr="00463949" w:rsidR="005E4B12">
        <w:rPr>
          <w:rFonts w:ascii="Times New Roman" w:hAnsi="Times New Roman" w:cs="Times New Roman"/>
          <w:sz w:val="24"/>
          <w:szCs w:val="24"/>
        </w:rPr>
        <w:t xml:space="preserve">vermoed gebrekkig te zijn wanneer de gedaagde niet voldoet aan </w:t>
      </w:r>
      <w:r w:rsidRPr="00463949" w:rsidR="00F61027">
        <w:rPr>
          <w:rFonts w:ascii="Times New Roman" w:hAnsi="Times New Roman" w:cs="Times New Roman"/>
          <w:sz w:val="24"/>
          <w:szCs w:val="24"/>
        </w:rPr>
        <w:t xml:space="preserve">de </w:t>
      </w:r>
      <w:r w:rsidRPr="00463949" w:rsidR="005E4B12">
        <w:rPr>
          <w:rFonts w:ascii="Times New Roman" w:hAnsi="Times New Roman" w:cs="Times New Roman"/>
          <w:sz w:val="24"/>
          <w:szCs w:val="24"/>
        </w:rPr>
        <w:t>verplichting om toegang te verlenen tot bewijsmateriaal</w:t>
      </w:r>
      <w:r w:rsidRPr="00463949" w:rsidR="00F61027">
        <w:rPr>
          <w:rFonts w:ascii="Times New Roman" w:hAnsi="Times New Roman" w:cs="Times New Roman"/>
          <w:sz w:val="24"/>
          <w:szCs w:val="24"/>
        </w:rPr>
        <w:t xml:space="preserve"> op grond van artikel 9 lid 1 Richtlijn</w:t>
      </w:r>
      <w:r w:rsidRPr="00463949" w:rsidR="0000627E">
        <w:rPr>
          <w:rFonts w:ascii="Times New Roman" w:hAnsi="Times New Roman" w:cs="Times New Roman"/>
          <w:sz w:val="24"/>
          <w:szCs w:val="24"/>
        </w:rPr>
        <w:t xml:space="preserve"> (artikel 10 lid 2, onderdeel a, Richtlijn)</w:t>
      </w:r>
      <w:r w:rsidRPr="00463949" w:rsidR="005E4B12">
        <w:rPr>
          <w:rFonts w:ascii="Times New Roman" w:hAnsi="Times New Roman" w:cs="Times New Roman"/>
          <w:sz w:val="24"/>
          <w:szCs w:val="24"/>
        </w:rPr>
        <w:t xml:space="preserve">. </w:t>
      </w:r>
      <w:r w:rsidRPr="00463949" w:rsidR="00693436">
        <w:rPr>
          <w:rFonts w:ascii="Times New Roman" w:hAnsi="Times New Roman" w:cs="Times New Roman"/>
          <w:sz w:val="24"/>
          <w:szCs w:val="24"/>
        </w:rPr>
        <w:t xml:space="preserve">Dit </w:t>
      </w:r>
      <w:r w:rsidRPr="00463949" w:rsidR="00D667D2">
        <w:rPr>
          <w:rFonts w:ascii="Times New Roman" w:hAnsi="Times New Roman" w:cs="Times New Roman"/>
          <w:sz w:val="24"/>
          <w:szCs w:val="24"/>
        </w:rPr>
        <w:t xml:space="preserve">vermoeden </w:t>
      </w:r>
      <w:r w:rsidRPr="00463949" w:rsidR="00693436">
        <w:rPr>
          <w:rFonts w:ascii="Times New Roman" w:hAnsi="Times New Roman" w:cs="Times New Roman"/>
          <w:sz w:val="24"/>
          <w:szCs w:val="24"/>
        </w:rPr>
        <w:t>dient als</w:t>
      </w:r>
      <w:r w:rsidRPr="00463949">
        <w:rPr>
          <w:rFonts w:ascii="Times New Roman" w:hAnsi="Times New Roman" w:cs="Times New Roman"/>
          <w:sz w:val="24"/>
          <w:szCs w:val="24"/>
        </w:rPr>
        <w:t xml:space="preserve"> een</w:t>
      </w:r>
      <w:r w:rsidRPr="00463949" w:rsidR="00693436">
        <w:rPr>
          <w:rFonts w:ascii="Times New Roman" w:hAnsi="Times New Roman" w:cs="Times New Roman"/>
          <w:sz w:val="24"/>
          <w:szCs w:val="24"/>
        </w:rPr>
        <w:t xml:space="preserve"> aansporing</w:t>
      </w:r>
      <w:r w:rsidRPr="00463949">
        <w:rPr>
          <w:rFonts w:ascii="Times New Roman" w:hAnsi="Times New Roman" w:cs="Times New Roman"/>
          <w:sz w:val="24"/>
          <w:szCs w:val="24"/>
        </w:rPr>
        <w:t xml:space="preserve"> </w:t>
      </w:r>
      <w:r w:rsidRPr="00463949" w:rsidR="00693436">
        <w:rPr>
          <w:rFonts w:ascii="Times New Roman" w:hAnsi="Times New Roman" w:cs="Times New Roman"/>
          <w:sz w:val="24"/>
          <w:szCs w:val="24"/>
        </w:rPr>
        <w:t xml:space="preserve">om aan deze verplichting te voldoen (zie overweging 46). </w:t>
      </w:r>
      <w:r w:rsidRPr="00463949">
        <w:rPr>
          <w:rFonts w:ascii="Times New Roman" w:hAnsi="Times New Roman" w:cs="Times New Roman"/>
          <w:sz w:val="24"/>
          <w:szCs w:val="24"/>
        </w:rPr>
        <w:t xml:space="preserve">Een </w:t>
      </w:r>
      <w:r w:rsidRPr="00463949" w:rsidR="005E4B12">
        <w:rPr>
          <w:rFonts w:ascii="Times New Roman" w:hAnsi="Times New Roman" w:cs="Times New Roman"/>
          <w:sz w:val="24"/>
          <w:szCs w:val="24"/>
        </w:rPr>
        <w:t>product</w:t>
      </w:r>
      <w:r w:rsidRPr="00463949" w:rsidR="00B770AB">
        <w:rPr>
          <w:rFonts w:ascii="Times New Roman" w:hAnsi="Times New Roman" w:cs="Times New Roman"/>
          <w:sz w:val="24"/>
          <w:szCs w:val="24"/>
        </w:rPr>
        <w:t xml:space="preserve"> wordt </w:t>
      </w:r>
      <w:r w:rsidRPr="00463949">
        <w:rPr>
          <w:rFonts w:ascii="Times New Roman" w:hAnsi="Times New Roman" w:cs="Times New Roman"/>
          <w:sz w:val="24"/>
          <w:szCs w:val="24"/>
        </w:rPr>
        <w:t xml:space="preserve">in de tweede plaats </w:t>
      </w:r>
      <w:r w:rsidRPr="00463949" w:rsidR="005E4B12">
        <w:rPr>
          <w:rFonts w:ascii="Times New Roman" w:hAnsi="Times New Roman" w:cs="Times New Roman"/>
          <w:sz w:val="24"/>
          <w:szCs w:val="24"/>
        </w:rPr>
        <w:t xml:space="preserve">vermoed gebrekkig te zijn als de eiser </w:t>
      </w:r>
      <w:r w:rsidRPr="00463949" w:rsidR="005663D4">
        <w:rPr>
          <w:rFonts w:ascii="Times New Roman" w:hAnsi="Times New Roman" w:cs="Times New Roman"/>
          <w:sz w:val="24"/>
          <w:szCs w:val="24"/>
        </w:rPr>
        <w:t xml:space="preserve">aantoont </w:t>
      </w:r>
      <w:r w:rsidRPr="00463949" w:rsidR="005E4B12">
        <w:rPr>
          <w:rFonts w:ascii="Times New Roman" w:hAnsi="Times New Roman" w:cs="Times New Roman"/>
          <w:sz w:val="24"/>
          <w:szCs w:val="24"/>
        </w:rPr>
        <w:t xml:space="preserve">dat het product niet voldoet aan </w:t>
      </w:r>
      <w:r w:rsidRPr="00463949" w:rsidR="0000627E">
        <w:rPr>
          <w:rFonts w:ascii="Times New Roman" w:hAnsi="Times New Roman" w:cs="Times New Roman"/>
          <w:sz w:val="24"/>
          <w:szCs w:val="24"/>
        </w:rPr>
        <w:t xml:space="preserve">dwingende </w:t>
      </w:r>
      <w:r w:rsidRPr="00463949" w:rsidR="005E4B12">
        <w:rPr>
          <w:rFonts w:ascii="Times New Roman" w:hAnsi="Times New Roman" w:cs="Times New Roman"/>
          <w:sz w:val="24"/>
          <w:szCs w:val="24"/>
        </w:rPr>
        <w:t>productveiligheidsvoorschriften die bedoeld zijn om bescherming te bieden tegen het risico van de door hem geleden schade</w:t>
      </w:r>
      <w:r w:rsidRPr="00463949" w:rsidR="0000627E">
        <w:rPr>
          <w:rFonts w:ascii="Times New Roman" w:hAnsi="Times New Roman" w:cs="Times New Roman"/>
          <w:sz w:val="24"/>
          <w:szCs w:val="24"/>
        </w:rPr>
        <w:t xml:space="preserve"> (artikel 10 lid 2, onderdeel b, Richtlijn)</w:t>
      </w:r>
      <w:r w:rsidRPr="00463949" w:rsidR="005E4B12">
        <w:rPr>
          <w:rFonts w:ascii="Times New Roman" w:hAnsi="Times New Roman" w:cs="Times New Roman"/>
          <w:sz w:val="24"/>
          <w:szCs w:val="24"/>
        </w:rPr>
        <w:t xml:space="preserve">. </w:t>
      </w:r>
      <w:r w:rsidRPr="00463949" w:rsidR="002E0D2C">
        <w:rPr>
          <w:rFonts w:ascii="Times New Roman" w:hAnsi="Times New Roman" w:cs="Times New Roman"/>
          <w:sz w:val="24"/>
          <w:szCs w:val="24"/>
        </w:rPr>
        <w:t>Hiermee wordt beoogd de nauwe samenhang tussen productveiligheidsregels</w:t>
      </w:r>
      <w:r w:rsidRPr="00463949" w:rsidR="002E0D2C">
        <w:rPr>
          <w:rStyle w:val="Voetnootmarkering"/>
          <w:rFonts w:ascii="Times New Roman" w:hAnsi="Times New Roman" w:cs="Times New Roman"/>
          <w:sz w:val="24"/>
          <w:szCs w:val="24"/>
        </w:rPr>
        <w:footnoteReference w:id="29"/>
      </w:r>
      <w:r w:rsidRPr="00463949" w:rsidR="002E0D2C">
        <w:rPr>
          <w:rFonts w:ascii="Times New Roman" w:hAnsi="Times New Roman" w:cs="Times New Roman"/>
          <w:sz w:val="24"/>
          <w:szCs w:val="24"/>
        </w:rPr>
        <w:t xml:space="preserve"> en aansprakelijkheidsregels te versterken (zie overweging 46). </w:t>
      </w:r>
      <w:r w:rsidRPr="00463949" w:rsidR="005E4B12">
        <w:rPr>
          <w:rFonts w:ascii="Times New Roman" w:hAnsi="Times New Roman" w:cs="Times New Roman"/>
          <w:sz w:val="24"/>
          <w:szCs w:val="24"/>
        </w:rPr>
        <w:t xml:space="preserve">Tot slot wordt een product vermoed gebrekkig te zijn </w:t>
      </w:r>
      <w:r w:rsidRPr="00463949" w:rsidR="00B770AB">
        <w:rPr>
          <w:rFonts w:ascii="Times New Roman" w:hAnsi="Times New Roman" w:cs="Times New Roman"/>
          <w:sz w:val="24"/>
          <w:szCs w:val="24"/>
        </w:rPr>
        <w:t xml:space="preserve">als de eiser </w:t>
      </w:r>
      <w:r w:rsidRPr="00463949" w:rsidR="005663D4">
        <w:rPr>
          <w:rFonts w:ascii="Times New Roman" w:hAnsi="Times New Roman" w:cs="Times New Roman"/>
          <w:sz w:val="24"/>
          <w:szCs w:val="24"/>
        </w:rPr>
        <w:t xml:space="preserve">aantoont </w:t>
      </w:r>
      <w:r w:rsidRPr="00463949" w:rsidR="00B770AB">
        <w:rPr>
          <w:rFonts w:ascii="Times New Roman" w:hAnsi="Times New Roman" w:cs="Times New Roman"/>
          <w:sz w:val="24"/>
          <w:szCs w:val="24"/>
        </w:rPr>
        <w:t>dat de schade is veroorzaakt door een kennelijk disfunctioneren van het product bij redelijkerwijs te verwachten gebruik of onder normale omstandigheden</w:t>
      </w:r>
      <w:r w:rsidRPr="00463949" w:rsidR="0000627E">
        <w:rPr>
          <w:rFonts w:ascii="Times New Roman" w:hAnsi="Times New Roman" w:cs="Times New Roman"/>
          <w:sz w:val="24"/>
          <w:szCs w:val="24"/>
        </w:rPr>
        <w:t xml:space="preserve"> (artikel 10 lid 2, onderdeel c, Richtlijn)</w:t>
      </w:r>
      <w:r w:rsidRPr="00463949" w:rsidR="00B770AB">
        <w:rPr>
          <w:rFonts w:ascii="Times New Roman" w:hAnsi="Times New Roman" w:cs="Times New Roman"/>
          <w:sz w:val="24"/>
          <w:szCs w:val="24"/>
        </w:rPr>
        <w:t xml:space="preserve">. </w:t>
      </w:r>
      <w:r w:rsidRPr="00463949" w:rsidR="00B73C22">
        <w:rPr>
          <w:rFonts w:ascii="Times New Roman" w:hAnsi="Times New Roman" w:cs="Times New Roman"/>
          <w:sz w:val="24"/>
          <w:szCs w:val="24"/>
        </w:rPr>
        <w:t xml:space="preserve">Hierbij valt </w:t>
      </w:r>
      <w:r w:rsidRPr="00463949" w:rsidR="00B770AB">
        <w:rPr>
          <w:rFonts w:ascii="Times New Roman" w:hAnsi="Times New Roman" w:cs="Times New Roman"/>
          <w:sz w:val="24"/>
          <w:szCs w:val="24"/>
        </w:rPr>
        <w:t>bijvoorbeeld</w:t>
      </w:r>
      <w:r w:rsidRPr="00463949" w:rsidR="00B73C22">
        <w:rPr>
          <w:rFonts w:ascii="Times New Roman" w:hAnsi="Times New Roman" w:cs="Times New Roman"/>
          <w:sz w:val="24"/>
          <w:szCs w:val="24"/>
        </w:rPr>
        <w:t xml:space="preserve"> te denken</w:t>
      </w:r>
      <w:r w:rsidRPr="00463949" w:rsidR="00B770AB">
        <w:rPr>
          <w:rFonts w:ascii="Times New Roman" w:hAnsi="Times New Roman" w:cs="Times New Roman"/>
          <w:sz w:val="24"/>
          <w:szCs w:val="24"/>
        </w:rPr>
        <w:t xml:space="preserve"> aan een glazen fles</w:t>
      </w:r>
      <w:r w:rsidRPr="00463949" w:rsidR="002E0D2C">
        <w:rPr>
          <w:rFonts w:ascii="Times New Roman" w:hAnsi="Times New Roman" w:cs="Times New Roman"/>
          <w:sz w:val="24"/>
          <w:szCs w:val="24"/>
        </w:rPr>
        <w:t xml:space="preserve"> die ontploft bij redelijkerwijs te verwachten gebruik, zoals</w:t>
      </w:r>
      <w:r w:rsidRPr="00463949" w:rsidR="0000627E">
        <w:rPr>
          <w:rFonts w:ascii="Times New Roman" w:hAnsi="Times New Roman" w:cs="Times New Roman"/>
          <w:sz w:val="24"/>
          <w:szCs w:val="24"/>
        </w:rPr>
        <w:t xml:space="preserve"> schenken of drinken</w:t>
      </w:r>
      <w:r w:rsidRPr="00463949" w:rsidR="00B770AB">
        <w:rPr>
          <w:rFonts w:ascii="Times New Roman" w:hAnsi="Times New Roman" w:cs="Times New Roman"/>
          <w:sz w:val="24"/>
          <w:szCs w:val="24"/>
        </w:rPr>
        <w:t xml:space="preserve">. </w:t>
      </w:r>
      <w:r w:rsidRPr="00463949" w:rsidR="00EE2389">
        <w:rPr>
          <w:rFonts w:ascii="Times New Roman" w:hAnsi="Times New Roman" w:cs="Times New Roman"/>
          <w:sz w:val="24"/>
          <w:szCs w:val="24"/>
        </w:rPr>
        <w:t xml:space="preserve">In een dergelijk geval </w:t>
      </w:r>
      <w:r w:rsidRPr="00463949" w:rsidR="002E0D2C">
        <w:rPr>
          <w:rFonts w:ascii="Times New Roman" w:hAnsi="Times New Roman" w:cs="Times New Roman"/>
          <w:sz w:val="24"/>
          <w:szCs w:val="24"/>
        </w:rPr>
        <w:t xml:space="preserve">zou het voor een eiser onnodig bezwarend zijn </w:t>
      </w:r>
      <w:r w:rsidRPr="00463949" w:rsidR="0000662C">
        <w:rPr>
          <w:rFonts w:ascii="Times New Roman" w:hAnsi="Times New Roman" w:cs="Times New Roman"/>
          <w:sz w:val="24"/>
          <w:szCs w:val="24"/>
        </w:rPr>
        <w:t xml:space="preserve">het gebrek </w:t>
      </w:r>
      <w:r w:rsidRPr="00463949" w:rsidR="002E0D2C">
        <w:rPr>
          <w:rFonts w:ascii="Times New Roman" w:hAnsi="Times New Roman" w:cs="Times New Roman"/>
          <w:sz w:val="24"/>
          <w:szCs w:val="24"/>
        </w:rPr>
        <w:t>te moeten bewijzen (zie overweging 46).</w:t>
      </w:r>
    </w:p>
    <w:p w:rsidRPr="00463949" w:rsidR="00F61027" w:rsidP="002464D4" w:rsidRDefault="000E3B2E" w14:paraId="61D7A5A6" w14:textId="302ECDEA">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Daarnaast bevat de Richtlijn een vermoeden van het </w:t>
      </w:r>
      <w:r w:rsidRPr="00463949" w:rsidR="00B770AB">
        <w:rPr>
          <w:rFonts w:ascii="Times New Roman" w:hAnsi="Times New Roman" w:cs="Times New Roman"/>
          <w:sz w:val="24"/>
          <w:szCs w:val="24"/>
        </w:rPr>
        <w:t xml:space="preserve">oorzakelijk verband tussen </w:t>
      </w:r>
      <w:r w:rsidRPr="00463949" w:rsidR="0000662C">
        <w:rPr>
          <w:rFonts w:ascii="Times New Roman" w:hAnsi="Times New Roman" w:cs="Times New Roman"/>
          <w:sz w:val="24"/>
          <w:szCs w:val="24"/>
        </w:rPr>
        <w:t xml:space="preserve">het gebrek </w:t>
      </w:r>
      <w:r w:rsidRPr="00463949" w:rsidR="00B770AB">
        <w:rPr>
          <w:rFonts w:ascii="Times New Roman" w:hAnsi="Times New Roman" w:cs="Times New Roman"/>
          <w:sz w:val="24"/>
          <w:szCs w:val="24"/>
        </w:rPr>
        <w:t>van het product en de schade</w:t>
      </w:r>
      <w:r w:rsidRPr="00463949">
        <w:rPr>
          <w:rFonts w:ascii="Times New Roman" w:hAnsi="Times New Roman" w:cs="Times New Roman"/>
          <w:sz w:val="24"/>
          <w:szCs w:val="24"/>
        </w:rPr>
        <w:t xml:space="preserve">. Dit verband </w:t>
      </w:r>
      <w:r w:rsidRPr="00463949" w:rsidR="008F1CAD">
        <w:rPr>
          <w:rFonts w:ascii="Times New Roman" w:hAnsi="Times New Roman" w:cs="Times New Roman"/>
          <w:sz w:val="24"/>
          <w:szCs w:val="24"/>
        </w:rPr>
        <w:t xml:space="preserve">wordt </w:t>
      </w:r>
      <w:r w:rsidRPr="00463949" w:rsidR="00B770AB">
        <w:rPr>
          <w:rFonts w:ascii="Times New Roman" w:hAnsi="Times New Roman" w:cs="Times New Roman"/>
          <w:sz w:val="24"/>
          <w:szCs w:val="24"/>
        </w:rPr>
        <w:t>vermoed wanneer is vastgesteld dat het product gebrekkig is en de soort veroorzaakte schade doorgaans strookt met het betrokken gebrek</w:t>
      </w:r>
      <w:r w:rsidRPr="00463949" w:rsidR="0000627E">
        <w:rPr>
          <w:rFonts w:ascii="Times New Roman" w:hAnsi="Times New Roman" w:cs="Times New Roman"/>
          <w:sz w:val="24"/>
          <w:szCs w:val="24"/>
        </w:rPr>
        <w:t xml:space="preserve"> (artikel 9 lid 3 Richtlijn)</w:t>
      </w:r>
      <w:r w:rsidRPr="00463949" w:rsidR="00B770AB">
        <w:rPr>
          <w:rFonts w:ascii="Times New Roman" w:hAnsi="Times New Roman" w:cs="Times New Roman"/>
          <w:sz w:val="24"/>
          <w:szCs w:val="24"/>
        </w:rPr>
        <w:t xml:space="preserve">. </w:t>
      </w:r>
    </w:p>
    <w:p w:rsidRPr="00463949" w:rsidR="00F61027" w:rsidP="002464D4" w:rsidRDefault="00F61027" w14:paraId="373ED12E" w14:textId="77777777">
      <w:pPr>
        <w:spacing w:after="0" w:line="276" w:lineRule="auto"/>
        <w:rPr>
          <w:rFonts w:ascii="Times New Roman" w:hAnsi="Times New Roman" w:cs="Times New Roman"/>
          <w:sz w:val="24"/>
          <w:szCs w:val="24"/>
        </w:rPr>
      </w:pPr>
    </w:p>
    <w:p w:rsidRPr="00463949" w:rsidR="003A0489" w:rsidP="002464D4" w:rsidRDefault="00B73C22" w14:paraId="2725DBFE" w14:textId="7516A548">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Naast de</w:t>
      </w:r>
      <w:r w:rsidRPr="00463949" w:rsidR="00F61027">
        <w:rPr>
          <w:rFonts w:ascii="Times New Roman" w:hAnsi="Times New Roman" w:cs="Times New Roman"/>
          <w:sz w:val="24"/>
          <w:szCs w:val="24"/>
        </w:rPr>
        <w:t xml:space="preserve"> hiervoor genoemde</w:t>
      </w:r>
      <w:r w:rsidRPr="00463949" w:rsidR="00A85B63">
        <w:rPr>
          <w:rFonts w:ascii="Times New Roman" w:hAnsi="Times New Roman" w:cs="Times New Roman"/>
          <w:sz w:val="24"/>
          <w:szCs w:val="24"/>
        </w:rPr>
        <w:t xml:space="preserve"> algemene</w:t>
      </w:r>
      <w:r w:rsidRPr="00463949">
        <w:rPr>
          <w:rFonts w:ascii="Times New Roman" w:hAnsi="Times New Roman" w:cs="Times New Roman"/>
          <w:sz w:val="24"/>
          <w:szCs w:val="24"/>
        </w:rPr>
        <w:t xml:space="preserve"> </w:t>
      </w:r>
      <w:r w:rsidRPr="00463949" w:rsidR="00F153DB">
        <w:rPr>
          <w:rFonts w:ascii="Times New Roman" w:hAnsi="Times New Roman" w:cs="Times New Roman"/>
          <w:sz w:val="24"/>
          <w:szCs w:val="24"/>
        </w:rPr>
        <w:t>bewijs</w:t>
      </w:r>
      <w:r w:rsidRPr="00463949">
        <w:rPr>
          <w:rFonts w:ascii="Times New Roman" w:hAnsi="Times New Roman" w:cs="Times New Roman"/>
          <w:sz w:val="24"/>
          <w:szCs w:val="24"/>
        </w:rPr>
        <w:t>vermoedens, bevat de R</w:t>
      </w:r>
      <w:r w:rsidRPr="00463949" w:rsidR="00B770AB">
        <w:rPr>
          <w:rFonts w:ascii="Times New Roman" w:hAnsi="Times New Roman" w:cs="Times New Roman"/>
          <w:sz w:val="24"/>
          <w:szCs w:val="24"/>
        </w:rPr>
        <w:t>ichtlijn</w:t>
      </w:r>
      <w:r w:rsidRPr="00463949">
        <w:rPr>
          <w:rFonts w:ascii="Times New Roman" w:hAnsi="Times New Roman" w:cs="Times New Roman"/>
          <w:sz w:val="24"/>
          <w:szCs w:val="24"/>
        </w:rPr>
        <w:t xml:space="preserve"> </w:t>
      </w:r>
      <w:r w:rsidRPr="00463949" w:rsidR="00EE2389">
        <w:rPr>
          <w:rFonts w:ascii="Times New Roman" w:hAnsi="Times New Roman" w:cs="Times New Roman"/>
          <w:sz w:val="24"/>
          <w:szCs w:val="24"/>
        </w:rPr>
        <w:t xml:space="preserve">ook </w:t>
      </w:r>
      <w:r w:rsidRPr="00463949" w:rsidR="00F153DB">
        <w:rPr>
          <w:rFonts w:ascii="Times New Roman" w:hAnsi="Times New Roman" w:cs="Times New Roman"/>
          <w:sz w:val="24"/>
          <w:szCs w:val="24"/>
        </w:rPr>
        <w:t>v</w:t>
      </w:r>
      <w:r w:rsidRPr="00463949" w:rsidR="00B770AB">
        <w:rPr>
          <w:rFonts w:ascii="Times New Roman" w:hAnsi="Times New Roman" w:cs="Times New Roman"/>
          <w:sz w:val="24"/>
          <w:szCs w:val="24"/>
        </w:rPr>
        <w:t>ermoedens</w:t>
      </w:r>
      <w:r w:rsidRPr="00463949" w:rsidR="00A85B63">
        <w:rPr>
          <w:rFonts w:ascii="Times New Roman" w:hAnsi="Times New Roman" w:cs="Times New Roman"/>
          <w:sz w:val="24"/>
          <w:szCs w:val="24"/>
        </w:rPr>
        <w:t xml:space="preserve"> </w:t>
      </w:r>
      <w:r w:rsidRPr="00463949" w:rsidR="00F61027">
        <w:rPr>
          <w:rFonts w:ascii="Times New Roman" w:hAnsi="Times New Roman" w:cs="Times New Roman"/>
          <w:sz w:val="24"/>
          <w:szCs w:val="24"/>
        </w:rPr>
        <w:t xml:space="preserve">die </w:t>
      </w:r>
      <w:r w:rsidRPr="00463949" w:rsidR="00EE2389">
        <w:rPr>
          <w:rFonts w:ascii="Times New Roman" w:hAnsi="Times New Roman" w:cs="Times New Roman"/>
          <w:sz w:val="24"/>
          <w:szCs w:val="24"/>
        </w:rPr>
        <w:t xml:space="preserve">alleen </w:t>
      </w:r>
      <w:r w:rsidRPr="00463949" w:rsidR="00F61027">
        <w:rPr>
          <w:rFonts w:ascii="Times New Roman" w:hAnsi="Times New Roman" w:cs="Times New Roman"/>
          <w:sz w:val="24"/>
          <w:szCs w:val="24"/>
        </w:rPr>
        <w:t xml:space="preserve">kunnen worden toegepast </w:t>
      </w:r>
      <w:r w:rsidRPr="00463949" w:rsidR="00A85B63">
        <w:rPr>
          <w:rFonts w:ascii="Times New Roman" w:hAnsi="Times New Roman" w:cs="Times New Roman"/>
          <w:sz w:val="24"/>
          <w:szCs w:val="24"/>
        </w:rPr>
        <w:t xml:space="preserve">wanneer </w:t>
      </w:r>
      <w:r w:rsidRPr="00463949" w:rsidR="0000627E">
        <w:rPr>
          <w:rFonts w:ascii="Times New Roman" w:hAnsi="Times New Roman" w:cs="Times New Roman"/>
          <w:sz w:val="24"/>
          <w:szCs w:val="24"/>
        </w:rPr>
        <w:t>de eiser</w:t>
      </w:r>
      <w:r w:rsidRPr="00463949">
        <w:rPr>
          <w:rFonts w:ascii="Times New Roman" w:hAnsi="Times New Roman" w:cs="Times New Roman"/>
          <w:sz w:val="24"/>
          <w:szCs w:val="24"/>
        </w:rPr>
        <w:t xml:space="preserve"> </w:t>
      </w:r>
      <w:r w:rsidRPr="00463949" w:rsidR="008F1CAD">
        <w:rPr>
          <w:rFonts w:ascii="Times New Roman" w:hAnsi="Times New Roman" w:cs="Times New Roman"/>
          <w:sz w:val="24"/>
          <w:szCs w:val="24"/>
        </w:rPr>
        <w:t>“</w:t>
      </w:r>
      <w:r w:rsidRPr="00463949" w:rsidR="006A3983">
        <w:rPr>
          <w:rFonts w:ascii="Times New Roman" w:hAnsi="Times New Roman" w:cs="Times New Roman"/>
          <w:sz w:val="24"/>
          <w:szCs w:val="24"/>
        </w:rPr>
        <w:t>buitensporige bewijsmoeilijkheden</w:t>
      </w:r>
      <w:r w:rsidRPr="00463949" w:rsidR="008F1CAD">
        <w:rPr>
          <w:rFonts w:ascii="Times New Roman" w:hAnsi="Times New Roman" w:cs="Times New Roman"/>
          <w:sz w:val="24"/>
          <w:szCs w:val="24"/>
        </w:rPr>
        <w:t>”</w:t>
      </w:r>
      <w:r w:rsidRPr="00463949" w:rsidR="0000627E">
        <w:rPr>
          <w:rFonts w:ascii="Times New Roman" w:hAnsi="Times New Roman" w:cs="Times New Roman"/>
          <w:sz w:val="24"/>
          <w:szCs w:val="24"/>
        </w:rPr>
        <w:t xml:space="preserve"> ondervindt</w:t>
      </w:r>
      <w:r w:rsidRPr="00463949" w:rsidR="006A3983">
        <w:rPr>
          <w:rFonts w:ascii="Times New Roman" w:hAnsi="Times New Roman" w:cs="Times New Roman"/>
          <w:sz w:val="24"/>
          <w:szCs w:val="24"/>
        </w:rPr>
        <w:t>, met name als gevolg van de technische of wetenschappelijke complexiteit van de zaak</w:t>
      </w:r>
      <w:r w:rsidRPr="00463949" w:rsidR="00B770AB">
        <w:rPr>
          <w:rFonts w:ascii="Times New Roman" w:hAnsi="Times New Roman" w:cs="Times New Roman"/>
          <w:sz w:val="24"/>
          <w:szCs w:val="24"/>
        </w:rPr>
        <w:t>.</w:t>
      </w:r>
      <w:r w:rsidRPr="00463949" w:rsidR="008C309F">
        <w:rPr>
          <w:rFonts w:ascii="Times New Roman" w:hAnsi="Times New Roman" w:cs="Times New Roman"/>
          <w:sz w:val="24"/>
          <w:szCs w:val="24"/>
        </w:rPr>
        <w:t xml:space="preserve"> </w:t>
      </w:r>
      <w:r w:rsidRPr="00463949" w:rsidR="00B26C29">
        <w:rPr>
          <w:rFonts w:ascii="Times New Roman" w:hAnsi="Times New Roman" w:cs="Times New Roman"/>
          <w:sz w:val="24"/>
          <w:szCs w:val="24"/>
        </w:rPr>
        <w:t xml:space="preserve">De </w:t>
      </w:r>
      <w:r w:rsidRPr="00463949" w:rsidR="0000627E">
        <w:rPr>
          <w:rFonts w:ascii="Times New Roman" w:hAnsi="Times New Roman" w:cs="Times New Roman"/>
          <w:sz w:val="24"/>
          <w:szCs w:val="24"/>
        </w:rPr>
        <w:t>rechter</w:t>
      </w:r>
      <w:r w:rsidRPr="00463949" w:rsidR="00B26C29">
        <w:rPr>
          <w:rFonts w:ascii="Times New Roman" w:hAnsi="Times New Roman" w:cs="Times New Roman"/>
          <w:sz w:val="24"/>
          <w:szCs w:val="24"/>
        </w:rPr>
        <w:t xml:space="preserve"> dient aan de hand van alle omstandigheden van het geval</w:t>
      </w:r>
      <w:r w:rsidRPr="00463949" w:rsidR="0000627E">
        <w:rPr>
          <w:rFonts w:ascii="Times New Roman" w:hAnsi="Times New Roman" w:cs="Times New Roman"/>
          <w:sz w:val="24"/>
          <w:szCs w:val="24"/>
        </w:rPr>
        <w:t xml:space="preserve"> te beoordelen</w:t>
      </w:r>
      <w:r w:rsidRPr="00463949" w:rsidR="00B26C29">
        <w:rPr>
          <w:rFonts w:ascii="Times New Roman" w:hAnsi="Times New Roman" w:cs="Times New Roman"/>
          <w:sz w:val="24"/>
          <w:szCs w:val="24"/>
        </w:rPr>
        <w:t xml:space="preserve"> of</w:t>
      </w:r>
      <w:r w:rsidRPr="00463949" w:rsidR="008F1CAD">
        <w:rPr>
          <w:rFonts w:ascii="Times New Roman" w:hAnsi="Times New Roman" w:cs="Times New Roman"/>
          <w:sz w:val="24"/>
          <w:szCs w:val="24"/>
        </w:rPr>
        <w:t xml:space="preserve"> hiervan</w:t>
      </w:r>
      <w:r w:rsidRPr="00463949" w:rsidR="00B26C29">
        <w:rPr>
          <w:rFonts w:ascii="Times New Roman" w:hAnsi="Times New Roman" w:cs="Times New Roman"/>
          <w:sz w:val="24"/>
          <w:szCs w:val="24"/>
        </w:rPr>
        <w:t xml:space="preserve"> sprake is</w:t>
      </w:r>
      <w:r w:rsidRPr="00463949" w:rsidR="006A3983">
        <w:rPr>
          <w:rFonts w:ascii="Times New Roman" w:hAnsi="Times New Roman" w:cs="Times New Roman"/>
          <w:sz w:val="24"/>
          <w:szCs w:val="24"/>
        </w:rPr>
        <w:t>.</w:t>
      </w:r>
      <w:r w:rsidRPr="00463949" w:rsidR="00CB5FA7">
        <w:rPr>
          <w:rFonts w:ascii="Times New Roman" w:hAnsi="Times New Roman" w:cs="Times New Roman"/>
          <w:sz w:val="24"/>
          <w:szCs w:val="24"/>
        </w:rPr>
        <w:t xml:space="preserve"> Stelt hij vast dat </w:t>
      </w:r>
      <w:r w:rsidRPr="00463949" w:rsidR="002D1CA7">
        <w:rPr>
          <w:rFonts w:ascii="Times New Roman" w:hAnsi="Times New Roman" w:cs="Times New Roman"/>
          <w:sz w:val="24"/>
          <w:szCs w:val="24"/>
        </w:rPr>
        <w:t xml:space="preserve">de eiser geconfronteerd wordt met </w:t>
      </w:r>
      <w:r w:rsidRPr="00463949" w:rsidR="008F1CAD">
        <w:rPr>
          <w:rFonts w:ascii="Times New Roman" w:hAnsi="Times New Roman" w:cs="Times New Roman"/>
          <w:sz w:val="24"/>
          <w:szCs w:val="24"/>
        </w:rPr>
        <w:t>“buitensporige moeilijkheden”</w:t>
      </w:r>
      <w:r w:rsidRPr="00463949" w:rsidR="002D1CA7">
        <w:rPr>
          <w:rFonts w:ascii="Times New Roman" w:hAnsi="Times New Roman" w:cs="Times New Roman"/>
          <w:sz w:val="24"/>
          <w:szCs w:val="24"/>
        </w:rPr>
        <w:t xml:space="preserve"> om het gebrek van het product </w:t>
      </w:r>
      <w:r w:rsidRPr="00463949" w:rsidR="006603F2">
        <w:rPr>
          <w:rFonts w:ascii="Times New Roman" w:hAnsi="Times New Roman" w:cs="Times New Roman"/>
          <w:sz w:val="24"/>
          <w:szCs w:val="24"/>
        </w:rPr>
        <w:t>en/</w:t>
      </w:r>
      <w:r w:rsidRPr="00463949" w:rsidR="002D1CA7">
        <w:rPr>
          <w:rFonts w:ascii="Times New Roman" w:hAnsi="Times New Roman" w:cs="Times New Roman"/>
          <w:sz w:val="24"/>
          <w:szCs w:val="24"/>
        </w:rPr>
        <w:t>of het oorzakelijk verband tussen dat gebrek en de schade aan te tonen</w:t>
      </w:r>
      <w:r w:rsidRPr="00463949" w:rsidR="006A3983">
        <w:rPr>
          <w:rFonts w:ascii="Times New Roman" w:hAnsi="Times New Roman" w:cs="Times New Roman"/>
          <w:sz w:val="24"/>
          <w:szCs w:val="24"/>
        </w:rPr>
        <w:t xml:space="preserve">, dan </w:t>
      </w:r>
      <w:r w:rsidRPr="00463949" w:rsidR="008C309F">
        <w:rPr>
          <w:rFonts w:ascii="Times New Roman" w:hAnsi="Times New Roman" w:cs="Times New Roman"/>
          <w:sz w:val="24"/>
          <w:szCs w:val="24"/>
        </w:rPr>
        <w:t xml:space="preserve">wordt </w:t>
      </w:r>
      <w:r w:rsidRPr="00463949" w:rsidR="002D1CA7">
        <w:rPr>
          <w:rFonts w:ascii="Times New Roman" w:hAnsi="Times New Roman" w:cs="Times New Roman"/>
          <w:sz w:val="24"/>
          <w:szCs w:val="24"/>
        </w:rPr>
        <w:t xml:space="preserve">dat </w:t>
      </w:r>
      <w:r w:rsidRPr="00463949" w:rsidR="0000662C">
        <w:rPr>
          <w:rFonts w:ascii="Times New Roman" w:hAnsi="Times New Roman" w:cs="Times New Roman"/>
          <w:sz w:val="24"/>
          <w:szCs w:val="24"/>
        </w:rPr>
        <w:t xml:space="preserve">gebrek </w:t>
      </w:r>
      <w:r w:rsidRPr="00463949" w:rsidR="008C309F">
        <w:rPr>
          <w:rFonts w:ascii="Times New Roman" w:hAnsi="Times New Roman" w:cs="Times New Roman"/>
          <w:sz w:val="24"/>
          <w:szCs w:val="24"/>
        </w:rPr>
        <w:t xml:space="preserve">en/of </w:t>
      </w:r>
      <w:r w:rsidRPr="00463949" w:rsidR="002D1CA7">
        <w:rPr>
          <w:rFonts w:ascii="Times New Roman" w:hAnsi="Times New Roman" w:cs="Times New Roman"/>
          <w:sz w:val="24"/>
          <w:szCs w:val="24"/>
        </w:rPr>
        <w:t xml:space="preserve">dat </w:t>
      </w:r>
      <w:r w:rsidRPr="00463949" w:rsidR="008C309F">
        <w:rPr>
          <w:rFonts w:ascii="Times New Roman" w:hAnsi="Times New Roman" w:cs="Times New Roman"/>
          <w:sz w:val="24"/>
          <w:szCs w:val="24"/>
        </w:rPr>
        <w:t xml:space="preserve">oorzakelijk verband vermoed als de eiser </w:t>
      </w:r>
      <w:r w:rsidRPr="00463949" w:rsidR="002D1CA7">
        <w:rPr>
          <w:rFonts w:ascii="Times New Roman" w:hAnsi="Times New Roman" w:cs="Times New Roman"/>
          <w:sz w:val="24"/>
          <w:szCs w:val="24"/>
        </w:rPr>
        <w:t xml:space="preserve">aantoont </w:t>
      </w:r>
      <w:r w:rsidRPr="00463949" w:rsidR="008C309F">
        <w:rPr>
          <w:rFonts w:ascii="Times New Roman" w:hAnsi="Times New Roman" w:cs="Times New Roman"/>
          <w:sz w:val="24"/>
          <w:szCs w:val="24"/>
        </w:rPr>
        <w:t xml:space="preserve">dat het </w:t>
      </w:r>
      <w:r w:rsidRPr="00463949" w:rsidR="008C309F">
        <w:rPr>
          <w:rFonts w:ascii="Times New Roman" w:hAnsi="Times New Roman" w:cs="Times New Roman"/>
          <w:i/>
          <w:iCs/>
          <w:sz w:val="24"/>
          <w:szCs w:val="24"/>
        </w:rPr>
        <w:t>waarschijnlijk</w:t>
      </w:r>
      <w:r w:rsidRPr="00463949" w:rsidR="008C309F">
        <w:rPr>
          <w:rFonts w:ascii="Times New Roman" w:hAnsi="Times New Roman" w:cs="Times New Roman"/>
          <w:sz w:val="24"/>
          <w:szCs w:val="24"/>
        </w:rPr>
        <w:t xml:space="preserve"> is dat het product gebrekkig is en/of dat </w:t>
      </w:r>
      <w:r w:rsidRPr="00463949" w:rsidR="00575008">
        <w:rPr>
          <w:rFonts w:ascii="Times New Roman" w:hAnsi="Times New Roman" w:cs="Times New Roman"/>
          <w:sz w:val="24"/>
          <w:szCs w:val="24"/>
        </w:rPr>
        <w:t xml:space="preserve">het </w:t>
      </w:r>
      <w:r w:rsidRPr="00463949" w:rsidR="00575008">
        <w:rPr>
          <w:rFonts w:ascii="Times New Roman" w:hAnsi="Times New Roman" w:cs="Times New Roman"/>
          <w:i/>
          <w:iCs/>
          <w:sz w:val="24"/>
          <w:szCs w:val="24"/>
        </w:rPr>
        <w:t>waarschijnlijk</w:t>
      </w:r>
      <w:r w:rsidRPr="00463949" w:rsidR="00575008">
        <w:rPr>
          <w:rFonts w:ascii="Times New Roman" w:hAnsi="Times New Roman" w:cs="Times New Roman"/>
          <w:sz w:val="24"/>
          <w:szCs w:val="24"/>
        </w:rPr>
        <w:t xml:space="preserve"> is </w:t>
      </w:r>
      <w:r w:rsidRPr="00463949" w:rsidR="002D1CA7">
        <w:rPr>
          <w:rFonts w:ascii="Times New Roman" w:hAnsi="Times New Roman" w:cs="Times New Roman"/>
          <w:sz w:val="24"/>
          <w:szCs w:val="24"/>
        </w:rPr>
        <w:t xml:space="preserve">dat </w:t>
      </w:r>
      <w:r w:rsidRPr="00463949" w:rsidR="008C309F">
        <w:rPr>
          <w:rFonts w:ascii="Times New Roman" w:hAnsi="Times New Roman" w:cs="Times New Roman"/>
          <w:sz w:val="24"/>
          <w:szCs w:val="24"/>
        </w:rPr>
        <w:t>voornoemd oorzakelijk verband bestaat</w:t>
      </w:r>
      <w:r w:rsidRPr="00463949" w:rsidR="00070F75">
        <w:rPr>
          <w:rFonts w:ascii="Times New Roman" w:hAnsi="Times New Roman" w:cs="Times New Roman"/>
          <w:sz w:val="24"/>
          <w:szCs w:val="24"/>
        </w:rPr>
        <w:t xml:space="preserve"> (artikel 9 lid 4 Richtlijn)</w:t>
      </w:r>
      <w:r w:rsidRPr="00463949" w:rsidR="008C309F">
        <w:rPr>
          <w:rFonts w:ascii="Times New Roman" w:hAnsi="Times New Roman" w:cs="Times New Roman"/>
          <w:sz w:val="24"/>
          <w:szCs w:val="24"/>
        </w:rPr>
        <w:t>.</w:t>
      </w:r>
      <w:r w:rsidRPr="00463949" w:rsidR="006A3983">
        <w:rPr>
          <w:rFonts w:ascii="Times New Roman" w:hAnsi="Times New Roman" w:cs="Times New Roman"/>
          <w:sz w:val="24"/>
          <w:szCs w:val="24"/>
        </w:rPr>
        <w:t xml:space="preserve"> </w:t>
      </w:r>
      <w:r w:rsidRPr="00463949" w:rsidR="00A011C1">
        <w:rPr>
          <w:rFonts w:ascii="Times New Roman" w:hAnsi="Times New Roman" w:cs="Times New Roman"/>
          <w:sz w:val="24"/>
          <w:szCs w:val="24"/>
        </w:rPr>
        <w:t xml:space="preserve">Dit betreft </w:t>
      </w:r>
      <w:r w:rsidRPr="00463949" w:rsidR="00575008">
        <w:rPr>
          <w:rFonts w:ascii="Times New Roman" w:hAnsi="Times New Roman" w:cs="Times New Roman"/>
          <w:sz w:val="24"/>
          <w:szCs w:val="24"/>
        </w:rPr>
        <w:t>een lagere bewijsstandaard dan</w:t>
      </w:r>
      <w:r w:rsidRPr="00463949" w:rsidR="00A85B63">
        <w:rPr>
          <w:rFonts w:ascii="Times New Roman" w:hAnsi="Times New Roman" w:cs="Times New Roman"/>
          <w:sz w:val="24"/>
          <w:szCs w:val="24"/>
        </w:rPr>
        <w:t xml:space="preserve"> doorgaans</w:t>
      </w:r>
      <w:r w:rsidRPr="00463949" w:rsidR="00575008">
        <w:rPr>
          <w:rFonts w:ascii="Times New Roman" w:hAnsi="Times New Roman" w:cs="Times New Roman"/>
          <w:sz w:val="24"/>
          <w:szCs w:val="24"/>
        </w:rPr>
        <w:t xml:space="preserve"> is vereist op grond van </w:t>
      </w:r>
      <w:r w:rsidRPr="00463949" w:rsidR="00B26C29">
        <w:rPr>
          <w:rFonts w:ascii="Times New Roman" w:hAnsi="Times New Roman" w:cs="Times New Roman"/>
          <w:sz w:val="24"/>
          <w:szCs w:val="24"/>
        </w:rPr>
        <w:t xml:space="preserve">het </w:t>
      </w:r>
      <w:r w:rsidRPr="00463949" w:rsidR="00575008">
        <w:rPr>
          <w:rFonts w:ascii="Times New Roman" w:hAnsi="Times New Roman" w:cs="Times New Roman"/>
          <w:sz w:val="24"/>
          <w:szCs w:val="24"/>
        </w:rPr>
        <w:t>nationale recht</w:t>
      </w:r>
      <w:r w:rsidRPr="00463949" w:rsidR="00EE2389">
        <w:rPr>
          <w:rFonts w:ascii="Times New Roman" w:hAnsi="Times New Roman" w:cs="Times New Roman"/>
          <w:sz w:val="24"/>
          <w:szCs w:val="24"/>
        </w:rPr>
        <w:t xml:space="preserve">, waarbij vaak een hogere mate van </w:t>
      </w:r>
      <w:r w:rsidRPr="00463949" w:rsidR="00EE2389">
        <w:rPr>
          <w:rFonts w:ascii="Times New Roman" w:hAnsi="Times New Roman" w:cs="Times New Roman"/>
          <w:sz w:val="24"/>
          <w:szCs w:val="24"/>
        </w:rPr>
        <w:lastRenderedPageBreak/>
        <w:t>waarschijnlijkheid is vereist (zie overweging 46)</w:t>
      </w:r>
      <w:r w:rsidRPr="00463949" w:rsidR="00575008">
        <w:rPr>
          <w:rFonts w:ascii="Times New Roman" w:hAnsi="Times New Roman" w:cs="Times New Roman"/>
          <w:sz w:val="24"/>
          <w:szCs w:val="24"/>
        </w:rPr>
        <w:t xml:space="preserve">. </w:t>
      </w:r>
      <w:r w:rsidRPr="00463949" w:rsidR="008C309F">
        <w:rPr>
          <w:rFonts w:ascii="Times New Roman" w:hAnsi="Times New Roman" w:cs="Times New Roman"/>
          <w:sz w:val="24"/>
          <w:szCs w:val="24"/>
        </w:rPr>
        <w:t xml:space="preserve">De gedaagde heeft het recht om alle </w:t>
      </w:r>
      <w:r w:rsidRPr="00463949">
        <w:rPr>
          <w:rFonts w:ascii="Times New Roman" w:hAnsi="Times New Roman" w:cs="Times New Roman"/>
          <w:sz w:val="24"/>
          <w:szCs w:val="24"/>
        </w:rPr>
        <w:t>bewijs</w:t>
      </w:r>
      <w:r w:rsidRPr="00463949" w:rsidR="008C309F">
        <w:rPr>
          <w:rFonts w:ascii="Times New Roman" w:hAnsi="Times New Roman" w:cs="Times New Roman"/>
          <w:sz w:val="24"/>
          <w:szCs w:val="24"/>
        </w:rPr>
        <w:t>vermoedens te weerleggen</w:t>
      </w:r>
      <w:r w:rsidRPr="00463949" w:rsidR="00070F75">
        <w:rPr>
          <w:rFonts w:ascii="Times New Roman" w:hAnsi="Times New Roman" w:cs="Times New Roman"/>
          <w:sz w:val="24"/>
          <w:szCs w:val="24"/>
        </w:rPr>
        <w:t xml:space="preserve"> (artikel 9 lid 5 Richtlijn)</w:t>
      </w:r>
      <w:r w:rsidRPr="00463949" w:rsidR="008C309F">
        <w:rPr>
          <w:rFonts w:ascii="Times New Roman" w:hAnsi="Times New Roman" w:cs="Times New Roman"/>
          <w:sz w:val="24"/>
          <w:szCs w:val="24"/>
        </w:rPr>
        <w:t>.</w:t>
      </w:r>
    </w:p>
    <w:p w:rsidRPr="00463949" w:rsidR="00B770AB" w:rsidP="002464D4" w:rsidRDefault="00B770AB" w14:paraId="4DDD6CE6" w14:textId="77777777">
      <w:pPr>
        <w:spacing w:after="0" w:line="276" w:lineRule="auto"/>
        <w:rPr>
          <w:rFonts w:ascii="Times New Roman" w:hAnsi="Times New Roman" w:cs="Times New Roman"/>
          <w:sz w:val="24"/>
          <w:szCs w:val="24"/>
        </w:rPr>
      </w:pPr>
    </w:p>
    <w:p w:rsidRPr="00463949" w:rsidR="000E2F12" w:rsidP="00D045E0" w:rsidRDefault="003A0489" w14:paraId="7E5CD7E0" w14:textId="78571C5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Met het doel om ook andere belemmeringen om een schadevergoeding te </w:t>
      </w:r>
      <w:r w:rsidRPr="00463949" w:rsidR="00692B0F">
        <w:rPr>
          <w:rFonts w:ascii="Times New Roman" w:hAnsi="Times New Roman" w:cs="Times New Roman"/>
          <w:sz w:val="24"/>
          <w:szCs w:val="24"/>
        </w:rPr>
        <w:t>ver</w:t>
      </w:r>
      <w:r w:rsidRPr="00463949">
        <w:rPr>
          <w:rFonts w:ascii="Times New Roman" w:hAnsi="Times New Roman" w:cs="Times New Roman"/>
          <w:sz w:val="24"/>
          <w:szCs w:val="24"/>
        </w:rPr>
        <w:t>krijgen</w:t>
      </w:r>
      <w:r w:rsidRPr="00463949" w:rsidR="003559C8">
        <w:rPr>
          <w:rFonts w:ascii="Times New Roman" w:hAnsi="Times New Roman" w:cs="Times New Roman"/>
          <w:sz w:val="24"/>
          <w:szCs w:val="24"/>
        </w:rPr>
        <w:t xml:space="preserve"> te verminderen</w:t>
      </w:r>
      <w:r w:rsidRPr="00463949">
        <w:rPr>
          <w:rFonts w:ascii="Times New Roman" w:hAnsi="Times New Roman" w:cs="Times New Roman"/>
          <w:sz w:val="24"/>
          <w:szCs w:val="24"/>
        </w:rPr>
        <w:t xml:space="preserve">, schrapt de Richtlijn de regel dat </w:t>
      </w:r>
      <w:r w:rsidRPr="00463949" w:rsidR="000B6F8B">
        <w:rPr>
          <w:rFonts w:ascii="Times New Roman" w:hAnsi="Times New Roman" w:cs="Times New Roman"/>
          <w:sz w:val="24"/>
          <w:szCs w:val="24"/>
        </w:rPr>
        <w:t>alleen zaak</w:t>
      </w:r>
      <w:r w:rsidRPr="00463949">
        <w:rPr>
          <w:rFonts w:ascii="Times New Roman" w:hAnsi="Times New Roman" w:cs="Times New Roman"/>
          <w:sz w:val="24"/>
          <w:szCs w:val="24"/>
        </w:rPr>
        <w:t xml:space="preserve">schade </w:t>
      </w:r>
      <w:r w:rsidRPr="00463949" w:rsidR="00A011C1">
        <w:rPr>
          <w:rFonts w:ascii="Times New Roman" w:hAnsi="Times New Roman" w:cs="Times New Roman"/>
          <w:sz w:val="24"/>
          <w:szCs w:val="24"/>
        </w:rPr>
        <w:t xml:space="preserve">van </w:t>
      </w:r>
      <w:r w:rsidRPr="00463949">
        <w:rPr>
          <w:rFonts w:ascii="Times New Roman" w:hAnsi="Times New Roman" w:cs="Times New Roman"/>
          <w:sz w:val="24"/>
          <w:szCs w:val="24"/>
        </w:rPr>
        <w:t xml:space="preserve">minimaal € 500,- </w:t>
      </w:r>
      <w:r w:rsidRPr="00463949" w:rsidR="000B6F8B">
        <w:rPr>
          <w:rFonts w:ascii="Times New Roman" w:hAnsi="Times New Roman" w:cs="Times New Roman"/>
          <w:sz w:val="24"/>
          <w:szCs w:val="24"/>
        </w:rPr>
        <w:t>kan worden vergoed</w:t>
      </w:r>
      <w:r w:rsidRPr="00463949" w:rsidR="00A5540A">
        <w:rPr>
          <w:rFonts w:ascii="Times New Roman" w:hAnsi="Times New Roman" w:cs="Times New Roman"/>
          <w:sz w:val="24"/>
          <w:szCs w:val="24"/>
        </w:rPr>
        <w:t xml:space="preserve"> (de franchise)</w:t>
      </w:r>
      <w:r w:rsidRPr="00463949">
        <w:rPr>
          <w:rFonts w:ascii="Times New Roman" w:hAnsi="Times New Roman" w:cs="Times New Roman"/>
          <w:sz w:val="24"/>
          <w:szCs w:val="24"/>
        </w:rPr>
        <w:t>.</w:t>
      </w:r>
      <w:r w:rsidRPr="00463949" w:rsidR="003559C8">
        <w:rPr>
          <w:rFonts w:ascii="Times New Roman" w:hAnsi="Times New Roman" w:cs="Times New Roman"/>
          <w:sz w:val="24"/>
          <w:szCs w:val="24"/>
        </w:rPr>
        <w:t xml:space="preserve"> Hierdoor </w:t>
      </w:r>
      <w:r w:rsidRPr="00463949" w:rsidR="00EE2389">
        <w:rPr>
          <w:rFonts w:ascii="Times New Roman" w:hAnsi="Times New Roman" w:cs="Times New Roman"/>
          <w:sz w:val="24"/>
          <w:szCs w:val="24"/>
        </w:rPr>
        <w:t xml:space="preserve">kan </w:t>
      </w:r>
      <w:r w:rsidRPr="00463949" w:rsidR="00D17322">
        <w:rPr>
          <w:rFonts w:ascii="Times New Roman" w:hAnsi="Times New Roman" w:cs="Times New Roman"/>
          <w:sz w:val="24"/>
          <w:szCs w:val="24"/>
        </w:rPr>
        <w:t>voortaan ook</w:t>
      </w:r>
      <w:r w:rsidRPr="00463949" w:rsidR="00EE2389">
        <w:rPr>
          <w:rFonts w:ascii="Times New Roman" w:hAnsi="Times New Roman" w:cs="Times New Roman"/>
          <w:sz w:val="24"/>
          <w:szCs w:val="24"/>
        </w:rPr>
        <w:t xml:space="preserve"> voor</w:t>
      </w:r>
      <w:r w:rsidRPr="00463949" w:rsidR="00D17322">
        <w:rPr>
          <w:rFonts w:ascii="Times New Roman" w:hAnsi="Times New Roman" w:cs="Times New Roman"/>
          <w:sz w:val="24"/>
          <w:szCs w:val="24"/>
        </w:rPr>
        <w:t xml:space="preserve"> </w:t>
      </w:r>
      <w:r w:rsidRPr="00463949" w:rsidR="003559C8">
        <w:rPr>
          <w:rFonts w:ascii="Times New Roman" w:hAnsi="Times New Roman" w:cs="Times New Roman"/>
          <w:sz w:val="24"/>
          <w:szCs w:val="24"/>
        </w:rPr>
        <w:t xml:space="preserve">kleine </w:t>
      </w:r>
      <w:r w:rsidRPr="00463949" w:rsidR="000B6F8B">
        <w:rPr>
          <w:rFonts w:ascii="Times New Roman" w:hAnsi="Times New Roman" w:cs="Times New Roman"/>
          <w:sz w:val="24"/>
          <w:szCs w:val="24"/>
        </w:rPr>
        <w:t>zaak</w:t>
      </w:r>
      <w:r w:rsidRPr="00463949" w:rsidR="003559C8">
        <w:rPr>
          <w:rFonts w:ascii="Times New Roman" w:hAnsi="Times New Roman" w:cs="Times New Roman"/>
          <w:sz w:val="24"/>
          <w:szCs w:val="24"/>
        </w:rPr>
        <w:t>schades</w:t>
      </w:r>
      <w:r w:rsidRPr="00463949" w:rsidR="00A85B63">
        <w:rPr>
          <w:rFonts w:ascii="Times New Roman" w:hAnsi="Times New Roman" w:cs="Times New Roman"/>
          <w:sz w:val="24"/>
          <w:szCs w:val="24"/>
        </w:rPr>
        <w:t xml:space="preserve"> </w:t>
      </w:r>
      <w:r w:rsidRPr="00463949" w:rsidR="00EE2389">
        <w:rPr>
          <w:rFonts w:ascii="Times New Roman" w:hAnsi="Times New Roman" w:cs="Times New Roman"/>
          <w:sz w:val="24"/>
          <w:szCs w:val="24"/>
        </w:rPr>
        <w:t>een schadevergoeding worden verkregen</w:t>
      </w:r>
      <w:r w:rsidRPr="00463949" w:rsidR="003559C8">
        <w:rPr>
          <w:rFonts w:ascii="Times New Roman" w:hAnsi="Times New Roman" w:cs="Times New Roman"/>
          <w:sz w:val="24"/>
          <w:szCs w:val="24"/>
        </w:rPr>
        <w:t>.</w:t>
      </w:r>
      <w:r w:rsidRPr="00463949">
        <w:rPr>
          <w:rFonts w:ascii="Times New Roman" w:hAnsi="Times New Roman" w:cs="Times New Roman"/>
          <w:sz w:val="24"/>
          <w:szCs w:val="24"/>
        </w:rPr>
        <w:t xml:space="preserve"> </w:t>
      </w:r>
      <w:r w:rsidRPr="00463949" w:rsidR="00812ED1">
        <w:rPr>
          <w:rFonts w:ascii="Times New Roman" w:hAnsi="Times New Roman" w:cs="Times New Roman"/>
          <w:sz w:val="24"/>
          <w:szCs w:val="24"/>
        </w:rPr>
        <w:t xml:space="preserve">Daarnaast </w:t>
      </w:r>
      <w:r w:rsidRPr="00463949">
        <w:rPr>
          <w:rFonts w:ascii="Times New Roman" w:hAnsi="Times New Roman" w:cs="Times New Roman"/>
          <w:sz w:val="24"/>
          <w:szCs w:val="24"/>
        </w:rPr>
        <w:t xml:space="preserve">bevat de Richtlijn een verlenging van de vervaltermijn van tien naar </w:t>
      </w:r>
      <w:r w:rsidRPr="00463949" w:rsidR="007E0FC4">
        <w:rPr>
          <w:rFonts w:ascii="Times New Roman" w:hAnsi="Times New Roman" w:cs="Times New Roman"/>
          <w:sz w:val="24"/>
          <w:szCs w:val="24"/>
        </w:rPr>
        <w:t xml:space="preserve">25 </w:t>
      </w:r>
      <w:r w:rsidRPr="00463949">
        <w:rPr>
          <w:rFonts w:ascii="Times New Roman" w:hAnsi="Times New Roman" w:cs="Times New Roman"/>
          <w:sz w:val="24"/>
          <w:szCs w:val="24"/>
        </w:rPr>
        <w:t xml:space="preserve">jaar </w:t>
      </w:r>
      <w:r w:rsidRPr="00463949" w:rsidR="00A85B63">
        <w:rPr>
          <w:rFonts w:ascii="Times New Roman" w:hAnsi="Times New Roman" w:cs="Times New Roman"/>
          <w:sz w:val="24"/>
          <w:szCs w:val="24"/>
        </w:rPr>
        <w:t xml:space="preserve">voor </w:t>
      </w:r>
      <w:r w:rsidRPr="00463949" w:rsidR="00D17322">
        <w:rPr>
          <w:rFonts w:ascii="Times New Roman" w:hAnsi="Times New Roman" w:cs="Times New Roman"/>
          <w:sz w:val="24"/>
          <w:szCs w:val="24"/>
        </w:rPr>
        <w:t xml:space="preserve">het geval een benadeelde vanwege de </w:t>
      </w:r>
      <w:r w:rsidRPr="00463949" w:rsidR="00463EA9">
        <w:rPr>
          <w:rFonts w:ascii="Times New Roman" w:hAnsi="Times New Roman" w:cs="Times New Roman"/>
          <w:sz w:val="24"/>
          <w:szCs w:val="24"/>
        </w:rPr>
        <w:t xml:space="preserve">lange </w:t>
      </w:r>
      <w:r w:rsidRPr="00463949" w:rsidR="00D17322">
        <w:rPr>
          <w:rFonts w:ascii="Times New Roman" w:hAnsi="Times New Roman" w:cs="Times New Roman"/>
          <w:sz w:val="24"/>
          <w:szCs w:val="24"/>
        </w:rPr>
        <w:t xml:space="preserve">latentietijd </w:t>
      </w:r>
      <w:r w:rsidRPr="00463949" w:rsidR="00463EA9">
        <w:rPr>
          <w:rFonts w:ascii="Times New Roman" w:hAnsi="Times New Roman" w:cs="Times New Roman"/>
          <w:sz w:val="24"/>
          <w:szCs w:val="24"/>
        </w:rPr>
        <w:t xml:space="preserve">(periode tussen de veroorzaking van het letsel en de openbaring daarvan) </w:t>
      </w:r>
      <w:r w:rsidRPr="00463949" w:rsidR="00D17322">
        <w:rPr>
          <w:rFonts w:ascii="Times New Roman" w:hAnsi="Times New Roman" w:cs="Times New Roman"/>
          <w:sz w:val="24"/>
          <w:szCs w:val="24"/>
        </w:rPr>
        <w:t>van een lichamelijk letsel niet in staat was om binnen tien jaar een procedure te starten</w:t>
      </w:r>
      <w:r w:rsidRPr="00463949" w:rsidR="002F7688">
        <w:rPr>
          <w:rFonts w:ascii="Times New Roman" w:hAnsi="Times New Roman" w:cs="Times New Roman"/>
          <w:sz w:val="24"/>
          <w:szCs w:val="24"/>
        </w:rPr>
        <w:t xml:space="preserve"> </w:t>
      </w:r>
      <w:r w:rsidRPr="00463949">
        <w:rPr>
          <w:rFonts w:ascii="Times New Roman" w:hAnsi="Times New Roman" w:cs="Times New Roman"/>
          <w:sz w:val="24"/>
          <w:szCs w:val="24"/>
        </w:rPr>
        <w:t>(artikel 17 lid 2</w:t>
      </w:r>
      <w:r w:rsidRPr="00463949" w:rsidR="00A5540A">
        <w:rPr>
          <w:rFonts w:ascii="Times New Roman" w:hAnsi="Times New Roman" w:cs="Times New Roman"/>
          <w:sz w:val="24"/>
          <w:szCs w:val="24"/>
        </w:rPr>
        <w:t xml:space="preserve"> Richtlijn</w:t>
      </w:r>
      <w:r w:rsidRPr="00463949">
        <w:rPr>
          <w:rFonts w:ascii="Times New Roman" w:hAnsi="Times New Roman" w:cs="Times New Roman"/>
          <w:sz w:val="24"/>
          <w:szCs w:val="24"/>
        </w:rPr>
        <w:t>)</w:t>
      </w:r>
      <w:r w:rsidRPr="00463949" w:rsidR="00B73C22">
        <w:rPr>
          <w:rFonts w:ascii="Times New Roman" w:hAnsi="Times New Roman" w:cs="Times New Roman"/>
          <w:sz w:val="24"/>
          <w:szCs w:val="24"/>
        </w:rPr>
        <w:t>.</w:t>
      </w:r>
      <w:bookmarkEnd w:id="0"/>
    </w:p>
    <w:p w:rsidRPr="00463949" w:rsidR="00E67413" w:rsidP="00D045E0" w:rsidRDefault="00E67413" w14:paraId="13207A94" w14:textId="77777777">
      <w:pPr>
        <w:spacing w:after="0" w:line="276" w:lineRule="auto"/>
        <w:rPr>
          <w:rFonts w:ascii="Times New Roman" w:hAnsi="Times New Roman" w:cs="Times New Roman"/>
          <w:sz w:val="24"/>
          <w:szCs w:val="24"/>
        </w:rPr>
      </w:pPr>
    </w:p>
    <w:p w:rsidRPr="00463949" w:rsidR="00E67413" w:rsidP="001A22A4" w:rsidRDefault="00E67413" w14:paraId="29A278B9" w14:textId="019DC6C7">
      <w:pPr>
        <w:pStyle w:val="Lijstalinea"/>
        <w:numPr>
          <w:ilvl w:val="0"/>
          <w:numId w:val="23"/>
        </w:num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Aanpassingen met het oog op de circulaire economie</w:t>
      </w:r>
    </w:p>
    <w:p w:rsidRPr="00463949" w:rsidR="00E67413" w:rsidP="00E67413" w:rsidRDefault="00E67413" w14:paraId="4523CA53" w14:textId="77777777">
      <w:pPr>
        <w:spacing w:after="0" w:line="276" w:lineRule="auto"/>
        <w:rPr>
          <w:rFonts w:ascii="Times New Roman" w:hAnsi="Times New Roman" w:cs="Times New Roman"/>
          <w:sz w:val="24"/>
          <w:szCs w:val="24"/>
        </w:rPr>
      </w:pPr>
    </w:p>
    <w:p w:rsidRPr="00463949" w:rsidR="00EE2389" w:rsidP="00E67413" w:rsidRDefault="002064B8" w14:paraId="2A075E17" w14:textId="5967DFB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Tot slot bevat de Richtlijn een aantal aanpassingen met het oog op de circulaire economie. </w:t>
      </w:r>
      <w:r w:rsidRPr="00463949" w:rsidR="00E67413">
        <w:rPr>
          <w:rFonts w:ascii="Times New Roman" w:hAnsi="Times New Roman" w:cs="Times New Roman"/>
          <w:sz w:val="24"/>
          <w:szCs w:val="24"/>
        </w:rPr>
        <w:t>Bij de overgang van een lineaire naar een circulaire economie worden producten zo ontworpen dat ze duurzamer, beter herbruikbaar, gemakkelijker te herstellen en gemakkelijker op te waarderen zijn. De EU bevordert ook innovatieve en duurzame productie- en consumptiemethoden die de functionaliteit van producten en componenten verlengen, zoals revisie, opknappen en reparatie</w:t>
      </w:r>
      <w:r w:rsidRPr="00463949" w:rsidR="00EE2389">
        <w:rPr>
          <w:rFonts w:ascii="Times New Roman" w:hAnsi="Times New Roman" w:cs="Times New Roman"/>
          <w:sz w:val="24"/>
          <w:szCs w:val="24"/>
        </w:rPr>
        <w:t xml:space="preserve"> (zie overweging 39)</w:t>
      </w:r>
      <w:r w:rsidRPr="00463949" w:rsidR="00E67413">
        <w:rPr>
          <w:rFonts w:ascii="Times New Roman" w:hAnsi="Times New Roman" w:cs="Times New Roman"/>
          <w:sz w:val="24"/>
          <w:szCs w:val="24"/>
        </w:rPr>
        <w:t>.</w:t>
      </w:r>
      <w:r w:rsidRPr="00463949" w:rsidR="00E67413">
        <w:rPr>
          <w:rStyle w:val="Voetnootmarkering"/>
          <w:rFonts w:ascii="Times New Roman" w:hAnsi="Times New Roman" w:cs="Times New Roman"/>
          <w:sz w:val="24"/>
          <w:szCs w:val="24"/>
        </w:rPr>
        <w:footnoteReference w:id="30"/>
      </w:r>
      <w:r w:rsidRPr="00463949" w:rsidR="00E67413">
        <w:rPr>
          <w:rFonts w:ascii="Times New Roman" w:hAnsi="Times New Roman" w:cs="Times New Roman"/>
          <w:sz w:val="24"/>
          <w:szCs w:val="24"/>
        </w:rPr>
        <w:t xml:space="preserve"> Wanneer een product ingrijpend wordt gewijzigd en </w:t>
      </w:r>
      <w:r w:rsidRPr="00463949" w:rsidR="007904FC">
        <w:rPr>
          <w:rFonts w:ascii="Times New Roman" w:hAnsi="Times New Roman" w:cs="Times New Roman"/>
          <w:sz w:val="24"/>
          <w:szCs w:val="24"/>
        </w:rPr>
        <w:t xml:space="preserve">vervolgens </w:t>
      </w:r>
      <w:r w:rsidRPr="00463949" w:rsidR="007E0FC4">
        <w:rPr>
          <w:rFonts w:ascii="Times New Roman" w:hAnsi="Times New Roman" w:cs="Times New Roman"/>
          <w:sz w:val="24"/>
          <w:szCs w:val="24"/>
        </w:rPr>
        <w:t xml:space="preserve">op de markt wordt aangeboden </w:t>
      </w:r>
      <w:r w:rsidRPr="00463949" w:rsidR="00E67413">
        <w:rPr>
          <w:rFonts w:ascii="Times New Roman" w:hAnsi="Times New Roman" w:cs="Times New Roman"/>
          <w:sz w:val="24"/>
          <w:szCs w:val="24"/>
        </w:rPr>
        <w:t>of in gebruik wordt gesteld, wordt het voor de toepassing van de Richtlijn als een nieuw product beschouwd.</w:t>
      </w:r>
      <w:r w:rsidRPr="00463949" w:rsidR="007E0FC4">
        <w:rPr>
          <w:rFonts w:ascii="Times New Roman" w:hAnsi="Times New Roman" w:cs="Times New Roman"/>
          <w:sz w:val="24"/>
          <w:szCs w:val="24"/>
        </w:rPr>
        <w:t xml:space="preserve"> </w:t>
      </w:r>
      <w:r w:rsidRPr="00463949" w:rsidR="00E67413">
        <w:rPr>
          <w:rFonts w:ascii="Times New Roman" w:hAnsi="Times New Roman" w:cs="Times New Roman"/>
          <w:sz w:val="24"/>
          <w:szCs w:val="24"/>
        </w:rPr>
        <w:t xml:space="preserve">Wanneer de wijziging wordt aangebracht zonder dat de oorspronkelijke fabrikant daarover zeggenschap heeft, </w:t>
      </w:r>
      <w:r w:rsidRPr="00463949" w:rsidR="00671639">
        <w:rPr>
          <w:rFonts w:ascii="Times New Roman" w:hAnsi="Times New Roman" w:cs="Times New Roman"/>
          <w:sz w:val="24"/>
          <w:szCs w:val="24"/>
        </w:rPr>
        <w:t xml:space="preserve">kan </w:t>
      </w:r>
      <w:r w:rsidRPr="00463949" w:rsidR="00E67413">
        <w:rPr>
          <w:rFonts w:ascii="Times New Roman" w:hAnsi="Times New Roman" w:cs="Times New Roman"/>
          <w:sz w:val="24"/>
          <w:szCs w:val="24"/>
        </w:rPr>
        <w:t>de persoon die de ingrijpende wijziging heeft aangebracht als fabrikant van het gewijzigde product aansprakelijk</w:t>
      </w:r>
      <w:r w:rsidRPr="00463949" w:rsidR="00671639">
        <w:rPr>
          <w:rFonts w:ascii="Times New Roman" w:hAnsi="Times New Roman" w:cs="Times New Roman"/>
          <w:sz w:val="24"/>
          <w:szCs w:val="24"/>
        </w:rPr>
        <w:t xml:space="preserve"> worden gesteld voor de door dat product veroorzaakte schade</w:t>
      </w:r>
      <w:r w:rsidRPr="00463949" w:rsidR="007904FC">
        <w:rPr>
          <w:rFonts w:ascii="Times New Roman" w:hAnsi="Times New Roman" w:cs="Times New Roman"/>
          <w:sz w:val="24"/>
          <w:szCs w:val="24"/>
        </w:rPr>
        <w:t xml:space="preserve"> (artikel 8 lid 2</w:t>
      </w:r>
      <w:r w:rsidRPr="00463949" w:rsidR="00A5540A">
        <w:rPr>
          <w:rFonts w:ascii="Times New Roman" w:hAnsi="Times New Roman" w:cs="Times New Roman"/>
          <w:sz w:val="24"/>
          <w:szCs w:val="24"/>
        </w:rPr>
        <w:t xml:space="preserve"> Richtlijn</w:t>
      </w:r>
      <w:r w:rsidRPr="00463949" w:rsidR="007904FC">
        <w:rPr>
          <w:rFonts w:ascii="Times New Roman" w:hAnsi="Times New Roman" w:cs="Times New Roman"/>
          <w:sz w:val="24"/>
          <w:szCs w:val="24"/>
        </w:rPr>
        <w:t>)</w:t>
      </w:r>
      <w:r w:rsidRPr="00463949" w:rsidR="00671639">
        <w:rPr>
          <w:rFonts w:ascii="Times New Roman" w:hAnsi="Times New Roman" w:cs="Times New Roman"/>
          <w:sz w:val="24"/>
          <w:szCs w:val="24"/>
        </w:rPr>
        <w:t xml:space="preserve">. </w:t>
      </w:r>
      <w:r w:rsidRPr="00463949" w:rsidR="00E67413">
        <w:rPr>
          <w:rFonts w:ascii="Times New Roman" w:hAnsi="Times New Roman" w:cs="Times New Roman"/>
          <w:sz w:val="24"/>
          <w:szCs w:val="24"/>
        </w:rPr>
        <w:t xml:space="preserve">Of een wijziging ingrijpend is, moet worden bepaald aan de hand van criteria die zijn vastgesteld in het relevante </w:t>
      </w:r>
      <w:r w:rsidRPr="00463949" w:rsidR="007904FC">
        <w:rPr>
          <w:rFonts w:ascii="Times New Roman" w:hAnsi="Times New Roman" w:cs="Times New Roman"/>
          <w:sz w:val="24"/>
          <w:szCs w:val="24"/>
        </w:rPr>
        <w:t>EU</w:t>
      </w:r>
      <w:r w:rsidRPr="00463949" w:rsidR="00E67413">
        <w:rPr>
          <w:rFonts w:ascii="Times New Roman" w:hAnsi="Times New Roman" w:cs="Times New Roman"/>
          <w:sz w:val="24"/>
          <w:szCs w:val="24"/>
        </w:rPr>
        <w:t>- en nationale productveiligheidsrecht.</w:t>
      </w:r>
      <w:r w:rsidRPr="00463949" w:rsidR="004D428F">
        <w:rPr>
          <w:rStyle w:val="Voetnootmarkering"/>
          <w:rFonts w:ascii="Times New Roman" w:hAnsi="Times New Roman" w:cs="Times New Roman"/>
          <w:sz w:val="24"/>
          <w:szCs w:val="24"/>
        </w:rPr>
        <w:footnoteReference w:id="31"/>
      </w:r>
      <w:r w:rsidRPr="00463949" w:rsidR="00E67413">
        <w:rPr>
          <w:rFonts w:ascii="Times New Roman" w:hAnsi="Times New Roman" w:cs="Times New Roman"/>
          <w:sz w:val="24"/>
          <w:szCs w:val="24"/>
        </w:rPr>
        <w:t xml:space="preserve"> </w:t>
      </w:r>
      <w:r w:rsidRPr="00463949" w:rsidR="00D05804">
        <w:rPr>
          <w:rFonts w:ascii="Times New Roman" w:hAnsi="Times New Roman" w:cs="Times New Roman"/>
          <w:sz w:val="24"/>
          <w:szCs w:val="24"/>
        </w:rPr>
        <w:t xml:space="preserve">Het is mogelijk dat </w:t>
      </w:r>
      <w:r w:rsidRPr="00463949" w:rsidR="00E67413">
        <w:rPr>
          <w:rFonts w:ascii="Times New Roman" w:hAnsi="Times New Roman" w:cs="Times New Roman"/>
          <w:sz w:val="24"/>
          <w:szCs w:val="24"/>
        </w:rPr>
        <w:t>dergelijke criteria voor het betrokken product niet zijn vastgesteld</w:t>
      </w:r>
      <w:r w:rsidRPr="00463949" w:rsidR="00D05804">
        <w:rPr>
          <w:rFonts w:ascii="Times New Roman" w:hAnsi="Times New Roman" w:cs="Times New Roman"/>
          <w:sz w:val="24"/>
          <w:szCs w:val="24"/>
        </w:rPr>
        <w:t>.</w:t>
      </w:r>
      <w:r w:rsidRPr="00463949" w:rsidR="00A0119E">
        <w:rPr>
          <w:rFonts w:ascii="Times New Roman" w:hAnsi="Times New Roman" w:cs="Times New Roman"/>
          <w:sz w:val="24"/>
          <w:szCs w:val="24"/>
        </w:rPr>
        <w:t xml:space="preserve"> </w:t>
      </w:r>
      <w:r w:rsidRPr="00463949" w:rsidR="00D05804">
        <w:rPr>
          <w:rFonts w:ascii="Times New Roman" w:hAnsi="Times New Roman" w:cs="Times New Roman"/>
          <w:sz w:val="24"/>
          <w:szCs w:val="24"/>
        </w:rPr>
        <w:t>In dat geval</w:t>
      </w:r>
      <w:r w:rsidRPr="00463949" w:rsidR="00E67413">
        <w:rPr>
          <w:rFonts w:ascii="Times New Roman" w:hAnsi="Times New Roman" w:cs="Times New Roman"/>
          <w:sz w:val="24"/>
          <w:szCs w:val="24"/>
        </w:rPr>
        <w:t xml:space="preserve"> </w:t>
      </w:r>
      <w:r w:rsidRPr="00463949" w:rsidR="00ED20E1">
        <w:rPr>
          <w:rFonts w:ascii="Times New Roman" w:hAnsi="Times New Roman" w:cs="Times New Roman"/>
          <w:sz w:val="24"/>
          <w:szCs w:val="24"/>
        </w:rPr>
        <w:t>worden als ingrijpend beschouwd</w:t>
      </w:r>
      <w:r w:rsidRPr="00463949" w:rsidR="00460636">
        <w:rPr>
          <w:rFonts w:ascii="Times New Roman" w:hAnsi="Times New Roman" w:cs="Times New Roman"/>
          <w:sz w:val="24"/>
          <w:szCs w:val="24"/>
        </w:rPr>
        <w:t>:</w:t>
      </w:r>
      <w:r w:rsidRPr="00463949" w:rsidR="00ED20E1">
        <w:rPr>
          <w:rFonts w:ascii="Times New Roman" w:hAnsi="Times New Roman" w:cs="Times New Roman"/>
          <w:sz w:val="24"/>
          <w:szCs w:val="24"/>
        </w:rPr>
        <w:t xml:space="preserve"> </w:t>
      </w:r>
      <w:r w:rsidRPr="00463949" w:rsidR="00A0119E">
        <w:rPr>
          <w:rFonts w:ascii="Times New Roman" w:hAnsi="Times New Roman" w:cs="Times New Roman"/>
          <w:sz w:val="24"/>
          <w:szCs w:val="24"/>
        </w:rPr>
        <w:t xml:space="preserve">wijzigingen </w:t>
      </w:r>
      <w:r w:rsidRPr="00463949" w:rsidR="00515964">
        <w:rPr>
          <w:rFonts w:ascii="Times New Roman" w:hAnsi="Times New Roman" w:cs="Times New Roman"/>
          <w:sz w:val="24"/>
          <w:szCs w:val="24"/>
        </w:rPr>
        <w:t>(i) die de oorspronkelijke prestaties, het doel of het type van het product veranderen zonder dat dit was voorzien in de oorspronkelijke risicobeoordeling van de fabrikant én (ii) die de aard van het gevaar veranderen, een nieuw gevaar creëren of het risiconiveau</w:t>
      </w:r>
      <w:r w:rsidRPr="00463949" w:rsidR="00460636">
        <w:rPr>
          <w:rFonts w:ascii="Times New Roman" w:hAnsi="Times New Roman" w:cs="Times New Roman"/>
          <w:sz w:val="24"/>
          <w:szCs w:val="24"/>
        </w:rPr>
        <w:t xml:space="preserve"> verhogen</w:t>
      </w:r>
      <w:r w:rsidRPr="00463949" w:rsidR="00515964">
        <w:rPr>
          <w:rFonts w:ascii="Times New Roman" w:hAnsi="Times New Roman" w:cs="Times New Roman"/>
          <w:sz w:val="24"/>
          <w:szCs w:val="24"/>
        </w:rPr>
        <w:t xml:space="preserve"> </w:t>
      </w:r>
      <w:r w:rsidRPr="00463949" w:rsidR="007904FC">
        <w:rPr>
          <w:rFonts w:ascii="Times New Roman" w:hAnsi="Times New Roman" w:cs="Times New Roman"/>
          <w:sz w:val="24"/>
          <w:szCs w:val="24"/>
        </w:rPr>
        <w:t>(artikel 4 onder 18</w:t>
      </w:r>
      <w:r w:rsidRPr="00463949" w:rsidR="00E84A60">
        <w:rPr>
          <w:rFonts w:ascii="Times New Roman" w:hAnsi="Times New Roman" w:cs="Times New Roman"/>
          <w:sz w:val="24"/>
          <w:szCs w:val="24"/>
        </w:rPr>
        <w:t xml:space="preserve"> Richtlijn</w:t>
      </w:r>
      <w:r w:rsidRPr="00463949" w:rsidR="007904FC">
        <w:rPr>
          <w:rFonts w:ascii="Times New Roman" w:hAnsi="Times New Roman" w:cs="Times New Roman"/>
          <w:sz w:val="24"/>
          <w:szCs w:val="24"/>
        </w:rPr>
        <w:t>)</w:t>
      </w:r>
      <w:r w:rsidRPr="00463949" w:rsidR="00E67413">
        <w:rPr>
          <w:rFonts w:ascii="Times New Roman" w:hAnsi="Times New Roman" w:cs="Times New Roman"/>
          <w:sz w:val="24"/>
          <w:szCs w:val="24"/>
        </w:rPr>
        <w:t xml:space="preserve">. </w:t>
      </w:r>
      <w:bookmarkStart w:name="_Hlk191540950" w:id="4"/>
    </w:p>
    <w:p w:rsidRPr="00463949" w:rsidR="00C56425" w:rsidP="00E67413" w:rsidRDefault="00C56425" w14:paraId="1C9569C1" w14:textId="77777777">
      <w:pPr>
        <w:spacing w:after="0" w:line="276" w:lineRule="auto"/>
        <w:rPr>
          <w:rFonts w:ascii="Times New Roman" w:hAnsi="Times New Roman" w:cs="Times New Roman"/>
          <w:sz w:val="24"/>
          <w:szCs w:val="24"/>
        </w:rPr>
      </w:pPr>
    </w:p>
    <w:p w:rsidRPr="00463949" w:rsidR="000A19A6" w:rsidP="00E67413" w:rsidRDefault="000A19A6" w14:paraId="6766F448" w14:textId="77777777">
      <w:pPr>
        <w:spacing w:after="0" w:line="276" w:lineRule="auto"/>
        <w:rPr>
          <w:rFonts w:ascii="Times New Roman" w:hAnsi="Times New Roman" w:cs="Times New Roman"/>
          <w:sz w:val="24"/>
          <w:szCs w:val="24"/>
        </w:rPr>
      </w:pPr>
    </w:p>
    <w:p w:rsidRPr="00463949" w:rsidR="00E67413" w:rsidP="00E67413" w:rsidRDefault="002064B8" w14:paraId="2FDD2499" w14:textId="68D020B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Als </w:t>
      </w:r>
      <w:r w:rsidRPr="00463949" w:rsidR="00E67413">
        <w:rPr>
          <w:rFonts w:ascii="Times New Roman" w:hAnsi="Times New Roman" w:cs="Times New Roman"/>
          <w:sz w:val="24"/>
          <w:szCs w:val="24"/>
        </w:rPr>
        <w:t xml:space="preserve">een ingrijpende wijziging is uitgevoerd door de oorspronkelijke fabrikant, of onder diens zeggenschap, en </w:t>
      </w:r>
      <w:r w:rsidRPr="00463949">
        <w:rPr>
          <w:rFonts w:ascii="Times New Roman" w:hAnsi="Times New Roman" w:cs="Times New Roman"/>
          <w:sz w:val="24"/>
          <w:szCs w:val="24"/>
        </w:rPr>
        <w:t xml:space="preserve">als </w:t>
      </w:r>
      <w:r w:rsidRPr="00463949" w:rsidR="00E67413">
        <w:rPr>
          <w:rFonts w:ascii="Times New Roman" w:hAnsi="Times New Roman" w:cs="Times New Roman"/>
          <w:sz w:val="24"/>
          <w:szCs w:val="24"/>
        </w:rPr>
        <w:t xml:space="preserve">een dergelijke ingrijpende wijziging het product gebrekkig maakt, </w:t>
      </w:r>
      <w:r w:rsidRPr="00463949" w:rsidR="007E0FC4">
        <w:rPr>
          <w:rFonts w:ascii="Times New Roman" w:hAnsi="Times New Roman" w:cs="Times New Roman"/>
          <w:sz w:val="24"/>
          <w:szCs w:val="24"/>
        </w:rPr>
        <w:t xml:space="preserve">kan </w:t>
      </w:r>
      <w:r w:rsidRPr="00463949" w:rsidR="00E67413">
        <w:rPr>
          <w:rFonts w:ascii="Times New Roman" w:hAnsi="Times New Roman" w:cs="Times New Roman"/>
          <w:sz w:val="24"/>
          <w:szCs w:val="24"/>
        </w:rPr>
        <w:t xml:space="preserve">die fabrikant </w:t>
      </w:r>
      <w:r w:rsidRPr="00463949" w:rsidR="003559C8">
        <w:rPr>
          <w:rFonts w:ascii="Times New Roman" w:hAnsi="Times New Roman" w:cs="Times New Roman"/>
          <w:sz w:val="24"/>
          <w:szCs w:val="24"/>
        </w:rPr>
        <w:t xml:space="preserve">niet aan aansprakelijkheid ontkomen </w:t>
      </w:r>
      <w:r w:rsidRPr="00463949" w:rsidR="00E67413">
        <w:rPr>
          <w:rFonts w:ascii="Times New Roman" w:hAnsi="Times New Roman" w:cs="Times New Roman"/>
          <w:sz w:val="24"/>
          <w:szCs w:val="24"/>
        </w:rPr>
        <w:t xml:space="preserve">door aan te voeren dat </w:t>
      </w:r>
      <w:r w:rsidRPr="00463949" w:rsidR="0000662C">
        <w:rPr>
          <w:rFonts w:ascii="Times New Roman" w:hAnsi="Times New Roman" w:cs="Times New Roman"/>
          <w:sz w:val="24"/>
          <w:szCs w:val="24"/>
        </w:rPr>
        <w:t xml:space="preserve">het gebrek </w:t>
      </w:r>
      <w:r w:rsidRPr="00463949" w:rsidR="00E67413">
        <w:rPr>
          <w:rFonts w:ascii="Times New Roman" w:hAnsi="Times New Roman" w:cs="Times New Roman"/>
          <w:sz w:val="24"/>
          <w:szCs w:val="24"/>
        </w:rPr>
        <w:t xml:space="preserve">is </w:t>
      </w:r>
      <w:r w:rsidRPr="00463949" w:rsidR="00E67413">
        <w:rPr>
          <w:rFonts w:ascii="Times New Roman" w:hAnsi="Times New Roman" w:cs="Times New Roman"/>
          <w:sz w:val="24"/>
          <w:szCs w:val="24"/>
        </w:rPr>
        <w:lastRenderedPageBreak/>
        <w:t>ontstaan nadat het product in de handel is gebracht of in gebruik is gesteld</w:t>
      </w:r>
      <w:r w:rsidRPr="00463949" w:rsidR="007E0FC4">
        <w:rPr>
          <w:rFonts w:ascii="Times New Roman" w:hAnsi="Times New Roman" w:cs="Times New Roman"/>
          <w:sz w:val="24"/>
          <w:szCs w:val="24"/>
        </w:rPr>
        <w:t xml:space="preserve"> (artikel 11 lid 1, onderdeel c, en lid 2, onderdeel d</w:t>
      </w:r>
      <w:r w:rsidRPr="00463949" w:rsidR="00E84A60">
        <w:rPr>
          <w:rFonts w:ascii="Times New Roman" w:hAnsi="Times New Roman" w:cs="Times New Roman"/>
          <w:sz w:val="24"/>
          <w:szCs w:val="24"/>
        </w:rPr>
        <w:t>, Richtlijn</w:t>
      </w:r>
      <w:r w:rsidRPr="00463949" w:rsidR="007E0FC4">
        <w:rPr>
          <w:rFonts w:ascii="Times New Roman" w:hAnsi="Times New Roman" w:cs="Times New Roman"/>
          <w:sz w:val="24"/>
          <w:szCs w:val="24"/>
        </w:rPr>
        <w:t>)</w:t>
      </w:r>
      <w:r w:rsidRPr="00463949" w:rsidR="00E67413">
        <w:rPr>
          <w:rFonts w:ascii="Times New Roman" w:hAnsi="Times New Roman" w:cs="Times New Roman"/>
          <w:sz w:val="24"/>
          <w:szCs w:val="24"/>
        </w:rPr>
        <w:t xml:space="preserve">. </w:t>
      </w:r>
      <w:bookmarkEnd w:id="4"/>
      <w:r w:rsidRPr="00463949" w:rsidR="00E67413">
        <w:rPr>
          <w:rFonts w:ascii="Times New Roman" w:hAnsi="Times New Roman" w:cs="Times New Roman"/>
          <w:sz w:val="24"/>
          <w:szCs w:val="24"/>
        </w:rPr>
        <w:t>Met het oog op een eerlijke risicoverdeling in de circulaire economie</w:t>
      </w:r>
      <w:r w:rsidRPr="00463949" w:rsidR="00671639">
        <w:rPr>
          <w:rFonts w:ascii="Times New Roman" w:hAnsi="Times New Roman" w:cs="Times New Roman"/>
          <w:sz w:val="24"/>
          <w:szCs w:val="24"/>
        </w:rPr>
        <w:t xml:space="preserve"> </w:t>
      </w:r>
      <w:r w:rsidRPr="00463949" w:rsidR="007E0FC4">
        <w:rPr>
          <w:rFonts w:ascii="Times New Roman" w:hAnsi="Times New Roman" w:cs="Times New Roman"/>
          <w:sz w:val="24"/>
          <w:szCs w:val="24"/>
        </w:rPr>
        <w:t xml:space="preserve">bepaalt </w:t>
      </w:r>
      <w:r w:rsidRPr="00463949" w:rsidR="00671639">
        <w:rPr>
          <w:rFonts w:ascii="Times New Roman" w:hAnsi="Times New Roman" w:cs="Times New Roman"/>
          <w:sz w:val="24"/>
          <w:szCs w:val="24"/>
        </w:rPr>
        <w:t xml:space="preserve">de Richtlijn dat </w:t>
      </w:r>
      <w:r w:rsidRPr="00463949" w:rsidR="00E67413">
        <w:rPr>
          <w:rFonts w:ascii="Times New Roman" w:hAnsi="Times New Roman" w:cs="Times New Roman"/>
          <w:sz w:val="24"/>
          <w:szCs w:val="24"/>
        </w:rPr>
        <w:t>een marktdeelnemer die een ingrijpende wijziging aanbrengt, anders dan de oorspronkelijke fabrikant, van zijn aansprakelijkheid word</w:t>
      </w:r>
      <w:r w:rsidRPr="00463949" w:rsidR="00671639">
        <w:rPr>
          <w:rFonts w:ascii="Times New Roman" w:hAnsi="Times New Roman" w:cs="Times New Roman"/>
          <w:sz w:val="24"/>
          <w:szCs w:val="24"/>
        </w:rPr>
        <w:t>t</w:t>
      </w:r>
      <w:r w:rsidRPr="00463949" w:rsidR="00E67413">
        <w:rPr>
          <w:rFonts w:ascii="Times New Roman" w:hAnsi="Times New Roman" w:cs="Times New Roman"/>
          <w:sz w:val="24"/>
          <w:szCs w:val="24"/>
        </w:rPr>
        <w:t xml:space="preserve"> vrijgesteld </w:t>
      </w:r>
      <w:r w:rsidRPr="00463949" w:rsidR="00671639">
        <w:rPr>
          <w:rFonts w:ascii="Times New Roman" w:hAnsi="Times New Roman" w:cs="Times New Roman"/>
          <w:sz w:val="24"/>
          <w:szCs w:val="24"/>
        </w:rPr>
        <w:t xml:space="preserve">als hij bewijst </w:t>
      </w:r>
      <w:r w:rsidRPr="00463949" w:rsidR="00E67413">
        <w:rPr>
          <w:rFonts w:ascii="Times New Roman" w:hAnsi="Times New Roman" w:cs="Times New Roman"/>
          <w:sz w:val="24"/>
          <w:szCs w:val="24"/>
        </w:rPr>
        <w:t>dat de schade verband houdt met een onderdeel van het product waarop de wijziging geen betrekking heeft</w:t>
      </w:r>
      <w:r w:rsidRPr="00463949" w:rsidR="007E0FC4">
        <w:rPr>
          <w:rFonts w:ascii="Times New Roman" w:hAnsi="Times New Roman" w:cs="Times New Roman"/>
          <w:sz w:val="24"/>
          <w:szCs w:val="24"/>
        </w:rPr>
        <w:t xml:space="preserve"> (artikel 11 lid 1, onderdeel g</w:t>
      </w:r>
      <w:r w:rsidRPr="00463949" w:rsidR="00E84A60">
        <w:rPr>
          <w:rFonts w:ascii="Times New Roman" w:hAnsi="Times New Roman" w:cs="Times New Roman"/>
          <w:sz w:val="24"/>
          <w:szCs w:val="24"/>
        </w:rPr>
        <w:t>, Richtlijn</w:t>
      </w:r>
      <w:r w:rsidRPr="00463949" w:rsidR="00A011C1">
        <w:rPr>
          <w:rFonts w:ascii="Times New Roman" w:hAnsi="Times New Roman" w:cs="Times New Roman"/>
          <w:sz w:val="24"/>
          <w:szCs w:val="24"/>
        </w:rPr>
        <w:t>; zie ook overweging 39</w:t>
      </w:r>
      <w:r w:rsidRPr="00463949" w:rsidR="007E0FC4">
        <w:rPr>
          <w:rFonts w:ascii="Times New Roman" w:hAnsi="Times New Roman" w:cs="Times New Roman"/>
          <w:sz w:val="24"/>
          <w:szCs w:val="24"/>
        </w:rPr>
        <w:t>)</w:t>
      </w:r>
      <w:r w:rsidRPr="00463949" w:rsidR="00E67413">
        <w:rPr>
          <w:rFonts w:ascii="Times New Roman" w:hAnsi="Times New Roman" w:cs="Times New Roman"/>
          <w:sz w:val="24"/>
          <w:szCs w:val="24"/>
        </w:rPr>
        <w:t xml:space="preserve">. Marktdeelnemers die reparaties of andere verrichtingen uitvoeren die geen ingrijpende wijzigingen inhouden, </w:t>
      </w:r>
      <w:r w:rsidRPr="00463949" w:rsidR="00671639">
        <w:rPr>
          <w:rFonts w:ascii="Times New Roman" w:hAnsi="Times New Roman" w:cs="Times New Roman"/>
          <w:sz w:val="24"/>
          <w:szCs w:val="24"/>
        </w:rPr>
        <w:t xml:space="preserve">kunnen </w:t>
      </w:r>
      <w:r w:rsidRPr="00463949" w:rsidR="00E67413">
        <w:rPr>
          <w:rFonts w:ascii="Times New Roman" w:hAnsi="Times New Roman" w:cs="Times New Roman"/>
          <w:sz w:val="24"/>
          <w:szCs w:val="24"/>
        </w:rPr>
        <w:t>niet aansprakelijk worden gesteld</w:t>
      </w:r>
      <w:r w:rsidRPr="00463949" w:rsidR="00671639">
        <w:rPr>
          <w:rFonts w:ascii="Times New Roman" w:hAnsi="Times New Roman" w:cs="Times New Roman"/>
          <w:sz w:val="24"/>
          <w:szCs w:val="24"/>
        </w:rPr>
        <w:t xml:space="preserve"> op grond van de Richtlijn</w:t>
      </w:r>
      <w:r w:rsidRPr="00463949" w:rsidR="00E67413">
        <w:rPr>
          <w:rFonts w:ascii="Times New Roman" w:hAnsi="Times New Roman" w:cs="Times New Roman"/>
          <w:sz w:val="24"/>
          <w:szCs w:val="24"/>
        </w:rPr>
        <w:t>.</w:t>
      </w:r>
      <w:r w:rsidRPr="00463949" w:rsidR="002F7688">
        <w:rPr>
          <w:rFonts w:ascii="Times New Roman" w:hAnsi="Times New Roman" w:cs="Times New Roman"/>
          <w:sz w:val="24"/>
          <w:szCs w:val="24"/>
        </w:rPr>
        <w:t xml:space="preserve"> Dit geldt ook voor wijzigingen door middel van updates of upgrades die niet kwalificeren als</w:t>
      </w:r>
      <w:r w:rsidRPr="00463949" w:rsidR="00E84A60">
        <w:rPr>
          <w:rFonts w:ascii="Times New Roman" w:hAnsi="Times New Roman" w:cs="Times New Roman"/>
          <w:sz w:val="24"/>
          <w:szCs w:val="24"/>
        </w:rPr>
        <w:t xml:space="preserve"> </w:t>
      </w:r>
      <w:r w:rsidRPr="00463949" w:rsidR="00656134">
        <w:rPr>
          <w:rFonts w:ascii="Times New Roman" w:hAnsi="Times New Roman" w:cs="Times New Roman"/>
          <w:sz w:val="24"/>
          <w:szCs w:val="24"/>
        </w:rPr>
        <w:t>“</w:t>
      </w:r>
      <w:r w:rsidRPr="00463949" w:rsidR="002F7688">
        <w:rPr>
          <w:rFonts w:ascii="Times New Roman" w:hAnsi="Times New Roman" w:cs="Times New Roman"/>
          <w:sz w:val="24"/>
          <w:szCs w:val="24"/>
        </w:rPr>
        <w:t>ingrijpend</w:t>
      </w:r>
      <w:r w:rsidRPr="00463949" w:rsidR="00656134">
        <w:rPr>
          <w:rFonts w:ascii="Times New Roman" w:hAnsi="Times New Roman" w:cs="Times New Roman"/>
          <w:sz w:val="24"/>
          <w:szCs w:val="24"/>
        </w:rPr>
        <w:t>”</w:t>
      </w:r>
      <w:r w:rsidRPr="00463949" w:rsidR="00575008">
        <w:rPr>
          <w:rFonts w:ascii="Times New Roman" w:hAnsi="Times New Roman" w:cs="Times New Roman"/>
          <w:sz w:val="24"/>
          <w:szCs w:val="24"/>
        </w:rPr>
        <w:t xml:space="preserve"> in de</w:t>
      </w:r>
      <w:r w:rsidRPr="00463949" w:rsidR="00EE2389">
        <w:rPr>
          <w:rFonts w:ascii="Times New Roman" w:hAnsi="Times New Roman" w:cs="Times New Roman"/>
          <w:sz w:val="24"/>
          <w:szCs w:val="24"/>
        </w:rPr>
        <w:t xml:space="preserve"> zin van de</w:t>
      </w:r>
      <w:r w:rsidRPr="00463949" w:rsidR="00575008">
        <w:rPr>
          <w:rFonts w:ascii="Times New Roman" w:hAnsi="Times New Roman" w:cs="Times New Roman"/>
          <w:sz w:val="24"/>
          <w:szCs w:val="24"/>
        </w:rPr>
        <w:t xml:space="preserve"> Richtlijn</w:t>
      </w:r>
      <w:r w:rsidRPr="00463949" w:rsidR="00EE2389">
        <w:rPr>
          <w:rFonts w:ascii="Times New Roman" w:hAnsi="Times New Roman" w:cs="Times New Roman"/>
          <w:sz w:val="24"/>
          <w:szCs w:val="24"/>
        </w:rPr>
        <w:t xml:space="preserve"> (zie overwegingen 39-40)</w:t>
      </w:r>
      <w:r w:rsidRPr="00463949" w:rsidR="002F7688">
        <w:rPr>
          <w:rFonts w:ascii="Times New Roman" w:hAnsi="Times New Roman" w:cs="Times New Roman"/>
          <w:sz w:val="24"/>
          <w:szCs w:val="24"/>
        </w:rPr>
        <w:t>.</w:t>
      </w:r>
    </w:p>
    <w:p w:rsidRPr="00463949" w:rsidR="006B62BC" w:rsidP="00D045E0" w:rsidRDefault="006B62BC" w14:paraId="629D81B6" w14:textId="77777777">
      <w:pPr>
        <w:spacing w:after="0" w:line="276" w:lineRule="auto"/>
        <w:rPr>
          <w:rFonts w:ascii="Times New Roman" w:hAnsi="Times New Roman" w:cs="Times New Roman"/>
          <w:sz w:val="24"/>
          <w:szCs w:val="24"/>
        </w:rPr>
      </w:pPr>
    </w:p>
    <w:p w:rsidRPr="00463949" w:rsidR="00050411" w:rsidP="00D045E0" w:rsidRDefault="007765FD" w14:paraId="75CE60CE" w14:textId="1F95186D">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2.</w:t>
      </w:r>
      <w:r w:rsidRPr="00463949" w:rsidR="0045113C">
        <w:rPr>
          <w:rFonts w:ascii="Times New Roman" w:hAnsi="Times New Roman" w:cs="Times New Roman"/>
          <w:i/>
          <w:iCs/>
          <w:sz w:val="24"/>
          <w:szCs w:val="24"/>
        </w:rPr>
        <w:t>5</w:t>
      </w:r>
      <w:r w:rsidRPr="00463949">
        <w:rPr>
          <w:rFonts w:ascii="Times New Roman" w:hAnsi="Times New Roman" w:cs="Times New Roman"/>
          <w:i/>
          <w:iCs/>
          <w:sz w:val="24"/>
          <w:szCs w:val="24"/>
        </w:rPr>
        <w:t xml:space="preserve"> </w:t>
      </w:r>
      <w:r w:rsidRPr="00463949" w:rsidR="00050411">
        <w:rPr>
          <w:rFonts w:ascii="Times New Roman" w:hAnsi="Times New Roman" w:cs="Times New Roman"/>
          <w:i/>
          <w:iCs/>
          <w:sz w:val="24"/>
          <w:szCs w:val="24"/>
        </w:rPr>
        <w:t>Monitoring en evaluatie</w:t>
      </w:r>
    </w:p>
    <w:p w:rsidRPr="00463949" w:rsidR="00050411" w:rsidP="00D045E0" w:rsidRDefault="00050411" w14:paraId="1FBC2299" w14:textId="77777777">
      <w:pPr>
        <w:spacing w:after="0" w:line="276" w:lineRule="auto"/>
        <w:rPr>
          <w:rFonts w:ascii="Times New Roman" w:hAnsi="Times New Roman" w:cs="Times New Roman"/>
          <w:sz w:val="24"/>
          <w:szCs w:val="24"/>
        </w:rPr>
      </w:pPr>
    </w:p>
    <w:p w:rsidRPr="00463949" w:rsidR="00050411" w:rsidP="00D045E0" w:rsidRDefault="00050411" w14:paraId="0077A944" w14:textId="33E0300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Om de geharmoniseerde interpretatie van de Richtlijn te vergemakkelijken, verplicht de Richtlijn de lidstaten om alle onherroepelijke rechterlijke uitspraken van nationale hoven van beroep of de hoogste rechterlijke instantie in op grond van de Richtlijn ingeleide procedures te publiceren (artikel 19 lid 1 Richtlijn). De Europese Commissie </w:t>
      </w:r>
      <w:r w:rsidRPr="00463949" w:rsidR="002F7688">
        <w:rPr>
          <w:rFonts w:ascii="Times New Roman" w:hAnsi="Times New Roman" w:cs="Times New Roman"/>
          <w:sz w:val="24"/>
          <w:szCs w:val="24"/>
        </w:rPr>
        <w:t>z</w:t>
      </w:r>
      <w:r w:rsidRPr="00463949" w:rsidR="00575008">
        <w:rPr>
          <w:rFonts w:ascii="Times New Roman" w:hAnsi="Times New Roman" w:cs="Times New Roman"/>
          <w:sz w:val="24"/>
          <w:szCs w:val="24"/>
        </w:rPr>
        <w:t>et</w:t>
      </w:r>
      <w:r w:rsidRPr="00463949" w:rsidR="002F7688">
        <w:rPr>
          <w:rFonts w:ascii="Times New Roman" w:hAnsi="Times New Roman" w:cs="Times New Roman"/>
          <w:sz w:val="24"/>
          <w:szCs w:val="24"/>
        </w:rPr>
        <w:t xml:space="preserve"> </w:t>
      </w:r>
      <w:r w:rsidRPr="00463949">
        <w:rPr>
          <w:rFonts w:ascii="Times New Roman" w:hAnsi="Times New Roman" w:cs="Times New Roman"/>
          <w:sz w:val="24"/>
          <w:szCs w:val="24"/>
        </w:rPr>
        <w:t xml:space="preserve">een gemakkelijk toegankelijke en openbaar beschikbare databank op met deze rechterlijke beslissingen, en </w:t>
      </w:r>
      <w:r w:rsidRPr="00463949" w:rsidR="00575008">
        <w:rPr>
          <w:rFonts w:ascii="Times New Roman" w:hAnsi="Times New Roman" w:cs="Times New Roman"/>
          <w:sz w:val="24"/>
          <w:szCs w:val="24"/>
        </w:rPr>
        <w:t>ho</w:t>
      </w:r>
      <w:r w:rsidRPr="00463949" w:rsidR="003B12B1">
        <w:rPr>
          <w:rFonts w:ascii="Times New Roman" w:hAnsi="Times New Roman" w:cs="Times New Roman"/>
          <w:sz w:val="24"/>
          <w:szCs w:val="24"/>
        </w:rPr>
        <w:t xml:space="preserve">udt die bij </w:t>
      </w:r>
      <w:r w:rsidRPr="00463949">
        <w:rPr>
          <w:rFonts w:ascii="Times New Roman" w:hAnsi="Times New Roman" w:cs="Times New Roman"/>
          <w:sz w:val="24"/>
          <w:szCs w:val="24"/>
        </w:rPr>
        <w:t>(artikel 19 lid 2 Richtlijn)</w:t>
      </w:r>
      <w:r w:rsidRPr="00463949" w:rsidR="00473563">
        <w:rPr>
          <w:rFonts w:ascii="Times New Roman" w:hAnsi="Times New Roman" w:cs="Times New Roman"/>
          <w:sz w:val="24"/>
          <w:szCs w:val="24"/>
        </w:rPr>
        <w:t xml:space="preserve">. De Europese Commissie </w:t>
      </w:r>
      <w:r w:rsidRPr="00463949" w:rsidR="00812ED1">
        <w:rPr>
          <w:rFonts w:ascii="Times New Roman" w:hAnsi="Times New Roman" w:cs="Times New Roman"/>
          <w:sz w:val="24"/>
          <w:szCs w:val="24"/>
        </w:rPr>
        <w:t xml:space="preserve">evalueert </w:t>
      </w:r>
      <w:r w:rsidRPr="00463949" w:rsidR="00473563">
        <w:rPr>
          <w:rFonts w:ascii="Times New Roman" w:hAnsi="Times New Roman" w:cs="Times New Roman"/>
          <w:sz w:val="24"/>
          <w:szCs w:val="24"/>
        </w:rPr>
        <w:t>uiterlijk op 9 december 20</w:t>
      </w:r>
      <w:r w:rsidRPr="00463949" w:rsidR="002F7688">
        <w:rPr>
          <w:rFonts w:ascii="Times New Roman" w:hAnsi="Times New Roman" w:cs="Times New Roman"/>
          <w:sz w:val="24"/>
          <w:szCs w:val="24"/>
        </w:rPr>
        <w:t>30</w:t>
      </w:r>
      <w:r w:rsidRPr="00463949" w:rsidR="00473563">
        <w:rPr>
          <w:rFonts w:ascii="Times New Roman" w:hAnsi="Times New Roman" w:cs="Times New Roman"/>
          <w:sz w:val="24"/>
          <w:szCs w:val="24"/>
        </w:rPr>
        <w:t xml:space="preserve">, en vervolgens om de vijf jaar, de toepassing van de Richtlijn en </w:t>
      </w:r>
      <w:r w:rsidRPr="00463949" w:rsidR="00812ED1">
        <w:rPr>
          <w:rFonts w:ascii="Times New Roman" w:hAnsi="Times New Roman" w:cs="Times New Roman"/>
          <w:sz w:val="24"/>
          <w:szCs w:val="24"/>
        </w:rPr>
        <w:t xml:space="preserve">brengt daarvan verslag uit </w:t>
      </w:r>
      <w:r w:rsidRPr="00463949" w:rsidR="00473563">
        <w:rPr>
          <w:rFonts w:ascii="Times New Roman" w:hAnsi="Times New Roman" w:cs="Times New Roman"/>
          <w:sz w:val="24"/>
          <w:szCs w:val="24"/>
        </w:rPr>
        <w:t>aan het Europees Parlement, de Raad en het Europees Economisch en Sociaal Comité. Die verslagen moeten informatie bevatten over de kosten en baten van de omzetting van de Richtlijn, een vergelijking met de OESO-landen en de beschikbaarheid van productaansprakelijkheidsverzekeringen (artikel 20 Richtlijn).</w:t>
      </w:r>
    </w:p>
    <w:p w:rsidRPr="00463949" w:rsidR="00923A6A" w:rsidP="00D045E0" w:rsidRDefault="00923A6A" w14:paraId="7120D704" w14:textId="77777777">
      <w:pPr>
        <w:spacing w:after="0" w:line="276" w:lineRule="auto"/>
        <w:rPr>
          <w:rFonts w:ascii="Times New Roman" w:hAnsi="Times New Roman" w:cs="Times New Roman"/>
          <w:sz w:val="24"/>
          <w:szCs w:val="24"/>
        </w:rPr>
      </w:pPr>
    </w:p>
    <w:p w:rsidRPr="00463949" w:rsidR="007765FD" w:rsidP="00D045E0" w:rsidRDefault="007765FD" w14:paraId="78244490" w14:textId="1D0CBF20">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2.</w:t>
      </w:r>
      <w:r w:rsidRPr="00463949" w:rsidR="0045113C">
        <w:rPr>
          <w:rFonts w:ascii="Times New Roman" w:hAnsi="Times New Roman" w:cs="Times New Roman"/>
          <w:i/>
          <w:iCs/>
          <w:sz w:val="24"/>
          <w:szCs w:val="24"/>
        </w:rPr>
        <w:t xml:space="preserve">6 </w:t>
      </w:r>
      <w:r w:rsidRPr="00463949">
        <w:rPr>
          <w:rFonts w:ascii="Times New Roman" w:hAnsi="Times New Roman" w:cs="Times New Roman"/>
          <w:i/>
          <w:iCs/>
          <w:sz w:val="24"/>
          <w:szCs w:val="24"/>
        </w:rPr>
        <w:t xml:space="preserve">Intrekking </w:t>
      </w:r>
      <w:r w:rsidRPr="00463949" w:rsidR="001F55BF">
        <w:rPr>
          <w:rFonts w:ascii="Times New Roman" w:hAnsi="Times New Roman" w:cs="Times New Roman"/>
          <w:i/>
          <w:iCs/>
          <w:sz w:val="24"/>
          <w:szCs w:val="24"/>
        </w:rPr>
        <w:t xml:space="preserve">Richtlijn 85/374 </w:t>
      </w:r>
      <w:r w:rsidRPr="00463949">
        <w:rPr>
          <w:rFonts w:ascii="Times New Roman" w:hAnsi="Times New Roman" w:cs="Times New Roman"/>
          <w:i/>
          <w:iCs/>
          <w:sz w:val="24"/>
          <w:szCs w:val="24"/>
        </w:rPr>
        <w:t>en overgangsbepaling</w:t>
      </w:r>
    </w:p>
    <w:p w:rsidRPr="00463949" w:rsidR="007765FD" w:rsidP="00D045E0" w:rsidRDefault="007765FD" w14:paraId="774F1AAB" w14:textId="77777777">
      <w:pPr>
        <w:spacing w:after="0" w:line="276" w:lineRule="auto"/>
        <w:rPr>
          <w:rFonts w:ascii="Times New Roman" w:hAnsi="Times New Roman" w:cs="Times New Roman"/>
          <w:sz w:val="24"/>
          <w:szCs w:val="24"/>
        </w:rPr>
      </w:pPr>
    </w:p>
    <w:p w:rsidRPr="00463949" w:rsidR="007765FD" w:rsidP="007765FD" w:rsidRDefault="007765FD" w14:paraId="07993A4C" w14:textId="279FDE9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Richtlijn </w:t>
      </w:r>
      <w:r w:rsidRPr="00463949" w:rsidR="002B44A4">
        <w:rPr>
          <w:rFonts w:ascii="Times New Roman" w:hAnsi="Times New Roman" w:cs="Times New Roman"/>
          <w:sz w:val="24"/>
          <w:szCs w:val="24"/>
        </w:rPr>
        <w:t xml:space="preserve">moet op 9 december 2026 zijn omgezet en </w:t>
      </w:r>
      <w:r w:rsidRPr="00463949">
        <w:rPr>
          <w:rFonts w:ascii="Times New Roman" w:hAnsi="Times New Roman" w:cs="Times New Roman"/>
          <w:sz w:val="24"/>
          <w:szCs w:val="24"/>
        </w:rPr>
        <w:t xml:space="preserve">is van toepassing op producten die op of na </w:t>
      </w:r>
      <w:r w:rsidRPr="00463949" w:rsidR="002B44A4">
        <w:rPr>
          <w:rFonts w:ascii="Times New Roman" w:hAnsi="Times New Roman" w:cs="Times New Roman"/>
          <w:sz w:val="24"/>
          <w:szCs w:val="24"/>
        </w:rPr>
        <w:t>die datum</w:t>
      </w:r>
      <w:r w:rsidRPr="00463949">
        <w:rPr>
          <w:rFonts w:ascii="Times New Roman" w:hAnsi="Times New Roman" w:cs="Times New Roman"/>
          <w:sz w:val="24"/>
          <w:szCs w:val="24"/>
        </w:rPr>
        <w:t xml:space="preserve"> in de handel zijn gebracht of in gebruik zijn gesteld. </w:t>
      </w:r>
      <w:r w:rsidRPr="00463949" w:rsidR="0015111E">
        <w:rPr>
          <w:rFonts w:ascii="Times New Roman" w:hAnsi="Times New Roman" w:cs="Times New Roman"/>
          <w:sz w:val="24"/>
          <w:szCs w:val="24"/>
        </w:rPr>
        <w:t xml:space="preserve">Richtlijn 85/374 </w:t>
      </w:r>
      <w:r w:rsidRPr="00463949">
        <w:rPr>
          <w:rFonts w:ascii="Times New Roman" w:hAnsi="Times New Roman" w:cs="Times New Roman"/>
          <w:sz w:val="24"/>
          <w:szCs w:val="24"/>
        </w:rPr>
        <w:t xml:space="preserve">wordt met ingang van </w:t>
      </w:r>
      <w:r w:rsidRPr="00463949" w:rsidR="00812ED1">
        <w:rPr>
          <w:rFonts w:ascii="Times New Roman" w:hAnsi="Times New Roman" w:cs="Times New Roman"/>
          <w:sz w:val="24"/>
          <w:szCs w:val="24"/>
        </w:rPr>
        <w:t xml:space="preserve">die datum </w:t>
      </w:r>
      <w:r w:rsidRPr="00463949">
        <w:rPr>
          <w:rFonts w:ascii="Times New Roman" w:hAnsi="Times New Roman" w:cs="Times New Roman"/>
          <w:sz w:val="24"/>
          <w:szCs w:val="24"/>
        </w:rPr>
        <w:t xml:space="preserve">ingetrokken. Zij blijft wel van toepassing op producten die vóór </w:t>
      </w:r>
      <w:r w:rsidRPr="00463949" w:rsidR="00812ED1">
        <w:rPr>
          <w:rFonts w:ascii="Times New Roman" w:hAnsi="Times New Roman" w:cs="Times New Roman"/>
          <w:sz w:val="24"/>
          <w:szCs w:val="24"/>
        </w:rPr>
        <w:t xml:space="preserve">9 december 2026 </w:t>
      </w:r>
      <w:r w:rsidRPr="00463949">
        <w:rPr>
          <w:rFonts w:ascii="Times New Roman" w:hAnsi="Times New Roman" w:cs="Times New Roman"/>
          <w:sz w:val="24"/>
          <w:szCs w:val="24"/>
        </w:rPr>
        <w:t>in de handel zijn gebracht of in gebruik zijn gesteld (artikel 21 Richtlijn)</w:t>
      </w:r>
      <w:r w:rsidRPr="00463949" w:rsidR="002F7688">
        <w:rPr>
          <w:rFonts w:ascii="Times New Roman" w:hAnsi="Times New Roman" w:cs="Times New Roman"/>
          <w:sz w:val="24"/>
          <w:szCs w:val="24"/>
        </w:rPr>
        <w:t>.</w:t>
      </w:r>
    </w:p>
    <w:p w:rsidRPr="00463949" w:rsidR="00050411" w:rsidP="00D045E0" w:rsidRDefault="00050411" w14:paraId="6E3BA5AE" w14:textId="77777777">
      <w:pPr>
        <w:spacing w:after="0" w:line="276" w:lineRule="auto"/>
        <w:rPr>
          <w:rFonts w:ascii="Times New Roman" w:hAnsi="Times New Roman" w:cs="Times New Roman"/>
          <w:sz w:val="24"/>
          <w:szCs w:val="24"/>
        </w:rPr>
      </w:pPr>
    </w:p>
    <w:p w:rsidRPr="00463949" w:rsidR="004D02F6" w:rsidP="00923A6A" w:rsidRDefault="00923418" w14:paraId="07DE73DD" w14:textId="03CB2346">
      <w:pPr>
        <w:pStyle w:val="Lijstalinea"/>
        <w:numPr>
          <w:ilvl w:val="0"/>
          <w:numId w:val="19"/>
        </w:num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Wijze van implementatie</w:t>
      </w:r>
    </w:p>
    <w:p w:rsidRPr="00463949" w:rsidR="00923418" w:rsidP="00923418" w:rsidRDefault="00923418" w14:paraId="085567EF" w14:textId="77777777">
      <w:pPr>
        <w:spacing w:after="0" w:line="276" w:lineRule="auto"/>
        <w:rPr>
          <w:rFonts w:ascii="Times New Roman" w:hAnsi="Times New Roman" w:cs="Times New Roman"/>
          <w:sz w:val="24"/>
          <w:szCs w:val="24"/>
        </w:rPr>
      </w:pPr>
    </w:p>
    <w:p w:rsidRPr="00463949" w:rsidR="003B331C" w:rsidP="00D045E0" w:rsidRDefault="003B331C" w14:paraId="5AF8E7E1" w14:textId="30B3529C">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3.1 </w:t>
      </w:r>
      <w:r w:rsidRPr="00463949" w:rsidR="003B7B15">
        <w:rPr>
          <w:rFonts w:ascii="Times New Roman" w:hAnsi="Times New Roman" w:cs="Times New Roman"/>
          <w:i/>
          <w:iCs/>
          <w:sz w:val="24"/>
          <w:szCs w:val="24"/>
        </w:rPr>
        <w:t xml:space="preserve">Methode van </w:t>
      </w:r>
      <w:r w:rsidRPr="00463949">
        <w:rPr>
          <w:rFonts w:ascii="Times New Roman" w:hAnsi="Times New Roman" w:cs="Times New Roman"/>
          <w:i/>
          <w:iCs/>
          <w:sz w:val="24"/>
          <w:szCs w:val="24"/>
        </w:rPr>
        <w:t>implementatie</w:t>
      </w:r>
    </w:p>
    <w:p w:rsidRPr="00463949" w:rsidR="003B331C" w:rsidP="00D045E0" w:rsidRDefault="003B331C" w14:paraId="6D8C2270" w14:textId="77777777">
      <w:pPr>
        <w:spacing w:after="0" w:line="276" w:lineRule="auto"/>
        <w:rPr>
          <w:rFonts w:ascii="Times New Roman" w:hAnsi="Times New Roman" w:cs="Times New Roman"/>
          <w:sz w:val="24"/>
          <w:szCs w:val="24"/>
        </w:rPr>
      </w:pPr>
    </w:p>
    <w:p w:rsidRPr="00463949" w:rsidR="00923A6A" w:rsidP="00D045E0" w:rsidRDefault="000C0316" w14:paraId="6069CD47" w14:textId="34C1FD8D">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Richtlijn vervangt</w:t>
      </w:r>
      <w:r w:rsidRPr="00463949" w:rsidR="001F55BF">
        <w:rPr>
          <w:rFonts w:ascii="Times New Roman" w:hAnsi="Times New Roman" w:cs="Times New Roman"/>
          <w:sz w:val="24"/>
          <w:szCs w:val="24"/>
        </w:rPr>
        <w:t xml:space="preserve"> Richtlijn 85/374</w:t>
      </w:r>
      <w:r w:rsidRPr="00463949">
        <w:rPr>
          <w:rFonts w:ascii="Times New Roman" w:hAnsi="Times New Roman" w:cs="Times New Roman"/>
          <w:sz w:val="24"/>
          <w:szCs w:val="24"/>
        </w:rPr>
        <w:t xml:space="preserve">. Die richtlijn is geïmplementeerd </w:t>
      </w:r>
      <w:r w:rsidRPr="00463949" w:rsidR="00923A6A">
        <w:rPr>
          <w:rFonts w:ascii="Times New Roman" w:hAnsi="Times New Roman" w:cs="Times New Roman"/>
          <w:sz w:val="24"/>
          <w:szCs w:val="24"/>
        </w:rPr>
        <w:t>in Afdeling 3 van Titel 3 van Boek 6 van het BW (hierna: afdeling 6.3.3 BW).</w:t>
      </w:r>
      <w:r w:rsidRPr="00463949">
        <w:rPr>
          <w:rFonts w:ascii="Times New Roman" w:hAnsi="Times New Roman" w:cs="Times New Roman"/>
          <w:sz w:val="24"/>
          <w:szCs w:val="24"/>
        </w:rPr>
        <w:t xml:space="preserve"> Ook de </w:t>
      </w:r>
      <w:r w:rsidRPr="00463949" w:rsidR="00E84A60">
        <w:rPr>
          <w:rFonts w:ascii="Times New Roman" w:hAnsi="Times New Roman" w:cs="Times New Roman"/>
          <w:sz w:val="24"/>
          <w:szCs w:val="24"/>
        </w:rPr>
        <w:t xml:space="preserve">nieuwe </w:t>
      </w:r>
      <w:r w:rsidRPr="00463949">
        <w:rPr>
          <w:rFonts w:ascii="Times New Roman" w:hAnsi="Times New Roman" w:cs="Times New Roman"/>
          <w:sz w:val="24"/>
          <w:szCs w:val="24"/>
        </w:rPr>
        <w:t>Richtlijn wordt</w:t>
      </w:r>
      <w:r w:rsidRPr="00463949" w:rsidR="00B01DD2">
        <w:rPr>
          <w:rFonts w:ascii="Times New Roman" w:hAnsi="Times New Roman" w:cs="Times New Roman"/>
          <w:sz w:val="24"/>
          <w:szCs w:val="24"/>
        </w:rPr>
        <w:t xml:space="preserve"> in d</w:t>
      </w:r>
      <w:r w:rsidRPr="00463949" w:rsidR="00D95A5C">
        <w:rPr>
          <w:rFonts w:ascii="Times New Roman" w:hAnsi="Times New Roman" w:cs="Times New Roman"/>
          <w:sz w:val="24"/>
          <w:szCs w:val="24"/>
        </w:rPr>
        <w:t>ie</w:t>
      </w:r>
      <w:r w:rsidRPr="00463949" w:rsidR="00B01DD2">
        <w:rPr>
          <w:rFonts w:ascii="Times New Roman" w:hAnsi="Times New Roman" w:cs="Times New Roman"/>
          <w:sz w:val="24"/>
          <w:szCs w:val="24"/>
        </w:rPr>
        <w:t xml:space="preserve"> afdeling geïmplementeerd</w:t>
      </w:r>
      <w:r w:rsidRPr="00463949">
        <w:rPr>
          <w:rFonts w:ascii="Times New Roman" w:hAnsi="Times New Roman" w:cs="Times New Roman"/>
          <w:sz w:val="24"/>
          <w:szCs w:val="24"/>
        </w:rPr>
        <w:t>.</w:t>
      </w:r>
      <w:r w:rsidRPr="00463949" w:rsidR="00E84A60">
        <w:rPr>
          <w:rFonts w:ascii="Times New Roman" w:hAnsi="Times New Roman" w:cs="Times New Roman"/>
          <w:sz w:val="24"/>
          <w:szCs w:val="24"/>
        </w:rPr>
        <w:t xml:space="preserve"> Hierbij</w:t>
      </w:r>
      <w:r w:rsidRPr="00463949" w:rsidR="006B62BC">
        <w:rPr>
          <w:rFonts w:ascii="Times New Roman" w:hAnsi="Times New Roman" w:cs="Times New Roman"/>
          <w:sz w:val="24"/>
          <w:szCs w:val="24"/>
        </w:rPr>
        <w:t xml:space="preserve"> </w:t>
      </w:r>
      <w:r w:rsidRPr="00463949" w:rsidR="00F153DB">
        <w:rPr>
          <w:rFonts w:ascii="Times New Roman" w:hAnsi="Times New Roman" w:cs="Times New Roman"/>
          <w:sz w:val="24"/>
          <w:szCs w:val="24"/>
        </w:rPr>
        <w:t xml:space="preserve">is </w:t>
      </w:r>
      <w:r w:rsidRPr="00463949" w:rsidR="006B62BC">
        <w:rPr>
          <w:rFonts w:ascii="Times New Roman" w:hAnsi="Times New Roman" w:cs="Times New Roman"/>
          <w:sz w:val="24"/>
          <w:szCs w:val="24"/>
        </w:rPr>
        <w:t>zoveel mogelijk aangesloten bij de huidige opzet</w:t>
      </w:r>
      <w:r w:rsidRPr="00463949" w:rsidR="006962E0">
        <w:rPr>
          <w:rFonts w:ascii="Times New Roman" w:hAnsi="Times New Roman" w:cs="Times New Roman"/>
          <w:sz w:val="24"/>
          <w:szCs w:val="24"/>
        </w:rPr>
        <w:t xml:space="preserve"> en systematiek van het BW</w:t>
      </w:r>
      <w:r w:rsidRPr="00463949" w:rsidR="00B01DD2">
        <w:rPr>
          <w:rFonts w:ascii="Times New Roman" w:hAnsi="Times New Roman" w:cs="Times New Roman"/>
          <w:sz w:val="24"/>
          <w:szCs w:val="24"/>
        </w:rPr>
        <w:t xml:space="preserve">. </w:t>
      </w:r>
      <w:r w:rsidRPr="00463949" w:rsidR="006962E0">
        <w:rPr>
          <w:rFonts w:ascii="Times New Roman" w:hAnsi="Times New Roman" w:cs="Times New Roman"/>
          <w:sz w:val="24"/>
          <w:szCs w:val="24"/>
        </w:rPr>
        <w:t xml:space="preserve">Waar dit niet mogelijk of zinvol was, is omwille van de rechtszekerheid zoveel mogelijk aangesloten bij de tekst van de Richtlijn. </w:t>
      </w:r>
      <w:r w:rsidRPr="00463949" w:rsidR="00F82C20">
        <w:rPr>
          <w:rFonts w:ascii="Times New Roman" w:hAnsi="Times New Roman" w:cs="Times New Roman"/>
          <w:sz w:val="24"/>
          <w:szCs w:val="24"/>
        </w:rPr>
        <w:t xml:space="preserve">Verder is van de gelegenheid gebruik gemaakt om ouderwets taalgebruik </w:t>
      </w:r>
      <w:r w:rsidRPr="00463949" w:rsidR="00C56425">
        <w:rPr>
          <w:rFonts w:ascii="Times New Roman" w:hAnsi="Times New Roman" w:cs="Times New Roman"/>
          <w:sz w:val="24"/>
          <w:szCs w:val="24"/>
        </w:rPr>
        <w:t>op een paar punten te moderniseren</w:t>
      </w:r>
      <w:r w:rsidRPr="00463949" w:rsidR="00F82C20">
        <w:rPr>
          <w:rFonts w:ascii="Times New Roman" w:hAnsi="Times New Roman" w:cs="Times New Roman"/>
          <w:sz w:val="24"/>
          <w:szCs w:val="24"/>
        </w:rPr>
        <w:t xml:space="preserve">. </w:t>
      </w:r>
      <w:r w:rsidRPr="00463949" w:rsidR="00923A6A">
        <w:rPr>
          <w:rFonts w:ascii="Times New Roman" w:hAnsi="Times New Roman" w:cs="Times New Roman"/>
          <w:sz w:val="24"/>
          <w:szCs w:val="24"/>
        </w:rPr>
        <w:t>Daarnaast leidt de Richtlijn tot wijziging va</w:t>
      </w:r>
      <w:r w:rsidRPr="00463949" w:rsidR="006962E0">
        <w:rPr>
          <w:rFonts w:ascii="Times New Roman" w:hAnsi="Times New Roman" w:cs="Times New Roman"/>
          <w:sz w:val="24"/>
          <w:szCs w:val="24"/>
        </w:rPr>
        <w:t xml:space="preserve">n enkele (andere) artikelen </w:t>
      </w:r>
      <w:r w:rsidRPr="00463949" w:rsidR="00923A6A">
        <w:rPr>
          <w:rFonts w:ascii="Times New Roman" w:hAnsi="Times New Roman" w:cs="Times New Roman"/>
          <w:sz w:val="24"/>
          <w:szCs w:val="24"/>
        </w:rPr>
        <w:t>in de Boeken 6 en 7 BW en de</w:t>
      </w:r>
      <w:r w:rsidRPr="00463949" w:rsidR="00B335F0">
        <w:rPr>
          <w:rFonts w:ascii="Times New Roman" w:hAnsi="Times New Roman" w:cs="Times New Roman"/>
          <w:sz w:val="24"/>
          <w:szCs w:val="24"/>
        </w:rPr>
        <w:t xml:space="preserve"> invoeging van een artikel in de</w:t>
      </w:r>
      <w:r w:rsidRPr="00463949" w:rsidR="00923A6A">
        <w:rPr>
          <w:rFonts w:ascii="Times New Roman" w:hAnsi="Times New Roman" w:cs="Times New Roman"/>
          <w:sz w:val="24"/>
          <w:szCs w:val="24"/>
        </w:rPr>
        <w:t xml:space="preserve"> Overgangswet nieuw Burgerlijk Wetboek.</w:t>
      </w:r>
    </w:p>
    <w:p w:rsidRPr="00463949" w:rsidR="0045113C" w:rsidP="00D045E0" w:rsidRDefault="0045113C" w14:paraId="279B3662" w14:textId="77777777">
      <w:pPr>
        <w:spacing w:after="0" w:line="276" w:lineRule="auto"/>
        <w:rPr>
          <w:rFonts w:ascii="Times New Roman" w:hAnsi="Times New Roman" w:cs="Times New Roman"/>
          <w:sz w:val="24"/>
          <w:szCs w:val="24"/>
        </w:rPr>
      </w:pPr>
    </w:p>
    <w:p w:rsidRPr="00463949" w:rsidR="0045113C" w:rsidP="0045113C" w:rsidRDefault="00F82C20" w14:paraId="4BD1F132" w14:textId="23F51CBE">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3.1.1</w:t>
      </w:r>
      <w:r w:rsidRPr="00463949" w:rsidR="0045113C">
        <w:rPr>
          <w:rFonts w:ascii="Times New Roman" w:hAnsi="Times New Roman" w:cs="Times New Roman"/>
          <w:i/>
          <w:iCs/>
          <w:sz w:val="24"/>
          <w:szCs w:val="24"/>
        </w:rPr>
        <w:t xml:space="preserve"> Afwijking van het ontwikkelingsrisicoverweer</w:t>
      </w:r>
    </w:p>
    <w:p w:rsidRPr="00463949" w:rsidR="0045113C" w:rsidP="0045113C" w:rsidRDefault="0045113C" w14:paraId="501EF14A" w14:textId="77777777">
      <w:pPr>
        <w:spacing w:after="0" w:line="276" w:lineRule="auto"/>
        <w:rPr>
          <w:rFonts w:ascii="Times New Roman" w:hAnsi="Times New Roman" w:cs="Times New Roman"/>
          <w:sz w:val="24"/>
          <w:szCs w:val="24"/>
        </w:rPr>
      </w:pPr>
    </w:p>
    <w:p w:rsidRPr="00463949" w:rsidR="0045113C" w:rsidP="00D045E0" w:rsidRDefault="0045113C" w14:paraId="7F8158A7" w14:textId="625FA25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Net als </w:t>
      </w:r>
      <w:r w:rsidRPr="00463949" w:rsidR="00B14E70">
        <w:rPr>
          <w:rFonts w:ascii="Times New Roman" w:hAnsi="Times New Roman" w:cs="Times New Roman"/>
          <w:sz w:val="24"/>
          <w:szCs w:val="24"/>
        </w:rPr>
        <w:t>R</w:t>
      </w:r>
      <w:r w:rsidRPr="00463949">
        <w:rPr>
          <w:rFonts w:ascii="Times New Roman" w:hAnsi="Times New Roman" w:cs="Times New Roman"/>
          <w:sz w:val="24"/>
          <w:szCs w:val="24"/>
        </w:rPr>
        <w:t>ichtlijn</w:t>
      </w:r>
      <w:r w:rsidRPr="00463949" w:rsidR="00B14E70">
        <w:rPr>
          <w:rFonts w:ascii="Times New Roman" w:hAnsi="Times New Roman" w:cs="Times New Roman"/>
          <w:sz w:val="24"/>
          <w:szCs w:val="24"/>
        </w:rPr>
        <w:t xml:space="preserve"> 85/374</w:t>
      </w:r>
      <w:r w:rsidRPr="00463949" w:rsidR="000745FB">
        <w:rPr>
          <w:rFonts w:ascii="Times New Roman" w:hAnsi="Times New Roman" w:cs="Times New Roman"/>
          <w:sz w:val="24"/>
          <w:szCs w:val="24"/>
        </w:rPr>
        <w:t>,</w:t>
      </w:r>
      <w:r w:rsidRPr="00463949" w:rsidR="00632836">
        <w:rPr>
          <w:rStyle w:val="Voetnootmarkering"/>
          <w:rFonts w:ascii="Times New Roman" w:hAnsi="Times New Roman" w:cs="Times New Roman"/>
          <w:sz w:val="24"/>
          <w:szCs w:val="24"/>
        </w:rPr>
        <w:footnoteReference w:id="32"/>
      </w:r>
      <w:r w:rsidRPr="00463949">
        <w:rPr>
          <w:rFonts w:ascii="Times New Roman" w:hAnsi="Times New Roman" w:cs="Times New Roman"/>
          <w:sz w:val="24"/>
          <w:szCs w:val="24"/>
        </w:rPr>
        <w:t xml:space="preserve"> biedt de Richtlijn lidstaten de mogelijkheid om af te wijken van het ontwikkelingsrisicoverweer (artikel 18 Richtlijn). Dit houdt in dat lidstaten maatregelen mogen handhaven of invoeren op grond waarvan marktdeelnemers aansprakelijk zijn, zelfs als zij bewijzen dat het op grond van de objectieve stand van de wettenschappelijke en technische kennis niet mogelijk was </w:t>
      </w:r>
      <w:r w:rsidRPr="00463949" w:rsidR="0000662C">
        <w:rPr>
          <w:rFonts w:ascii="Times New Roman" w:hAnsi="Times New Roman" w:cs="Times New Roman"/>
          <w:sz w:val="24"/>
          <w:szCs w:val="24"/>
        </w:rPr>
        <w:t xml:space="preserve">het gebrek </w:t>
      </w:r>
      <w:r w:rsidRPr="00463949">
        <w:rPr>
          <w:rFonts w:ascii="Times New Roman" w:hAnsi="Times New Roman" w:cs="Times New Roman"/>
          <w:sz w:val="24"/>
          <w:szCs w:val="24"/>
        </w:rPr>
        <w:t>te ontdekken</w:t>
      </w:r>
      <w:r w:rsidRPr="00463949" w:rsidR="008976C6">
        <w:rPr>
          <w:rFonts w:ascii="Times New Roman" w:hAnsi="Times New Roman" w:cs="Times New Roman"/>
          <w:sz w:val="24"/>
          <w:szCs w:val="24"/>
        </w:rPr>
        <w:t xml:space="preserve"> op</w:t>
      </w:r>
      <w:r w:rsidRPr="00463949" w:rsidR="00E014DF">
        <w:rPr>
          <w:rFonts w:ascii="Times New Roman" w:hAnsi="Times New Roman" w:cs="Times New Roman"/>
          <w:sz w:val="24"/>
          <w:szCs w:val="24"/>
        </w:rPr>
        <w:t xml:space="preserve">, </w:t>
      </w:r>
      <w:r w:rsidRPr="00463949" w:rsidR="008976C6">
        <w:rPr>
          <w:rFonts w:ascii="Times New Roman" w:hAnsi="Times New Roman" w:cs="Times New Roman"/>
          <w:sz w:val="24"/>
          <w:szCs w:val="24"/>
        </w:rPr>
        <w:t>kort gezegd</w:t>
      </w:r>
      <w:r w:rsidRPr="00463949" w:rsidR="00E014DF">
        <w:rPr>
          <w:rFonts w:ascii="Times New Roman" w:hAnsi="Times New Roman" w:cs="Times New Roman"/>
          <w:sz w:val="24"/>
          <w:szCs w:val="24"/>
        </w:rPr>
        <w:t>,</w:t>
      </w:r>
      <w:r w:rsidRPr="00463949" w:rsidR="008976C6">
        <w:rPr>
          <w:rFonts w:ascii="Times New Roman" w:hAnsi="Times New Roman" w:cs="Times New Roman"/>
          <w:sz w:val="24"/>
          <w:szCs w:val="24"/>
        </w:rPr>
        <w:t xml:space="preserve"> het moment dat het product in </w:t>
      </w:r>
      <w:r w:rsidRPr="00463949" w:rsidR="00323988">
        <w:rPr>
          <w:rFonts w:ascii="Times New Roman" w:hAnsi="Times New Roman" w:cs="Times New Roman"/>
          <w:sz w:val="24"/>
          <w:szCs w:val="24"/>
        </w:rPr>
        <w:t xml:space="preserve">de handel </w:t>
      </w:r>
      <w:r w:rsidRPr="00463949" w:rsidR="008976C6">
        <w:rPr>
          <w:rFonts w:ascii="Times New Roman" w:hAnsi="Times New Roman" w:cs="Times New Roman"/>
          <w:sz w:val="24"/>
          <w:szCs w:val="24"/>
        </w:rPr>
        <w:t xml:space="preserve">werd gebracht </w:t>
      </w:r>
      <w:r w:rsidRPr="00463949">
        <w:rPr>
          <w:rFonts w:ascii="Times New Roman" w:hAnsi="Times New Roman" w:cs="Times New Roman"/>
          <w:sz w:val="24"/>
          <w:szCs w:val="24"/>
        </w:rPr>
        <w:t xml:space="preserve">(artikel 18 leden 1 en 2 Richtlijn). </w:t>
      </w:r>
      <w:r w:rsidRPr="00463949" w:rsidR="00B83D9D">
        <w:rPr>
          <w:rFonts w:ascii="Times New Roman" w:hAnsi="Times New Roman" w:cs="Times New Roman"/>
          <w:sz w:val="24"/>
          <w:szCs w:val="24"/>
        </w:rPr>
        <w:t>In afwijking van</w:t>
      </w:r>
      <w:r w:rsidRPr="00463949" w:rsidR="00B14E70">
        <w:rPr>
          <w:rFonts w:ascii="Times New Roman" w:hAnsi="Times New Roman" w:cs="Times New Roman"/>
          <w:sz w:val="24"/>
          <w:szCs w:val="24"/>
        </w:rPr>
        <w:t xml:space="preserve"> Richtlijn 85/374</w:t>
      </w:r>
      <w:r w:rsidRPr="00463949" w:rsidR="00B83D9D">
        <w:rPr>
          <w:rFonts w:ascii="Times New Roman" w:hAnsi="Times New Roman" w:cs="Times New Roman"/>
          <w:sz w:val="24"/>
          <w:szCs w:val="24"/>
        </w:rPr>
        <w:t xml:space="preserve">, geldt voor onder de Richtlijn </w:t>
      </w:r>
      <w:r w:rsidRPr="00463949" w:rsidR="00F82C20">
        <w:rPr>
          <w:rFonts w:ascii="Times New Roman" w:hAnsi="Times New Roman" w:cs="Times New Roman"/>
          <w:sz w:val="24"/>
          <w:szCs w:val="24"/>
        </w:rPr>
        <w:t xml:space="preserve">nieuw in te voeren </w:t>
      </w:r>
      <w:r w:rsidRPr="00463949">
        <w:rPr>
          <w:rFonts w:ascii="Times New Roman" w:hAnsi="Times New Roman" w:cs="Times New Roman"/>
          <w:sz w:val="24"/>
          <w:szCs w:val="24"/>
        </w:rPr>
        <w:t>maatregelen</w:t>
      </w:r>
      <w:r w:rsidRPr="00463949" w:rsidR="00B83D9D">
        <w:rPr>
          <w:rFonts w:ascii="Times New Roman" w:hAnsi="Times New Roman" w:cs="Times New Roman"/>
          <w:sz w:val="24"/>
          <w:szCs w:val="24"/>
        </w:rPr>
        <w:t>, dat zij</w:t>
      </w:r>
      <w:r w:rsidRPr="00463949">
        <w:rPr>
          <w:rFonts w:ascii="Times New Roman" w:hAnsi="Times New Roman" w:cs="Times New Roman"/>
          <w:sz w:val="24"/>
          <w:szCs w:val="24"/>
        </w:rPr>
        <w:t xml:space="preserve"> a) worden beperkt tot specifieke productcategorieën, b) hun rechtvaardiging vinden in doelstellingen van alg</w:t>
      </w:r>
      <w:r w:rsidRPr="00463949" w:rsidR="00F82C20">
        <w:rPr>
          <w:rFonts w:ascii="Times New Roman" w:hAnsi="Times New Roman" w:cs="Times New Roman"/>
          <w:sz w:val="24"/>
          <w:szCs w:val="24"/>
        </w:rPr>
        <w:t>e</w:t>
      </w:r>
      <w:r w:rsidRPr="00463949">
        <w:rPr>
          <w:rFonts w:ascii="Times New Roman" w:hAnsi="Times New Roman" w:cs="Times New Roman"/>
          <w:sz w:val="24"/>
          <w:szCs w:val="24"/>
        </w:rPr>
        <w:t>meen belang en c) evenredig zijn (artikel 18 lid 3 Richtlijn). Een lidstaat dient de Europese Commissie in kennis te stellen van de tekst van de maatregel en te motiveren dat aan de hiervoor genoemde vereisten is voldaan</w:t>
      </w:r>
      <w:r w:rsidRPr="00463949" w:rsidR="00323988">
        <w:rPr>
          <w:rFonts w:ascii="Times New Roman" w:hAnsi="Times New Roman" w:cs="Times New Roman"/>
          <w:sz w:val="24"/>
          <w:szCs w:val="24"/>
        </w:rPr>
        <w:t xml:space="preserve"> (</w:t>
      </w:r>
      <w:r w:rsidRPr="00463949" w:rsidR="00BD53DA">
        <w:rPr>
          <w:rFonts w:ascii="Times New Roman" w:hAnsi="Times New Roman" w:cs="Times New Roman"/>
          <w:sz w:val="24"/>
          <w:szCs w:val="24"/>
        </w:rPr>
        <w:t>artikel 18 leden 4-5 Richtlijn)</w:t>
      </w:r>
      <w:r w:rsidRPr="00463949">
        <w:rPr>
          <w:rFonts w:ascii="Times New Roman" w:hAnsi="Times New Roman" w:cs="Times New Roman"/>
          <w:sz w:val="24"/>
          <w:szCs w:val="24"/>
        </w:rPr>
        <w:t>. Nederland heeft tot op heden geen gebruik gemaakt van de mogelijkheid om af te wijken van het ontwikkelingsrisicoverweer.</w:t>
      </w:r>
      <w:r w:rsidRPr="00463949" w:rsidR="00632836">
        <w:rPr>
          <w:rStyle w:val="Voetnootmarkering"/>
          <w:rFonts w:ascii="Times New Roman" w:hAnsi="Times New Roman" w:cs="Times New Roman"/>
          <w:sz w:val="24"/>
          <w:szCs w:val="24"/>
        </w:rPr>
        <w:footnoteReference w:id="33"/>
      </w:r>
      <w:r w:rsidRPr="00463949">
        <w:rPr>
          <w:rFonts w:ascii="Times New Roman" w:hAnsi="Times New Roman" w:cs="Times New Roman"/>
          <w:sz w:val="24"/>
          <w:szCs w:val="24"/>
        </w:rPr>
        <w:t xml:space="preserve"> </w:t>
      </w:r>
      <w:r w:rsidRPr="00463949" w:rsidR="006632FD">
        <w:rPr>
          <w:rFonts w:ascii="Times New Roman" w:hAnsi="Times New Roman" w:cs="Times New Roman"/>
          <w:sz w:val="24"/>
          <w:szCs w:val="24"/>
        </w:rPr>
        <w:t xml:space="preserve">De gedachte hierachter is dat voorkomen moet worden dat producenten afzien van de ontwikkeling van nieuwe producten, vanuit de vrees dat een op dat moment redelijkerwijs niet te voorzien gebrek in de toekomst tot schade zou kunnen leiden. </w:t>
      </w:r>
      <w:r w:rsidRPr="00463949">
        <w:rPr>
          <w:rFonts w:ascii="Times New Roman" w:hAnsi="Times New Roman" w:cs="Times New Roman"/>
          <w:sz w:val="24"/>
          <w:szCs w:val="24"/>
        </w:rPr>
        <w:t xml:space="preserve">Er zijn geen signalen ontvangen dat een dergelijke afwijking </w:t>
      </w:r>
      <w:r w:rsidRPr="00463949" w:rsidR="00D75241">
        <w:rPr>
          <w:rFonts w:ascii="Times New Roman" w:hAnsi="Times New Roman" w:cs="Times New Roman"/>
          <w:sz w:val="24"/>
          <w:szCs w:val="24"/>
        </w:rPr>
        <w:t xml:space="preserve">nu wel </w:t>
      </w:r>
      <w:r w:rsidRPr="00463949">
        <w:rPr>
          <w:rFonts w:ascii="Times New Roman" w:hAnsi="Times New Roman" w:cs="Times New Roman"/>
          <w:sz w:val="24"/>
          <w:szCs w:val="24"/>
        </w:rPr>
        <w:t>wenselijk zou zijn.</w:t>
      </w:r>
      <w:r w:rsidRPr="00463949" w:rsidR="00F82C20">
        <w:rPr>
          <w:rFonts w:ascii="Times New Roman" w:hAnsi="Times New Roman" w:cs="Times New Roman"/>
          <w:sz w:val="24"/>
          <w:szCs w:val="24"/>
        </w:rPr>
        <w:t xml:space="preserve"> Om </w:t>
      </w:r>
      <w:r w:rsidRPr="00463949" w:rsidR="006632FD">
        <w:rPr>
          <w:rFonts w:ascii="Times New Roman" w:hAnsi="Times New Roman" w:cs="Times New Roman"/>
          <w:sz w:val="24"/>
          <w:szCs w:val="24"/>
        </w:rPr>
        <w:t xml:space="preserve">de ontwikkeling van nieuwe producten niet </w:t>
      </w:r>
      <w:r w:rsidRPr="00463949" w:rsidR="007678D0">
        <w:rPr>
          <w:rFonts w:ascii="Times New Roman" w:hAnsi="Times New Roman" w:cs="Times New Roman"/>
          <w:sz w:val="24"/>
          <w:szCs w:val="24"/>
        </w:rPr>
        <w:t xml:space="preserve">onnodig </w:t>
      </w:r>
      <w:r w:rsidRPr="00463949" w:rsidR="006632FD">
        <w:rPr>
          <w:rFonts w:ascii="Times New Roman" w:hAnsi="Times New Roman" w:cs="Times New Roman"/>
          <w:sz w:val="24"/>
          <w:szCs w:val="24"/>
        </w:rPr>
        <w:t xml:space="preserve">af te remmen, </w:t>
      </w:r>
      <w:r w:rsidRPr="00463949" w:rsidR="00F82C20">
        <w:rPr>
          <w:rFonts w:ascii="Times New Roman" w:hAnsi="Times New Roman" w:cs="Times New Roman"/>
          <w:sz w:val="24"/>
          <w:szCs w:val="24"/>
        </w:rPr>
        <w:t>wordt</w:t>
      </w:r>
      <w:r w:rsidRPr="00463949" w:rsidR="006632FD">
        <w:rPr>
          <w:rFonts w:ascii="Times New Roman" w:hAnsi="Times New Roman" w:cs="Times New Roman"/>
          <w:sz w:val="24"/>
          <w:szCs w:val="24"/>
        </w:rPr>
        <w:t xml:space="preserve"> daarom</w:t>
      </w:r>
      <w:r w:rsidRPr="00463949" w:rsidR="00632836">
        <w:rPr>
          <w:rFonts w:ascii="Times New Roman" w:hAnsi="Times New Roman" w:cs="Times New Roman"/>
          <w:sz w:val="24"/>
          <w:szCs w:val="24"/>
        </w:rPr>
        <w:t xml:space="preserve"> voorgesteld het best</w:t>
      </w:r>
      <w:r w:rsidRPr="00463949" w:rsidR="00B83D9D">
        <w:rPr>
          <w:rFonts w:ascii="Times New Roman" w:hAnsi="Times New Roman" w:cs="Times New Roman"/>
          <w:sz w:val="24"/>
          <w:szCs w:val="24"/>
        </w:rPr>
        <w:t>aande</w:t>
      </w:r>
      <w:r w:rsidRPr="00463949" w:rsidR="00632836">
        <w:rPr>
          <w:rFonts w:ascii="Times New Roman" w:hAnsi="Times New Roman" w:cs="Times New Roman"/>
          <w:sz w:val="24"/>
          <w:szCs w:val="24"/>
        </w:rPr>
        <w:t xml:space="preserve"> beleid voort te zetten</w:t>
      </w:r>
      <w:r w:rsidRPr="00463949" w:rsidR="00D75241">
        <w:rPr>
          <w:rFonts w:ascii="Times New Roman" w:hAnsi="Times New Roman" w:cs="Times New Roman"/>
          <w:sz w:val="24"/>
          <w:szCs w:val="24"/>
        </w:rPr>
        <w:t>.</w:t>
      </w:r>
    </w:p>
    <w:p w:rsidRPr="00463949" w:rsidR="003B331C" w:rsidP="00D045E0" w:rsidRDefault="003B331C" w14:paraId="6EC5FEF3" w14:textId="77777777">
      <w:pPr>
        <w:spacing w:after="0" w:line="276" w:lineRule="auto"/>
        <w:rPr>
          <w:rFonts w:ascii="Times New Roman" w:hAnsi="Times New Roman" w:cs="Times New Roman"/>
          <w:sz w:val="24"/>
          <w:szCs w:val="24"/>
        </w:rPr>
      </w:pPr>
    </w:p>
    <w:p w:rsidRPr="00463949" w:rsidR="004A6F25" w:rsidP="003B331C" w:rsidRDefault="003B331C" w14:paraId="69FF163A" w14:textId="0F630431">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3.2 </w:t>
      </w:r>
      <w:r w:rsidRPr="00463949" w:rsidR="00DB5435">
        <w:rPr>
          <w:rFonts w:ascii="Times New Roman" w:hAnsi="Times New Roman" w:cs="Times New Roman"/>
          <w:i/>
          <w:iCs/>
          <w:sz w:val="24"/>
          <w:szCs w:val="24"/>
        </w:rPr>
        <w:t>R</w:t>
      </w:r>
      <w:r w:rsidRPr="00463949" w:rsidR="006962E0">
        <w:rPr>
          <w:rFonts w:ascii="Times New Roman" w:hAnsi="Times New Roman" w:cs="Times New Roman"/>
          <w:i/>
          <w:iCs/>
          <w:sz w:val="24"/>
          <w:szCs w:val="24"/>
        </w:rPr>
        <w:t xml:space="preserve">ichtlijnbepalingen die </w:t>
      </w:r>
      <w:r w:rsidRPr="00463949" w:rsidR="00591A7D">
        <w:rPr>
          <w:rFonts w:ascii="Times New Roman" w:hAnsi="Times New Roman" w:cs="Times New Roman"/>
          <w:i/>
          <w:iCs/>
          <w:sz w:val="24"/>
          <w:szCs w:val="24"/>
        </w:rPr>
        <w:t>geen</w:t>
      </w:r>
      <w:r w:rsidRPr="00463949" w:rsidR="006962E0">
        <w:rPr>
          <w:rFonts w:ascii="Times New Roman" w:hAnsi="Times New Roman" w:cs="Times New Roman"/>
          <w:i/>
          <w:iCs/>
          <w:sz w:val="24"/>
          <w:szCs w:val="24"/>
        </w:rPr>
        <w:t xml:space="preserve"> wettelijke</w:t>
      </w:r>
      <w:r w:rsidRPr="00463949" w:rsidR="00591A7D">
        <w:rPr>
          <w:rFonts w:ascii="Times New Roman" w:hAnsi="Times New Roman" w:cs="Times New Roman"/>
          <w:i/>
          <w:iCs/>
          <w:sz w:val="24"/>
          <w:szCs w:val="24"/>
        </w:rPr>
        <w:t xml:space="preserve"> implementatie behoeven</w:t>
      </w:r>
    </w:p>
    <w:p w:rsidRPr="00463949" w:rsidR="00591A7D" w:rsidP="003B331C" w:rsidRDefault="00591A7D" w14:paraId="57451EEF" w14:textId="77777777">
      <w:pPr>
        <w:spacing w:after="0" w:line="276" w:lineRule="auto"/>
        <w:rPr>
          <w:rFonts w:ascii="Times New Roman" w:hAnsi="Times New Roman" w:cs="Times New Roman"/>
          <w:sz w:val="24"/>
          <w:szCs w:val="24"/>
        </w:rPr>
      </w:pPr>
    </w:p>
    <w:p w:rsidRPr="00463949" w:rsidR="002062FF" w:rsidP="003B331C" w:rsidRDefault="006962E0" w14:paraId="4373AA76" w14:textId="71A989C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de bijgevoegde </w:t>
      </w:r>
      <w:r w:rsidRPr="00463949" w:rsidR="002062FF">
        <w:rPr>
          <w:rFonts w:ascii="Times New Roman" w:hAnsi="Times New Roman" w:cs="Times New Roman"/>
          <w:sz w:val="24"/>
          <w:szCs w:val="24"/>
        </w:rPr>
        <w:t xml:space="preserve">transponeringstabel </w:t>
      </w:r>
      <w:r w:rsidRPr="00463949">
        <w:rPr>
          <w:rFonts w:ascii="Times New Roman" w:hAnsi="Times New Roman" w:cs="Times New Roman"/>
          <w:sz w:val="24"/>
          <w:szCs w:val="24"/>
        </w:rPr>
        <w:t xml:space="preserve">wordt aangegeven welke richtlijnbepalingen geen implementatie behoeven, omdat zij reeds in Boek 6 BW zijn verankerd, niet aan de lidstaten zijn gericht of </w:t>
      </w:r>
      <w:r w:rsidRPr="00463949" w:rsidR="00B335F0">
        <w:rPr>
          <w:rFonts w:ascii="Times New Roman" w:hAnsi="Times New Roman" w:cs="Times New Roman"/>
          <w:sz w:val="24"/>
          <w:szCs w:val="24"/>
        </w:rPr>
        <w:t>enkel een feitelijk handelen van de centrale overheid inhouden zonder dat derden daarop aanspraak hoeven te kunnen maken. Hieronder wordt een toelichting gegeven op de keuze om een aantal richtlijnbepalingen niet om te zetten.</w:t>
      </w:r>
    </w:p>
    <w:p w:rsidRPr="00463949" w:rsidR="002062FF" w:rsidP="003B331C" w:rsidRDefault="002062FF" w14:paraId="2DA234DA" w14:textId="77777777">
      <w:pPr>
        <w:spacing w:after="0" w:line="276" w:lineRule="auto"/>
        <w:rPr>
          <w:rFonts w:ascii="Times New Roman" w:hAnsi="Times New Roman" w:cs="Times New Roman"/>
          <w:sz w:val="24"/>
          <w:szCs w:val="24"/>
        </w:rPr>
      </w:pPr>
    </w:p>
    <w:p w:rsidRPr="00463949" w:rsidR="00B26C29" w:rsidP="0000744E" w:rsidRDefault="0000744E" w14:paraId="07722F3D" w14:textId="5FE30B1D">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Artikel 1 bevat het onderwerp en doel van de Richtlijn en behoeft daarom naar zijn aard geen implementatie. </w:t>
      </w:r>
      <w:r w:rsidRPr="00463949" w:rsidR="002A660D">
        <w:rPr>
          <w:rFonts w:ascii="Times New Roman" w:hAnsi="Times New Roman" w:cs="Times New Roman"/>
          <w:sz w:val="24"/>
          <w:szCs w:val="24"/>
        </w:rPr>
        <w:t xml:space="preserve">In </w:t>
      </w:r>
      <w:r w:rsidRPr="00463949">
        <w:rPr>
          <w:rFonts w:ascii="Times New Roman" w:hAnsi="Times New Roman" w:cs="Times New Roman"/>
          <w:sz w:val="24"/>
          <w:szCs w:val="24"/>
        </w:rPr>
        <w:t xml:space="preserve">afdeling 6.3.3 BW </w:t>
      </w:r>
      <w:r w:rsidRPr="00463949" w:rsidR="00F153DB">
        <w:rPr>
          <w:rFonts w:ascii="Times New Roman" w:hAnsi="Times New Roman" w:cs="Times New Roman"/>
          <w:sz w:val="24"/>
          <w:szCs w:val="24"/>
        </w:rPr>
        <w:t xml:space="preserve">is </w:t>
      </w:r>
      <w:r w:rsidRPr="00463949" w:rsidR="002A660D">
        <w:rPr>
          <w:rFonts w:ascii="Times New Roman" w:hAnsi="Times New Roman" w:cs="Times New Roman"/>
          <w:sz w:val="24"/>
          <w:szCs w:val="24"/>
        </w:rPr>
        <w:t xml:space="preserve">wel </w:t>
      </w:r>
      <w:r w:rsidRPr="00463949">
        <w:rPr>
          <w:rFonts w:ascii="Times New Roman" w:hAnsi="Times New Roman" w:cs="Times New Roman"/>
          <w:sz w:val="24"/>
          <w:szCs w:val="24"/>
        </w:rPr>
        <w:t>verduidelijkt dat de risicoaansprakelijkheid ziet op schade van “natuurlijke personen”</w:t>
      </w:r>
      <w:r w:rsidRPr="00463949" w:rsidR="002A660D">
        <w:rPr>
          <w:rFonts w:ascii="Times New Roman" w:hAnsi="Times New Roman" w:cs="Times New Roman"/>
          <w:sz w:val="24"/>
          <w:szCs w:val="24"/>
        </w:rPr>
        <w:t xml:space="preserve"> (zie het voorgestelde artikel 6:185 lid 1 BW)</w:t>
      </w:r>
      <w:r w:rsidRPr="00463949">
        <w:rPr>
          <w:rFonts w:ascii="Times New Roman" w:hAnsi="Times New Roman" w:cs="Times New Roman"/>
          <w:sz w:val="24"/>
          <w:szCs w:val="24"/>
        </w:rPr>
        <w:t>.</w:t>
      </w:r>
    </w:p>
    <w:p w:rsidRPr="00463949" w:rsidR="0000744E" w:rsidP="0000744E" w:rsidRDefault="0000744E" w14:paraId="48C93D82" w14:textId="77777777">
      <w:pPr>
        <w:spacing w:after="0" w:line="276" w:lineRule="auto"/>
        <w:rPr>
          <w:rFonts w:ascii="Times New Roman" w:hAnsi="Times New Roman" w:cs="Times New Roman"/>
          <w:sz w:val="24"/>
          <w:szCs w:val="24"/>
        </w:rPr>
      </w:pPr>
    </w:p>
    <w:p w:rsidRPr="00463949" w:rsidR="0000744E" w:rsidP="0000744E" w:rsidRDefault="0000744E" w14:paraId="7F700D15" w14:textId="5F2CCCFD">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Artikel 2 lid 1 betreft het temporele toepassingsbereik van de Richtlijn en behoeft daarom naar zijn aard geen implementatie. Artikel 2 lid 4, onderdeel a, bepaalt dat de Richtlijn geen afbreuk doet aan de toepasselijkheid van het Unierecht inzake persoonsgegevensbescherming.</w:t>
      </w:r>
      <w:r w:rsidRPr="00463949" w:rsidR="00D95A5C">
        <w:rPr>
          <w:rStyle w:val="Voetnootmarkering"/>
          <w:rFonts w:ascii="Times New Roman" w:hAnsi="Times New Roman" w:cs="Times New Roman"/>
          <w:sz w:val="24"/>
          <w:szCs w:val="24"/>
        </w:rPr>
        <w:footnoteReference w:id="34"/>
      </w:r>
      <w:r w:rsidRPr="00463949">
        <w:rPr>
          <w:rFonts w:ascii="Times New Roman" w:hAnsi="Times New Roman" w:cs="Times New Roman"/>
          <w:sz w:val="24"/>
          <w:szCs w:val="24"/>
        </w:rPr>
        <w:t xml:space="preserve"> Deze bepaling legt verder geen verplichtingen op aan de </w:t>
      </w:r>
      <w:r w:rsidRPr="00463949">
        <w:rPr>
          <w:rFonts w:ascii="Times New Roman" w:hAnsi="Times New Roman" w:cs="Times New Roman"/>
          <w:sz w:val="24"/>
          <w:szCs w:val="24"/>
        </w:rPr>
        <w:lastRenderedPageBreak/>
        <w:t xml:space="preserve">lidstaten en behoeft daarom </w:t>
      </w:r>
      <w:r w:rsidRPr="00463949" w:rsidR="006A7369">
        <w:rPr>
          <w:rFonts w:ascii="Times New Roman" w:hAnsi="Times New Roman" w:cs="Times New Roman"/>
          <w:sz w:val="24"/>
          <w:szCs w:val="24"/>
        </w:rPr>
        <w:t>evenmin</w:t>
      </w:r>
      <w:r w:rsidRPr="00463949">
        <w:rPr>
          <w:rFonts w:ascii="Times New Roman" w:hAnsi="Times New Roman" w:cs="Times New Roman"/>
          <w:sz w:val="24"/>
          <w:szCs w:val="24"/>
        </w:rPr>
        <w:t xml:space="preserve"> implementatie. Artikel 2 lid 4, onderdeel b, bepaalt dat de Richtlijn geen afbreuk doet aan de rechten die een benadeelde ontleent aan nationale regels inzake contractuele aansprakelijkheid of buitencontractuele aansprakelijkheid op andere gronden dan </w:t>
      </w:r>
      <w:r w:rsidRPr="00463949" w:rsidR="0000662C">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van een product, zoals vastgesteld in de Richtlijn, waaronder de ter uitvoering van het Unierecht vastgestelde regels. </w:t>
      </w:r>
      <w:r w:rsidRPr="00463949" w:rsidR="005B7B83">
        <w:rPr>
          <w:rFonts w:ascii="Times New Roman" w:hAnsi="Times New Roman" w:cs="Times New Roman"/>
          <w:sz w:val="24"/>
          <w:szCs w:val="24"/>
        </w:rPr>
        <w:t xml:space="preserve">Deze bepaling maakt reeds deel uit van de huidige regeling </w:t>
      </w:r>
      <w:r w:rsidRPr="00463949" w:rsidR="00B723FD">
        <w:rPr>
          <w:rFonts w:ascii="Times New Roman" w:hAnsi="Times New Roman" w:cs="Times New Roman"/>
          <w:sz w:val="24"/>
          <w:szCs w:val="24"/>
        </w:rPr>
        <w:t xml:space="preserve">in afdeling 6.3.3 BW </w:t>
      </w:r>
      <w:r w:rsidRPr="00463949" w:rsidR="005B7B83">
        <w:rPr>
          <w:rFonts w:ascii="Times New Roman" w:hAnsi="Times New Roman" w:cs="Times New Roman"/>
          <w:sz w:val="24"/>
          <w:szCs w:val="24"/>
        </w:rPr>
        <w:t xml:space="preserve">en is opgenomen in artikel 6:193 BW. </w:t>
      </w:r>
      <w:r w:rsidRPr="00463949" w:rsidR="00B723FD">
        <w:rPr>
          <w:rFonts w:ascii="Times New Roman" w:hAnsi="Times New Roman" w:cs="Times New Roman"/>
          <w:sz w:val="24"/>
          <w:szCs w:val="24"/>
        </w:rPr>
        <w:t>In deze bepaling worden alleen redactionele wijzi</w:t>
      </w:r>
      <w:r w:rsidRPr="00463949" w:rsidR="00242AC8">
        <w:rPr>
          <w:rFonts w:ascii="Times New Roman" w:hAnsi="Times New Roman" w:cs="Times New Roman"/>
          <w:sz w:val="24"/>
          <w:szCs w:val="24"/>
        </w:rPr>
        <w:t>gi</w:t>
      </w:r>
      <w:r w:rsidRPr="00463949" w:rsidR="00B723FD">
        <w:rPr>
          <w:rFonts w:ascii="Times New Roman" w:hAnsi="Times New Roman" w:cs="Times New Roman"/>
          <w:sz w:val="24"/>
          <w:szCs w:val="24"/>
        </w:rPr>
        <w:t xml:space="preserve">ngen doorgevoerd. </w:t>
      </w:r>
      <w:r w:rsidRPr="00463949" w:rsidR="005B7B83">
        <w:rPr>
          <w:rFonts w:ascii="Times New Roman" w:hAnsi="Times New Roman" w:cs="Times New Roman"/>
          <w:sz w:val="24"/>
          <w:szCs w:val="24"/>
        </w:rPr>
        <w:t xml:space="preserve">Artikel 2 lid 4, onderdeel c, bepaalt dat de Richtlijn geen afbreuk doet aan de rechten die een benadeelde ontleent aan bijzondere aansprakelijkheidsregelingen die op 30 juli 1985 in het nationale recht bestonden. </w:t>
      </w:r>
      <w:r w:rsidRPr="00463949" w:rsidR="002A660D">
        <w:rPr>
          <w:rFonts w:ascii="Times New Roman" w:hAnsi="Times New Roman" w:cs="Times New Roman"/>
          <w:sz w:val="24"/>
          <w:szCs w:val="24"/>
        </w:rPr>
        <w:t>Deze bepaling behoeft geen implementatie, omdat deze situatie zich in Nederland niet voordoet.</w:t>
      </w:r>
    </w:p>
    <w:p w:rsidRPr="00463949" w:rsidR="005B7B83" w:rsidP="0000744E" w:rsidRDefault="005B7B83" w14:paraId="540543F5" w14:textId="77777777">
      <w:pPr>
        <w:spacing w:after="0" w:line="276" w:lineRule="auto"/>
        <w:rPr>
          <w:rFonts w:ascii="Times New Roman" w:hAnsi="Times New Roman" w:cs="Times New Roman"/>
          <w:sz w:val="24"/>
          <w:szCs w:val="24"/>
        </w:rPr>
      </w:pPr>
    </w:p>
    <w:p w:rsidRPr="00463949" w:rsidR="0000744E" w:rsidP="003B331C" w:rsidRDefault="002A660D" w14:paraId="2F9C0166" w14:textId="323167C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Artikel 3 betreft het harmonisatieniveau van de Richtlijn en behoeft daarom naar zijn aard geen implementatie.</w:t>
      </w:r>
    </w:p>
    <w:p w:rsidRPr="00463949" w:rsidR="002A660D" w:rsidP="003B331C" w:rsidRDefault="002A660D" w14:paraId="5DAC02D3" w14:textId="77777777">
      <w:pPr>
        <w:spacing w:after="0" w:line="276" w:lineRule="auto"/>
        <w:rPr>
          <w:rFonts w:ascii="Times New Roman" w:hAnsi="Times New Roman" w:cs="Times New Roman"/>
          <w:sz w:val="24"/>
          <w:szCs w:val="24"/>
        </w:rPr>
      </w:pPr>
    </w:p>
    <w:p w:rsidRPr="00463949" w:rsidR="002A660D" w:rsidP="00D045E0" w:rsidRDefault="002A660D" w14:paraId="01A16751" w14:textId="0341CB1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artikel 5 lid 1 is het recht opgenomen van iedere natuurlijke persoon die schade heeft geleden als gevolg van een gebrekkig product op vergoeding van zijn schade overeenkomstig de Richtlijn. Ingevolge artikel 6 lid 2 omvat dit recht op schadevergoeding alle materiële </w:t>
      </w:r>
      <w:r w:rsidRPr="00463949" w:rsidR="004051DC">
        <w:rPr>
          <w:rFonts w:ascii="Times New Roman" w:hAnsi="Times New Roman" w:cs="Times New Roman"/>
          <w:sz w:val="24"/>
          <w:szCs w:val="24"/>
        </w:rPr>
        <w:t xml:space="preserve">en immateriële </w:t>
      </w:r>
      <w:r w:rsidRPr="00463949">
        <w:rPr>
          <w:rFonts w:ascii="Times New Roman" w:hAnsi="Times New Roman" w:cs="Times New Roman"/>
          <w:sz w:val="24"/>
          <w:szCs w:val="24"/>
        </w:rPr>
        <w:t>verliezen die voortvloeien uit de in lid 1 van dat artikel genoemde schadesoorten</w:t>
      </w:r>
      <w:r w:rsidRPr="00463949" w:rsidR="004051DC">
        <w:rPr>
          <w:rFonts w:ascii="Times New Roman" w:hAnsi="Times New Roman" w:cs="Times New Roman"/>
          <w:sz w:val="24"/>
          <w:szCs w:val="24"/>
        </w:rPr>
        <w:t xml:space="preserve">, waarbij voor </w:t>
      </w:r>
      <w:r w:rsidRPr="00463949" w:rsidR="000A3790">
        <w:rPr>
          <w:rFonts w:ascii="Times New Roman" w:hAnsi="Times New Roman" w:cs="Times New Roman"/>
          <w:sz w:val="24"/>
          <w:szCs w:val="24"/>
        </w:rPr>
        <w:t xml:space="preserve">de </w:t>
      </w:r>
      <w:r w:rsidRPr="00463949" w:rsidR="004051DC">
        <w:rPr>
          <w:rFonts w:ascii="Times New Roman" w:hAnsi="Times New Roman" w:cs="Times New Roman"/>
          <w:sz w:val="24"/>
          <w:szCs w:val="24"/>
        </w:rPr>
        <w:t xml:space="preserve">mogelijkheid van een vergoeding van immateriële verliezen wordt verwezen naar het nationale recht. Deze beginselen maken reeds deel uit van het Nederlandse schadevergoedingsrecht. Zie artikel 6:95 BW voor het recht op vergoeding van vermogensschade en ander nadeel. De vergoeding van immateriële schade (‘ander nadeel’) is </w:t>
      </w:r>
      <w:r w:rsidRPr="00463949" w:rsidR="00B723FD">
        <w:rPr>
          <w:rFonts w:ascii="Times New Roman" w:hAnsi="Times New Roman" w:cs="Times New Roman"/>
          <w:sz w:val="24"/>
          <w:szCs w:val="24"/>
        </w:rPr>
        <w:t xml:space="preserve">nader </w:t>
      </w:r>
      <w:r w:rsidRPr="00463949" w:rsidR="004051DC">
        <w:rPr>
          <w:rFonts w:ascii="Times New Roman" w:hAnsi="Times New Roman" w:cs="Times New Roman"/>
          <w:sz w:val="24"/>
          <w:szCs w:val="24"/>
        </w:rPr>
        <w:t xml:space="preserve">geregeld in artikel 6:106 BW. </w:t>
      </w:r>
      <w:r w:rsidRPr="00463949" w:rsidR="00FA4CC5">
        <w:rPr>
          <w:rFonts w:ascii="Times New Roman" w:hAnsi="Times New Roman" w:cs="Times New Roman"/>
          <w:sz w:val="24"/>
          <w:szCs w:val="24"/>
        </w:rPr>
        <w:t>Ingevolge artikel 6 lid 3 doet de Richtlijn geen afbreuk aan het nationale recht met betrekking tot schadevergoeding uit hoofde van andere aansprakelijkheidsregelingen</w:t>
      </w:r>
      <w:r w:rsidRPr="00463949" w:rsidR="00B723FD">
        <w:rPr>
          <w:rFonts w:ascii="Times New Roman" w:hAnsi="Times New Roman" w:cs="Times New Roman"/>
          <w:sz w:val="24"/>
          <w:szCs w:val="24"/>
        </w:rPr>
        <w:t xml:space="preserve"> (bijvoorbeeld onrechtmatige daad)</w:t>
      </w:r>
      <w:r w:rsidRPr="00463949" w:rsidR="00FA4CC5">
        <w:rPr>
          <w:rFonts w:ascii="Times New Roman" w:hAnsi="Times New Roman" w:cs="Times New Roman"/>
          <w:sz w:val="24"/>
          <w:szCs w:val="24"/>
        </w:rPr>
        <w:t xml:space="preserve">. Deze bepaling </w:t>
      </w:r>
      <w:r w:rsidRPr="00463949" w:rsidR="004E460A">
        <w:rPr>
          <w:rFonts w:ascii="Times New Roman" w:hAnsi="Times New Roman" w:cs="Times New Roman"/>
          <w:sz w:val="24"/>
          <w:szCs w:val="24"/>
        </w:rPr>
        <w:t xml:space="preserve">is reeds vervat in artikel 6:193 BW </w:t>
      </w:r>
      <w:r w:rsidRPr="00463949" w:rsidR="00FA4CC5">
        <w:rPr>
          <w:rFonts w:ascii="Times New Roman" w:hAnsi="Times New Roman" w:cs="Times New Roman"/>
          <w:sz w:val="24"/>
          <w:szCs w:val="24"/>
        </w:rPr>
        <w:t>en behoeft daarom geen implementatie.</w:t>
      </w:r>
    </w:p>
    <w:p w:rsidRPr="00463949" w:rsidR="002A660D" w:rsidP="00D045E0" w:rsidRDefault="002A660D" w14:paraId="6BACB84F" w14:textId="77777777">
      <w:pPr>
        <w:spacing w:after="0" w:line="276" w:lineRule="auto"/>
        <w:rPr>
          <w:rFonts w:ascii="Times New Roman" w:hAnsi="Times New Roman" w:cs="Times New Roman"/>
          <w:sz w:val="24"/>
          <w:szCs w:val="24"/>
        </w:rPr>
      </w:pPr>
    </w:p>
    <w:p w:rsidRPr="00463949" w:rsidR="004051DC" w:rsidP="00D045E0" w:rsidRDefault="00FA4CC5" w14:paraId="6564685E" w14:textId="31A0BCAA">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Artikel 5 lid 2</w:t>
      </w:r>
      <w:r w:rsidRPr="00463949" w:rsidR="00B723FD">
        <w:rPr>
          <w:rFonts w:ascii="Times New Roman" w:hAnsi="Times New Roman" w:cs="Times New Roman"/>
          <w:sz w:val="24"/>
          <w:szCs w:val="24"/>
        </w:rPr>
        <w:t>, onderdeel b,</w:t>
      </w:r>
      <w:r w:rsidRPr="00463949">
        <w:rPr>
          <w:rFonts w:ascii="Times New Roman" w:hAnsi="Times New Roman" w:cs="Times New Roman"/>
          <w:sz w:val="24"/>
          <w:szCs w:val="24"/>
        </w:rPr>
        <w:t xml:space="preserve"> schrijft voor dat schadevergoedingsvorderingen op grond van de Richtlijn ook moeten kunnen worden ingesteld door</w:t>
      </w:r>
      <w:r w:rsidRPr="00463949" w:rsidR="00B723FD">
        <w:rPr>
          <w:rFonts w:ascii="Times New Roman" w:hAnsi="Times New Roman" w:cs="Times New Roman"/>
          <w:sz w:val="24"/>
          <w:szCs w:val="24"/>
        </w:rPr>
        <w:t xml:space="preserve"> </w:t>
      </w:r>
      <w:r w:rsidRPr="00463949">
        <w:rPr>
          <w:rFonts w:ascii="Times New Roman" w:hAnsi="Times New Roman" w:cs="Times New Roman"/>
          <w:sz w:val="24"/>
          <w:szCs w:val="24"/>
        </w:rPr>
        <w:t xml:space="preserve">een persoon die krachtens het Unie- of nationale recht namens een of meer benadeelden handelt. </w:t>
      </w:r>
      <w:r w:rsidRPr="00463949" w:rsidR="0023095E">
        <w:rPr>
          <w:rFonts w:ascii="Times New Roman" w:hAnsi="Times New Roman" w:cs="Times New Roman"/>
          <w:sz w:val="24"/>
          <w:szCs w:val="24"/>
        </w:rPr>
        <w:t>Deze bepaling behoeft geen implementatie, omdat het Nederlandse recht deze mogelijk</w:t>
      </w:r>
      <w:r w:rsidRPr="00463949" w:rsidR="00B723FD">
        <w:rPr>
          <w:rFonts w:ascii="Times New Roman" w:hAnsi="Times New Roman" w:cs="Times New Roman"/>
          <w:sz w:val="24"/>
          <w:szCs w:val="24"/>
        </w:rPr>
        <w:t xml:space="preserve">heid </w:t>
      </w:r>
      <w:r w:rsidRPr="00463949" w:rsidR="00DF42D3">
        <w:rPr>
          <w:rFonts w:ascii="Times New Roman" w:hAnsi="Times New Roman" w:cs="Times New Roman"/>
          <w:sz w:val="24"/>
          <w:szCs w:val="24"/>
        </w:rPr>
        <w:t xml:space="preserve">al </w:t>
      </w:r>
      <w:r w:rsidRPr="00463949" w:rsidR="0023095E">
        <w:rPr>
          <w:rFonts w:ascii="Times New Roman" w:hAnsi="Times New Roman" w:cs="Times New Roman"/>
          <w:sz w:val="24"/>
          <w:szCs w:val="24"/>
        </w:rPr>
        <w:t xml:space="preserve">biedt. </w:t>
      </w:r>
      <w:r w:rsidRPr="00463949" w:rsidR="00DF42D3">
        <w:rPr>
          <w:rFonts w:ascii="Times New Roman" w:hAnsi="Times New Roman" w:cs="Times New Roman"/>
          <w:sz w:val="24"/>
          <w:szCs w:val="24"/>
        </w:rPr>
        <w:t xml:space="preserve">Zie </w:t>
      </w:r>
      <w:r w:rsidRPr="00463949" w:rsidR="00D23EE9">
        <w:rPr>
          <w:rFonts w:ascii="Times New Roman" w:hAnsi="Times New Roman" w:cs="Times New Roman"/>
          <w:sz w:val="24"/>
          <w:szCs w:val="24"/>
        </w:rPr>
        <w:t xml:space="preserve">de </w:t>
      </w:r>
      <w:r w:rsidRPr="00463949" w:rsidR="00DF42D3">
        <w:rPr>
          <w:rFonts w:ascii="Times New Roman" w:hAnsi="Times New Roman" w:cs="Times New Roman"/>
          <w:sz w:val="24"/>
          <w:szCs w:val="24"/>
        </w:rPr>
        <w:t>artikel</w:t>
      </w:r>
      <w:r w:rsidRPr="00463949" w:rsidR="00D23EE9">
        <w:rPr>
          <w:rFonts w:ascii="Times New Roman" w:hAnsi="Times New Roman" w:cs="Times New Roman"/>
          <w:sz w:val="24"/>
          <w:szCs w:val="24"/>
        </w:rPr>
        <w:t>en</w:t>
      </w:r>
      <w:r w:rsidRPr="00463949" w:rsidR="00DF42D3">
        <w:rPr>
          <w:rFonts w:ascii="Times New Roman" w:hAnsi="Times New Roman" w:cs="Times New Roman"/>
          <w:sz w:val="24"/>
          <w:szCs w:val="24"/>
        </w:rPr>
        <w:t xml:space="preserve"> 3:305a</w:t>
      </w:r>
      <w:r w:rsidRPr="00463949" w:rsidR="00D23EE9">
        <w:rPr>
          <w:rFonts w:ascii="Times New Roman" w:hAnsi="Times New Roman" w:cs="Times New Roman"/>
          <w:sz w:val="24"/>
          <w:szCs w:val="24"/>
        </w:rPr>
        <w:t>-305e</w:t>
      </w:r>
      <w:r w:rsidRPr="00463949" w:rsidR="00DF42D3">
        <w:rPr>
          <w:rFonts w:ascii="Times New Roman" w:hAnsi="Times New Roman" w:cs="Times New Roman"/>
          <w:sz w:val="24"/>
          <w:szCs w:val="24"/>
        </w:rPr>
        <w:t xml:space="preserve"> BW voor het recht op collectieve actie</w:t>
      </w:r>
      <w:r w:rsidRPr="00463949" w:rsidR="00E40F13">
        <w:rPr>
          <w:rFonts w:ascii="Times New Roman" w:hAnsi="Times New Roman" w:cs="Times New Roman"/>
          <w:sz w:val="24"/>
          <w:szCs w:val="24"/>
        </w:rPr>
        <w:t xml:space="preserve"> en de artikelen 1018b-1018</w:t>
      </w:r>
      <w:r w:rsidRPr="00463949" w:rsidR="00027EFB">
        <w:rPr>
          <w:rFonts w:ascii="Times New Roman" w:hAnsi="Times New Roman" w:cs="Times New Roman"/>
          <w:sz w:val="24"/>
          <w:szCs w:val="24"/>
        </w:rPr>
        <w:t>o</w:t>
      </w:r>
      <w:r w:rsidRPr="00463949" w:rsidR="00E40F13">
        <w:rPr>
          <w:rFonts w:ascii="Times New Roman" w:hAnsi="Times New Roman" w:cs="Times New Roman"/>
          <w:sz w:val="24"/>
          <w:szCs w:val="24"/>
        </w:rPr>
        <w:t xml:space="preserve"> Rv voor de procedure</w:t>
      </w:r>
      <w:r w:rsidRPr="00463949" w:rsidR="00027EFB">
        <w:rPr>
          <w:rFonts w:ascii="Times New Roman" w:hAnsi="Times New Roman" w:cs="Times New Roman"/>
          <w:sz w:val="24"/>
          <w:szCs w:val="24"/>
        </w:rPr>
        <w:t xml:space="preserve"> in zaken betreffende een collectieve actie en collectieve schadeafwikkeling</w:t>
      </w:r>
      <w:r w:rsidRPr="00463949" w:rsidR="00E40F13">
        <w:rPr>
          <w:rFonts w:ascii="Times New Roman" w:hAnsi="Times New Roman" w:cs="Times New Roman"/>
          <w:sz w:val="24"/>
          <w:szCs w:val="24"/>
        </w:rPr>
        <w:t xml:space="preserve">. Deze artikelen betreffen mede de implementatie van </w:t>
      </w:r>
      <w:r w:rsidRPr="00463949" w:rsidR="0015111E">
        <w:rPr>
          <w:rFonts w:ascii="Times New Roman" w:hAnsi="Times New Roman" w:cs="Times New Roman"/>
          <w:sz w:val="24"/>
          <w:szCs w:val="24"/>
        </w:rPr>
        <w:t xml:space="preserve">de </w:t>
      </w:r>
      <w:r w:rsidRPr="00463949" w:rsidR="00E40F13">
        <w:rPr>
          <w:rFonts w:ascii="Times New Roman" w:hAnsi="Times New Roman" w:cs="Times New Roman"/>
          <w:sz w:val="24"/>
          <w:szCs w:val="24"/>
        </w:rPr>
        <w:t xml:space="preserve">Richtlijn </w:t>
      </w:r>
      <w:r w:rsidRPr="00463949" w:rsidR="00707CB4">
        <w:rPr>
          <w:rFonts w:ascii="Times New Roman" w:hAnsi="Times New Roman" w:cs="Times New Roman"/>
          <w:sz w:val="24"/>
          <w:szCs w:val="24"/>
        </w:rPr>
        <w:t xml:space="preserve">Representatieve vorderingen voor </w:t>
      </w:r>
      <w:r w:rsidRPr="00463949" w:rsidR="00707CB4">
        <w:rPr>
          <w:rFonts w:ascii="Times New Roman" w:hAnsi="Times New Roman" w:cs="Times New Roman"/>
          <w:sz w:val="24"/>
          <w:szCs w:val="24"/>
        </w:rPr>
        <w:lastRenderedPageBreak/>
        <w:t>consumenten.</w:t>
      </w:r>
      <w:r w:rsidRPr="00463949" w:rsidR="00707CB4">
        <w:rPr>
          <w:rStyle w:val="Voetnootmarkering"/>
          <w:rFonts w:ascii="Times New Roman" w:hAnsi="Times New Roman" w:cs="Times New Roman"/>
          <w:sz w:val="24"/>
          <w:szCs w:val="24"/>
        </w:rPr>
        <w:footnoteReference w:id="35"/>
      </w:r>
      <w:r w:rsidRPr="00463949" w:rsidR="00707CB4">
        <w:rPr>
          <w:rFonts w:ascii="Times New Roman" w:hAnsi="Times New Roman" w:cs="Times New Roman"/>
          <w:sz w:val="24"/>
          <w:szCs w:val="24"/>
        </w:rPr>
        <w:t xml:space="preserve"> D</w:t>
      </w:r>
      <w:r w:rsidRPr="00463949" w:rsidR="00527FB3">
        <w:rPr>
          <w:rFonts w:ascii="Times New Roman" w:hAnsi="Times New Roman" w:cs="Times New Roman"/>
          <w:sz w:val="24"/>
          <w:szCs w:val="24"/>
        </w:rPr>
        <w:t>ie richtlijn is bedoeld om inbreuken op consumenten beschermende EU-bepalingen te kunnen handhaven in collectieve actie. D</w:t>
      </w:r>
      <w:r w:rsidRPr="00463949" w:rsidR="00707CB4">
        <w:rPr>
          <w:rFonts w:ascii="Times New Roman" w:hAnsi="Times New Roman" w:cs="Times New Roman"/>
          <w:sz w:val="24"/>
          <w:szCs w:val="24"/>
        </w:rPr>
        <w:t xml:space="preserve">e richtlijn productaansprakelijkheid </w:t>
      </w:r>
      <w:r w:rsidRPr="00463949" w:rsidR="00527FB3">
        <w:rPr>
          <w:rFonts w:ascii="Times New Roman" w:hAnsi="Times New Roman" w:cs="Times New Roman"/>
          <w:sz w:val="24"/>
          <w:szCs w:val="24"/>
        </w:rPr>
        <w:t>valt daar ook onder.</w:t>
      </w:r>
      <w:r w:rsidRPr="00463949" w:rsidR="00527FB3">
        <w:rPr>
          <w:rStyle w:val="Voetnootmarkering"/>
          <w:rFonts w:ascii="Times New Roman" w:hAnsi="Times New Roman" w:cs="Times New Roman"/>
          <w:sz w:val="24"/>
          <w:szCs w:val="24"/>
        </w:rPr>
        <w:footnoteReference w:id="36"/>
      </w:r>
      <w:r w:rsidRPr="00463949" w:rsidDel="00707CB4" w:rsidR="00527FB3">
        <w:rPr>
          <w:rFonts w:ascii="Times New Roman" w:hAnsi="Times New Roman" w:cs="Times New Roman"/>
          <w:sz w:val="24"/>
          <w:szCs w:val="24"/>
        </w:rPr>
        <w:t xml:space="preserve"> </w:t>
      </w:r>
      <w:r w:rsidRPr="00463949" w:rsidR="00527FB3">
        <w:rPr>
          <w:rFonts w:ascii="Times New Roman" w:hAnsi="Times New Roman" w:cs="Times New Roman"/>
          <w:sz w:val="24"/>
          <w:szCs w:val="24"/>
        </w:rPr>
        <w:t>Daarnaast biedt het huidige Nederlandse burgerlijk procesrecht ook andere mogelijkheden om vorderingen namens andere personen in te stellen, bijvoorbeeld via volmacht of door de vordering over te dragen aan een ander (cessie).</w:t>
      </w:r>
    </w:p>
    <w:p w:rsidRPr="00463949" w:rsidR="00B34295" w:rsidP="00D045E0" w:rsidRDefault="00B34295" w14:paraId="6DC71273" w14:textId="77777777">
      <w:pPr>
        <w:spacing w:after="0" w:line="276" w:lineRule="auto"/>
        <w:rPr>
          <w:rFonts w:ascii="Times New Roman" w:hAnsi="Times New Roman" w:cs="Times New Roman"/>
          <w:sz w:val="24"/>
          <w:szCs w:val="24"/>
        </w:rPr>
      </w:pPr>
    </w:p>
    <w:p w:rsidRPr="00463949" w:rsidR="00B34295" w:rsidP="00D045E0" w:rsidRDefault="00B34295" w14:paraId="049638D6" w14:textId="29F3AE6B">
      <w:pPr>
        <w:spacing w:after="0" w:line="276" w:lineRule="auto"/>
        <w:rPr>
          <w:rFonts w:ascii="Times New Roman" w:hAnsi="Times New Roman" w:cs="Times New Roman"/>
          <w:sz w:val="24"/>
          <w:szCs w:val="24"/>
        </w:rPr>
      </w:pPr>
      <w:bookmarkStart w:name="_Hlk218603180" w:id="5"/>
      <w:r w:rsidRPr="00463949">
        <w:rPr>
          <w:rFonts w:ascii="Times New Roman" w:hAnsi="Times New Roman" w:cs="Times New Roman"/>
          <w:sz w:val="24"/>
          <w:szCs w:val="24"/>
        </w:rPr>
        <w:t xml:space="preserve">Artikel 8 lid 5 biedt lidstaten de mogelijkheid om gebruik te maken van bestaande nationale sectorale compensatieregelingen of nieuwe regelingen vast te stellen om benadeelden op een passende wijze te compenseren. Lidstaten </w:t>
      </w:r>
      <w:r w:rsidRPr="00463949" w:rsidR="009457D1">
        <w:rPr>
          <w:rFonts w:ascii="Times New Roman" w:hAnsi="Times New Roman" w:cs="Times New Roman"/>
          <w:sz w:val="24"/>
          <w:szCs w:val="24"/>
        </w:rPr>
        <w:t xml:space="preserve">kunnen </w:t>
      </w:r>
      <w:r w:rsidRPr="00463949">
        <w:rPr>
          <w:rFonts w:ascii="Times New Roman" w:hAnsi="Times New Roman" w:cs="Times New Roman"/>
          <w:sz w:val="24"/>
          <w:szCs w:val="24"/>
        </w:rPr>
        <w:t xml:space="preserve">hiervoor kiezen als benadeelden geen schadevergoeding kunnen krijgen, omdat geen van de in artikel 8 leden 1-4 bedoelde personen aansprakelijk kan worden gesteld of omdat zij insolvent zijn of niet meer bestaan. </w:t>
      </w:r>
      <w:r w:rsidRPr="00463949" w:rsidR="00B11695">
        <w:rPr>
          <w:rFonts w:ascii="Times New Roman" w:hAnsi="Times New Roman" w:cs="Times New Roman"/>
          <w:sz w:val="24"/>
          <w:szCs w:val="24"/>
        </w:rPr>
        <w:t xml:space="preserve">De Richtlijn bepaalt dat een dergelijke regeling bij voorkeur niet met overheidsmiddelen worden gefinancierd. </w:t>
      </w:r>
      <w:r w:rsidRPr="00463949">
        <w:rPr>
          <w:rFonts w:ascii="Times New Roman" w:hAnsi="Times New Roman" w:cs="Times New Roman"/>
          <w:sz w:val="24"/>
          <w:szCs w:val="24"/>
        </w:rPr>
        <w:t xml:space="preserve">Deze bepaling legt </w:t>
      </w:r>
      <w:r w:rsidRPr="00463949" w:rsidR="000A3790">
        <w:rPr>
          <w:rFonts w:ascii="Times New Roman" w:hAnsi="Times New Roman" w:cs="Times New Roman"/>
          <w:sz w:val="24"/>
          <w:szCs w:val="24"/>
        </w:rPr>
        <w:t xml:space="preserve">de </w:t>
      </w:r>
      <w:r w:rsidRPr="00463949">
        <w:rPr>
          <w:rFonts w:ascii="Times New Roman" w:hAnsi="Times New Roman" w:cs="Times New Roman"/>
          <w:sz w:val="24"/>
          <w:szCs w:val="24"/>
        </w:rPr>
        <w:t>lidstaten geen verplichting</w:t>
      </w:r>
      <w:r w:rsidRPr="00463949" w:rsidR="00B723FD">
        <w:rPr>
          <w:rFonts w:ascii="Times New Roman" w:hAnsi="Times New Roman" w:cs="Times New Roman"/>
          <w:sz w:val="24"/>
          <w:szCs w:val="24"/>
        </w:rPr>
        <w:t>en</w:t>
      </w:r>
      <w:r w:rsidRPr="00463949">
        <w:rPr>
          <w:rFonts w:ascii="Times New Roman" w:hAnsi="Times New Roman" w:cs="Times New Roman"/>
          <w:sz w:val="24"/>
          <w:szCs w:val="24"/>
        </w:rPr>
        <w:t xml:space="preserve"> op en behoeft daarom niet te worden omgezet.</w:t>
      </w:r>
      <w:r w:rsidRPr="00463949" w:rsidR="00666E53">
        <w:rPr>
          <w:rFonts w:ascii="Times New Roman" w:hAnsi="Times New Roman" w:cs="Times New Roman"/>
          <w:sz w:val="24"/>
          <w:szCs w:val="24"/>
        </w:rPr>
        <w:t xml:space="preserve"> </w:t>
      </w:r>
      <w:r w:rsidRPr="00463949" w:rsidR="00F33E6F">
        <w:rPr>
          <w:rFonts w:ascii="Times New Roman" w:hAnsi="Times New Roman" w:cs="Times New Roman"/>
          <w:sz w:val="24"/>
          <w:szCs w:val="24"/>
        </w:rPr>
        <w:t xml:space="preserve">Uit vast </w:t>
      </w:r>
      <w:r w:rsidRPr="00463949" w:rsidR="007C413D">
        <w:rPr>
          <w:rFonts w:ascii="Times New Roman" w:hAnsi="Times New Roman" w:cs="Times New Roman"/>
          <w:sz w:val="24"/>
          <w:szCs w:val="24"/>
        </w:rPr>
        <w:t>kabinets</w:t>
      </w:r>
      <w:r w:rsidRPr="00463949" w:rsidR="00F33E6F">
        <w:rPr>
          <w:rFonts w:ascii="Times New Roman" w:hAnsi="Times New Roman" w:cs="Times New Roman"/>
          <w:sz w:val="24"/>
          <w:szCs w:val="24"/>
        </w:rPr>
        <w:t xml:space="preserve">beleid </w:t>
      </w:r>
      <w:r w:rsidRPr="00463949" w:rsidR="007256B7">
        <w:rPr>
          <w:rFonts w:ascii="Times New Roman" w:hAnsi="Times New Roman" w:cs="Times New Roman"/>
          <w:sz w:val="24"/>
          <w:szCs w:val="24"/>
        </w:rPr>
        <w:t xml:space="preserve">voor de </w:t>
      </w:r>
      <w:r w:rsidRPr="00463949" w:rsidR="00F33E6F">
        <w:rPr>
          <w:rFonts w:ascii="Times New Roman" w:hAnsi="Times New Roman" w:cs="Times New Roman"/>
          <w:sz w:val="24"/>
          <w:szCs w:val="24"/>
        </w:rPr>
        <w:t>implementatie van U</w:t>
      </w:r>
      <w:r w:rsidRPr="00463949" w:rsidR="007256B7">
        <w:rPr>
          <w:rFonts w:ascii="Times New Roman" w:hAnsi="Times New Roman" w:cs="Times New Roman"/>
          <w:sz w:val="24"/>
          <w:szCs w:val="24"/>
        </w:rPr>
        <w:t>nie-</w:t>
      </w:r>
      <w:r w:rsidRPr="00463949" w:rsidR="00F33E6F">
        <w:rPr>
          <w:rFonts w:ascii="Times New Roman" w:hAnsi="Times New Roman" w:cs="Times New Roman"/>
          <w:sz w:val="24"/>
          <w:szCs w:val="24"/>
        </w:rPr>
        <w:t xml:space="preserve">recht volgt dat in een implementatieregeling alleen regels die volgen uit de Richtlijn worden opgenomen </w:t>
      </w:r>
      <w:r w:rsidRPr="00463949" w:rsidR="00666E53">
        <w:rPr>
          <w:rFonts w:ascii="Times New Roman" w:hAnsi="Times New Roman" w:cs="Times New Roman"/>
          <w:sz w:val="24"/>
          <w:szCs w:val="24"/>
        </w:rPr>
        <w:t xml:space="preserve">(zuivere implementatie). </w:t>
      </w:r>
      <w:r w:rsidRPr="00463949" w:rsidR="007256B7">
        <w:rPr>
          <w:rFonts w:ascii="Times New Roman" w:hAnsi="Times New Roman" w:cs="Times New Roman"/>
          <w:sz w:val="24"/>
          <w:szCs w:val="24"/>
        </w:rPr>
        <w:t xml:space="preserve">In lijn met dit kabinetsbeleid en ter voorkoming van regeldruk </w:t>
      </w:r>
      <w:r w:rsidRPr="00463949" w:rsidR="00666E53">
        <w:rPr>
          <w:rFonts w:ascii="Times New Roman" w:hAnsi="Times New Roman" w:cs="Times New Roman"/>
          <w:sz w:val="24"/>
          <w:szCs w:val="24"/>
        </w:rPr>
        <w:t xml:space="preserve">wordt </w:t>
      </w:r>
      <w:r w:rsidRPr="00463949" w:rsidR="007256B7">
        <w:rPr>
          <w:rFonts w:ascii="Times New Roman" w:hAnsi="Times New Roman" w:cs="Times New Roman"/>
          <w:sz w:val="24"/>
          <w:szCs w:val="24"/>
        </w:rPr>
        <w:t xml:space="preserve">daarom </w:t>
      </w:r>
      <w:r w:rsidRPr="00463949" w:rsidR="00666E53">
        <w:rPr>
          <w:rFonts w:ascii="Times New Roman" w:hAnsi="Times New Roman" w:cs="Times New Roman"/>
          <w:sz w:val="24"/>
          <w:szCs w:val="24"/>
        </w:rPr>
        <w:t>geen gebruik gemaakt</w:t>
      </w:r>
      <w:r w:rsidRPr="00463949" w:rsidR="00F33E6F">
        <w:rPr>
          <w:rFonts w:ascii="Times New Roman" w:hAnsi="Times New Roman" w:cs="Times New Roman"/>
          <w:sz w:val="24"/>
          <w:szCs w:val="24"/>
        </w:rPr>
        <w:t xml:space="preserve"> van de mogelijkheid om nieuwe sectorale compensatieregelingen vast te stellen</w:t>
      </w:r>
      <w:r w:rsidRPr="00463949" w:rsidR="00666E53">
        <w:rPr>
          <w:rFonts w:ascii="Times New Roman" w:hAnsi="Times New Roman" w:cs="Times New Roman"/>
          <w:sz w:val="24"/>
          <w:szCs w:val="24"/>
        </w:rPr>
        <w:t xml:space="preserve">. </w:t>
      </w:r>
    </w:p>
    <w:bookmarkEnd w:id="5"/>
    <w:p w:rsidRPr="00463949" w:rsidR="00B34295" w:rsidP="00D045E0" w:rsidRDefault="00B34295" w14:paraId="0BACD2A7" w14:textId="77777777">
      <w:pPr>
        <w:spacing w:after="0" w:line="276" w:lineRule="auto"/>
        <w:rPr>
          <w:rFonts w:ascii="Times New Roman" w:hAnsi="Times New Roman" w:cs="Times New Roman"/>
          <w:sz w:val="24"/>
          <w:szCs w:val="24"/>
        </w:rPr>
      </w:pPr>
    </w:p>
    <w:p w:rsidRPr="00463949" w:rsidR="00F61027" w:rsidP="00F61027" w:rsidRDefault="003B12B1" w14:paraId="5966E77C" w14:textId="4B31C81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artikel 9 zijn </w:t>
      </w:r>
      <w:r w:rsidRPr="00463949" w:rsidR="0081789C">
        <w:rPr>
          <w:rFonts w:ascii="Times New Roman" w:hAnsi="Times New Roman" w:cs="Times New Roman"/>
          <w:sz w:val="24"/>
          <w:szCs w:val="24"/>
        </w:rPr>
        <w:t>regels</w:t>
      </w:r>
      <w:r w:rsidRPr="00463949">
        <w:rPr>
          <w:rFonts w:ascii="Times New Roman" w:hAnsi="Times New Roman" w:cs="Times New Roman"/>
          <w:sz w:val="24"/>
          <w:szCs w:val="24"/>
        </w:rPr>
        <w:t xml:space="preserve"> opgenomen</w:t>
      </w:r>
      <w:r w:rsidRPr="00463949" w:rsidR="0081789C">
        <w:rPr>
          <w:rFonts w:ascii="Times New Roman" w:hAnsi="Times New Roman" w:cs="Times New Roman"/>
          <w:sz w:val="24"/>
          <w:szCs w:val="24"/>
        </w:rPr>
        <w:t xml:space="preserve"> voor de </w:t>
      </w:r>
      <w:r w:rsidRPr="00463949" w:rsidR="00B34295">
        <w:rPr>
          <w:rFonts w:ascii="Times New Roman" w:hAnsi="Times New Roman" w:cs="Times New Roman"/>
          <w:sz w:val="24"/>
          <w:szCs w:val="24"/>
        </w:rPr>
        <w:t>toegang tot bewijsmateriaal</w:t>
      </w:r>
      <w:r w:rsidRPr="00463949" w:rsidR="006B771B">
        <w:rPr>
          <w:rFonts w:ascii="Times New Roman" w:hAnsi="Times New Roman" w:cs="Times New Roman"/>
          <w:sz w:val="24"/>
          <w:szCs w:val="24"/>
        </w:rPr>
        <w:t xml:space="preserve"> in gerechtelijke procedures over productaansprakelijkheid</w:t>
      </w:r>
      <w:r w:rsidRPr="00463949" w:rsidR="00C32F7D">
        <w:rPr>
          <w:rFonts w:ascii="Times New Roman" w:hAnsi="Times New Roman" w:cs="Times New Roman"/>
          <w:sz w:val="24"/>
          <w:szCs w:val="24"/>
        </w:rPr>
        <w:t xml:space="preserve"> (zie hiervoor par</w:t>
      </w:r>
      <w:r w:rsidRPr="00463949" w:rsidR="00EC5168">
        <w:rPr>
          <w:rFonts w:ascii="Times New Roman" w:hAnsi="Times New Roman" w:cs="Times New Roman"/>
          <w:sz w:val="24"/>
          <w:szCs w:val="24"/>
        </w:rPr>
        <w:t>agraaf</w:t>
      </w:r>
      <w:r w:rsidRPr="00463949" w:rsidR="00C32F7D">
        <w:rPr>
          <w:rFonts w:ascii="Times New Roman" w:hAnsi="Times New Roman" w:cs="Times New Roman"/>
          <w:sz w:val="24"/>
          <w:szCs w:val="24"/>
        </w:rPr>
        <w:t xml:space="preserve"> 2.4 c</w:t>
      </w:r>
      <w:r w:rsidRPr="00463949" w:rsidR="00EC5168">
        <w:rPr>
          <w:rFonts w:ascii="Times New Roman" w:hAnsi="Times New Roman" w:cs="Times New Roman"/>
          <w:sz w:val="24"/>
          <w:szCs w:val="24"/>
        </w:rPr>
        <w:t>. van deze memorie</w:t>
      </w:r>
      <w:r w:rsidRPr="00463949" w:rsidR="002C423D">
        <w:rPr>
          <w:rFonts w:ascii="Times New Roman" w:hAnsi="Times New Roman" w:cs="Times New Roman"/>
          <w:sz w:val="24"/>
          <w:szCs w:val="24"/>
        </w:rPr>
        <w:t xml:space="preserve"> van toelichting</w:t>
      </w:r>
      <w:r w:rsidRPr="00463949" w:rsidR="00C32F7D">
        <w:rPr>
          <w:rFonts w:ascii="Times New Roman" w:hAnsi="Times New Roman" w:cs="Times New Roman"/>
          <w:sz w:val="24"/>
          <w:szCs w:val="24"/>
        </w:rPr>
        <w:t>)</w:t>
      </w:r>
      <w:r w:rsidRPr="00463949" w:rsidR="00B34295">
        <w:rPr>
          <w:rFonts w:ascii="Times New Roman" w:hAnsi="Times New Roman" w:cs="Times New Roman"/>
          <w:sz w:val="24"/>
          <w:szCs w:val="24"/>
        </w:rPr>
        <w:t xml:space="preserve">. Deze procedurele regels zijn in overeenstemming met </w:t>
      </w:r>
      <w:r w:rsidRPr="00463949" w:rsidR="00607A85">
        <w:rPr>
          <w:rFonts w:ascii="Times New Roman" w:hAnsi="Times New Roman" w:cs="Times New Roman"/>
          <w:sz w:val="24"/>
          <w:szCs w:val="24"/>
        </w:rPr>
        <w:t>“</w:t>
      </w:r>
      <w:r w:rsidRPr="00463949" w:rsidR="00B34295">
        <w:rPr>
          <w:rFonts w:ascii="Times New Roman" w:hAnsi="Times New Roman" w:cs="Times New Roman"/>
          <w:sz w:val="24"/>
          <w:szCs w:val="24"/>
        </w:rPr>
        <w:t xml:space="preserve">het </w:t>
      </w:r>
      <w:r w:rsidRPr="00463949" w:rsidR="005C4181">
        <w:rPr>
          <w:rFonts w:ascii="Times New Roman" w:hAnsi="Times New Roman" w:cs="Times New Roman"/>
          <w:sz w:val="24"/>
          <w:szCs w:val="24"/>
        </w:rPr>
        <w:t>recht op inzage, afschrift of uittreksel van gegevens”</w:t>
      </w:r>
      <w:r w:rsidRPr="00463949" w:rsidR="00B34295">
        <w:rPr>
          <w:rFonts w:ascii="Times New Roman" w:hAnsi="Times New Roman" w:cs="Times New Roman"/>
          <w:sz w:val="24"/>
          <w:szCs w:val="24"/>
        </w:rPr>
        <w:t xml:space="preserve"> in de artikelen 194</w:t>
      </w:r>
      <w:r w:rsidRPr="00463949" w:rsidR="00607A85">
        <w:rPr>
          <w:rFonts w:ascii="Times New Roman" w:hAnsi="Times New Roman" w:cs="Times New Roman"/>
          <w:sz w:val="24"/>
          <w:szCs w:val="24"/>
        </w:rPr>
        <w:t xml:space="preserve"> en </w:t>
      </w:r>
      <w:r w:rsidRPr="00463949" w:rsidR="00B34295">
        <w:rPr>
          <w:rFonts w:ascii="Times New Roman" w:hAnsi="Times New Roman" w:cs="Times New Roman"/>
          <w:sz w:val="24"/>
          <w:szCs w:val="24"/>
        </w:rPr>
        <w:t>195 van het Wetboek van Burgerlijke Rechtsvordering</w:t>
      </w:r>
      <w:r w:rsidRPr="00463949" w:rsidR="009457D1">
        <w:rPr>
          <w:rFonts w:ascii="Times New Roman" w:hAnsi="Times New Roman" w:cs="Times New Roman"/>
          <w:sz w:val="24"/>
          <w:szCs w:val="24"/>
        </w:rPr>
        <w:t xml:space="preserve"> (Rv)</w:t>
      </w:r>
      <w:r w:rsidRPr="00463949" w:rsidR="002B0613">
        <w:rPr>
          <w:rFonts w:ascii="Times New Roman" w:hAnsi="Times New Roman" w:cs="Times New Roman"/>
          <w:sz w:val="24"/>
          <w:szCs w:val="24"/>
        </w:rPr>
        <w:t xml:space="preserve">. Het richtlijnartikel </w:t>
      </w:r>
      <w:r w:rsidRPr="00463949" w:rsidR="00B34295">
        <w:rPr>
          <w:rFonts w:ascii="Times New Roman" w:hAnsi="Times New Roman" w:cs="Times New Roman"/>
          <w:sz w:val="24"/>
          <w:szCs w:val="24"/>
        </w:rPr>
        <w:t>behoe</w:t>
      </w:r>
      <w:r w:rsidRPr="00463949" w:rsidR="002B0613">
        <w:rPr>
          <w:rFonts w:ascii="Times New Roman" w:hAnsi="Times New Roman" w:cs="Times New Roman"/>
          <w:sz w:val="24"/>
          <w:szCs w:val="24"/>
        </w:rPr>
        <w:t>ft</w:t>
      </w:r>
      <w:r w:rsidRPr="00463949" w:rsidR="00B34295">
        <w:rPr>
          <w:rFonts w:ascii="Times New Roman" w:hAnsi="Times New Roman" w:cs="Times New Roman"/>
          <w:sz w:val="24"/>
          <w:szCs w:val="24"/>
        </w:rPr>
        <w:t xml:space="preserve"> daarom geen implementatie. Voor de volledigheid wordt opgemerkt dat de Richtlijn </w:t>
      </w:r>
      <w:r w:rsidRPr="00463949" w:rsidR="00F61027">
        <w:rPr>
          <w:rFonts w:ascii="Times New Roman" w:hAnsi="Times New Roman" w:cs="Times New Roman"/>
          <w:sz w:val="24"/>
          <w:szCs w:val="24"/>
        </w:rPr>
        <w:t>de regels over de toegang tot bewijsmateriaal alleen</w:t>
      </w:r>
      <w:r w:rsidRPr="00463949" w:rsidR="00B34295">
        <w:rPr>
          <w:rFonts w:ascii="Times New Roman" w:hAnsi="Times New Roman" w:cs="Times New Roman"/>
          <w:sz w:val="24"/>
          <w:szCs w:val="24"/>
        </w:rPr>
        <w:t xml:space="preserve"> harmoniseert</w:t>
      </w:r>
      <w:r w:rsidRPr="00463949" w:rsidR="00F61027">
        <w:rPr>
          <w:rFonts w:ascii="Times New Roman" w:hAnsi="Times New Roman" w:cs="Times New Roman"/>
          <w:sz w:val="24"/>
          <w:szCs w:val="24"/>
        </w:rPr>
        <w:t xml:space="preserve"> voor aangelegenheden die door de Richtlijn worden geregeld. Niet door de Richtlijn geregeld zijn onder meer de regels over </w:t>
      </w:r>
      <w:r w:rsidRPr="00463949" w:rsidR="009655DB">
        <w:rPr>
          <w:rFonts w:ascii="Times New Roman" w:hAnsi="Times New Roman" w:cs="Times New Roman"/>
          <w:sz w:val="24"/>
          <w:szCs w:val="24"/>
        </w:rPr>
        <w:t xml:space="preserve">(i) </w:t>
      </w:r>
      <w:r w:rsidRPr="00463949" w:rsidR="00F61027">
        <w:rPr>
          <w:rFonts w:ascii="Times New Roman" w:hAnsi="Times New Roman" w:cs="Times New Roman"/>
          <w:sz w:val="24"/>
          <w:szCs w:val="24"/>
        </w:rPr>
        <w:t xml:space="preserve">de toegang tot bewijsmateriaal voorafgaand aan </w:t>
      </w:r>
      <w:r w:rsidRPr="00463949" w:rsidR="0081789C">
        <w:rPr>
          <w:rFonts w:ascii="Times New Roman" w:hAnsi="Times New Roman" w:cs="Times New Roman"/>
          <w:sz w:val="24"/>
          <w:szCs w:val="24"/>
        </w:rPr>
        <w:t>de gerechtelijke procedure</w:t>
      </w:r>
      <w:r w:rsidRPr="00463949" w:rsidR="00F61027">
        <w:rPr>
          <w:rFonts w:ascii="Times New Roman" w:hAnsi="Times New Roman" w:cs="Times New Roman"/>
          <w:sz w:val="24"/>
          <w:szCs w:val="24"/>
        </w:rPr>
        <w:t>,</w:t>
      </w:r>
      <w:r w:rsidRPr="00463949" w:rsidR="009655DB">
        <w:rPr>
          <w:rFonts w:ascii="Times New Roman" w:hAnsi="Times New Roman" w:cs="Times New Roman"/>
          <w:sz w:val="24"/>
          <w:szCs w:val="24"/>
        </w:rPr>
        <w:t xml:space="preserve"> (ii)</w:t>
      </w:r>
      <w:r w:rsidRPr="00463949" w:rsidR="00F61027">
        <w:rPr>
          <w:rFonts w:ascii="Times New Roman" w:hAnsi="Times New Roman" w:cs="Times New Roman"/>
          <w:sz w:val="24"/>
          <w:szCs w:val="24"/>
        </w:rPr>
        <w:t xml:space="preserve"> de vraag hoe specifiek een verzoek om bewijsmateriaal moet zijn</w:t>
      </w:r>
      <w:r w:rsidRPr="00463949" w:rsidR="005C4181">
        <w:rPr>
          <w:rFonts w:ascii="Times New Roman" w:hAnsi="Times New Roman" w:cs="Times New Roman"/>
          <w:sz w:val="24"/>
          <w:szCs w:val="24"/>
        </w:rPr>
        <w:t xml:space="preserve">, </w:t>
      </w:r>
      <w:r w:rsidRPr="00463949" w:rsidR="009655DB">
        <w:rPr>
          <w:rFonts w:ascii="Times New Roman" w:hAnsi="Times New Roman" w:cs="Times New Roman"/>
          <w:sz w:val="24"/>
          <w:szCs w:val="24"/>
        </w:rPr>
        <w:t xml:space="preserve">(iii) </w:t>
      </w:r>
      <w:r w:rsidRPr="00463949" w:rsidR="00527FB3">
        <w:rPr>
          <w:rFonts w:ascii="Times New Roman" w:hAnsi="Times New Roman" w:cs="Times New Roman"/>
          <w:sz w:val="24"/>
          <w:szCs w:val="24"/>
        </w:rPr>
        <w:t xml:space="preserve">de toegang tot bewijsmateriaal dat zich onder </w:t>
      </w:r>
      <w:r w:rsidRPr="00463949" w:rsidR="005C4181">
        <w:rPr>
          <w:rFonts w:ascii="Times New Roman" w:hAnsi="Times New Roman" w:cs="Times New Roman"/>
          <w:sz w:val="24"/>
          <w:szCs w:val="24"/>
        </w:rPr>
        <w:t>derden</w:t>
      </w:r>
      <w:r w:rsidRPr="00463949" w:rsidR="00527FB3">
        <w:rPr>
          <w:rFonts w:ascii="Times New Roman" w:hAnsi="Times New Roman" w:cs="Times New Roman"/>
          <w:sz w:val="24"/>
          <w:szCs w:val="24"/>
        </w:rPr>
        <w:t xml:space="preserve"> bevindt</w:t>
      </w:r>
      <w:r w:rsidRPr="00463949" w:rsidR="005C4181">
        <w:rPr>
          <w:rFonts w:ascii="Times New Roman" w:hAnsi="Times New Roman" w:cs="Times New Roman"/>
          <w:sz w:val="24"/>
          <w:szCs w:val="24"/>
        </w:rPr>
        <w:t xml:space="preserve">, </w:t>
      </w:r>
      <w:r w:rsidRPr="00463949" w:rsidR="00C56425">
        <w:rPr>
          <w:rFonts w:ascii="Times New Roman" w:hAnsi="Times New Roman" w:cs="Times New Roman"/>
          <w:sz w:val="24"/>
          <w:szCs w:val="24"/>
        </w:rPr>
        <w:t xml:space="preserve">(iv) </w:t>
      </w:r>
      <w:r w:rsidRPr="00463949" w:rsidR="005C4181">
        <w:rPr>
          <w:rFonts w:ascii="Times New Roman" w:hAnsi="Times New Roman" w:cs="Times New Roman"/>
          <w:sz w:val="24"/>
          <w:szCs w:val="24"/>
        </w:rPr>
        <w:t>gevallen van declaratoire vorderingen</w:t>
      </w:r>
      <w:r w:rsidRPr="00463949" w:rsidR="00F61027">
        <w:rPr>
          <w:rFonts w:ascii="Times New Roman" w:hAnsi="Times New Roman" w:cs="Times New Roman"/>
          <w:sz w:val="24"/>
          <w:szCs w:val="24"/>
        </w:rPr>
        <w:t xml:space="preserve"> en </w:t>
      </w:r>
      <w:r w:rsidRPr="00463949" w:rsidR="009655DB">
        <w:rPr>
          <w:rFonts w:ascii="Times New Roman" w:hAnsi="Times New Roman" w:cs="Times New Roman"/>
          <w:sz w:val="24"/>
          <w:szCs w:val="24"/>
        </w:rPr>
        <w:t>(</w:t>
      </w:r>
      <w:r w:rsidRPr="00463949" w:rsidR="00C56425">
        <w:rPr>
          <w:rFonts w:ascii="Times New Roman" w:hAnsi="Times New Roman" w:cs="Times New Roman"/>
          <w:sz w:val="24"/>
          <w:szCs w:val="24"/>
        </w:rPr>
        <w:t>v</w:t>
      </w:r>
      <w:r w:rsidRPr="00463949" w:rsidR="009655DB">
        <w:rPr>
          <w:rFonts w:ascii="Times New Roman" w:hAnsi="Times New Roman" w:cs="Times New Roman"/>
          <w:sz w:val="24"/>
          <w:szCs w:val="24"/>
        </w:rPr>
        <w:t xml:space="preserve">) </w:t>
      </w:r>
      <w:r w:rsidRPr="00463949" w:rsidR="00F61027">
        <w:rPr>
          <w:rFonts w:ascii="Times New Roman" w:hAnsi="Times New Roman" w:cs="Times New Roman"/>
          <w:sz w:val="24"/>
          <w:szCs w:val="24"/>
        </w:rPr>
        <w:t>sancties op de niet-naleving van de verplichting om toegang te verlenen tot bewijsmateriaal</w:t>
      </w:r>
      <w:r w:rsidRPr="00463949" w:rsidR="0045113C">
        <w:rPr>
          <w:rFonts w:ascii="Times New Roman" w:hAnsi="Times New Roman" w:cs="Times New Roman"/>
          <w:sz w:val="24"/>
          <w:szCs w:val="24"/>
        </w:rPr>
        <w:t xml:space="preserve"> (zie artikel 9 lid 7 en overweging 43). </w:t>
      </w:r>
      <w:r w:rsidRPr="00463949" w:rsidR="005C4181">
        <w:rPr>
          <w:rFonts w:ascii="Times New Roman" w:hAnsi="Times New Roman" w:cs="Times New Roman"/>
          <w:sz w:val="24"/>
          <w:szCs w:val="24"/>
        </w:rPr>
        <w:t xml:space="preserve">Deze </w:t>
      </w:r>
      <w:r w:rsidRPr="00463949" w:rsidR="00E840F6">
        <w:rPr>
          <w:rFonts w:ascii="Times New Roman" w:hAnsi="Times New Roman" w:cs="Times New Roman"/>
          <w:sz w:val="24"/>
          <w:szCs w:val="24"/>
        </w:rPr>
        <w:t>zaken</w:t>
      </w:r>
      <w:r w:rsidRPr="00463949" w:rsidR="00F61027">
        <w:rPr>
          <w:rFonts w:ascii="Times New Roman" w:hAnsi="Times New Roman" w:cs="Times New Roman"/>
          <w:sz w:val="24"/>
          <w:szCs w:val="24"/>
        </w:rPr>
        <w:t xml:space="preserve"> zijn </w:t>
      </w:r>
      <w:r w:rsidRPr="00463949" w:rsidR="0045113C">
        <w:rPr>
          <w:rFonts w:ascii="Times New Roman" w:hAnsi="Times New Roman" w:cs="Times New Roman"/>
          <w:sz w:val="24"/>
          <w:szCs w:val="24"/>
        </w:rPr>
        <w:t xml:space="preserve">dus </w:t>
      </w:r>
      <w:r w:rsidRPr="00463949" w:rsidR="00F61027">
        <w:rPr>
          <w:rFonts w:ascii="Times New Roman" w:hAnsi="Times New Roman" w:cs="Times New Roman"/>
          <w:sz w:val="24"/>
          <w:szCs w:val="24"/>
        </w:rPr>
        <w:t>volledig overgelaten aan het nationale recht.</w:t>
      </w:r>
      <w:r w:rsidRPr="00463949" w:rsidR="008D1598">
        <w:rPr>
          <w:rFonts w:ascii="Times New Roman" w:hAnsi="Times New Roman" w:cs="Times New Roman"/>
          <w:sz w:val="24"/>
          <w:szCs w:val="24"/>
        </w:rPr>
        <w:t xml:space="preserve"> Nederland kent de mogelijkheid om inzage</w:t>
      </w:r>
      <w:r w:rsidRPr="00463949" w:rsidR="0026129E">
        <w:rPr>
          <w:rFonts w:ascii="Times New Roman" w:hAnsi="Times New Roman" w:cs="Times New Roman"/>
          <w:sz w:val="24"/>
          <w:szCs w:val="24"/>
        </w:rPr>
        <w:t>, afschrift of uittreksel van bepaalde gegevens</w:t>
      </w:r>
      <w:r w:rsidRPr="00463949" w:rsidR="008D1598">
        <w:rPr>
          <w:rFonts w:ascii="Times New Roman" w:hAnsi="Times New Roman" w:cs="Times New Roman"/>
          <w:sz w:val="24"/>
          <w:szCs w:val="24"/>
        </w:rPr>
        <w:t xml:space="preserve"> te verzoeken voordat een zaak aanhangig is, of als het geding aanhangig is gemaakt, voordat de zaak op de rol is ingeschreven</w:t>
      </w:r>
      <w:r w:rsidRPr="00463949" w:rsidR="0026129E">
        <w:rPr>
          <w:rFonts w:ascii="Times New Roman" w:hAnsi="Times New Roman" w:cs="Times New Roman"/>
          <w:sz w:val="24"/>
          <w:szCs w:val="24"/>
        </w:rPr>
        <w:t xml:space="preserve"> (zie </w:t>
      </w:r>
      <w:r w:rsidRPr="00463949" w:rsidR="008D1598">
        <w:rPr>
          <w:rFonts w:ascii="Times New Roman" w:hAnsi="Times New Roman" w:cs="Times New Roman"/>
          <w:sz w:val="24"/>
          <w:szCs w:val="24"/>
        </w:rPr>
        <w:t>de artikelen 194-195a jo. artikel 196 Rv</w:t>
      </w:r>
      <w:r w:rsidRPr="00463949" w:rsidR="0026129E">
        <w:rPr>
          <w:rFonts w:ascii="Times New Roman" w:hAnsi="Times New Roman" w:cs="Times New Roman"/>
          <w:sz w:val="24"/>
          <w:szCs w:val="24"/>
        </w:rPr>
        <w:t>)</w:t>
      </w:r>
      <w:r w:rsidRPr="00463949" w:rsidR="008D1598">
        <w:rPr>
          <w:rFonts w:ascii="Times New Roman" w:hAnsi="Times New Roman" w:cs="Times New Roman"/>
          <w:sz w:val="24"/>
          <w:szCs w:val="24"/>
        </w:rPr>
        <w:t>.</w:t>
      </w:r>
      <w:r w:rsidRPr="00463949" w:rsidR="00DE0B77">
        <w:rPr>
          <w:rFonts w:ascii="Times New Roman" w:hAnsi="Times New Roman" w:cs="Times New Roman"/>
          <w:sz w:val="24"/>
          <w:szCs w:val="24"/>
        </w:rPr>
        <w:t xml:space="preserve"> Van deze mogelijkheid kan dus ook gebruik worden gemaakt in productaansprakelijkheidszaken.</w:t>
      </w:r>
    </w:p>
    <w:p w:rsidRPr="00463949" w:rsidR="00101310" w:rsidP="00F61027" w:rsidRDefault="00101310" w14:paraId="556521DB" w14:textId="77777777">
      <w:pPr>
        <w:spacing w:after="0" w:line="276" w:lineRule="auto"/>
        <w:rPr>
          <w:rFonts w:ascii="Times New Roman" w:hAnsi="Times New Roman" w:cs="Times New Roman"/>
          <w:sz w:val="24"/>
          <w:szCs w:val="24"/>
        </w:rPr>
      </w:pPr>
    </w:p>
    <w:p w:rsidRPr="00463949" w:rsidR="00101310" w:rsidP="00F61027" w:rsidRDefault="00101310" w14:paraId="16ED41D3" w14:textId="5CA8D8D9">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Artikel 10 lid 1 bepaalt dat de eiser (benadeelde) </w:t>
      </w:r>
      <w:r w:rsidRPr="00463949" w:rsidR="0000662C">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van het product, de geleden schade en het oorzakelijk verband tussen </w:t>
      </w:r>
      <w:r w:rsidRPr="00463949" w:rsidR="0000662C">
        <w:rPr>
          <w:rFonts w:ascii="Times New Roman" w:hAnsi="Times New Roman" w:cs="Times New Roman"/>
          <w:sz w:val="24"/>
          <w:szCs w:val="24"/>
        </w:rPr>
        <w:t xml:space="preserve">dat gebrek </w:t>
      </w:r>
      <w:r w:rsidRPr="00463949">
        <w:rPr>
          <w:rFonts w:ascii="Times New Roman" w:hAnsi="Times New Roman" w:cs="Times New Roman"/>
          <w:sz w:val="24"/>
          <w:szCs w:val="24"/>
        </w:rPr>
        <w:t xml:space="preserve">en die schade </w:t>
      </w:r>
      <w:r w:rsidRPr="00463949" w:rsidR="003B12B1">
        <w:rPr>
          <w:rFonts w:ascii="Times New Roman" w:hAnsi="Times New Roman" w:cs="Times New Roman"/>
          <w:sz w:val="24"/>
          <w:szCs w:val="24"/>
        </w:rPr>
        <w:t xml:space="preserve">moet </w:t>
      </w:r>
      <w:r w:rsidRPr="00463949">
        <w:rPr>
          <w:rFonts w:ascii="Times New Roman" w:hAnsi="Times New Roman" w:cs="Times New Roman"/>
          <w:sz w:val="24"/>
          <w:szCs w:val="24"/>
        </w:rPr>
        <w:t xml:space="preserve">bewijzen. </w:t>
      </w:r>
      <w:r w:rsidRPr="00463949" w:rsidR="00833A5F">
        <w:rPr>
          <w:rFonts w:ascii="Times New Roman" w:hAnsi="Times New Roman" w:cs="Times New Roman"/>
          <w:sz w:val="24"/>
          <w:szCs w:val="24"/>
        </w:rPr>
        <w:t>D</w:t>
      </w:r>
      <w:r w:rsidRPr="00463949" w:rsidR="00E840F6">
        <w:rPr>
          <w:rFonts w:ascii="Times New Roman" w:hAnsi="Times New Roman" w:cs="Times New Roman"/>
          <w:sz w:val="24"/>
          <w:szCs w:val="24"/>
        </w:rPr>
        <w:t xml:space="preserve">eze </w:t>
      </w:r>
      <w:r w:rsidRPr="00463949" w:rsidR="00E840F6">
        <w:rPr>
          <w:rFonts w:ascii="Times New Roman" w:hAnsi="Times New Roman" w:cs="Times New Roman"/>
          <w:sz w:val="24"/>
          <w:szCs w:val="24"/>
        </w:rPr>
        <w:lastRenderedPageBreak/>
        <w:t xml:space="preserve">bepaling stemt overeen met die in </w:t>
      </w:r>
      <w:r w:rsidRPr="00463949" w:rsidR="00B14E70">
        <w:rPr>
          <w:rFonts w:ascii="Times New Roman" w:hAnsi="Times New Roman" w:cs="Times New Roman"/>
          <w:sz w:val="24"/>
          <w:szCs w:val="24"/>
        </w:rPr>
        <w:t xml:space="preserve">Richtlijn 85/374 </w:t>
      </w:r>
      <w:r w:rsidRPr="00463949" w:rsidR="00E840F6">
        <w:rPr>
          <w:rFonts w:ascii="Times New Roman" w:hAnsi="Times New Roman" w:cs="Times New Roman"/>
          <w:sz w:val="24"/>
          <w:szCs w:val="24"/>
        </w:rPr>
        <w:t xml:space="preserve">en is </w:t>
      </w:r>
      <w:r w:rsidRPr="00463949" w:rsidR="007A54CE">
        <w:rPr>
          <w:rFonts w:ascii="Times New Roman" w:hAnsi="Times New Roman" w:cs="Times New Roman"/>
          <w:sz w:val="24"/>
          <w:szCs w:val="24"/>
        </w:rPr>
        <w:t xml:space="preserve">al </w:t>
      </w:r>
      <w:r w:rsidRPr="00463949" w:rsidR="00E840F6">
        <w:rPr>
          <w:rFonts w:ascii="Times New Roman" w:hAnsi="Times New Roman" w:cs="Times New Roman"/>
          <w:sz w:val="24"/>
          <w:szCs w:val="24"/>
        </w:rPr>
        <w:t xml:space="preserve">geïmplementeerd in </w:t>
      </w:r>
      <w:r w:rsidRPr="00463949" w:rsidR="00833A5F">
        <w:rPr>
          <w:rFonts w:ascii="Times New Roman" w:hAnsi="Times New Roman" w:cs="Times New Roman"/>
          <w:sz w:val="24"/>
          <w:szCs w:val="24"/>
        </w:rPr>
        <w:t>artikel 6:188 BW.</w:t>
      </w:r>
      <w:r w:rsidRPr="00463949" w:rsidR="006B771B">
        <w:rPr>
          <w:rFonts w:ascii="Times New Roman" w:hAnsi="Times New Roman" w:cs="Times New Roman"/>
          <w:sz w:val="24"/>
          <w:szCs w:val="24"/>
        </w:rPr>
        <w:t xml:space="preserve"> In </w:t>
      </w:r>
      <w:r w:rsidRPr="00463949" w:rsidR="00E840F6">
        <w:rPr>
          <w:rFonts w:ascii="Times New Roman" w:hAnsi="Times New Roman" w:cs="Times New Roman"/>
          <w:sz w:val="24"/>
          <w:szCs w:val="24"/>
        </w:rPr>
        <w:t>di</w:t>
      </w:r>
      <w:r w:rsidRPr="00463949" w:rsidR="006B771B">
        <w:rPr>
          <w:rFonts w:ascii="Times New Roman" w:hAnsi="Times New Roman" w:cs="Times New Roman"/>
          <w:sz w:val="24"/>
          <w:szCs w:val="24"/>
        </w:rPr>
        <w:t xml:space="preserve">t artikel </w:t>
      </w:r>
      <w:r w:rsidRPr="00463949" w:rsidR="009457D1">
        <w:rPr>
          <w:rFonts w:ascii="Times New Roman" w:hAnsi="Times New Roman" w:cs="Times New Roman"/>
          <w:sz w:val="24"/>
          <w:szCs w:val="24"/>
        </w:rPr>
        <w:t>wordt</w:t>
      </w:r>
      <w:r w:rsidRPr="00463949" w:rsidR="006B771B">
        <w:rPr>
          <w:rFonts w:ascii="Times New Roman" w:hAnsi="Times New Roman" w:cs="Times New Roman"/>
          <w:sz w:val="24"/>
          <w:szCs w:val="24"/>
        </w:rPr>
        <w:t xml:space="preserve"> alleen een redactionele wijziging doorgevoerd.</w:t>
      </w:r>
    </w:p>
    <w:p w:rsidRPr="00463949" w:rsidR="00833A5F" w:rsidP="00F61027" w:rsidRDefault="00833A5F" w14:paraId="3A2E4227" w14:textId="77777777">
      <w:pPr>
        <w:spacing w:after="0" w:line="276" w:lineRule="auto"/>
        <w:rPr>
          <w:rFonts w:ascii="Times New Roman" w:hAnsi="Times New Roman" w:cs="Times New Roman"/>
          <w:sz w:val="24"/>
          <w:szCs w:val="24"/>
        </w:rPr>
      </w:pPr>
    </w:p>
    <w:p w:rsidRPr="00463949" w:rsidR="00833A5F" w:rsidP="00D045E0" w:rsidRDefault="0081789C" w14:paraId="6CAE0CDA" w14:textId="36F587D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A</w:t>
      </w:r>
      <w:r w:rsidRPr="00463949" w:rsidR="00B568A4">
        <w:rPr>
          <w:rFonts w:ascii="Times New Roman" w:hAnsi="Times New Roman" w:cs="Times New Roman"/>
          <w:sz w:val="24"/>
          <w:szCs w:val="24"/>
        </w:rPr>
        <w:t>rtikel 12 lid 1</w:t>
      </w:r>
      <w:r w:rsidRPr="00463949">
        <w:rPr>
          <w:rFonts w:ascii="Times New Roman" w:hAnsi="Times New Roman" w:cs="Times New Roman"/>
          <w:sz w:val="24"/>
          <w:szCs w:val="24"/>
        </w:rPr>
        <w:t xml:space="preserve"> regelt de hoofdelijke aansprakelijkheid van marktdeelnemers. Dit</w:t>
      </w:r>
      <w:r w:rsidRPr="00463949" w:rsidR="00B568A4">
        <w:rPr>
          <w:rFonts w:ascii="Times New Roman" w:hAnsi="Times New Roman" w:cs="Times New Roman"/>
          <w:sz w:val="24"/>
          <w:szCs w:val="24"/>
        </w:rPr>
        <w:t xml:space="preserve"> </w:t>
      </w:r>
      <w:r w:rsidRPr="00463949" w:rsidR="00833A5F">
        <w:rPr>
          <w:rFonts w:ascii="Times New Roman" w:hAnsi="Times New Roman" w:cs="Times New Roman"/>
          <w:sz w:val="24"/>
          <w:szCs w:val="24"/>
        </w:rPr>
        <w:t xml:space="preserve">uitgangspunt maakt reeds deel uit van de huidige productaansprakelijkheidsregeling </w:t>
      </w:r>
      <w:r w:rsidRPr="00463949" w:rsidR="0045113C">
        <w:rPr>
          <w:rFonts w:ascii="Times New Roman" w:hAnsi="Times New Roman" w:cs="Times New Roman"/>
          <w:sz w:val="24"/>
          <w:szCs w:val="24"/>
        </w:rPr>
        <w:t xml:space="preserve">in afdeling 6.3.3 BW </w:t>
      </w:r>
      <w:r w:rsidRPr="00463949" w:rsidR="00833A5F">
        <w:rPr>
          <w:rFonts w:ascii="Times New Roman" w:hAnsi="Times New Roman" w:cs="Times New Roman"/>
          <w:sz w:val="24"/>
          <w:szCs w:val="24"/>
        </w:rPr>
        <w:t xml:space="preserve">en is geregeld in </w:t>
      </w:r>
      <w:r w:rsidRPr="00463949" w:rsidR="00B568A4">
        <w:rPr>
          <w:rFonts w:ascii="Times New Roman" w:hAnsi="Times New Roman" w:cs="Times New Roman"/>
          <w:sz w:val="24"/>
          <w:szCs w:val="24"/>
        </w:rPr>
        <w:t>artikel 6:189 BW</w:t>
      </w:r>
      <w:r w:rsidRPr="00463949">
        <w:rPr>
          <w:rFonts w:ascii="Times New Roman" w:hAnsi="Times New Roman" w:cs="Times New Roman"/>
          <w:sz w:val="24"/>
          <w:szCs w:val="24"/>
        </w:rPr>
        <w:t xml:space="preserve">. </w:t>
      </w:r>
      <w:r w:rsidRPr="00463949" w:rsidR="00CF6512">
        <w:rPr>
          <w:rFonts w:ascii="Times New Roman" w:hAnsi="Times New Roman" w:cs="Times New Roman"/>
          <w:sz w:val="24"/>
          <w:szCs w:val="24"/>
        </w:rPr>
        <w:t xml:space="preserve">De bepaling behoeft daarom geen implementatie. </w:t>
      </w:r>
      <w:r w:rsidRPr="00463949" w:rsidR="000A3790">
        <w:rPr>
          <w:rFonts w:ascii="Times New Roman" w:hAnsi="Times New Roman" w:cs="Times New Roman"/>
          <w:sz w:val="24"/>
          <w:szCs w:val="24"/>
        </w:rPr>
        <w:t>In artikel 12 lid 2 is opgenomen dat een fabrikant die software als een component in een product integreert geen regresrecht heeft jegens de fabrikant van een gebrekkige softwarecomponent die schade veroorzaakt</w:t>
      </w:r>
      <w:r w:rsidRPr="00463949" w:rsidR="00CF6512">
        <w:rPr>
          <w:rFonts w:ascii="Times New Roman" w:hAnsi="Times New Roman" w:cs="Times New Roman"/>
          <w:sz w:val="24"/>
          <w:szCs w:val="24"/>
        </w:rPr>
        <w:t>,</w:t>
      </w:r>
      <w:r w:rsidRPr="00463949" w:rsidR="000A3790">
        <w:rPr>
          <w:rFonts w:ascii="Times New Roman" w:hAnsi="Times New Roman" w:cs="Times New Roman"/>
          <w:sz w:val="24"/>
          <w:szCs w:val="24"/>
        </w:rPr>
        <w:t xml:space="preserve"> </w:t>
      </w:r>
      <w:r w:rsidRPr="00463949" w:rsidR="00AB3A25">
        <w:rPr>
          <w:rFonts w:ascii="Times New Roman" w:hAnsi="Times New Roman" w:cs="Times New Roman"/>
          <w:sz w:val="24"/>
          <w:szCs w:val="24"/>
        </w:rPr>
        <w:t>als</w:t>
      </w:r>
      <w:r w:rsidRPr="00463949" w:rsidR="000A3790">
        <w:rPr>
          <w:rFonts w:ascii="Times New Roman" w:hAnsi="Times New Roman" w:cs="Times New Roman"/>
          <w:sz w:val="24"/>
          <w:szCs w:val="24"/>
        </w:rPr>
        <w:t xml:space="preserve"> de laatstgenoemde fabrikant, kort gezegd, kwalificeert als een micro-onderneming of een kleine onderneming en partijen contractueel zijn overeengekomen dat de eerstgenoemde fabrikant afstand doet van zijn regresrecht. </w:t>
      </w:r>
      <w:r w:rsidRPr="00463949" w:rsidR="00A402F2">
        <w:rPr>
          <w:rFonts w:ascii="Times New Roman" w:hAnsi="Times New Roman" w:cs="Times New Roman"/>
          <w:sz w:val="24"/>
          <w:szCs w:val="24"/>
        </w:rPr>
        <w:t>Deze bepaling behoeft niet te worden omgezet</w:t>
      </w:r>
      <w:r w:rsidRPr="00463949" w:rsidR="0045113C">
        <w:rPr>
          <w:rFonts w:ascii="Times New Roman" w:hAnsi="Times New Roman" w:cs="Times New Roman"/>
          <w:sz w:val="24"/>
          <w:szCs w:val="24"/>
        </w:rPr>
        <w:t>.</w:t>
      </w:r>
      <w:r w:rsidRPr="00463949" w:rsidR="00CF6512">
        <w:rPr>
          <w:rFonts w:ascii="Times New Roman" w:hAnsi="Times New Roman" w:cs="Times New Roman"/>
          <w:sz w:val="24"/>
          <w:szCs w:val="24"/>
        </w:rPr>
        <w:t xml:space="preserve"> </w:t>
      </w:r>
      <w:r w:rsidRPr="00463949" w:rsidR="0045113C">
        <w:rPr>
          <w:rFonts w:ascii="Times New Roman" w:hAnsi="Times New Roman" w:cs="Times New Roman"/>
          <w:sz w:val="24"/>
          <w:szCs w:val="24"/>
        </w:rPr>
        <w:t xml:space="preserve">De </w:t>
      </w:r>
      <w:r w:rsidRPr="00463949" w:rsidR="00833A5F">
        <w:rPr>
          <w:rFonts w:ascii="Times New Roman" w:hAnsi="Times New Roman" w:cs="Times New Roman"/>
          <w:sz w:val="24"/>
          <w:szCs w:val="24"/>
        </w:rPr>
        <w:t>regresverhouding</w:t>
      </w:r>
      <w:r w:rsidRPr="00463949" w:rsidR="0045113C">
        <w:rPr>
          <w:rFonts w:ascii="Times New Roman" w:hAnsi="Times New Roman" w:cs="Times New Roman"/>
          <w:sz w:val="24"/>
          <w:szCs w:val="24"/>
        </w:rPr>
        <w:t>,</w:t>
      </w:r>
      <w:r w:rsidRPr="00463949" w:rsidR="00833A5F">
        <w:rPr>
          <w:rFonts w:ascii="Times New Roman" w:hAnsi="Times New Roman" w:cs="Times New Roman"/>
          <w:sz w:val="24"/>
          <w:szCs w:val="24"/>
        </w:rPr>
        <w:t xml:space="preserve"> waarvoor de </w:t>
      </w:r>
      <w:r w:rsidRPr="00463949" w:rsidR="00A402F2">
        <w:rPr>
          <w:rFonts w:ascii="Times New Roman" w:hAnsi="Times New Roman" w:cs="Times New Roman"/>
          <w:sz w:val="24"/>
          <w:szCs w:val="24"/>
        </w:rPr>
        <w:t>R</w:t>
      </w:r>
      <w:r w:rsidRPr="00463949" w:rsidR="00833A5F">
        <w:rPr>
          <w:rFonts w:ascii="Times New Roman" w:hAnsi="Times New Roman" w:cs="Times New Roman"/>
          <w:sz w:val="24"/>
          <w:szCs w:val="24"/>
        </w:rPr>
        <w:t>ichtlijn in de artikelen 12 lid 1, 13 lid 2 en 14 naar het nationale recht verwijst</w:t>
      </w:r>
      <w:r w:rsidRPr="00463949" w:rsidR="0045113C">
        <w:rPr>
          <w:rFonts w:ascii="Times New Roman" w:hAnsi="Times New Roman" w:cs="Times New Roman"/>
          <w:sz w:val="24"/>
          <w:szCs w:val="24"/>
        </w:rPr>
        <w:t>,</w:t>
      </w:r>
      <w:r w:rsidRPr="00463949" w:rsidR="009457D1">
        <w:rPr>
          <w:rFonts w:ascii="Times New Roman" w:hAnsi="Times New Roman" w:cs="Times New Roman"/>
          <w:sz w:val="24"/>
          <w:szCs w:val="24"/>
        </w:rPr>
        <w:t xml:space="preserve"> </w:t>
      </w:r>
      <w:r w:rsidRPr="00463949" w:rsidR="0045113C">
        <w:rPr>
          <w:rFonts w:ascii="Times New Roman" w:hAnsi="Times New Roman" w:cs="Times New Roman"/>
          <w:sz w:val="24"/>
          <w:szCs w:val="24"/>
        </w:rPr>
        <w:t xml:space="preserve">kan </w:t>
      </w:r>
      <w:r w:rsidRPr="00463949" w:rsidR="00833A5F">
        <w:rPr>
          <w:rFonts w:ascii="Times New Roman" w:hAnsi="Times New Roman" w:cs="Times New Roman"/>
          <w:sz w:val="24"/>
          <w:szCs w:val="24"/>
        </w:rPr>
        <w:t>in Nederland nu ook al contractueel worden geregeld.</w:t>
      </w:r>
    </w:p>
    <w:p w:rsidRPr="00463949" w:rsidR="003B7B15" w:rsidP="00D045E0" w:rsidRDefault="003B7B15" w14:paraId="28E262EB" w14:textId="77777777">
      <w:pPr>
        <w:spacing w:after="0" w:line="276" w:lineRule="auto"/>
        <w:rPr>
          <w:rFonts w:ascii="Times New Roman" w:hAnsi="Times New Roman" w:cs="Times New Roman"/>
          <w:sz w:val="24"/>
          <w:szCs w:val="24"/>
        </w:rPr>
      </w:pPr>
    </w:p>
    <w:p w:rsidRPr="00463949" w:rsidR="00A402F2" w:rsidP="00D045E0" w:rsidRDefault="003B7B15" w14:paraId="300D2AF7" w14:textId="3832F866">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Artikel 14 bepaalt </w:t>
      </w:r>
      <w:r w:rsidRPr="00463949" w:rsidR="00EA0CF4">
        <w:rPr>
          <w:rFonts w:ascii="Times New Roman" w:hAnsi="Times New Roman" w:cs="Times New Roman"/>
          <w:sz w:val="24"/>
          <w:szCs w:val="24"/>
        </w:rPr>
        <w:t>dat een markdeelnemer die de schade van de benadeelde heeft vergoed</w:t>
      </w:r>
      <w:r w:rsidRPr="00463949" w:rsidR="006B771B">
        <w:rPr>
          <w:rFonts w:ascii="Times New Roman" w:hAnsi="Times New Roman" w:cs="Times New Roman"/>
          <w:sz w:val="24"/>
          <w:szCs w:val="24"/>
        </w:rPr>
        <w:t xml:space="preserve"> </w:t>
      </w:r>
      <w:r w:rsidRPr="00463949" w:rsidR="00EA0CF4">
        <w:rPr>
          <w:rFonts w:ascii="Times New Roman" w:hAnsi="Times New Roman" w:cs="Times New Roman"/>
          <w:sz w:val="24"/>
          <w:szCs w:val="24"/>
        </w:rPr>
        <w:t>het recht heeft om verhaal te nemen op andere op grond van artikel 8 aansprakelijke marktdeelnemers</w:t>
      </w:r>
      <w:r w:rsidRPr="00463949" w:rsidR="006B771B">
        <w:rPr>
          <w:rFonts w:ascii="Times New Roman" w:hAnsi="Times New Roman" w:cs="Times New Roman"/>
          <w:sz w:val="24"/>
          <w:szCs w:val="24"/>
        </w:rPr>
        <w:t>, overeenkomstig het nationale recht.</w:t>
      </w:r>
      <w:r w:rsidRPr="00463949" w:rsidR="00EA0CF4">
        <w:rPr>
          <w:rFonts w:ascii="Times New Roman" w:hAnsi="Times New Roman" w:cs="Times New Roman"/>
          <w:sz w:val="24"/>
          <w:szCs w:val="24"/>
        </w:rPr>
        <w:t xml:space="preserve"> </w:t>
      </w:r>
      <w:r w:rsidRPr="00463949" w:rsidR="00E46F97">
        <w:rPr>
          <w:rFonts w:ascii="Times New Roman" w:hAnsi="Times New Roman" w:cs="Times New Roman"/>
          <w:sz w:val="24"/>
          <w:szCs w:val="24"/>
        </w:rPr>
        <w:t xml:space="preserve">Voor het Nederlandse recht zijn artikel 6:10 BW in verbinding met de artikelen 6:102 lid 1 en 6:101 BW van belang. </w:t>
      </w:r>
      <w:r w:rsidRPr="00463949" w:rsidR="00527FB3">
        <w:rPr>
          <w:rFonts w:ascii="Times New Roman" w:hAnsi="Times New Roman" w:cs="Times New Roman"/>
          <w:sz w:val="24"/>
          <w:szCs w:val="24"/>
        </w:rPr>
        <w:t>Ook deze bepaling behoeft daarom geen implementatie.</w:t>
      </w:r>
    </w:p>
    <w:p w:rsidRPr="00463949" w:rsidR="00EA0CF4" w:rsidP="00D045E0" w:rsidRDefault="00EA0CF4" w14:paraId="23E3FC1E" w14:textId="77777777">
      <w:pPr>
        <w:spacing w:after="0" w:line="276" w:lineRule="auto"/>
        <w:rPr>
          <w:rFonts w:ascii="Times New Roman" w:hAnsi="Times New Roman" w:cs="Times New Roman"/>
          <w:sz w:val="24"/>
          <w:szCs w:val="24"/>
        </w:rPr>
      </w:pPr>
    </w:p>
    <w:p w:rsidRPr="00463949" w:rsidR="00EA0CF4" w:rsidP="00D045E0" w:rsidRDefault="00EA0CF4" w14:paraId="0664FA68" w14:textId="456E4C0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In artikel 15 is opgenomen dat de aansprakelijkheid op grond van de Richtlijn ten aanzien van de benadeelde niet mag worden beperkt of uitgesloten door een contractuele bepaling of door het nationale recht. D</w:t>
      </w:r>
      <w:r w:rsidRPr="00463949" w:rsidR="009457D1">
        <w:rPr>
          <w:rFonts w:ascii="Times New Roman" w:hAnsi="Times New Roman" w:cs="Times New Roman"/>
          <w:sz w:val="24"/>
          <w:szCs w:val="24"/>
        </w:rPr>
        <w:t xml:space="preserve">it voorschrift </w:t>
      </w:r>
      <w:r w:rsidRPr="00463949">
        <w:rPr>
          <w:rFonts w:ascii="Times New Roman" w:hAnsi="Times New Roman" w:cs="Times New Roman"/>
          <w:sz w:val="24"/>
          <w:szCs w:val="24"/>
        </w:rPr>
        <w:t xml:space="preserve">maakt reeds deel uit van de huidige productaansprakelijkheidsregeling </w:t>
      </w:r>
      <w:r w:rsidRPr="00463949" w:rsidR="0045113C">
        <w:rPr>
          <w:rFonts w:ascii="Times New Roman" w:hAnsi="Times New Roman" w:cs="Times New Roman"/>
          <w:sz w:val="24"/>
          <w:szCs w:val="24"/>
        </w:rPr>
        <w:t xml:space="preserve">in afdeling 6.3.3 BW </w:t>
      </w:r>
      <w:r w:rsidRPr="00463949">
        <w:rPr>
          <w:rFonts w:ascii="Times New Roman" w:hAnsi="Times New Roman" w:cs="Times New Roman"/>
          <w:sz w:val="24"/>
          <w:szCs w:val="24"/>
        </w:rPr>
        <w:t>en is geregeld in artikel 6:192 BW.</w:t>
      </w:r>
      <w:r w:rsidRPr="00463949" w:rsidR="006B771B">
        <w:rPr>
          <w:rFonts w:ascii="Times New Roman" w:hAnsi="Times New Roman" w:cs="Times New Roman"/>
          <w:sz w:val="24"/>
          <w:szCs w:val="24"/>
        </w:rPr>
        <w:t xml:space="preserve"> In dat artikel </w:t>
      </w:r>
      <w:r w:rsidRPr="00463949" w:rsidR="009457D1">
        <w:rPr>
          <w:rFonts w:ascii="Times New Roman" w:hAnsi="Times New Roman" w:cs="Times New Roman"/>
          <w:sz w:val="24"/>
          <w:szCs w:val="24"/>
        </w:rPr>
        <w:t xml:space="preserve">wordt </w:t>
      </w:r>
      <w:r w:rsidRPr="00463949" w:rsidR="006B771B">
        <w:rPr>
          <w:rFonts w:ascii="Times New Roman" w:hAnsi="Times New Roman" w:cs="Times New Roman"/>
          <w:sz w:val="24"/>
          <w:szCs w:val="24"/>
        </w:rPr>
        <w:t>alleen een redactionele wijziging doorgevoerd.</w:t>
      </w:r>
    </w:p>
    <w:p w:rsidRPr="00463949" w:rsidR="006C70EB" w:rsidP="00D045E0" w:rsidRDefault="006C70EB" w14:paraId="0F107587" w14:textId="77777777">
      <w:pPr>
        <w:spacing w:after="0" w:line="276" w:lineRule="auto"/>
        <w:rPr>
          <w:rFonts w:ascii="Times New Roman" w:hAnsi="Times New Roman" w:cs="Times New Roman"/>
          <w:sz w:val="24"/>
          <w:szCs w:val="24"/>
        </w:rPr>
      </w:pPr>
    </w:p>
    <w:p w:rsidRPr="00463949" w:rsidR="006C70EB" w:rsidP="00D045E0" w:rsidRDefault="006C70EB" w14:paraId="212D96AB" w14:textId="4E75972D">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Artikel 16 lid 2 bepaalt dat de Richtlijn het nationale recht inzake schorsing of stuiting van de in artikel 16 lid 1 bedoelde verjaringstermijn onverlet laat. </w:t>
      </w:r>
      <w:r w:rsidRPr="00463949" w:rsidR="00A35382">
        <w:rPr>
          <w:rFonts w:ascii="Times New Roman" w:hAnsi="Times New Roman" w:cs="Times New Roman"/>
          <w:sz w:val="24"/>
          <w:szCs w:val="24"/>
        </w:rPr>
        <w:t xml:space="preserve">Deze bepaling legt geen verplichtingen op aan de lidstaten en behoeft daarom geen implementatie. De stuiting van verjaringstermijnen is </w:t>
      </w:r>
      <w:r w:rsidRPr="00463949" w:rsidR="00F56B79">
        <w:rPr>
          <w:rFonts w:ascii="Times New Roman" w:hAnsi="Times New Roman" w:cs="Times New Roman"/>
          <w:sz w:val="24"/>
          <w:szCs w:val="24"/>
        </w:rPr>
        <w:t xml:space="preserve">in het Nederlandse recht </w:t>
      </w:r>
      <w:r w:rsidRPr="00463949" w:rsidR="00A35382">
        <w:rPr>
          <w:rFonts w:ascii="Times New Roman" w:hAnsi="Times New Roman" w:cs="Times New Roman"/>
          <w:sz w:val="24"/>
          <w:szCs w:val="24"/>
        </w:rPr>
        <w:t>geregeld in de artikelen 3:316-3:319 BW.</w:t>
      </w:r>
    </w:p>
    <w:p w:rsidRPr="00463949" w:rsidR="00EA0CF4" w:rsidP="00D045E0" w:rsidRDefault="00EA0CF4" w14:paraId="6A23388B" w14:textId="77777777">
      <w:pPr>
        <w:spacing w:after="0" w:line="276" w:lineRule="auto"/>
        <w:rPr>
          <w:rFonts w:ascii="Times New Roman" w:hAnsi="Times New Roman" w:cs="Times New Roman"/>
          <w:sz w:val="24"/>
          <w:szCs w:val="24"/>
        </w:rPr>
      </w:pPr>
    </w:p>
    <w:p w:rsidRPr="00463949" w:rsidR="001E26C8" w:rsidP="00D045E0" w:rsidRDefault="00EA0CF4" w14:paraId="08D3F0A5" w14:textId="09BB9404">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Artikel 18 lid 1 biedt lidstaten de mogelijkheid om bestaande maatregelen te handhaven waarmee wordt afgeweken van het ontwikkelingsrisicoverweer. Zij dienen de Europese Commissie daarvan uiterlijk op 9 december 2026 in kennis te stellen. Deze situatie doet zich in Nederland niet voor, zodat deze bepaling</w:t>
      </w:r>
      <w:r w:rsidRPr="00463949" w:rsidR="006B771B">
        <w:rPr>
          <w:rFonts w:ascii="Times New Roman" w:hAnsi="Times New Roman" w:cs="Times New Roman"/>
          <w:sz w:val="24"/>
          <w:szCs w:val="24"/>
        </w:rPr>
        <w:t xml:space="preserve"> </w:t>
      </w:r>
      <w:r w:rsidRPr="00463949">
        <w:rPr>
          <w:rFonts w:ascii="Times New Roman" w:hAnsi="Times New Roman" w:cs="Times New Roman"/>
          <w:sz w:val="24"/>
          <w:szCs w:val="24"/>
        </w:rPr>
        <w:t>geen implementatie behoeft. Artikel 18 l</w:t>
      </w:r>
      <w:r w:rsidRPr="00463949" w:rsidR="001E26C8">
        <w:rPr>
          <w:rFonts w:ascii="Times New Roman" w:hAnsi="Times New Roman" w:cs="Times New Roman"/>
          <w:sz w:val="24"/>
          <w:szCs w:val="24"/>
        </w:rPr>
        <w:t xml:space="preserve">eden </w:t>
      </w:r>
      <w:r w:rsidRPr="00463949">
        <w:rPr>
          <w:rFonts w:ascii="Times New Roman" w:hAnsi="Times New Roman" w:cs="Times New Roman"/>
          <w:sz w:val="24"/>
          <w:szCs w:val="24"/>
        </w:rPr>
        <w:t>2</w:t>
      </w:r>
      <w:r w:rsidRPr="00463949" w:rsidR="001E26C8">
        <w:rPr>
          <w:rFonts w:ascii="Times New Roman" w:hAnsi="Times New Roman" w:cs="Times New Roman"/>
          <w:sz w:val="24"/>
          <w:szCs w:val="24"/>
        </w:rPr>
        <w:t xml:space="preserve"> en 3</w:t>
      </w:r>
      <w:r w:rsidRPr="00463949">
        <w:rPr>
          <w:rFonts w:ascii="Times New Roman" w:hAnsi="Times New Roman" w:cs="Times New Roman"/>
          <w:sz w:val="24"/>
          <w:szCs w:val="24"/>
        </w:rPr>
        <w:t xml:space="preserve"> b</w:t>
      </w:r>
      <w:r w:rsidRPr="00463949" w:rsidR="001E26C8">
        <w:rPr>
          <w:rFonts w:ascii="Times New Roman" w:hAnsi="Times New Roman" w:cs="Times New Roman"/>
          <w:sz w:val="24"/>
          <w:szCs w:val="24"/>
        </w:rPr>
        <w:t>ie</w:t>
      </w:r>
      <w:r w:rsidRPr="00463949">
        <w:rPr>
          <w:rFonts w:ascii="Times New Roman" w:hAnsi="Times New Roman" w:cs="Times New Roman"/>
          <w:sz w:val="24"/>
          <w:szCs w:val="24"/>
        </w:rPr>
        <w:t xml:space="preserve">dt </w:t>
      </w:r>
      <w:r w:rsidRPr="00463949" w:rsidR="001E26C8">
        <w:rPr>
          <w:rFonts w:ascii="Times New Roman" w:hAnsi="Times New Roman" w:cs="Times New Roman"/>
          <w:sz w:val="24"/>
          <w:szCs w:val="24"/>
        </w:rPr>
        <w:t xml:space="preserve">lidstaten </w:t>
      </w:r>
      <w:r w:rsidRPr="00463949" w:rsidR="00C23CB2">
        <w:rPr>
          <w:rFonts w:ascii="Times New Roman" w:hAnsi="Times New Roman" w:cs="Times New Roman"/>
          <w:sz w:val="24"/>
          <w:szCs w:val="24"/>
        </w:rPr>
        <w:t xml:space="preserve">daarnaast </w:t>
      </w:r>
      <w:r w:rsidRPr="00463949">
        <w:rPr>
          <w:rFonts w:ascii="Times New Roman" w:hAnsi="Times New Roman" w:cs="Times New Roman"/>
          <w:sz w:val="24"/>
          <w:szCs w:val="24"/>
        </w:rPr>
        <w:t xml:space="preserve">de mogelijkheid om </w:t>
      </w:r>
      <w:r w:rsidRPr="00463949" w:rsidR="00C23CB2">
        <w:rPr>
          <w:rFonts w:ascii="Times New Roman" w:hAnsi="Times New Roman" w:cs="Times New Roman"/>
          <w:sz w:val="24"/>
          <w:szCs w:val="24"/>
        </w:rPr>
        <w:t xml:space="preserve">nieuwe </w:t>
      </w:r>
      <w:r w:rsidRPr="00463949" w:rsidR="001E26C8">
        <w:rPr>
          <w:rFonts w:ascii="Times New Roman" w:hAnsi="Times New Roman" w:cs="Times New Roman"/>
          <w:sz w:val="24"/>
          <w:szCs w:val="24"/>
        </w:rPr>
        <w:t>maatregelen in te voeren of daarin wijzigingen aan</w:t>
      </w:r>
      <w:r w:rsidRPr="00463949" w:rsidR="006B771B">
        <w:rPr>
          <w:rFonts w:ascii="Times New Roman" w:hAnsi="Times New Roman" w:cs="Times New Roman"/>
          <w:sz w:val="24"/>
          <w:szCs w:val="24"/>
        </w:rPr>
        <w:t xml:space="preserve"> te </w:t>
      </w:r>
      <w:r w:rsidRPr="00463949" w:rsidR="001E26C8">
        <w:rPr>
          <w:rFonts w:ascii="Times New Roman" w:hAnsi="Times New Roman" w:cs="Times New Roman"/>
          <w:sz w:val="24"/>
          <w:szCs w:val="24"/>
        </w:rPr>
        <w:t xml:space="preserve">brengen op grond waarvan wordt afgeweken van het ontwikkelingsrisicoverweer. </w:t>
      </w:r>
      <w:r w:rsidRPr="00463949" w:rsidR="00C23CB2">
        <w:rPr>
          <w:rFonts w:ascii="Times New Roman" w:hAnsi="Times New Roman" w:cs="Times New Roman"/>
          <w:sz w:val="24"/>
          <w:szCs w:val="24"/>
        </w:rPr>
        <w:t xml:space="preserve">Nederland maakt van deze mogelijkheid geen gebruik (zie </w:t>
      </w:r>
      <w:r w:rsidRPr="00463949" w:rsidR="00CC2043">
        <w:rPr>
          <w:rFonts w:ascii="Times New Roman" w:hAnsi="Times New Roman" w:cs="Times New Roman"/>
          <w:sz w:val="24"/>
          <w:szCs w:val="24"/>
        </w:rPr>
        <w:t>paragraaf 3.1.1 van deze memorie van toelichting</w:t>
      </w:r>
      <w:r w:rsidRPr="00463949" w:rsidR="00C23CB2">
        <w:rPr>
          <w:rFonts w:ascii="Times New Roman" w:hAnsi="Times New Roman" w:cs="Times New Roman"/>
          <w:sz w:val="24"/>
          <w:szCs w:val="24"/>
        </w:rPr>
        <w:t>).</w:t>
      </w:r>
      <w:r w:rsidRPr="00463949" w:rsidR="00CC2043">
        <w:rPr>
          <w:rFonts w:ascii="Times New Roman" w:hAnsi="Times New Roman" w:cs="Times New Roman"/>
          <w:sz w:val="24"/>
          <w:szCs w:val="24"/>
        </w:rPr>
        <w:t xml:space="preserve"> </w:t>
      </w:r>
      <w:r w:rsidRPr="00463949" w:rsidR="00C23CB2">
        <w:rPr>
          <w:rFonts w:ascii="Times New Roman" w:hAnsi="Times New Roman" w:cs="Times New Roman"/>
          <w:sz w:val="24"/>
          <w:szCs w:val="24"/>
        </w:rPr>
        <w:t>Artikel 18 behoeft om die reden ook overigens geen implementatie</w:t>
      </w:r>
      <w:r w:rsidRPr="00463949" w:rsidR="000F592B">
        <w:rPr>
          <w:rFonts w:ascii="Times New Roman" w:hAnsi="Times New Roman" w:cs="Times New Roman"/>
          <w:sz w:val="24"/>
          <w:szCs w:val="24"/>
        </w:rPr>
        <w:t>.</w:t>
      </w:r>
      <w:r w:rsidRPr="00463949" w:rsidR="00C23CB2">
        <w:rPr>
          <w:rFonts w:ascii="Times New Roman" w:hAnsi="Times New Roman" w:cs="Times New Roman"/>
          <w:sz w:val="24"/>
          <w:szCs w:val="24"/>
        </w:rPr>
        <w:t xml:space="preserve"> </w:t>
      </w:r>
    </w:p>
    <w:p w:rsidRPr="00463949" w:rsidR="001E26C8" w:rsidP="00D045E0" w:rsidRDefault="001E26C8" w14:paraId="7A7E1A6E" w14:textId="77777777">
      <w:pPr>
        <w:spacing w:after="0" w:line="276" w:lineRule="auto"/>
        <w:rPr>
          <w:rFonts w:ascii="Times New Roman" w:hAnsi="Times New Roman" w:cs="Times New Roman"/>
          <w:sz w:val="24"/>
          <w:szCs w:val="24"/>
        </w:rPr>
      </w:pPr>
    </w:p>
    <w:p w:rsidRPr="00463949" w:rsidR="00B568A4" w:rsidP="00D045E0" w:rsidRDefault="00E75263" w14:paraId="6B649201" w14:textId="36859D8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Ook artikel 19 lid 1 </w:t>
      </w:r>
      <w:r w:rsidRPr="00463949" w:rsidR="00B936C0">
        <w:rPr>
          <w:rFonts w:ascii="Times New Roman" w:hAnsi="Times New Roman" w:cs="Times New Roman"/>
          <w:sz w:val="24"/>
          <w:szCs w:val="24"/>
        </w:rPr>
        <w:t>v</w:t>
      </w:r>
      <w:r w:rsidRPr="00463949" w:rsidR="00E3033F">
        <w:rPr>
          <w:rFonts w:ascii="Times New Roman" w:hAnsi="Times New Roman" w:cs="Times New Roman"/>
          <w:sz w:val="24"/>
          <w:szCs w:val="24"/>
        </w:rPr>
        <w:t>ereist</w:t>
      </w:r>
      <w:r w:rsidRPr="00463949">
        <w:rPr>
          <w:rFonts w:ascii="Times New Roman" w:hAnsi="Times New Roman" w:cs="Times New Roman"/>
          <w:sz w:val="24"/>
          <w:szCs w:val="24"/>
        </w:rPr>
        <w:t xml:space="preserve"> </w:t>
      </w:r>
      <w:r w:rsidRPr="00463949" w:rsidR="00C56425">
        <w:rPr>
          <w:rFonts w:ascii="Times New Roman" w:hAnsi="Times New Roman" w:cs="Times New Roman"/>
          <w:sz w:val="24"/>
          <w:szCs w:val="24"/>
        </w:rPr>
        <w:t xml:space="preserve">geen omzetting. </w:t>
      </w:r>
      <w:r w:rsidRPr="00463949">
        <w:rPr>
          <w:rFonts w:ascii="Times New Roman" w:hAnsi="Times New Roman" w:cs="Times New Roman"/>
          <w:sz w:val="24"/>
          <w:szCs w:val="24"/>
        </w:rPr>
        <w:t xml:space="preserve">Het </w:t>
      </w:r>
      <w:r w:rsidRPr="00463949" w:rsidR="00551944">
        <w:rPr>
          <w:rFonts w:ascii="Times New Roman" w:hAnsi="Times New Roman" w:cs="Times New Roman"/>
          <w:sz w:val="24"/>
          <w:szCs w:val="24"/>
        </w:rPr>
        <w:t xml:space="preserve">bevat een </w:t>
      </w:r>
      <w:r w:rsidRPr="00463949" w:rsidR="001C1501">
        <w:rPr>
          <w:rFonts w:ascii="Times New Roman" w:hAnsi="Times New Roman" w:cs="Times New Roman"/>
          <w:sz w:val="24"/>
          <w:szCs w:val="24"/>
        </w:rPr>
        <w:t xml:space="preserve">verplichting om alle onherroepelijke rechterlijke uitspraken van </w:t>
      </w:r>
      <w:r w:rsidRPr="00463949" w:rsidR="00551944">
        <w:rPr>
          <w:rFonts w:ascii="Times New Roman" w:hAnsi="Times New Roman" w:cs="Times New Roman"/>
          <w:sz w:val="24"/>
          <w:szCs w:val="24"/>
        </w:rPr>
        <w:t xml:space="preserve">nationale hoven van beroep of hoogste nationale </w:t>
      </w:r>
      <w:r w:rsidRPr="00463949" w:rsidR="00551944">
        <w:rPr>
          <w:rFonts w:ascii="Times New Roman" w:hAnsi="Times New Roman" w:cs="Times New Roman"/>
          <w:sz w:val="24"/>
          <w:szCs w:val="24"/>
        </w:rPr>
        <w:lastRenderedPageBreak/>
        <w:t xml:space="preserve">rechterlijke instanties </w:t>
      </w:r>
      <w:r w:rsidRPr="00463949" w:rsidR="001C1501">
        <w:rPr>
          <w:rFonts w:ascii="Times New Roman" w:hAnsi="Times New Roman" w:cs="Times New Roman"/>
          <w:sz w:val="24"/>
          <w:szCs w:val="24"/>
        </w:rPr>
        <w:t>in op grond van de Richtlijn ingeleide procedures</w:t>
      </w:r>
      <w:r w:rsidRPr="00463949" w:rsidR="00551944">
        <w:rPr>
          <w:rFonts w:ascii="Times New Roman" w:hAnsi="Times New Roman" w:cs="Times New Roman"/>
          <w:sz w:val="24"/>
          <w:szCs w:val="24"/>
        </w:rPr>
        <w:t xml:space="preserve"> </w:t>
      </w:r>
      <w:r w:rsidRPr="00463949" w:rsidR="001C1501">
        <w:rPr>
          <w:rFonts w:ascii="Times New Roman" w:hAnsi="Times New Roman" w:cs="Times New Roman"/>
          <w:sz w:val="24"/>
          <w:szCs w:val="24"/>
        </w:rPr>
        <w:t xml:space="preserve">te publiceren. </w:t>
      </w:r>
      <w:r w:rsidRPr="00463949">
        <w:rPr>
          <w:rFonts w:ascii="Times New Roman" w:hAnsi="Times New Roman" w:cs="Times New Roman"/>
          <w:sz w:val="24"/>
          <w:szCs w:val="24"/>
        </w:rPr>
        <w:t>Dit betreft</w:t>
      </w:r>
      <w:r w:rsidRPr="00463949" w:rsidR="00551944">
        <w:rPr>
          <w:rFonts w:ascii="Times New Roman" w:hAnsi="Times New Roman" w:cs="Times New Roman"/>
          <w:sz w:val="24"/>
          <w:szCs w:val="24"/>
        </w:rPr>
        <w:t xml:space="preserve"> een feitelijk handelen van de centrale overheid zonder dat derden daarop aanspraak hoeven te kunnen maken. </w:t>
      </w:r>
      <w:r w:rsidRPr="00463949" w:rsidR="001C1501">
        <w:rPr>
          <w:rFonts w:ascii="Times New Roman" w:hAnsi="Times New Roman" w:cs="Times New Roman"/>
          <w:sz w:val="24"/>
          <w:szCs w:val="24"/>
        </w:rPr>
        <w:t xml:space="preserve">In paragraaf 4 </w:t>
      </w:r>
      <w:r w:rsidRPr="00463949" w:rsidR="00551944">
        <w:rPr>
          <w:rFonts w:ascii="Times New Roman" w:hAnsi="Times New Roman" w:cs="Times New Roman"/>
          <w:sz w:val="24"/>
          <w:szCs w:val="24"/>
        </w:rPr>
        <w:t xml:space="preserve">van deze memorie van toelichting </w:t>
      </w:r>
      <w:r w:rsidRPr="00463949" w:rsidR="001C1501">
        <w:rPr>
          <w:rFonts w:ascii="Times New Roman" w:hAnsi="Times New Roman" w:cs="Times New Roman"/>
          <w:sz w:val="24"/>
          <w:szCs w:val="24"/>
        </w:rPr>
        <w:t>wordt ingegaan op de</w:t>
      </w:r>
      <w:r w:rsidRPr="00463949" w:rsidR="0072254D">
        <w:rPr>
          <w:rFonts w:ascii="Times New Roman" w:hAnsi="Times New Roman" w:cs="Times New Roman"/>
          <w:sz w:val="24"/>
          <w:szCs w:val="24"/>
        </w:rPr>
        <w:t xml:space="preserve"> wijze</w:t>
      </w:r>
      <w:r w:rsidRPr="00463949" w:rsidR="006B62BC">
        <w:rPr>
          <w:rFonts w:ascii="Times New Roman" w:hAnsi="Times New Roman" w:cs="Times New Roman"/>
          <w:sz w:val="24"/>
          <w:szCs w:val="24"/>
        </w:rPr>
        <w:t xml:space="preserve"> waarop hieraan uitvoering wordt gegeven</w:t>
      </w:r>
      <w:r w:rsidRPr="00463949" w:rsidR="001C1501">
        <w:rPr>
          <w:rFonts w:ascii="Times New Roman" w:hAnsi="Times New Roman" w:cs="Times New Roman"/>
          <w:sz w:val="24"/>
          <w:szCs w:val="24"/>
        </w:rPr>
        <w:t>.</w:t>
      </w:r>
      <w:r w:rsidRPr="00463949" w:rsidR="00551944">
        <w:rPr>
          <w:rFonts w:ascii="Times New Roman" w:hAnsi="Times New Roman" w:cs="Times New Roman"/>
          <w:sz w:val="24"/>
          <w:szCs w:val="24"/>
        </w:rPr>
        <w:t xml:space="preserve"> Artikel 19 lid 2 gaat over het opzetten en bijhouden van een databank met rechterlijke beslissingen. Deze bepaling is gericht tot de Europese Commissie en behoeft daarom geen implementatie. </w:t>
      </w:r>
    </w:p>
    <w:p w:rsidRPr="00463949" w:rsidR="00720738" w:rsidP="00D045E0" w:rsidRDefault="00720738" w14:paraId="1EC6DB31" w14:textId="77777777">
      <w:pPr>
        <w:spacing w:after="0" w:line="276" w:lineRule="auto"/>
        <w:rPr>
          <w:rFonts w:ascii="Times New Roman" w:hAnsi="Times New Roman" w:cs="Times New Roman"/>
          <w:sz w:val="24"/>
          <w:szCs w:val="24"/>
        </w:rPr>
      </w:pPr>
    </w:p>
    <w:p w:rsidRPr="00463949" w:rsidR="00315668" w:rsidP="00D045E0" w:rsidRDefault="003B7B15" w14:paraId="05803C5F" w14:textId="4AB2960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Artikel 20 betreffende de evaluatie van de Richtlijn is aan de Europese Commissie gericht en behoeft daarom geen implementatie. Artikel 23 stelt de datum van inwerkingtreding vast </w:t>
      </w:r>
      <w:r w:rsidRPr="00463949" w:rsidR="00551944">
        <w:rPr>
          <w:rFonts w:ascii="Times New Roman" w:hAnsi="Times New Roman" w:cs="Times New Roman"/>
          <w:sz w:val="24"/>
          <w:szCs w:val="24"/>
        </w:rPr>
        <w:t>en a</w:t>
      </w:r>
      <w:r w:rsidRPr="00463949">
        <w:rPr>
          <w:rFonts w:ascii="Times New Roman" w:hAnsi="Times New Roman" w:cs="Times New Roman"/>
          <w:sz w:val="24"/>
          <w:szCs w:val="24"/>
        </w:rPr>
        <w:t>rtikel 24 betreft de adressaten van de Richtlijn</w:t>
      </w:r>
      <w:r w:rsidRPr="00463949" w:rsidR="00551944">
        <w:rPr>
          <w:rFonts w:ascii="Times New Roman" w:hAnsi="Times New Roman" w:cs="Times New Roman"/>
          <w:sz w:val="24"/>
          <w:szCs w:val="24"/>
        </w:rPr>
        <w:t xml:space="preserve">. </w:t>
      </w:r>
      <w:r w:rsidRPr="00463949" w:rsidR="00791D16">
        <w:rPr>
          <w:rFonts w:ascii="Times New Roman" w:hAnsi="Times New Roman" w:cs="Times New Roman"/>
          <w:sz w:val="24"/>
          <w:szCs w:val="24"/>
        </w:rPr>
        <w:t>Ook d</w:t>
      </w:r>
      <w:r w:rsidRPr="00463949" w:rsidR="009457D1">
        <w:rPr>
          <w:rFonts w:ascii="Times New Roman" w:hAnsi="Times New Roman" w:cs="Times New Roman"/>
          <w:sz w:val="24"/>
          <w:szCs w:val="24"/>
        </w:rPr>
        <w:t xml:space="preserve">eze bepalingen </w:t>
      </w:r>
      <w:r w:rsidRPr="00463949" w:rsidR="00551944">
        <w:rPr>
          <w:rFonts w:ascii="Times New Roman" w:hAnsi="Times New Roman" w:cs="Times New Roman"/>
          <w:sz w:val="24"/>
          <w:szCs w:val="24"/>
        </w:rPr>
        <w:t xml:space="preserve">behoeven </w:t>
      </w:r>
      <w:r w:rsidRPr="00463949" w:rsidR="009457D1">
        <w:rPr>
          <w:rFonts w:ascii="Times New Roman" w:hAnsi="Times New Roman" w:cs="Times New Roman"/>
          <w:sz w:val="24"/>
          <w:szCs w:val="24"/>
        </w:rPr>
        <w:t xml:space="preserve">naar hun aard </w:t>
      </w:r>
      <w:r w:rsidRPr="00463949" w:rsidR="00E75263">
        <w:rPr>
          <w:rFonts w:ascii="Times New Roman" w:hAnsi="Times New Roman" w:cs="Times New Roman"/>
          <w:sz w:val="24"/>
          <w:szCs w:val="24"/>
        </w:rPr>
        <w:t xml:space="preserve">niet te worden geïmplementeerd. </w:t>
      </w:r>
    </w:p>
    <w:p w:rsidRPr="00463949" w:rsidR="000A19A6" w:rsidP="00D045E0" w:rsidRDefault="000A19A6" w14:paraId="3C985E4E" w14:textId="77777777">
      <w:pPr>
        <w:spacing w:after="0" w:line="276" w:lineRule="auto"/>
        <w:rPr>
          <w:rFonts w:ascii="Times New Roman" w:hAnsi="Times New Roman" w:cs="Times New Roman"/>
          <w:sz w:val="24"/>
          <w:szCs w:val="24"/>
        </w:rPr>
      </w:pPr>
    </w:p>
    <w:p w:rsidRPr="00463949" w:rsidR="000A19A6" w:rsidP="000A19A6" w:rsidRDefault="00256D5C" w14:paraId="4EAA8DD2" w14:textId="06864442">
      <w:pPr>
        <w:pStyle w:val="Lijstalinea"/>
        <w:numPr>
          <w:ilvl w:val="0"/>
          <w:numId w:val="19"/>
        </w:num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Gevolgen voor</w:t>
      </w:r>
      <w:r w:rsidRPr="00463949" w:rsidR="00B335F0">
        <w:rPr>
          <w:rFonts w:ascii="Times New Roman" w:hAnsi="Times New Roman" w:cs="Times New Roman"/>
          <w:b/>
          <w:bCs/>
          <w:sz w:val="24"/>
          <w:szCs w:val="24"/>
        </w:rPr>
        <w:t xml:space="preserve"> het</w:t>
      </w:r>
      <w:r w:rsidRPr="00463949">
        <w:rPr>
          <w:rFonts w:ascii="Times New Roman" w:hAnsi="Times New Roman" w:cs="Times New Roman"/>
          <w:b/>
          <w:bCs/>
          <w:sz w:val="24"/>
          <w:szCs w:val="24"/>
        </w:rPr>
        <w:t xml:space="preserve"> bedrijfsleven</w:t>
      </w:r>
      <w:r w:rsidRPr="00463949" w:rsidR="00591A7D">
        <w:rPr>
          <w:rFonts w:ascii="Times New Roman" w:hAnsi="Times New Roman" w:cs="Times New Roman"/>
          <w:b/>
          <w:bCs/>
          <w:sz w:val="24"/>
          <w:szCs w:val="24"/>
        </w:rPr>
        <w:t xml:space="preserve">, </w:t>
      </w:r>
      <w:r w:rsidRPr="00463949">
        <w:rPr>
          <w:rFonts w:ascii="Times New Roman" w:hAnsi="Times New Roman" w:cs="Times New Roman"/>
          <w:b/>
          <w:bCs/>
          <w:sz w:val="24"/>
          <w:szCs w:val="24"/>
        </w:rPr>
        <w:t xml:space="preserve">burgers en de </w:t>
      </w:r>
      <w:r w:rsidRPr="00463949" w:rsidR="001E3668">
        <w:rPr>
          <w:rFonts w:ascii="Times New Roman" w:hAnsi="Times New Roman" w:cs="Times New Roman"/>
          <w:b/>
          <w:bCs/>
          <w:sz w:val="24"/>
          <w:szCs w:val="24"/>
        </w:rPr>
        <w:t>r</w:t>
      </w:r>
      <w:r w:rsidRPr="00463949" w:rsidR="000E60EB">
        <w:rPr>
          <w:rFonts w:ascii="Times New Roman" w:hAnsi="Times New Roman" w:cs="Times New Roman"/>
          <w:b/>
          <w:bCs/>
          <w:sz w:val="24"/>
          <w:szCs w:val="24"/>
        </w:rPr>
        <w:t>echtspraak</w:t>
      </w:r>
      <w:r w:rsidRPr="00463949" w:rsidR="009F09F9">
        <w:rPr>
          <w:rFonts w:ascii="Times New Roman" w:hAnsi="Times New Roman" w:cs="Times New Roman"/>
          <w:b/>
          <w:bCs/>
          <w:sz w:val="24"/>
          <w:szCs w:val="24"/>
        </w:rPr>
        <w:t xml:space="preserve"> (m.u.v. financiële gevolgen)</w:t>
      </w:r>
    </w:p>
    <w:p w:rsidRPr="00463949" w:rsidR="000A19A6" w:rsidP="000A19A6" w:rsidRDefault="000A19A6" w14:paraId="4ACF1C87" w14:textId="6AE8C7D7">
      <w:pPr>
        <w:pStyle w:val="Lijstalinea"/>
        <w:spacing w:after="0" w:line="276" w:lineRule="auto"/>
        <w:ind w:left="360"/>
        <w:rPr>
          <w:rFonts w:ascii="Times New Roman" w:hAnsi="Times New Roman" w:cs="Times New Roman"/>
          <w:b/>
          <w:bCs/>
          <w:sz w:val="24"/>
          <w:szCs w:val="24"/>
        </w:rPr>
      </w:pPr>
    </w:p>
    <w:p w:rsidRPr="00463949" w:rsidR="00B33071" w:rsidP="00B33071" w:rsidRDefault="003C5524" w14:paraId="2CAF02B7" w14:textId="0A00758E">
      <w:pPr>
        <w:spacing w:after="0" w:line="276" w:lineRule="auto"/>
        <w:rPr>
          <w:rFonts w:ascii="Times New Roman" w:hAnsi="Times New Roman" w:cs="Times New Roman"/>
          <w:b/>
          <w:bCs/>
          <w:sz w:val="24"/>
          <w:szCs w:val="24"/>
        </w:rPr>
      </w:pPr>
      <w:r w:rsidRPr="00463949">
        <w:rPr>
          <w:rFonts w:ascii="Times New Roman" w:hAnsi="Times New Roman" w:cs="Times New Roman"/>
          <w:sz w:val="24"/>
          <w:szCs w:val="24"/>
        </w:rPr>
        <w:t xml:space="preserve">In deze paragraaf wordt ingegaan op de regeldruk. </w:t>
      </w:r>
      <w:r w:rsidRPr="00463949" w:rsidR="00B33071">
        <w:rPr>
          <w:rFonts w:ascii="Times New Roman" w:hAnsi="Times New Roman" w:cs="Times New Roman"/>
          <w:sz w:val="24"/>
          <w:szCs w:val="24"/>
        </w:rPr>
        <w:t>D</w:t>
      </w:r>
      <w:r w:rsidRPr="00463949" w:rsidR="00FE4C79">
        <w:rPr>
          <w:rFonts w:ascii="Times New Roman" w:hAnsi="Times New Roman" w:cs="Times New Roman"/>
          <w:sz w:val="24"/>
          <w:szCs w:val="24"/>
        </w:rPr>
        <w:t>i</w:t>
      </w:r>
      <w:r w:rsidRPr="00463949" w:rsidR="00B33071">
        <w:rPr>
          <w:rFonts w:ascii="Times New Roman" w:hAnsi="Times New Roman" w:cs="Times New Roman"/>
          <w:sz w:val="24"/>
          <w:szCs w:val="24"/>
        </w:rPr>
        <w:t xml:space="preserve">e </w:t>
      </w:r>
      <w:r w:rsidRPr="00463949" w:rsidR="00FE4C79">
        <w:rPr>
          <w:rFonts w:ascii="Times New Roman" w:hAnsi="Times New Roman" w:cs="Times New Roman"/>
          <w:sz w:val="24"/>
          <w:szCs w:val="24"/>
        </w:rPr>
        <w:t xml:space="preserve">bestaat uit zogenoemde </w:t>
      </w:r>
      <w:r w:rsidRPr="00463949" w:rsidR="00B33071">
        <w:rPr>
          <w:rFonts w:ascii="Times New Roman" w:hAnsi="Times New Roman" w:cs="Times New Roman"/>
          <w:sz w:val="24"/>
          <w:szCs w:val="24"/>
        </w:rPr>
        <w:t>inhoudelijke nalevingskosten en de administratieve lasten</w:t>
      </w:r>
      <w:r w:rsidRPr="00463949" w:rsidR="00FE4C79">
        <w:rPr>
          <w:rFonts w:ascii="Times New Roman" w:hAnsi="Times New Roman" w:cs="Times New Roman"/>
          <w:sz w:val="24"/>
          <w:szCs w:val="24"/>
        </w:rPr>
        <w:t>.</w:t>
      </w:r>
      <w:r w:rsidRPr="00463949" w:rsidR="00B33071">
        <w:rPr>
          <w:rFonts w:ascii="Times New Roman" w:hAnsi="Times New Roman" w:cs="Times New Roman"/>
          <w:sz w:val="24"/>
          <w:szCs w:val="24"/>
        </w:rPr>
        <w:t xml:space="preserve"> Het kabinet streeft ernaar de regeldruk voor bedrijven </w:t>
      </w:r>
      <w:r w:rsidRPr="00463949" w:rsidR="00B26C29">
        <w:rPr>
          <w:rFonts w:ascii="Times New Roman" w:hAnsi="Times New Roman" w:cs="Times New Roman"/>
          <w:sz w:val="24"/>
          <w:szCs w:val="24"/>
        </w:rPr>
        <w:t xml:space="preserve">en burgers </w:t>
      </w:r>
      <w:r w:rsidRPr="00463949" w:rsidR="00B33071">
        <w:rPr>
          <w:rFonts w:ascii="Times New Roman" w:hAnsi="Times New Roman" w:cs="Times New Roman"/>
          <w:sz w:val="24"/>
          <w:szCs w:val="24"/>
        </w:rPr>
        <w:t>terug te dringen.</w:t>
      </w:r>
      <w:r w:rsidRPr="00463949" w:rsidR="009F09F9">
        <w:rPr>
          <w:rStyle w:val="Voetnootmarkering"/>
          <w:rFonts w:ascii="Times New Roman" w:hAnsi="Times New Roman" w:cs="Times New Roman"/>
          <w:sz w:val="24"/>
          <w:szCs w:val="24"/>
        </w:rPr>
        <w:footnoteReference w:id="37"/>
      </w:r>
    </w:p>
    <w:p w:rsidRPr="00463949" w:rsidR="00B33071" w:rsidP="00B33071" w:rsidRDefault="00B33071" w14:paraId="36CE0BD4" w14:textId="77777777">
      <w:pPr>
        <w:spacing w:after="0" w:line="276" w:lineRule="auto"/>
        <w:rPr>
          <w:rFonts w:ascii="Times New Roman" w:hAnsi="Times New Roman" w:cs="Times New Roman"/>
          <w:sz w:val="24"/>
          <w:szCs w:val="24"/>
        </w:rPr>
      </w:pPr>
    </w:p>
    <w:p w:rsidRPr="00463949" w:rsidR="00B33071" w:rsidP="00B33071" w:rsidRDefault="000E60EB" w14:paraId="12C25703" w14:textId="5107E44C">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Bedrijfsleven en burgers</w:t>
      </w:r>
    </w:p>
    <w:p w:rsidRPr="00463949" w:rsidR="0003718C" w:rsidP="00D045E0" w:rsidRDefault="00B33071" w14:paraId="5856C2B0" w14:textId="0F1FD0A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Dit </w:t>
      </w:r>
      <w:r w:rsidRPr="00463949" w:rsidR="00247ED7">
        <w:rPr>
          <w:rFonts w:ascii="Times New Roman" w:hAnsi="Times New Roman" w:cs="Times New Roman"/>
          <w:sz w:val="24"/>
          <w:szCs w:val="24"/>
        </w:rPr>
        <w:t xml:space="preserve">wetsvoorstel </w:t>
      </w:r>
      <w:r w:rsidRPr="00463949">
        <w:rPr>
          <w:rFonts w:ascii="Times New Roman" w:hAnsi="Times New Roman" w:cs="Times New Roman"/>
          <w:sz w:val="24"/>
          <w:szCs w:val="24"/>
        </w:rPr>
        <w:t xml:space="preserve">heeft geen gevolgen voor de regeldruk van burgers. Het brengt </w:t>
      </w:r>
      <w:r w:rsidRPr="00463949" w:rsidR="009457D1">
        <w:rPr>
          <w:rFonts w:ascii="Times New Roman" w:hAnsi="Times New Roman" w:cs="Times New Roman"/>
          <w:sz w:val="24"/>
          <w:szCs w:val="24"/>
        </w:rPr>
        <w:t xml:space="preserve">verder </w:t>
      </w:r>
      <w:r w:rsidRPr="00463949">
        <w:rPr>
          <w:rFonts w:ascii="Times New Roman" w:hAnsi="Times New Roman" w:cs="Times New Roman"/>
          <w:sz w:val="24"/>
          <w:szCs w:val="24"/>
        </w:rPr>
        <w:t>geen inhoudelijke nalevingskosten me</w:t>
      </w:r>
      <w:r w:rsidRPr="00463949" w:rsidR="0054474B">
        <w:rPr>
          <w:rFonts w:ascii="Times New Roman" w:hAnsi="Times New Roman" w:cs="Times New Roman"/>
          <w:sz w:val="24"/>
          <w:szCs w:val="24"/>
        </w:rPr>
        <w:t>e</w:t>
      </w:r>
      <w:r w:rsidRPr="00463949">
        <w:rPr>
          <w:rFonts w:ascii="Times New Roman" w:hAnsi="Times New Roman" w:cs="Times New Roman"/>
          <w:sz w:val="24"/>
          <w:szCs w:val="24"/>
        </w:rPr>
        <w:t xml:space="preserve"> voor het bedrijfsleven. </w:t>
      </w:r>
      <w:r w:rsidRPr="00463949" w:rsidR="00C85729">
        <w:rPr>
          <w:rFonts w:ascii="Times New Roman" w:hAnsi="Times New Roman" w:cs="Times New Roman"/>
          <w:sz w:val="24"/>
          <w:szCs w:val="24"/>
        </w:rPr>
        <w:t xml:space="preserve">Het stelt immers </w:t>
      </w:r>
      <w:r w:rsidRPr="00463949" w:rsidR="00B4538A">
        <w:rPr>
          <w:rFonts w:ascii="Times New Roman" w:hAnsi="Times New Roman" w:cs="Times New Roman"/>
          <w:sz w:val="24"/>
          <w:szCs w:val="24"/>
        </w:rPr>
        <w:t xml:space="preserve">niet </w:t>
      </w:r>
      <w:r w:rsidRPr="00463949" w:rsidR="00C85729">
        <w:rPr>
          <w:rFonts w:ascii="Times New Roman" w:hAnsi="Times New Roman" w:cs="Times New Roman"/>
          <w:sz w:val="24"/>
          <w:szCs w:val="24"/>
        </w:rPr>
        <w:t xml:space="preserve">meer of andere (technische) eisen aan producten. </w:t>
      </w:r>
      <w:r w:rsidRPr="00463949" w:rsidR="00100EC6">
        <w:rPr>
          <w:rFonts w:ascii="Times New Roman" w:hAnsi="Times New Roman" w:cs="Times New Roman"/>
          <w:sz w:val="24"/>
          <w:szCs w:val="24"/>
        </w:rPr>
        <w:t xml:space="preserve">Het </w:t>
      </w:r>
      <w:r w:rsidRPr="00463949">
        <w:rPr>
          <w:rFonts w:ascii="Times New Roman" w:hAnsi="Times New Roman" w:cs="Times New Roman"/>
          <w:sz w:val="24"/>
          <w:szCs w:val="24"/>
        </w:rPr>
        <w:t xml:space="preserve">voorstel leidt evenmin tot administratieve lasten voor het bedrijfsleven, omdat niet wordt voorzien in wettelijke informatieverplichtingen voor marktdeelnemers. </w:t>
      </w:r>
      <w:r w:rsidRPr="00463949" w:rsidR="00576F0E">
        <w:rPr>
          <w:rFonts w:ascii="Times New Roman" w:hAnsi="Times New Roman" w:cs="Times New Roman"/>
          <w:sz w:val="24"/>
          <w:szCs w:val="24"/>
        </w:rPr>
        <w:t xml:space="preserve">Voor </w:t>
      </w:r>
      <w:r w:rsidRPr="00463949" w:rsidR="00BC557B">
        <w:rPr>
          <w:rFonts w:ascii="Times New Roman" w:hAnsi="Times New Roman" w:cs="Times New Roman"/>
          <w:sz w:val="24"/>
          <w:szCs w:val="24"/>
        </w:rPr>
        <w:t>p</w:t>
      </w:r>
      <w:r w:rsidRPr="00463949" w:rsidR="002674A0">
        <w:rPr>
          <w:rFonts w:ascii="Times New Roman" w:hAnsi="Times New Roman" w:cs="Times New Roman"/>
          <w:sz w:val="24"/>
          <w:szCs w:val="24"/>
        </w:rPr>
        <w:t xml:space="preserve">otentieel aansprakelijke </w:t>
      </w:r>
      <w:r w:rsidRPr="00463949" w:rsidR="003C2F34">
        <w:rPr>
          <w:rFonts w:ascii="Times New Roman" w:hAnsi="Times New Roman" w:cs="Times New Roman"/>
          <w:sz w:val="24"/>
          <w:szCs w:val="24"/>
        </w:rPr>
        <w:t xml:space="preserve">marktdeelnemers die niet onder </w:t>
      </w:r>
      <w:r w:rsidRPr="00463949" w:rsidR="00263AD8">
        <w:rPr>
          <w:rFonts w:ascii="Times New Roman" w:hAnsi="Times New Roman" w:cs="Times New Roman"/>
          <w:sz w:val="24"/>
          <w:szCs w:val="24"/>
        </w:rPr>
        <w:t xml:space="preserve">Richtlijn 85/374 </w:t>
      </w:r>
      <w:r w:rsidRPr="00463949" w:rsidR="003C2F34">
        <w:rPr>
          <w:rFonts w:ascii="Times New Roman" w:hAnsi="Times New Roman" w:cs="Times New Roman"/>
          <w:sz w:val="24"/>
          <w:szCs w:val="24"/>
        </w:rPr>
        <w:t>vallen</w:t>
      </w:r>
      <w:r w:rsidRPr="00463949" w:rsidR="00263AD8">
        <w:rPr>
          <w:rFonts w:ascii="Times New Roman" w:hAnsi="Times New Roman" w:cs="Times New Roman"/>
          <w:sz w:val="24"/>
          <w:szCs w:val="24"/>
        </w:rPr>
        <w:t>,</w:t>
      </w:r>
      <w:r w:rsidRPr="00463949" w:rsidR="00BF5D10">
        <w:rPr>
          <w:rFonts w:ascii="Times New Roman" w:hAnsi="Times New Roman" w:cs="Times New Roman"/>
          <w:sz w:val="24"/>
          <w:szCs w:val="24"/>
        </w:rPr>
        <w:t xml:space="preserve"> maar wel onder de Richtlijn</w:t>
      </w:r>
      <w:r w:rsidRPr="00463949" w:rsidR="003C2F34">
        <w:rPr>
          <w:rFonts w:ascii="Times New Roman" w:hAnsi="Times New Roman" w:cs="Times New Roman"/>
          <w:sz w:val="24"/>
          <w:szCs w:val="24"/>
        </w:rPr>
        <w:t xml:space="preserve"> (o.a. gemachtigden en de fulfilmentdienstverleners)</w:t>
      </w:r>
      <w:r w:rsidRPr="00463949" w:rsidR="00100EC6">
        <w:rPr>
          <w:rFonts w:ascii="Times New Roman" w:hAnsi="Times New Roman" w:cs="Times New Roman"/>
          <w:sz w:val="24"/>
          <w:szCs w:val="24"/>
        </w:rPr>
        <w:t>,</w:t>
      </w:r>
      <w:r w:rsidRPr="00463949" w:rsidR="00BC557B">
        <w:rPr>
          <w:rFonts w:ascii="Times New Roman" w:hAnsi="Times New Roman" w:cs="Times New Roman"/>
          <w:sz w:val="24"/>
          <w:szCs w:val="24"/>
        </w:rPr>
        <w:t xml:space="preserve"> geldt dat zij</w:t>
      </w:r>
      <w:r w:rsidRPr="00463949" w:rsidR="003C2F34">
        <w:rPr>
          <w:rFonts w:ascii="Times New Roman" w:hAnsi="Times New Roman" w:cs="Times New Roman"/>
          <w:sz w:val="24"/>
          <w:szCs w:val="24"/>
        </w:rPr>
        <w:t xml:space="preserve"> kennis </w:t>
      </w:r>
      <w:r w:rsidRPr="00463949" w:rsidR="00576F0E">
        <w:rPr>
          <w:rFonts w:ascii="Times New Roman" w:hAnsi="Times New Roman" w:cs="Times New Roman"/>
          <w:sz w:val="24"/>
          <w:szCs w:val="24"/>
        </w:rPr>
        <w:t xml:space="preserve">zullen </w:t>
      </w:r>
      <w:r w:rsidRPr="00463949" w:rsidR="003C2F34">
        <w:rPr>
          <w:rFonts w:ascii="Times New Roman" w:hAnsi="Times New Roman" w:cs="Times New Roman"/>
          <w:sz w:val="24"/>
          <w:szCs w:val="24"/>
        </w:rPr>
        <w:t xml:space="preserve">moeten nemen van de </w:t>
      </w:r>
      <w:r w:rsidRPr="00463949" w:rsidR="00497302">
        <w:rPr>
          <w:rFonts w:ascii="Times New Roman" w:hAnsi="Times New Roman" w:cs="Times New Roman"/>
          <w:sz w:val="24"/>
          <w:szCs w:val="24"/>
        </w:rPr>
        <w:t xml:space="preserve">nieuwe </w:t>
      </w:r>
      <w:r w:rsidRPr="00463949" w:rsidR="003C2F34">
        <w:rPr>
          <w:rFonts w:ascii="Times New Roman" w:hAnsi="Times New Roman" w:cs="Times New Roman"/>
          <w:sz w:val="24"/>
          <w:szCs w:val="24"/>
        </w:rPr>
        <w:t>regeling</w:t>
      </w:r>
      <w:r w:rsidRPr="00463949" w:rsidR="00BC557B">
        <w:rPr>
          <w:rFonts w:ascii="Times New Roman" w:hAnsi="Times New Roman" w:cs="Times New Roman"/>
          <w:sz w:val="24"/>
          <w:szCs w:val="24"/>
        </w:rPr>
        <w:t xml:space="preserve"> in afdeling 6.3.3 BW</w:t>
      </w:r>
      <w:r w:rsidRPr="00463949" w:rsidR="003C2F34">
        <w:rPr>
          <w:rFonts w:ascii="Times New Roman" w:hAnsi="Times New Roman" w:cs="Times New Roman"/>
          <w:sz w:val="24"/>
          <w:szCs w:val="24"/>
        </w:rPr>
        <w:t>. De hieraan verbonden kosten zijn</w:t>
      </w:r>
      <w:r w:rsidRPr="00463949" w:rsidR="00BC557B">
        <w:rPr>
          <w:rFonts w:ascii="Times New Roman" w:hAnsi="Times New Roman" w:cs="Times New Roman"/>
          <w:sz w:val="24"/>
          <w:szCs w:val="24"/>
        </w:rPr>
        <w:t xml:space="preserve"> minimaal</w:t>
      </w:r>
      <w:r w:rsidRPr="00463949" w:rsidR="003C2F34">
        <w:rPr>
          <w:rFonts w:ascii="Times New Roman" w:hAnsi="Times New Roman" w:cs="Times New Roman"/>
          <w:sz w:val="24"/>
          <w:szCs w:val="24"/>
        </w:rPr>
        <w:t>.</w:t>
      </w:r>
      <w:r w:rsidRPr="00463949" w:rsidR="002674A0">
        <w:rPr>
          <w:rStyle w:val="Voetnootmarkering"/>
          <w:rFonts w:ascii="Times New Roman" w:hAnsi="Times New Roman" w:cs="Times New Roman"/>
          <w:sz w:val="24"/>
          <w:szCs w:val="24"/>
        </w:rPr>
        <w:footnoteReference w:id="38"/>
      </w:r>
    </w:p>
    <w:p w:rsidRPr="00463949" w:rsidR="000E60EB" w:rsidP="00D045E0" w:rsidRDefault="000E60EB" w14:paraId="2CED4E52" w14:textId="77777777">
      <w:pPr>
        <w:spacing w:after="0" w:line="276" w:lineRule="auto"/>
        <w:rPr>
          <w:rFonts w:ascii="Times New Roman" w:hAnsi="Times New Roman" w:cs="Times New Roman"/>
          <w:sz w:val="24"/>
          <w:szCs w:val="24"/>
        </w:rPr>
      </w:pPr>
    </w:p>
    <w:p w:rsidRPr="00463949" w:rsidR="000E60EB" w:rsidP="000E60EB" w:rsidRDefault="000E60EB" w14:paraId="5A4A3991" w14:textId="2D8FE279">
      <w:pPr>
        <w:pStyle w:val="Default"/>
        <w:spacing w:line="276" w:lineRule="auto"/>
        <w:rPr>
          <w:rFonts w:ascii="Times New Roman" w:hAnsi="Times New Roman" w:cs="Times New Roman"/>
          <w:i/>
          <w:iCs/>
          <w:color w:val="auto"/>
        </w:rPr>
      </w:pPr>
      <w:r w:rsidRPr="00463949">
        <w:rPr>
          <w:rFonts w:ascii="Times New Roman" w:hAnsi="Times New Roman" w:cs="Times New Roman"/>
          <w:i/>
          <w:iCs/>
          <w:color w:val="auto"/>
        </w:rPr>
        <w:t>R</w:t>
      </w:r>
      <w:r w:rsidRPr="00463949" w:rsidR="00B33071">
        <w:rPr>
          <w:rFonts w:ascii="Times New Roman" w:hAnsi="Times New Roman" w:cs="Times New Roman"/>
          <w:i/>
          <w:iCs/>
          <w:color w:val="auto"/>
        </w:rPr>
        <w:t>aad voor de r</w:t>
      </w:r>
      <w:r w:rsidRPr="00463949">
        <w:rPr>
          <w:rFonts w:ascii="Times New Roman" w:hAnsi="Times New Roman" w:cs="Times New Roman"/>
          <w:i/>
          <w:iCs/>
          <w:color w:val="auto"/>
        </w:rPr>
        <w:t>echtspraak</w:t>
      </w:r>
    </w:p>
    <w:p w:rsidRPr="00463949" w:rsidR="00BA0247" w:rsidP="000E60EB" w:rsidRDefault="002A2AB8" w14:paraId="718D082D" w14:textId="0DBFB647">
      <w:pPr>
        <w:pStyle w:val="Default"/>
        <w:spacing w:line="276" w:lineRule="auto"/>
        <w:rPr>
          <w:rFonts w:ascii="Times New Roman" w:hAnsi="Times New Roman" w:cs="Times New Roman"/>
          <w:color w:val="auto"/>
        </w:rPr>
      </w:pPr>
      <w:r w:rsidRPr="00463949">
        <w:rPr>
          <w:rFonts w:ascii="Times New Roman" w:hAnsi="Times New Roman" w:cs="Times New Roman"/>
          <w:color w:val="auto"/>
        </w:rPr>
        <w:lastRenderedPageBreak/>
        <w:t xml:space="preserve">De Raad voor de rechtspraak heeft laten weten dat het wetsvoorstel naar verwachting niet leidt tot substantiële werklastgevolgen voor de Rechtspraak. </w:t>
      </w:r>
      <w:r w:rsidRPr="00463949" w:rsidR="00CD6A0D">
        <w:rPr>
          <w:rFonts w:ascii="Times New Roman" w:hAnsi="Times New Roman" w:cs="Times New Roman"/>
          <w:color w:val="auto"/>
        </w:rPr>
        <w:t xml:space="preserve">Het ruimere toepassingsbereik van afdeling 6.3.3 BW (onder meer de verruiming van het begrip ‘product’, het afschaffen van de franchise voor zaakschade en een bredere kring van aansprakelijke personen) </w:t>
      </w:r>
      <w:r w:rsidRPr="00463949" w:rsidR="009457D1">
        <w:rPr>
          <w:rFonts w:ascii="Times New Roman" w:hAnsi="Times New Roman" w:cs="Times New Roman"/>
          <w:color w:val="auto"/>
        </w:rPr>
        <w:t xml:space="preserve">zal </w:t>
      </w:r>
      <w:r w:rsidRPr="00463949" w:rsidR="000F592B">
        <w:rPr>
          <w:rFonts w:ascii="Times New Roman" w:hAnsi="Times New Roman" w:cs="Times New Roman"/>
          <w:color w:val="auto"/>
        </w:rPr>
        <w:t xml:space="preserve">mogelijk </w:t>
      </w:r>
      <w:r w:rsidRPr="00463949" w:rsidR="009457D1">
        <w:rPr>
          <w:rFonts w:ascii="Times New Roman" w:hAnsi="Times New Roman" w:cs="Times New Roman"/>
          <w:color w:val="auto"/>
        </w:rPr>
        <w:t xml:space="preserve">leiden </w:t>
      </w:r>
      <w:r w:rsidRPr="00463949" w:rsidR="00CD6A0D">
        <w:rPr>
          <w:rFonts w:ascii="Times New Roman" w:hAnsi="Times New Roman" w:cs="Times New Roman"/>
          <w:color w:val="auto"/>
        </w:rPr>
        <w:t xml:space="preserve">tot een toename van het aantal rechtszaken op grond van </w:t>
      </w:r>
      <w:r w:rsidRPr="00463949" w:rsidR="0045113C">
        <w:rPr>
          <w:rFonts w:ascii="Times New Roman" w:hAnsi="Times New Roman" w:cs="Times New Roman"/>
          <w:color w:val="auto"/>
        </w:rPr>
        <w:t>de</w:t>
      </w:r>
      <w:r w:rsidRPr="00463949" w:rsidR="000F592B">
        <w:rPr>
          <w:rFonts w:ascii="Times New Roman" w:hAnsi="Times New Roman" w:cs="Times New Roman"/>
          <w:color w:val="auto"/>
        </w:rPr>
        <w:t xml:space="preserve"> </w:t>
      </w:r>
      <w:r w:rsidRPr="00463949" w:rsidR="0045113C">
        <w:rPr>
          <w:rFonts w:ascii="Times New Roman" w:hAnsi="Times New Roman" w:cs="Times New Roman"/>
          <w:color w:val="auto"/>
        </w:rPr>
        <w:t>regeling</w:t>
      </w:r>
      <w:r w:rsidRPr="00463949" w:rsidR="000F592B">
        <w:rPr>
          <w:rFonts w:ascii="Times New Roman" w:hAnsi="Times New Roman" w:cs="Times New Roman"/>
          <w:color w:val="auto"/>
        </w:rPr>
        <w:t xml:space="preserve"> van de productaansprakelijkheid</w:t>
      </w:r>
      <w:r w:rsidRPr="00463949" w:rsidR="00CD6A0D">
        <w:rPr>
          <w:rFonts w:ascii="Times New Roman" w:hAnsi="Times New Roman" w:cs="Times New Roman"/>
          <w:color w:val="auto"/>
        </w:rPr>
        <w:t xml:space="preserve">. Hierbij zal echter </w:t>
      </w:r>
      <w:r w:rsidRPr="00463949" w:rsidR="0079551D">
        <w:rPr>
          <w:rFonts w:ascii="Times New Roman" w:hAnsi="Times New Roman" w:cs="Times New Roman"/>
          <w:color w:val="auto"/>
        </w:rPr>
        <w:t xml:space="preserve">naar verwachting </w:t>
      </w:r>
      <w:r w:rsidRPr="00463949" w:rsidR="00CD6A0D">
        <w:rPr>
          <w:rFonts w:ascii="Times New Roman" w:hAnsi="Times New Roman" w:cs="Times New Roman"/>
          <w:color w:val="auto"/>
        </w:rPr>
        <w:t xml:space="preserve">vooral sprake zijn van een verschuiving van </w:t>
      </w:r>
      <w:r w:rsidRPr="00463949" w:rsidR="00727D44">
        <w:rPr>
          <w:rFonts w:ascii="Times New Roman" w:hAnsi="Times New Roman" w:cs="Times New Roman"/>
          <w:color w:val="auto"/>
        </w:rPr>
        <w:t xml:space="preserve">zaken op grond van onrechtmatige daad </w:t>
      </w:r>
      <w:r w:rsidRPr="00463949" w:rsidR="0010164C">
        <w:rPr>
          <w:rFonts w:ascii="Times New Roman" w:hAnsi="Times New Roman" w:cs="Times New Roman"/>
          <w:color w:val="auto"/>
        </w:rPr>
        <w:t>(of een andere grond</w:t>
      </w:r>
      <w:r w:rsidRPr="00463949" w:rsidR="00B26C29">
        <w:rPr>
          <w:rFonts w:ascii="Times New Roman" w:hAnsi="Times New Roman" w:cs="Times New Roman"/>
          <w:color w:val="auto"/>
        </w:rPr>
        <w:t>slag</w:t>
      </w:r>
      <w:r w:rsidRPr="00463949" w:rsidR="0010164C">
        <w:rPr>
          <w:rFonts w:ascii="Times New Roman" w:hAnsi="Times New Roman" w:cs="Times New Roman"/>
          <w:color w:val="auto"/>
        </w:rPr>
        <w:t xml:space="preserve">) </w:t>
      </w:r>
      <w:r w:rsidRPr="00463949" w:rsidR="00727D44">
        <w:rPr>
          <w:rFonts w:ascii="Times New Roman" w:hAnsi="Times New Roman" w:cs="Times New Roman"/>
          <w:color w:val="auto"/>
        </w:rPr>
        <w:t xml:space="preserve">naar zaken op grond van </w:t>
      </w:r>
      <w:r w:rsidRPr="00463949" w:rsidR="009457D1">
        <w:rPr>
          <w:rFonts w:ascii="Times New Roman" w:hAnsi="Times New Roman" w:cs="Times New Roman"/>
          <w:color w:val="auto"/>
        </w:rPr>
        <w:t xml:space="preserve">de regeling in </w:t>
      </w:r>
      <w:r w:rsidRPr="00463949" w:rsidR="0010164C">
        <w:rPr>
          <w:rFonts w:ascii="Times New Roman" w:hAnsi="Times New Roman" w:cs="Times New Roman"/>
          <w:color w:val="auto"/>
        </w:rPr>
        <w:t>afdeling 6.3.3 BW</w:t>
      </w:r>
      <w:r w:rsidRPr="00463949" w:rsidR="00727D44">
        <w:rPr>
          <w:rFonts w:ascii="Times New Roman" w:hAnsi="Times New Roman" w:cs="Times New Roman"/>
          <w:color w:val="auto"/>
        </w:rPr>
        <w:t xml:space="preserve">. </w:t>
      </w:r>
      <w:r w:rsidRPr="00463949" w:rsidR="00100EC6">
        <w:rPr>
          <w:rFonts w:ascii="Times New Roman" w:hAnsi="Times New Roman" w:cs="Times New Roman"/>
          <w:color w:val="auto"/>
        </w:rPr>
        <w:t>Dit maakt dat</w:t>
      </w:r>
      <w:r w:rsidRPr="00463949" w:rsidR="009457D1">
        <w:rPr>
          <w:rFonts w:ascii="Times New Roman" w:hAnsi="Times New Roman" w:cs="Times New Roman"/>
          <w:color w:val="auto"/>
        </w:rPr>
        <w:t xml:space="preserve"> de </w:t>
      </w:r>
      <w:r w:rsidRPr="00463949" w:rsidR="00100EC6">
        <w:rPr>
          <w:rFonts w:ascii="Times New Roman" w:hAnsi="Times New Roman" w:cs="Times New Roman"/>
          <w:color w:val="auto"/>
        </w:rPr>
        <w:t xml:space="preserve">toename van het </w:t>
      </w:r>
      <w:r w:rsidRPr="00463949" w:rsidR="00497302">
        <w:rPr>
          <w:rFonts w:ascii="Times New Roman" w:hAnsi="Times New Roman" w:cs="Times New Roman"/>
          <w:color w:val="auto"/>
        </w:rPr>
        <w:t xml:space="preserve">totale </w:t>
      </w:r>
      <w:r w:rsidRPr="00463949" w:rsidR="00100EC6">
        <w:rPr>
          <w:rFonts w:ascii="Times New Roman" w:hAnsi="Times New Roman" w:cs="Times New Roman"/>
          <w:color w:val="auto"/>
        </w:rPr>
        <w:t xml:space="preserve">aantal </w:t>
      </w:r>
      <w:r w:rsidRPr="00463949" w:rsidR="00CD6A0D">
        <w:rPr>
          <w:rFonts w:ascii="Times New Roman" w:hAnsi="Times New Roman" w:cs="Times New Roman"/>
          <w:color w:val="auto"/>
        </w:rPr>
        <w:t>rechts</w:t>
      </w:r>
      <w:r w:rsidRPr="00463949" w:rsidR="00100EC6">
        <w:rPr>
          <w:rFonts w:ascii="Times New Roman" w:hAnsi="Times New Roman" w:cs="Times New Roman"/>
          <w:color w:val="auto"/>
        </w:rPr>
        <w:t xml:space="preserve">zaken waarschijnlijk </w:t>
      </w:r>
      <w:r w:rsidRPr="00463949" w:rsidR="0054474B">
        <w:rPr>
          <w:rFonts w:ascii="Times New Roman" w:hAnsi="Times New Roman" w:cs="Times New Roman"/>
          <w:color w:val="auto"/>
        </w:rPr>
        <w:t xml:space="preserve">(zeer) beperkt </w:t>
      </w:r>
      <w:r w:rsidRPr="00463949" w:rsidR="00100EC6">
        <w:rPr>
          <w:rFonts w:ascii="Times New Roman" w:hAnsi="Times New Roman" w:cs="Times New Roman"/>
          <w:color w:val="auto"/>
        </w:rPr>
        <w:t>zal zijn</w:t>
      </w:r>
      <w:r w:rsidRPr="00463949" w:rsidR="0054474B">
        <w:rPr>
          <w:rFonts w:ascii="Times New Roman" w:hAnsi="Times New Roman" w:cs="Times New Roman"/>
          <w:color w:val="auto"/>
        </w:rPr>
        <w:t>.</w:t>
      </w:r>
    </w:p>
    <w:p w:rsidRPr="00463949" w:rsidR="00BA0247" w:rsidP="000E60EB" w:rsidRDefault="00BA0247" w14:paraId="704A6E6D" w14:textId="77777777">
      <w:pPr>
        <w:pStyle w:val="Default"/>
        <w:spacing w:line="276" w:lineRule="auto"/>
        <w:rPr>
          <w:rFonts w:ascii="Times New Roman" w:hAnsi="Times New Roman" w:cs="Times New Roman"/>
          <w:color w:val="auto"/>
        </w:rPr>
      </w:pPr>
    </w:p>
    <w:p w:rsidRPr="00463949" w:rsidR="000E60EB" w:rsidP="000E60EB" w:rsidRDefault="00100EC6" w14:paraId="0F533F3F" w14:textId="31803810">
      <w:pPr>
        <w:pStyle w:val="Default"/>
        <w:spacing w:line="276" w:lineRule="auto"/>
        <w:rPr>
          <w:rFonts w:ascii="Times New Roman" w:hAnsi="Times New Roman" w:cs="Times New Roman"/>
          <w:color w:val="auto"/>
        </w:rPr>
      </w:pPr>
      <w:r w:rsidRPr="00463949">
        <w:rPr>
          <w:rFonts w:ascii="Times New Roman" w:hAnsi="Times New Roman" w:cs="Times New Roman"/>
          <w:color w:val="auto"/>
        </w:rPr>
        <w:t xml:space="preserve">De </w:t>
      </w:r>
      <w:r w:rsidRPr="00463949" w:rsidR="000E60EB">
        <w:rPr>
          <w:rFonts w:ascii="Times New Roman" w:hAnsi="Times New Roman" w:cs="Times New Roman"/>
          <w:color w:val="auto"/>
        </w:rPr>
        <w:t>Richtlijn bevat de verplichting om, in een gemakkelijk toegankelijk en elektronisch formaat, alle onherroepelijke uitspraken te publiceren van gerechtshoven en de Hoge Raad in procedures die op grond van de Richtlijn zijn ingeleid</w:t>
      </w:r>
      <w:r w:rsidRPr="00463949">
        <w:rPr>
          <w:rFonts w:ascii="Times New Roman" w:hAnsi="Times New Roman" w:cs="Times New Roman"/>
          <w:color w:val="auto"/>
        </w:rPr>
        <w:t xml:space="preserve"> (artikel 19 lid 1 Richtlijn)</w:t>
      </w:r>
      <w:r w:rsidRPr="00463949" w:rsidR="000E60EB">
        <w:rPr>
          <w:rFonts w:ascii="Times New Roman" w:hAnsi="Times New Roman" w:cs="Times New Roman"/>
          <w:color w:val="auto"/>
        </w:rPr>
        <w:t>.</w:t>
      </w:r>
    </w:p>
    <w:p w:rsidRPr="00463949" w:rsidR="000E60EB" w:rsidP="000E60EB" w:rsidRDefault="000E60EB" w14:paraId="0CDD8757" w14:textId="17347D72">
      <w:pPr>
        <w:pStyle w:val="Default"/>
        <w:spacing w:line="276" w:lineRule="auto"/>
        <w:rPr>
          <w:rFonts w:ascii="Times New Roman" w:hAnsi="Times New Roman" w:cs="Times New Roman"/>
        </w:rPr>
      </w:pPr>
      <w:r w:rsidRPr="00463949">
        <w:rPr>
          <w:rFonts w:ascii="Times New Roman" w:hAnsi="Times New Roman" w:cs="Times New Roman"/>
          <w:color w:val="auto"/>
        </w:rPr>
        <w:t>Voor het publiceren van rechterlijke uitspraken heeft de rechterlijke macht richtlijnen opgesteld in het ‘Besluit selectiecriteria uitsprakendatabank Rechtspraak.nl’.</w:t>
      </w:r>
      <w:r w:rsidRPr="00463949">
        <w:rPr>
          <w:rFonts w:ascii="Times New Roman" w:hAnsi="Times New Roman" w:cs="Times New Roman"/>
          <w:color w:val="auto"/>
          <w:vertAlign w:val="superscript"/>
        </w:rPr>
        <w:footnoteReference w:id="39"/>
      </w:r>
      <w:r w:rsidRPr="00463949">
        <w:rPr>
          <w:rFonts w:ascii="Times New Roman" w:hAnsi="Times New Roman" w:cs="Times New Roman"/>
          <w:color w:val="auto"/>
        </w:rPr>
        <w:t xml:space="preserve"> Op grond van artikel 5 van die selectiecriteria wordt een uitspraak altijd gepubliceerd, </w:t>
      </w:r>
      <w:r w:rsidRPr="00463949" w:rsidR="00FE4C79">
        <w:rPr>
          <w:rFonts w:ascii="Times New Roman" w:hAnsi="Times New Roman" w:cs="Times New Roman"/>
          <w:color w:val="auto"/>
        </w:rPr>
        <w:t>als</w:t>
      </w:r>
      <w:r w:rsidRPr="00463949">
        <w:rPr>
          <w:rFonts w:ascii="Times New Roman" w:hAnsi="Times New Roman" w:cs="Times New Roman"/>
          <w:color w:val="auto"/>
        </w:rPr>
        <w:t xml:space="preserve"> deze mede de belangen raakt van natuurlijke of rechtspersonen die geen partij waren in het geding. </w:t>
      </w:r>
      <w:r w:rsidRPr="00463949" w:rsidR="00FE4C79">
        <w:rPr>
          <w:rFonts w:ascii="Times New Roman" w:hAnsi="Times New Roman" w:cs="Times New Roman"/>
          <w:color w:val="auto"/>
        </w:rPr>
        <w:t xml:space="preserve">Dit zal bij </w:t>
      </w:r>
      <w:r w:rsidRPr="00463949">
        <w:rPr>
          <w:rFonts w:ascii="Times New Roman" w:hAnsi="Times New Roman" w:cs="Times New Roman"/>
          <w:color w:val="auto"/>
        </w:rPr>
        <w:t>rechterlijke uitspraken over productaansprakelijkheid</w:t>
      </w:r>
      <w:r w:rsidRPr="00463949" w:rsidR="000E4CBC">
        <w:rPr>
          <w:rFonts w:ascii="Times New Roman" w:hAnsi="Times New Roman" w:cs="Times New Roman"/>
          <w:color w:val="auto"/>
        </w:rPr>
        <w:t xml:space="preserve"> </w:t>
      </w:r>
      <w:r w:rsidRPr="00463949" w:rsidR="00FE4C79">
        <w:rPr>
          <w:rFonts w:ascii="Times New Roman" w:hAnsi="Times New Roman" w:cs="Times New Roman"/>
          <w:color w:val="auto"/>
        </w:rPr>
        <w:t>vaak het geval zijn</w:t>
      </w:r>
      <w:r w:rsidRPr="00463949">
        <w:rPr>
          <w:rFonts w:ascii="Times New Roman" w:hAnsi="Times New Roman" w:cs="Times New Roman"/>
          <w:color w:val="auto"/>
        </w:rPr>
        <w:t xml:space="preserve">. Om zeker te stellen dat uitspraken in een procedure die is ingeleid op grond van </w:t>
      </w:r>
      <w:r w:rsidRPr="00463949" w:rsidR="002D005C">
        <w:rPr>
          <w:rFonts w:ascii="Times New Roman" w:hAnsi="Times New Roman" w:cs="Times New Roman"/>
          <w:color w:val="auto"/>
        </w:rPr>
        <w:t xml:space="preserve">afdeling 6.3.3 BW </w:t>
      </w:r>
      <w:r w:rsidRPr="00463949">
        <w:rPr>
          <w:rFonts w:ascii="Times New Roman" w:hAnsi="Times New Roman" w:cs="Times New Roman"/>
          <w:color w:val="auto"/>
        </w:rPr>
        <w:t xml:space="preserve">worden gepubliceerd, </w:t>
      </w:r>
      <w:r w:rsidRPr="00463949" w:rsidR="00C27FE5">
        <w:rPr>
          <w:rFonts w:ascii="Times New Roman" w:hAnsi="Times New Roman" w:cs="Times New Roman"/>
          <w:color w:val="auto"/>
        </w:rPr>
        <w:t xml:space="preserve">is </w:t>
      </w:r>
      <w:r w:rsidRPr="00463949" w:rsidR="002568EE">
        <w:rPr>
          <w:rFonts w:ascii="Times New Roman" w:hAnsi="Times New Roman" w:cs="Times New Roman"/>
          <w:color w:val="auto"/>
        </w:rPr>
        <w:t xml:space="preserve">dit met zoveel woorden in </w:t>
      </w:r>
      <w:r w:rsidRPr="00463949">
        <w:rPr>
          <w:rFonts w:ascii="Times New Roman" w:hAnsi="Times New Roman" w:cs="Times New Roman"/>
          <w:color w:val="auto"/>
        </w:rPr>
        <w:t>de tekst van de selectiecriteria worden</w:t>
      </w:r>
      <w:r w:rsidRPr="00463949" w:rsidR="002568EE">
        <w:rPr>
          <w:rFonts w:ascii="Times New Roman" w:hAnsi="Times New Roman" w:cs="Times New Roman"/>
          <w:color w:val="auto"/>
        </w:rPr>
        <w:t xml:space="preserve"> opgenomen. </w:t>
      </w:r>
      <w:r w:rsidRPr="00463949">
        <w:rPr>
          <w:rFonts w:ascii="Times New Roman" w:hAnsi="Times New Roman" w:cs="Times New Roman"/>
        </w:rPr>
        <w:t>De uitbreiding van de publicatieplicht is voor de Rechtspraak één van de stappen binnen de uitvoering van het programma ‘Meer en Verantwoord Publiceren’</w:t>
      </w:r>
      <w:r w:rsidRPr="00463949">
        <w:rPr>
          <w:rStyle w:val="Voetnootmarkering"/>
          <w:rFonts w:ascii="Times New Roman" w:hAnsi="Times New Roman" w:cs="Times New Roman"/>
        </w:rPr>
        <w:footnoteReference w:id="40"/>
      </w:r>
      <w:r w:rsidRPr="00463949">
        <w:rPr>
          <w:rFonts w:ascii="Times New Roman" w:hAnsi="Times New Roman" w:cs="Times New Roman"/>
        </w:rPr>
        <w:t xml:space="preserve"> en vormt als zodanig geen extra last voor de gerechten.</w:t>
      </w:r>
      <w:r w:rsidRPr="00463949" w:rsidR="00B26C29">
        <w:rPr>
          <w:rFonts w:ascii="Times New Roman" w:hAnsi="Times New Roman" w:cs="Times New Roman"/>
        </w:rPr>
        <w:t xml:space="preserve"> </w:t>
      </w:r>
      <w:r w:rsidRPr="00463949">
        <w:rPr>
          <w:rFonts w:ascii="Times New Roman" w:hAnsi="Times New Roman" w:cs="Times New Roman"/>
        </w:rPr>
        <w:t>Ook voor de Hoge Raad vormt het voldoen aan de publicatieplicht op grond van de Richtlijn geen zwaardere uitvoeringslast. Op grond van artikel 3 van de selectiecriteria worden nu al nagenoeg alle uitspraken van de Hoge Raad gepubliceerd.</w:t>
      </w:r>
    </w:p>
    <w:p w:rsidRPr="00463949" w:rsidR="00B04157" w:rsidP="00D045E0" w:rsidRDefault="00B04157" w14:paraId="04010E9D" w14:textId="77777777">
      <w:pPr>
        <w:spacing w:after="0" w:line="276" w:lineRule="auto"/>
        <w:rPr>
          <w:rFonts w:ascii="Times New Roman" w:hAnsi="Times New Roman" w:cs="Times New Roman"/>
          <w:sz w:val="24"/>
          <w:szCs w:val="24"/>
        </w:rPr>
      </w:pPr>
    </w:p>
    <w:p w:rsidRPr="00463949" w:rsidR="00440B94" w:rsidP="00D045E0" w:rsidRDefault="00CD211B" w14:paraId="670502F6" w14:textId="71E5D835">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 xml:space="preserve">5. </w:t>
      </w:r>
      <w:r w:rsidRPr="00463949" w:rsidR="00256D5C">
        <w:rPr>
          <w:rFonts w:ascii="Times New Roman" w:hAnsi="Times New Roman" w:cs="Times New Roman"/>
          <w:b/>
          <w:bCs/>
          <w:sz w:val="24"/>
          <w:szCs w:val="24"/>
        </w:rPr>
        <w:t>Financiële gevolgen</w:t>
      </w:r>
    </w:p>
    <w:p w:rsidRPr="00463949" w:rsidR="00B04157" w:rsidP="00D045E0" w:rsidRDefault="00B04157" w14:paraId="40EDBFC6" w14:textId="77777777">
      <w:pPr>
        <w:spacing w:after="0" w:line="276" w:lineRule="auto"/>
        <w:rPr>
          <w:rFonts w:ascii="Times New Roman" w:hAnsi="Times New Roman" w:cs="Times New Roman"/>
          <w:sz w:val="24"/>
          <w:szCs w:val="24"/>
        </w:rPr>
      </w:pPr>
    </w:p>
    <w:p w:rsidRPr="00463949" w:rsidR="000E60EB" w:rsidP="00D045E0" w:rsidRDefault="000E60EB" w14:paraId="147E09D7" w14:textId="740E4864">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Bedrijfsleven en burgers</w:t>
      </w:r>
    </w:p>
    <w:p w:rsidRPr="00463949" w:rsidR="00BC624C" w:rsidP="00D045E0" w:rsidRDefault="0054474B" w14:paraId="261F24EC" w14:textId="3E069F6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Dit wetsvoorstel heeft geen financiële gevolgen voor burgers. Het </w:t>
      </w:r>
      <w:r w:rsidRPr="00463949" w:rsidR="00987926">
        <w:rPr>
          <w:rFonts w:ascii="Times New Roman" w:hAnsi="Times New Roman" w:cs="Times New Roman"/>
          <w:sz w:val="24"/>
          <w:szCs w:val="24"/>
        </w:rPr>
        <w:t xml:space="preserve">voorstel heeft </w:t>
      </w:r>
      <w:r w:rsidRPr="00463949" w:rsidR="009E0A8E">
        <w:rPr>
          <w:rFonts w:ascii="Times New Roman" w:hAnsi="Times New Roman" w:cs="Times New Roman"/>
          <w:sz w:val="24"/>
          <w:szCs w:val="24"/>
        </w:rPr>
        <w:t xml:space="preserve">mogelijk </w:t>
      </w:r>
      <w:r w:rsidRPr="00463949" w:rsidR="00987926">
        <w:rPr>
          <w:rFonts w:ascii="Times New Roman" w:hAnsi="Times New Roman" w:cs="Times New Roman"/>
          <w:sz w:val="24"/>
          <w:szCs w:val="24"/>
        </w:rPr>
        <w:t xml:space="preserve">financiële gevolgen voor marktdeelnemers. </w:t>
      </w:r>
      <w:r w:rsidRPr="00463949" w:rsidR="001F4691">
        <w:rPr>
          <w:rFonts w:ascii="Times New Roman" w:hAnsi="Times New Roman" w:cs="Times New Roman"/>
          <w:sz w:val="24"/>
          <w:szCs w:val="24"/>
        </w:rPr>
        <w:t>Productaansprakelijkheid is in de regel meeverzekerd op de Aansprakelijkheidsverzekering voor bedrijven (AVB).</w:t>
      </w:r>
      <w:r w:rsidRPr="00463949" w:rsidR="001F4691">
        <w:rPr>
          <w:rStyle w:val="Voetnootmarkering"/>
          <w:rFonts w:ascii="Times New Roman" w:hAnsi="Times New Roman" w:cs="Times New Roman"/>
          <w:sz w:val="24"/>
          <w:szCs w:val="24"/>
        </w:rPr>
        <w:footnoteReference w:id="41"/>
      </w:r>
      <w:r w:rsidRPr="00463949" w:rsidR="001F4691">
        <w:rPr>
          <w:rFonts w:ascii="Times New Roman" w:hAnsi="Times New Roman" w:cs="Times New Roman"/>
          <w:sz w:val="24"/>
          <w:szCs w:val="24"/>
        </w:rPr>
        <w:t xml:space="preserve"> Het merendeel van de betrokken marktdeelnemers heeft een dergelijke verzekering. </w:t>
      </w:r>
      <w:r w:rsidRPr="00463949" w:rsidR="009E0A8E">
        <w:rPr>
          <w:rFonts w:ascii="Times New Roman" w:hAnsi="Times New Roman" w:cs="Times New Roman"/>
          <w:sz w:val="24"/>
          <w:szCs w:val="24"/>
        </w:rPr>
        <w:t xml:space="preserve">Als marktdeelnemers aansprakelijk worden gesteld voor schade veroorzaakt door een gebrekkig product, dekt de aansprakelijkheidsverzekering in de regel de schadevergoeding en juridische kosten. </w:t>
      </w:r>
      <w:r w:rsidRPr="00463949" w:rsidR="0087331A">
        <w:rPr>
          <w:rFonts w:ascii="Times New Roman" w:hAnsi="Times New Roman" w:cs="Times New Roman"/>
          <w:sz w:val="24"/>
          <w:szCs w:val="24"/>
        </w:rPr>
        <w:t>Verzekeringspremies</w:t>
      </w:r>
      <w:r w:rsidRPr="00463949" w:rsidR="009E0A8E">
        <w:rPr>
          <w:rFonts w:ascii="Times New Roman" w:hAnsi="Times New Roman" w:cs="Times New Roman"/>
          <w:sz w:val="24"/>
          <w:szCs w:val="24"/>
        </w:rPr>
        <w:t xml:space="preserve"> </w:t>
      </w:r>
      <w:r w:rsidRPr="00463949" w:rsidR="0087331A">
        <w:rPr>
          <w:rFonts w:ascii="Times New Roman" w:hAnsi="Times New Roman" w:cs="Times New Roman"/>
          <w:sz w:val="24"/>
          <w:szCs w:val="24"/>
        </w:rPr>
        <w:t xml:space="preserve">worden bepaald aan de hand van alle relevante nationale en internationale ontwikkelingen. </w:t>
      </w:r>
      <w:r w:rsidRPr="00463949" w:rsidR="005957F2">
        <w:rPr>
          <w:rFonts w:ascii="Times New Roman" w:hAnsi="Times New Roman" w:cs="Times New Roman"/>
          <w:sz w:val="24"/>
          <w:szCs w:val="24"/>
        </w:rPr>
        <w:t xml:space="preserve">Het is op dit moment </w:t>
      </w:r>
      <w:r w:rsidRPr="00463949" w:rsidR="00C7330D">
        <w:rPr>
          <w:rFonts w:ascii="Times New Roman" w:hAnsi="Times New Roman" w:cs="Times New Roman"/>
          <w:sz w:val="24"/>
          <w:szCs w:val="24"/>
        </w:rPr>
        <w:t xml:space="preserve">nog </w:t>
      </w:r>
      <w:r w:rsidRPr="00463949" w:rsidR="005957F2">
        <w:rPr>
          <w:rFonts w:ascii="Times New Roman" w:hAnsi="Times New Roman" w:cs="Times New Roman"/>
          <w:sz w:val="24"/>
          <w:szCs w:val="24"/>
        </w:rPr>
        <w:t xml:space="preserve">onzeker welke gevolgen het </w:t>
      </w:r>
      <w:r w:rsidRPr="00463949" w:rsidR="005957F2">
        <w:rPr>
          <w:rFonts w:ascii="Times New Roman" w:hAnsi="Times New Roman" w:cs="Times New Roman"/>
          <w:sz w:val="24"/>
          <w:szCs w:val="24"/>
        </w:rPr>
        <w:lastRenderedPageBreak/>
        <w:t>wetsvoorstel heeft voor de verzekerbaarheid, dekking en premies.</w:t>
      </w:r>
      <w:r w:rsidRPr="00463949" w:rsidR="00C7330D">
        <w:rPr>
          <w:rFonts w:ascii="Times New Roman" w:hAnsi="Times New Roman" w:cs="Times New Roman"/>
          <w:sz w:val="24"/>
          <w:szCs w:val="24"/>
        </w:rPr>
        <w:t xml:space="preserve"> </w:t>
      </w:r>
      <w:r w:rsidRPr="00463949" w:rsidR="005957F2">
        <w:rPr>
          <w:rFonts w:ascii="Times New Roman" w:hAnsi="Times New Roman" w:cs="Times New Roman"/>
          <w:sz w:val="24"/>
          <w:szCs w:val="24"/>
        </w:rPr>
        <w:t xml:space="preserve">Het </w:t>
      </w:r>
      <w:r w:rsidRPr="00463949" w:rsidR="002E3573">
        <w:rPr>
          <w:rFonts w:ascii="Times New Roman" w:hAnsi="Times New Roman" w:cs="Times New Roman"/>
          <w:sz w:val="24"/>
          <w:szCs w:val="24"/>
        </w:rPr>
        <w:t>Verbond van Verzekeraars</w:t>
      </w:r>
      <w:r w:rsidRPr="00463949" w:rsidR="00381AFC">
        <w:rPr>
          <w:rFonts w:ascii="Times New Roman" w:hAnsi="Times New Roman" w:cs="Times New Roman"/>
          <w:sz w:val="24"/>
          <w:szCs w:val="24"/>
        </w:rPr>
        <w:t xml:space="preserve"> </w:t>
      </w:r>
      <w:r w:rsidRPr="00463949" w:rsidR="00610E35">
        <w:rPr>
          <w:rFonts w:ascii="Times New Roman" w:hAnsi="Times New Roman" w:cs="Times New Roman"/>
          <w:sz w:val="24"/>
          <w:szCs w:val="24"/>
        </w:rPr>
        <w:t xml:space="preserve">(hierna: Verbond) </w:t>
      </w:r>
      <w:r w:rsidRPr="00463949" w:rsidR="002E3573">
        <w:rPr>
          <w:rFonts w:ascii="Times New Roman" w:hAnsi="Times New Roman" w:cs="Times New Roman"/>
          <w:sz w:val="24"/>
          <w:szCs w:val="24"/>
        </w:rPr>
        <w:t>heeft</w:t>
      </w:r>
      <w:r w:rsidRPr="00463949" w:rsidR="005957F2">
        <w:rPr>
          <w:rFonts w:ascii="Times New Roman" w:hAnsi="Times New Roman" w:cs="Times New Roman"/>
          <w:sz w:val="24"/>
          <w:szCs w:val="24"/>
        </w:rPr>
        <w:t xml:space="preserve"> desgevraagd</w:t>
      </w:r>
      <w:r w:rsidRPr="00463949" w:rsidR="002E3573">
        <w:rPr>
          <w:rFonts w:ascii="Times New Roman" w:hAnsi="Times New Roman" w:cs="Times New Roman"/>
          <w:sz w:val="24"/>
          <w:szCs w:val="24"/>
        </w:rPr>
        <w:t xml:space="preserve"> laten weten dat d</w:t>
      </w:r>
      <w:r w:rsidRPr="00463949" w:rsidR="00F64097">
        <w:rPr>
          <w:rFonts w:ascii="Times New Roman" w:hAnsi="Times New Roman" w:cs="Times New Roman"/>
          <w:sz w:val="24"/>
          <w:szCs w:val="24"/>
        </w:rPr>
        <w:t xml:space="preserve">e uitbreiding van de kring van aansprakelijke personen </w:t>
      </w:r>
      <w:r w:rsidRPr="00463949" w:rsidR="000E4D0B">
        <w:rPr>
          <w:rFonts w:ascii="Times New Roman" w:hAnsi="Times New Roman" w:cs="Times New Roman"/>
          <w:sz w:val="24"/>
          <w:szCs w:val="24"/>
        </w:rPr>
        <w:t xml:space="preserve">(met o.a. gemachtigden en fulfilmentdienstverleners) </w:t>
      </w:r>
      <w:r w:rsidRPr="00463949" w:rsidR="002E3573">
        <w:rPr>
          <w:rFonts w:ascii="Times New Roman" w:hAnsi="Times New Roman" w:cs="Times New Roman"/>
          <w:sz w:val="24"/>
          <w:szCs w:val="24"/>
        </w:rPr>
        <w:t xml:space="preserve">naar verwachting leidt </w:t>
      </w:r>
      <w:r w:rsidRPr="00463949" w:rsidR="00F64097">
        <w:rPr>
          <w:rFonts w:ascii="Times New Roman" w:hAnsi="Times New Roman" w:cs="Times New Roman"/>
          <w:sz w:val="24"/>
          <w:szCs w:val="24"/>
        </w:rPr>
        <w:t>tot een toename van de schadelast</w:t>
      </w:r>
      <w:r w:rsidRPr="00463949" w:rsidR="00975035">
        <w:rPr>
          <w:rFonts w:ascii="Times New Roman" w:hAnsi="Times New Roman" w:cs="Times New Roman"/>
          <w:sz w:val="24"/>
          <w:szCs w:val="24"/>
        </w:rPr>
        <w:t>.</w:t>
      </w:r>
      <w:r w:rsidRPr="00463949" w:rsidR="00F64097">
        <w:rPr>
          <w:rFonts w:ascii="Times New Roman" w:hAnsi="Times New Roman" w:cs="Times New Roman"/>
          <w:sz w:val="24"/>
          <w:szCs w:val="24"/>
        </w:rPr>
        <w:t xml:space="preserve"> </w:t>
      </w:r>
      <w:r w:rsidRPr="00463949" w:rsidR="002E3573">
        <w:rPr>
          <w:rFonts w:ascii="Times New Roman" w:hAnsi="Times New Roman" w:cs="Times New Roman"/>
          <w:sz w:val="24"/>
          <w:szCs w:val="24"/>
        </w:rPr>
        <w:t xml:space="preserve">Ook heeft het </w:t>
      </w:r>
      <w:r w:rsidRPr="00463949" w:rsidR="00610E35">
        <w:rPr>
          <w:rFonts w:ascii="Times New Roman" w:hAnsi="Times New Roman" w:cs="Times New Roman"/>
          <w:sz w:val="24"/>
          <w:szCs w:val="24"/>
        </w:rPr>
        <w:t xml:space="preserve">Verbond erop gewezen </w:t>
      </w:r>
      <w:r w:rsidRPr="00463949" w:rsidR="002E3573">
        <w:rPr>
          <w:rFonts w:ascii="Times New Roman" w:hAnsi="Times New Roman" w:cs="Times New Roman"/>
          <w:sz w:val="24"/>
          <w:szCs w:val="24"/>
        </w:rPr>
        <w:t xml:space="preserve">dat de </w:t>
      </w:r>
      <w:r w:rsidRPr="00463949" w:rsidR="00F64097">
        <w:rPr>
          <w:rFonts w:ascii="Times New Roman" w:hAnsi="Times New Roman" w:cs="Times New Roman"/>
          <w:sz w:val="24"/>
          <w:szCs w:val="24"/>
        </w:rPr>
        <w:t xml:space="preserve">verruiming </w:t>
      </w:r>
      <w:r w:rsidRPr="00463949" w:rsidR="000B4822">
        <w:rPr>
          <w:rFonts w:ascii="Times New Roman" w:hAnsi="Times New Roman" w:cs="Times New Roman"/>
          <w:sz w:val="24"/>
          <w:szCs w:val="24"/>
        </w:rPr>
        <w:t>van de begrippen product (met software en digitale fabricagedossiers) en schade (met vernietiging of corruptie van niet voor beroepsdoeleinden gebruikte gegevens) leidt tot nieuwe risico</w:t>
      </w:r>
      <w:r w:rsidRPr="00463949" w:rsidR="002E3573">
        <w:rPr>
          <w:rFonts w:ascii="Times New Roman" w:hAnsi="Times New Roman" w:cs="Times New Roman"/>
          <w:sz w:val="24"/>
          <w:szCs w:val="24"/>
        </w:rPr>
        <w:t>’</w:t>
      </w:r>
      <w:r w:rsidRPr="00463949" w:rsidR="000B4822">
        <w:rPr>
          <w:rFonts w:ascii="Times New Roman" w:hAnsi="Times New Roman" w:cs="Times New Roman"/>
          <w:sz w:val="24"/>
          <w:szCs w:val="24"/>
        </w:rPr>
        <w:t>s die</w:t>
      </w:r>
      <w:r w:rsidRPr="00463949" w:rsidR="002E3573">
        <w:rPr>
          <w:rFonts w:ascii="Times New Roman" w:hAnsi="Times New Roman" w:cs="Times New Roman"/>
          <w:sz w:val="24"/>
          <w:szCs w:val="24"/>
        </w:rPr>
        <w:t xml:space="preserve"> lastig</w:t>
      </w:r>
      <w:r w:rsidRPr="00463949" w:rsidR="001C35ED">
        <w:rPr>
          <w:rFonts w:ascii="Times New Roman" w:hAnsi="Times New Roman" w:cs="Times New Roman"/>
          <w:sz w:val="24"/>
          <w:szCs w:val="24"/>
        </w:rPr>
        <w:t xml:space="preserve"> calculeerbaar zijn</w:t>
      </w:r>
      <w:r w:rsidRPr="00463949" w:rsidR="000B4822">
        <w:rPr>
          <w:rFonts w:ascii="Times New Roman" w:hAnsi="Times New Roman" w:cs="Times New Roman"/>
          <w:sz w:val="24"/>
          <w:szCs w:val="24"/>
        </w:rPr>
        <w:t xml:space="preserve">. </w:t>
      </w:r>
      <w:r w:rsidRPr="00463949" w:rsidR="00517420">
        <w:rPr>
          <w:rFonts w:ascii="Times New Roman" w:hAnsi="Times New Roman" w:cs="Times New Roman"/>
          <w:sz w:val="24"/>
          <w:szCs w:val="24"/>
        </w:rPr>
        <w:t xml:space="preserve">Het </w:t>
      </w:r>
      <w:r w:rsidRPr="00463949" w:rsidR="00610E35">
        <w:rPr>
          <w:rFonts w:ascii="Times New Roman" w:hAnsi="Times New Roman" w:cs="Times New Roman"/>
          <w:sz w:val="24"/>
          <w:szCs w:val="24"/>
        </w:rPr>
        <w:t xml:space="preserve">Verbond </w:t>
      </w:r>
      <w:r w:rsidRPr="00463949" w:rsidR="00517420">
        <w:rPr>
          <w:rFonts w:ascii="Times New Roman" w:hAnsi="Times New Roman" w:cs="Times New Roman"/>
          <w:sz w:val="24"/>
          <w:szCs w:val="24"/>
        </w:rPr>
        <w:t>merkt op dat</w:t>
      </w:r>
      <w:r w:rsidRPr="00463949" w:rsidR="00610E35">
        <w:rPr>
          <w:rFonts w:ascii="Times New Roman" w:hAnsi="Times New Roman" w:cs="Times New Roman"/>
          <w:sz w:val="24"/>
          <w:szCs w:val="24"/>
        </w:rPr>
        <w:t xml:space="preserve"> </w:t>
      </w:r>
      <w:r w:rsidRPr="00463949" w:rsidR="00CC037B">
        <w:rPr>
          <w:rFonts w:ascii="Times New Roman" w:hAnsi="Times New Roman" w:cs="Times New Roman"/>
          <w:sz w:val="24"/>
          <w:szCs w:val="24"/>
        </w:rPr>
        <w:t xml:space="preserve">de </w:t>
      </w:r>
      <w:r w:rsidRPr="00463949" w:rsidR="00796EB8">
        <w:rPr>
          <w:rFonts w:ascii="Times New Roman" w:hAnsi="Times New Roman" w:cs="Times New Roman"/>
          <w:sz w:val="24"/>
          <w:szCs w:val="24"/>
        </w:rPr>
        <w:t xml:space="preserve">verzekerbaarheid </w:t>
      </w:r>
      <w:r w:rsidRPr="00463949" w:rsidR="000E4D0B">
        <w:rPr>
          <w:rFonts w:ascii="Times New Roman" w:hAnsi="Times New Roman" w:cs="Times New Roman"/>
          <w:sz w:val="24"/>
          <w:szCs w:val="24"/>
        </w:rPr>
        <w:t>daarvan</w:t>
      </w:r>
      <w:r w:rsidRPr="00463949" w:rsidR="00381AFC">
        <w:rPr>
          <w:rFonts w:ascii="Times New Roman" w:hAnsi="Times New Roman" w:cs="Times New Roman"/>
          <w:sz w:val="24"/>
          <w:szCs w:val="24"/>
        </w:rPr>
        <w:t xml:space="preserve"> </w:t>
      </w:r>
      <w:r w:rsidRPr="00463949" w:rsidR="000E4D0B">
        <w:rPr>
          <w:rFonts w:ascii="Times New Roman" w:hAnsi="Times New Roman" w:cs="Times New Roman"/>
          <w:sz w:val="24"/>
          <w:szCs w:val="24"/>
        </w:rPr>
        <w:t xml:space="preserve">afhankelijk </w:t>
      </w:r>
      <w:r w:rsidRPr="00463949" w:rsidR="00517420">
        <w:rPr>
          <w:rFonts w:ascii="Times New Roman" w:hAnsi="Times New Roman" w:cs="Times New Roman"/>
          <w:sz w:val="24"/>
          <w:szCs w:val="24"/>
        </w:rPr>
        <w:t xml:space="preserve">is </w:t>
      </w:r>
      <w:r w:rsidRPr="00463949" w:rsidR="000E4D0B">
        <w:rPr>
          <w:rFonts w:ascii="Times New Roman" w:hAnsi="Times New Roman" w:cs="Times New Roman"/>
          <w:sz w:val="24"/>
          <w:szCs w:val="24"/>
        </w:rPr>
        <w:t>van de risicobeoordeling per geval</w:t>
      </w:r>
      <w:r w:rsidRPr="00463949" w:rsidR="00381AFC">
        <w:rPr>
          <w:rFonts w:ascii="Times New Roman" w:hAnsi="Times New Roman" w:cs="Times New Roman"/>
          <w:sz w:val="24"/>
          <w:szCs w:val="24"/>
        </w:rPr>
        <w:t>.</w:t>
      </w:r>
      <w:r w:rsidRPr="00463949" w:rsidR="000E4D0B">
        <w:rPr>
          <w:rFonts w:ascii="Times New Roman" w:hAnsi="Times New Roman" w:cs="Times New Roman"/>
          <w:sz w:val="24"/>
          <w:szCs w:val="24"/>
        </w:rPr>
        <w:t xml:space="preserve"> </w:t>
      </w:r>
      <w:r w:rsidRPr="00463949" w:rsidR="00C7330D">
        <w:rPr>
          <w:rFonts w:ascii="Times New Roman" w:hAnsi="Times New Roman" w:cs="Times New Roman"/>
          <w:sz w:val="24"/>
          <w:szCs w:val="24"/>
        </w:rPr>
        <w:t xml:space="preserve">Uit het Impact Assessment Report bij </w:t>
      </w:r>
      <w:r w:rsidRPr="00463949" w:rsidR="00381AFC">
        <w:rPr>
          <w:rFonts w:ascii="Times New Roman" w:hAnsi="Times New Roman" w:cs="Times New Roman"/>
          <w:sz w:val="24"/>
          <w:szCs w:val="24"/>
        </w:rPr>
        <w:t xml:space="preserve">het voorstel </w:t>
      </w:r>
      <w:r w:rsidRPr="00463949" w:rsidR="00BF5D10">
        <w:rPr>
          <w:rFonts w:ascii="Times New Roman" w:hAnsi="Times New Roman" w:cs="Times New Roman"/>
          <w:sz w:val="24"/>
          <w:szCs w:val="24"/>
        </w:rPr>
        <w:t xml:space="preserve">voor de Richtlijn </w:t>
      </w:r>
      <w:r w:rsidRPr="00463949" w:rsidR="00610E35">
        <w:rPr>
          <w:rFonts w:ascii="Times New Roman" w:hAnsi="Times New Roman" w:cs="Times New Roman"/>
          <w:sz w:val="24"/>
          <w:szCs w:val="24"/>
        </w:rPr>
        <w:t xml:space="preserve">van de Europese Commissie </w:t>
      </w:r>
      <w:r w:rsidRPr="00463949" w:rsidR="0079551D">
        <w:rPr>
          <w:rFonts w:ascii="Times New Roman" w:hAnsi="Times New Roman" w:cs="Times New Roman"/>
          <w:sz w:val="24"/>
          <w:szCs w:val="24"/>
        </w:rPr>
        <w:t xml:space="preserve">volgt </w:t>
      </w:r>
      <w:r w:rsidRPr="00463949" w:rsidR="00C7330D">
        <w:rPr>
          <w:rFonts w:ascii="Times New Roman" w:hAnsi="Times New Roman" w:cs="Times New Roman"/>
          <w:sz w:val="24"/>
          <w:szCs w:val="24"/>
        </w:rPr>
        <w:t>dat het ruimere toepassingsbereik naar verwachting een marginale premiestij</w:t>
      </w:r>
      <w:r w:rsidRPr="00463949" w:rsidR="00796EB8">
        <w:rPr>
          <w:rFonts w:ascii="Times New Roman" w:hAnsi="Times New Roman" w:cs="Times New Roman"/>
          <w:sz w:val="24"/>
          <w:szCs w:val="24"/>
        </w:rPr>
        <w:t>g</w:t>
      </w:r>
      <w:r w:rsidRPr="00463949" w:rsidR="00C7330D">
        <w:rPr>
          <w:rFonts w:ascii="Times New Roman" w:hAnsi="Times New Roman" w:cs="Times New Roman"/>
          <w:sz w:val="24"/>
          <w:szCs w:val="24"/>
        </w:rPr>
        <w:t>ing</w:t>
      </w:r>
      <w:r w:rsidRPr="00463949" w:rsidR="00975035">
        <w:rPr>
          <w:rFonts w:ascii="Times New Roman" w:hAnsi="Times New Roman" w:cs="Times New Roman"/>
          <w:sz w:val="24"/>
          <w:szCs w:val="24"/>
        </w:rPr>
        <w:t xml:space="preserve"> tot gevolg heeft</w:t>
      </w:r>
      <w:r w:rsidRPr="00463949" w:rsidR="00C7330D">
        <w:rPr>
          <w:rFonts w:ascii="Times New Roman" w:hAnsi="Times New Roman" w:cs="Times New Roman"/>
          <w:sz w:val="24"/>
          <w:szCs w:val="24"/>
        </w:rPr>
        <w:t>.</w:t>
      </w:r>
      <w:r w:rsidRPr="00463949" w:rsidR="00C7330D">
        <w:rPr>
          <w:rStyle w:val="Voetnootmarkering"/>
          <w:rFonts w:ascii="Times New Roman" w:hAnsi="Times New Roman" w:cs="Times New Roman"/>
          <w:sz w:val="24"/>
          <w:szCs w:val="24"/>
        </w:rPr>
        <w:footnoteReference w:id="42"/>
      </w:r>
      <w:r w:rsidRPr="00463949" w:rsidR="00C7330D">
        <w:rPr>
          <w:rFonts w:ascii="Times New Roman" w:hAnsi="Times New Roman" w:cs="Times New Roman"/>
          <w:sz w:val="24"/>
          <w:szCs w:val="24"/>
        </w:rPr>
        <w:t xml:space="preserve"> </w:t>
      </w:r>
      <w:r w:rsidRPr="00463949" w:rsidR="00555010">
        <w:rPr>
          <w:rFonts w:ascii="Times New Roman" w:hAnsi="Times New Roman" w:cs="Times New Roman"/>
          <w:sz w:val="24"/>
          <w:szCs w:val="24"/>
        </w:rPr>
        <w:t>De Europese Commissie zal de gevolgen voor de productaansprakelijkheidsverzekeringen</w:t>
      </w:r>
      <w:r w:rsidRPr="00463949" w:rsidR="00064913">
        <w:rPr>
          <w:rFonts w:ascii="Times New Roman" w:hAnsi="Times New Roman" w:cs="Times New Roman"/>
          <w:sz w:val="24"/>
          <w:szCs w:val="24"/>
        </w:rPr>
        <w:t xml:space="preserve"> </w:t>
      </w:r>
      <w:r w:rsidRPr="00463949" w:rsidR="00F76671">
        <w:rPr>
          <w:rFonts w:ascii="Times New Roman" w:hAnsi="Times New Roman" w:cs="Times New Roman"/>
          <w:sz w:val="24"/>
          <w:szCs w:val="24"/>
        </w:rPr>
        <w:t xml:space="preserve">ook </w:t>
      </w:r>
      <w:r w:rsidRPr="00463949" w:rsidR="00555010">
        <w:rPr>
          <w:rFonts w:ascii="Times New Roman" w:hAnsi="Times New Roman" w:cs="Times New Roman"/>
          <w:sz w:val="24"/>
          <w:szCs w:val="24"/>
        </w:rPr>
        <w:t xml:space="preserve">betrekken </w:t>
      </w:r>
      <w:r w:rsidRPr="00463949" w:rsidR="00E20ACA">
        <w:rPr>
          <w:rFonts w:ascii="Times New Roman" w:hAnsi="Times New Roman" w:cs="Times New Roman"/>
          <w:sz w:val="24"/>
          <w:szCs w:val="24"/>
        </w:rPr>
        <w:t xml:space="preserve">bij </w:t>
      </w:r>
      <w:r w:rsidRPr="00463949" w:rsidR="00555010">
        <w:rPr>
          <w:rFonts w:ascii="Times New Roman" w:hAnsi="Times New Roman" w:cs="Times New Roman"/>
          <w:sz w:val="24"/>
          <w:szCs w:val="24"/>
        </w:rPr>
        <w:t xml:space="preserve">de evaluatie van </w:t>
      </w:r>
      <w:r w:rsidRPr="00463949" w:rsidR="00952814">
        <w:rPr>
          <w:rFonts w:ascii="Times New Roman" w:hAnsi="Times New Roman" w:cs="Times New Roman"/>
          <w:sz w:val="24"/>
          <w:szCs w:val="24"/>
        </w:rPr>
        <w:t xml:space="preserve">de </w:t>
      </w:r>
      <w:r w:rsidRPr="00463949" w:rsidR="00555010">
        <w:rPr>
          <w:rFonts w:ascii="Times New Roman" w:hAnsi="Times New Roman" w:cs="Times New Roman"/>
          <w:sz w:val="24"/>
          <w:szCs w:val="24"/>
        </w:rPr>
        <w:t>Richtlijn (artikel 20 van de Richtlijn).</w:t>
      </w:r>
    </w:p>
    <w:p w:rsidRPr="00463949" w:rsidR="00BC624C" w:rsidP="00D045E0" w:rsidRDefault="00BC624C" w14:paraId="4C3DDBEF" w14:textId="77777777">
      <w:pPr>
        <w:spacing w:after="0" w:line="276" w:lineRule="auto"/>
        <w:rPr>
          <w:rFonts w:ascii="Times New Roman" w:hAnsi="Times New Roman" w:cs="Times New Roman"/>
          <w:sz w:val="24"/>
          <w:szCs w:val="24"/>
        </w:rPr>
      </w:pPr>
    </w:p>
    <w:p w:rsidRPr="00463949" w:rsidR="00093977" w:rsidP="00D045E0" w:rsidRDefault="000E4D0B" w14:paraId="0C6859B3" w14:textId="0BC9A6F0">
      <w:pPr>
        <w:spacing w:after="0" w:line="276" w:lineRule="auto"/>
        <w:rPr>
          <w:rFonts w:ascii="Times New Roman" w:hAnsi="Times New Roman" w:cs="Times New Roman"/>
          <w:sz w:val="24"/>
          <w:szCs w:val="24"/>
        </w:rPr>
      </w:pPr>
      <w:bookmarkStart w:name="_Hlk202282864" w:id="6"/>
      <w:r w:rsidRPr="00463949">
        <w:rPr>
          <w:rFonts w:ascii="Times New Roman" w:hAnsi="Times New Roman" w:cs="Times New Roman"/>
          <w:sz w:val="24"/>
          <w:szCs w:val="24"/>
        </w:rPr>
        <w:t xml:space="preserve">Bij het voorgaande is van belang </w:t>
      </w:r>
      <w:r w:rsidRPr="00463949" w:rsidR="002A2AB8">
        <w:rPr>
          <w:rFonts w:ascii="Times New Roman" w:hAnsi="Times New Roman" w:cs="Times New Roman"/>
          <w:sz w:val="24"/>
          <w:szCs w:val="24"/>
        </w:rPr>
        <w:t xml:space="preserve">dat het </w:t>
      </w:r>
      <w:r w:rsidRPr="00463949" w:rsidR="00D07CBA">
        <w:rPr>
          <w:rFonts w:ascii="Times New Roman" w:hAnsi="Times New Roman" w:cs="Times New Roman"/>
          <w:sz w:val="24"/>
          <w:szCs w:val="24"/>
        </w:rPr>
        <w:t xml:space="preserve">wetsvoorstel </w:t>
      </w:r>
      <w:r w:rsidRPr="00463949" w:rsidR="002A2AB8">
        <w:rPr>
          <w:rFonts w:ascii="Times New Roman" w:hAnsi="Times New Roman" w:cs="Times New Roman"/>
          <w:sz w:val="24"/>
          <w:szCs w:val="24"/>
        </w:rPr>
        <w:t>niet alleen v</w:t>
      </w:r>
      <w:r w:rsidRPr="00463949" w:rsidR="001617FA">
        <w:rPr>
          <w:rFonts w:ascii="Times New Roman" w:hAnsi="Times New Roman" w:cs="Times New Roman"/>
          <w:sz w:val="24"/>
          <w:szCs w:val="24"/>
        </w:rPr>
        <w:t xml:space="preserve">oorziet in </w:t>
      </w:r>
      <w:r w:rsidRPr="00463949" w:rsidR="00D07CBA">
        <w:rPr>
          <w:rFonts w:ascii="Times New Roman" w:hAnsi="Times New Roman" w:cs="Times New Roman"/>
          <w:sz w:val="24"/>
          <w:szCs w:val="24"/>
        </w:rPr>
        <w:t>een verruiming van de productaansprakelijkheid</w:t>
      </w:r>
      <w:r w:rsidRPr="00463949" w:rsidR="00BC624C">
        <w:rPr>
          <w:rFonts w:ascii="Times New Roman" w:hAnsi="Times New Roman" w:cs="Times New Roman"/>
          <w:sz w:val="24"/>
          <w:szCs w:val="24"/>
        </w:rPr>
        <w:t>sregeling</w:t>
      </w:r>
      <w:r w:rsidRPr="00463949" w:rsidR="00D07CBA">
        <w:rPr>
          <w:rFonts w:ascii="Times New Roman" w:hAnsi="Times New Roman" w:cs="Times New Roman"/>
          <w:sz w:val="24"/>
          <w:szCs w:val="24"/>
        </w:rPr>
        <w:t xml:space="preserve">, maar </w:t>
      </w:r>
      <w:r w:rsidRPr="00463949" w:rsidR="000B4822">
        <w:rPr>
          <w:rFonts w:ascii="Times New Roman" w:hAnsi="Times New Roman" w:cs="Times New Roman"/>
          <w:sz w:val="24"/>
          <w:szCs w:val="24"/>
        </w:rPr>
        <w:t xml:space="preserve">– vergeleken met </w:t>
      </w:r>
      <w:r w:rsidRPr="00463949" w:rsidR="00B14E70">
        <w:rPr>
          <w:rFonts w:ascii="Times New Roman" w:hAnsi="Times New Roman" w:cs="Times New Roman"/>
          <w:sz w:val="24"/>
          <w:szCs w:val="24"/>
        </w:rPr>
        <w:t>R</w:t>
      </w:r>
      <w:r w:rsidRPr="00463949" w:rsidR="000B4822">
        <w:rPr>
          <w:rFonts w:ascii="Times New Roman" w:hAnsi="Times New Roman" w:cs="Times New Roman"/>
          <w:sz w:val="24"/>
          <w:szCs w:val="24"/>
        </w:rPr>
        <w:t>ichtlijn</w:t>
      </w:r>
      <w:r w:rsidRPr="00463949" w:rsidR="00B14E70">
        <w:rPr>
          <w:rFonts w:ascii="Times New Roman" w:hAnsi="Times New Roman" w:cs="Times New Roman"/>
          <w:sz w:val="24"/>
          <w:szCs w:val="24"/>
        </w:rPr>
        <w:t xml:space="preserve"> 85/374 </w:t>
      </w:r>
      <w:r w:rsidRPr="00463949" w:rsidR="000B4822">
        <w:rPr>
          <w:rFonts w:ascii="Times New Roman" w:hAnsi="Times New Roman" w:cs="Times New Roman"/>
          <w:sz w:val="24"/>
          <w:szCs w:val="24"/>
        </w:rPr>
        <w:t xml:space="preserve">– </w:t>
      </w:r>
      <w:r w:rsidRPr="00463949" w:rsidR="00D07CBA">
        <w:rPr>
          <w:rFonts w:ascii="Times New Roman" w:hAnsi="Times New Roman" w:cs="Times New Roman"/>
          <w:sz w:val="24"/>
          <w:szCs w:val="24"/>
        </w:rPr>
        <w:t xml:space="preserve">ook </w:t>
      </w:r>
      <w:r w:rsidRPr="00463949" w:rsidR="00F64097">
        <w:rPr>
          <w:rFonts w:ascii="Times New Roman" w:hAnsi="Times New Roman" w:cs="Times New Roman"/>
          <w:sz w:val="24"/>
          <w:szCs w:val="24"/>
        </w:rPr>
        <w:t xml:space="preserve">meer </w:t>
      </w:r>
      <w:r w:rsidRPr="00463949" w:rsidR="00D07CBA">
        <w:rPr>
          <w:rFonts w:ascii="Times New Roman" w:hAnsi="Times New Roman" w:cs="Times New Roman"/>
          <w:sz w:val="24"/>
          <w:szCs w:val="24"/>
        </w:rPr>
        <w:t xml:space="preserve">duidelijkheid </w:t>
      </w:r>
      <w:r w:rsidRPr="00463949" w:rsidR="002A2AB8">
        <w:rPr>
          <w:rFonts w:ascii="Times New Roman" w:hAnsi="Times New Roman" w:cs="Times New Roman"/>
          <w:sz w:val="24"/>
          <w:szCs w:val="24"/>
        </w:rPr>
        <w:t xml:space="preserve">biedt </w:t>
      </w:r>
      <w:r w:rsidRPr="00463949" w:rsidR="00D07CBA">
        <w:rPr>
          <w:rFonts w:ascii="Times New Roman" w:hAnsi="Times New Roman" w:cs="Times New Roman"/>
          <w:sz w:val="24"/>
          <w:szCs w:val="24"/>
        </w:rPr>
        <w:t xml:space="preserve">over de producten en </w:t>
      </w:r>
      <w:r w:rsidRPr="00463949" w:rsidR="001617FA">
        <w:rPr>
          <w:rFonts w:ascii="Times New Roman" w:hAnsi="Times New Roman" w:cs="Times New Roman"/>
          <w:sz w:val="24"/>
          <w:szCs w:val="24"/>
        </w:rPr>
        <w:t>markt</w:t>
      </w:r>
      <w:r w:rsidRPr="00463949" w:rsidR="00D07CBA">
        <w:rPr>
          <w:rFonts w:ascii="Times New Roman" w:hAnsi="Times New Roman" w:cs="Times New Roman"/>
          <w:sz w:val="24"/>
          <w:szCs w:val="24"/>
        </w:rPr>
        <w:t>partijen die eronder vallen. Dit draagt bij aan de rechtszekerheid</w:t>
      </w:r>
      <w:r w:rsidRPr="00463949" w:rsidR="000B4822">
        <w:rPr>
          <w:rFonts w:ascii="Times New Roman" w:hAnsi="Times New Roman" w:cs="Times New Roman"/>
          <w:sz w:val="24"/>
          <w:szCs w:val="24"/>
        </w:rPr>
        <w:t xml:space="preserve"> voor het bedrijfsleven</w:t>
      </w:r>
      <w:r w:rsidRPr="00463949" w:rsidR="001617FA">
        <w:rPr>
          <w:rFonts w:ascii="Times New Roman" w:hAnsi="Times New Roman" w:cs="Times New Roman"/>
          <w:sz w:val="24"/>
          <w:szCs w:val="24"/>
        </w:rPr>
        <w:t>. Het</w:t>
      </w:r>
      <w:r w:rsidRPr="00463949" w:rsidR="00D07CBA">
        <w:rPr>
          <w:rFonts w:ascii="Times New Roman" w:hAnsi="Times New Roman" w:cs="Times New Roman"/>
          <w:sz w:val="24"/>
          <w:szCs w:val="24"/>
        </w:rPr>
        <w:t xml:space="preserve"> stelt marktdeelnemers in staat om hun </w:t>
      </w:r>
      <w:r w:rsidRPr="00463949" w:rsidR="001617FA">
        <w:rPr>
          <w:rFonts w:ascii="Times New Roman" w:hAnsi="Times New Roman" w:cs="Times New Roman"/>
          <w:sz w:val="24"/>
          <w:szCs w:val="24"/>
        </w:rPr>
        <w:t>product</w:t>
      </w:r>
      <w:r w:rsidRPr="00463949" w:rsidR="001E1784">
        <w:rPr>
          <w:rFonts w:ascii="Times New Roman" w:hAnsi="Times New Roman" w:cs="Times New Roman"/>
          <w:sz w:val="24"/>
          <w:szCs w:val="24"/>
        </w:rPr>
        <w:t xml:space="preserve">aansprakelijkheidsrisico te </w:t>
      </w:r>
      <w:r w:rsidRPr="00463949" w:rsidR="00B20E9B">
        <w:rPr>
          <w:rFonts w:ascii="Times New Roman" w:hAnsi="Times New Roman" w:cs="Times New Roman"/>
          <w:sz w:val="24"/>
          <w:szCs w:val="24"/>
        </w:rPr>
        <w:t xml:space="preserve">inventariseren </w:t>
      </w:r>
      <w:r w:rsidRPr="00463949" w:rsidR="001E1784">
        <w:rPr>
          <w:rFonts w:ascii="Times New Roman" w:hAnsi="Times New Roman" w:cs="Times New Roman"/>
          <w:sz w:val="24"/>
          <w:szCs w:val="24"/>
        </w:rPr>
        <w:t xml:space="preserve">en </w:t>
      </w:r>
      <w:r w:rsidRPr="00463949" w:rsidR="002A2AB8">
        <w:rPr>
          <w:rFonts w:ascii="Times New Roman" w:hAnsi="Times New Roman" w:cs="Times New Roman"/>
          <w:sz w:val="24"/>
          <w:szCs w:val="24"/>
        </w:rPr>
        <w:t xml:space="preserve">na te gaan </w:t>
      </w:r>
      <w:r w:rsidRPr="00463949" w:rsidR="001E1784">
        <w:rPr>
          <w:rFonts w:ascii="Times New Roman" w:hAnsi="Times New Roman" w:cs="Times New Roman"/>
          <w:sz w:val="24"/>
          <w:szCs w:val="24"/>
        </w:rPr>
        <w:t>of</w:t>
      </w:r>
      <w:r w:rsidRPr="00463949" w:rsidR="002A2AB8">
        <w:rPr>
          <w:rFonts w:ascii="Times New Roman" w:hAnsi="Times New Roman" w:cs="Times New Roman"/>
          <w:sz w:val="24"/>
          <w:szCs w:val="24"/>
        </w:rPr>
        <w:t xml:space="preserve"> zij hiervoor</w:t>
      </w:r>
      <w:r w:rsidRPr="00463949" w:rsidR="000B4822">
        <w:rPr>
          <w:rFonts w:ascii="Times New Roman" w:hAnsi="Times New Roman" w:cs="Times New Roman"/>
          <w:sz w:val="24"/>
          <w:szCs w:val="24"/>
        </w:rPr>
        <w:t xml:space="preserve"> (voldoende)</w:t>
      </w:r>
      <w:r w:rsidRPr="00463949" w:rsidR="002A2AB8">
        <w:rPr>
          <w:rFonts w:ascii="Times New Roman" w:hAnsi="Times New Roman" w:cs="Times New Roman"/>
          <w:sz w:val="24"/>
          <w:szCs w:val="24"/>
        </w:rPr>
        <w:t xml:space="preserve"> verzekerd zijn</w:t>
      </w:r>
      <w:r w:rsidRPr="00463949" w:rsidR="001E1784">
        <w:rPr>
          <w:rFonts w:ascii="Times New Roman" w:hAnsi="Times New Roman" w:cs="Times New Roman"/>
          <w:sz w:val="24"/>
          <w:szCs w:val="24"/>
        </w:rPr>
        <w:t>.</w:t>
      </w:r>
      <w:r w:rsidRPr="00463949" w:rsidR="00B20E9B">
        <w:rPr>
          <w:rFonts w:ascii="Times New Roman" w:hAnsi="Times New Roman" w:cs="Times New Roman"/>
          <w:sz w:val="24"/>
          <w:szCs w:val="24"/>
        </w:rPr>
        <w:t xml:space="preserve"> </w:t>
      </w:r>
      <w:r w:rsidRPr="00463949" w:rsidR="00D07CBA">
        <w:rPr>
          <w:rFonts w:ascii="Times New Roman" w:hAnsi="Times New Roman" w:cs="Times New Roman"/>
          <w:sz w:val="24"/>
          <w:szCs w:val="24"/>
        </w:rPr>
        <w:t xml:space="preserve">Dit kan ertoe leiden dat </w:t>
      </w:r>
      <w:r w:rsidRPr="00463949" w:rsidR="002A2AB8">
        <w:rPr>
          <w:rFonts w:ascii="Times New Roman" w:hAnsi="Times New Roman" w:cs="Times New Roman"/>
          <w:sz w:val="24"/>
          <w:szCs w:val="24"/>
        </w:rPr>
        <w:t xml:space="preserve">marktdeelnemers </w:t>
      </w:r>
      <w:r w:rsidRPr="00463949" w:rsidR="001617FA">
        <w:rPr>
          <w:rFonts w:ascii="Times New Roman" w:hAnsi="Times New Roman" w:cs="Times New Roman"/>
          <w:sz w:val="24"/>
          <w:szCs w:val="24"/>
        </w:rPr>
        <w:t xml:space="preserve">besluiten </w:t>
      </w:r>
      <w:r w:rsidRPr="00463949" w:rsidR="001C35ED">
        <w:rPr>
          <w:rFonts w:ascii="Times New Roman" w:hAnsi="Times New Roman" w:cs="Times New Roman"/>
          <w:sz w:val="24"/>
          <w:szCs w:val="24"/>
        </w:rPr>
        <w:t xml:space="preserve">om </w:t>
      </w:r>
      <w:r w:rsidRPr="00463949" w:rsidR="001617FA">
        <w:rPr>
          <w:rFonts w:ascii="Times New Roman" w:hAnsi="Times New Roman" w:cs="Times New Roman"/>
          <w:sz w:val="24"/>
          <w:szCs w:val="24"/>
        </w:rPr>
        <w:t xml:space="preserve">zich </w:t>
      </w:r>
      <w:r w:rsidRPr="00463949" w:rsidR="00BC624C">
        <w:rPr>
          <w:rFonts w:ascii="Times New Roman" w:hAnsi="Times New Roman" w:cs="Times New Roman"/>
          <w:sz w:val="24"/>
          <w:szCs w:val="24"/>
        </w:rPr>
        <w:t>(</w:t>
      </w:r>
      <w:r w:rsidRPr="00463949" w:rsidR="00D07CBA">
        <w:rPr>
          <w:rFonts w:ascii="Times New Roman" w:hAnsi="Times New Roman" w:cs="Times New Roman"/>
          <w:sz w:val="24"/>
          <w:szCs w:val="24"/>
        </w:rPr>
        <w:t>aanvullend</w:t>
      </w:r>
      <w:r w:rsidRPr="00463949" w:rsidR="00BC624C">
        <w:rPr>
          <w:rFonts w:ascii="Times New Roman" w:hAnsi="Times New Roman" w:cs="Times New Roman"/>
          <w:sz w:val="24"/>
          <w:szCs w:val="24"/>
        </w:rPr>
        <w:t>)</w:t>
      </w:r>
      <w:r w:rsidRPr="00463949" w:rsidR="00D07CBA">
        <w:rPr>
          <w:rFonts w:ascii="Times New Roman" w:hAnsi="Times New Roman" w:cs="Times New Roman"/>
          <w:sz w:val="24"/>
          <w:szCs w:val="24"/>
        </w:rPr>
        <w:t xml:space="preserve"> </w:t>
      </w:r>
      <w:r w:rsidRPr="00463949" w:rsidR="001617FA">
        <w:rPr>
          <w:rFonts w:ascii="Times New Roman" w:hAnsi="Times New Roman" w:cs="Times New Roman"/>
          <w:sz w:val="24"/>
          <w:szCs w:val="24"/>
        </w:rPr>
        <w:t xml:space="preserve">te </w:t>
      </w:r>
      <w:r w:rsidRPr="00463949" w:rsidR="00D07CBA">
        <w:rPr>
          <w:rFonts w:ascii="Times New Roman" w:hAnsi="Times New Roman" w:cs="Times New Roman"/>
          <w:sz w:val="24"/>
          <w:szCs w:val="24"/>
        </w:rPr>
        <w:t>verzekeren.</w:t>
      </w:r>
      <w:r w:rsidRPr="00463949" w:rsidR="003A274D">
        <w:rPr>
          <w:rFonts w:ascii="Times New Roman" w:hAnsi="Times New Roman" w:cs="Times New Roman"/>
          <w:sz w:val="24"/>
          <w:szCs w:val="24"/>
        </w:rPr>
        <w:t xml:space="preserve"> Marktpartijen die tot nu toe geen productaansprakelijkheidsrisico liepen, zoals gemachtigden en fulfilmentdienstverleners, </w:t>
      </w:r>
      <w:r w:rsidRPr="00463949" w:rsidR="00BC1D37">
        <w:rPr>
          <w:rFonts w:ascii="Times New Roman" w:hAnsi="Times New Roman" w:cs="Times New Roman"/>
          <w:sz w:val="24"/>
          <w:szCs w:val="24"/>
        </w:rPr>
        <w:t xml:space="preserve">zullen hun </w:t>
      </w:r>
      <w:r w:rsidRPr="00463949" w:rsidR="00CC037B">
        <w:rPr>
          <w:rFonts w:ascii="Times New Roman" w:hAnsi="Times New Roman" w:cs="Times New Roman"/>
          <w:sz w:val="24"/>
          <w:szCs w:val="24"/>
        </w:rPr>
        <w:t>aansprakelijkheids</w:t>
      </w:r>
      <w:r w:rsidRPr="00463949" w:rsidR="00BC1D37">
        <w:rPr>
          <w:rFonts w:ascii="Times New Roman" w:hAnsi="Times New Roman" w:cs="Times New Roman"/>
          <w:sz w:val="24"/>
          <w:szCs w:val="24"/>
        </w:rPr>
        <w:t xml:space="preserve">positie en verzekeringsbehoefte opnieuw moeten bepalen. </w:t>
      </w:r>
      <w:r w:rsidRPr="00463949" w:rsidR="00093977">
        <w:rPr>
          <w:rFonts w:ascii="Times New Roman" w:hAnsi="Times New Roman" w:cs="Times New Roman"/>
          <w:sz w:val="24"/>
          <w:szCs w:val="24"/>
        </w:rPr>
        <w:t xml:space="preserve">Mogelijk zijn nog niet alle (nieuwe) marktdeelnemers zich hiervan </w:t>
      </w:r>
      <w:r w:rsidRPr="00463949" w:rsidR="00BC624C">
        <w:rPr>
          <w:rFonts w:ascii="Times New Roman" w:hAnsi="Times New Roman" w:cs="Times New Roman"/>
          <w:sz w:val="24"/>
          <w:szCs w:val="24"/>
        </w:rPr>
        <w:t xml:space="preserve">voldoende </w:t>
      </w:r>
      <w:r w:rsidRPr="00463949" w:rsidR="00093977">
        <w:rPr>
          <w:rFonts w:ascii="Times New Roman" w:hAnsi="Times New Roman" w:cs="Times New Roman"/>
          <w:sz w:val="24"/>
          <w:szCs w:val="24"/>
        </w:rPr>
        <w:t xml:space="preserve">bewust. </w:t>
      </w:r>
      <w:r w:rsidRPr="00463949" w:rsidR="00064913">
        <w:rPr>
          <w:rFonts w:ascii="Times New Roman" w:hAnsi="Times New Roman" w:cs="Times New Roman"/>
          <w:sz w:val="24"/>
          <w:szCs w:val="24"/>
        </w:rPr>
        <w:t xml:space="preserve">Vanuit de Rijksoverheid </w:t>
      </w:r>
      <w:r w:rsidRPr="00463949" w:rsidR="00184C38">
        <w:rPr>
          <w:rFonts w:ascii="Times New Roman" w:hAnsi="Times New Roman" w:cs="Times New Roman"/>
          <w:sz w:val="24"/>
          <w:szCs w:val="24"/>
        </w:rPr>
        <w:t xml:space="preserve">wordt </w:t>
      </w:r>
      <w:r w:rsidRPr="00463949" w:rsidR="00610E35">
        <w:rPr>
          <w:rFonts w:ascii="Times New Roman" w:hAnsi="Times New Roman" w:cs="Times New Roman"/>
          <w:sz w:val="24"/>
          <w:szCs w:val="24"/>
        </w:rPr>
        <w:t xml:space="preserve">hier </w:t>
      </w:r>
      <w:r w:rsidRPr="00463949" w:rsidR="00356B3E">
        <w:rPr>
          <w:rFonts w:ascii="Times New Roman" w:hAnsi="Times New Roman" w:cs="Times New Roman"/>
          <w:sz w:val="24"/>
          <w:szCs w:val="24"/>
        </w:rPr>
        <w:t xml:space="preserve">aandacht aan besteed op </w:t>
      </w:r>
      <w:r w:rsidRPr="00463949" w:rsidR="0079551D">
        <w:rPr>
          <w:rFonts w:ascii="Times New Roman" w:hAnsi="Times New Roman" w:cs="Times New Roman"/>
          <w:sz w:val="24"/>
          <w:szCs w:val="24"/>
        </w:rPr>
        <w:t xml:space="preserve">de website </w:t>
      </w:r>
      <w:hyperlink w:history="1" r:id="rId8">
        <w:r w:rsidRPr="00463949" w:rsidR="00C7359D">
          <w:rPr>
            <w:rStyle w:val="Hyperlink"/>
            <w:rFonts w:ascii="Times New Roman" w:hAnsi="Times New Roman" w:cs="Times New Roman"/>
            <w:sz w:val="24"/>
            <w:szCs w:val="24"/>
          </w:rPr>
          <w:t>https://ondernemersplein.overheid.nl/wetswijzigingen/meer-partijen-aansprakelijk-voor-gebrekkige-producten/</w:t>
        </w:r>
      </w:hyperlink>
      <w:r w:rsidRPr="00463949" w:rsidR="00C7359D">
        <w:rPr>
          <w:rFonts w:ascii="Times New Roman" w:hAnsi="Times New Roman" w:cs="Times New Roman"/>
          <w:sz w:val="24"/>
          <w:szCs w:val="24"/>
        </w:rPr>
        <w:t>.</w:t>
      </w:r>
    </w:p>
    <w:bookmarkEnd w:id="6"/>
    <w:p w:rsidRPr="00463949" w:rsidR="00093977" w:rsidP="00D045E0" w:rsidRDefault="00093977" w14:paraId="435C3FA2" w14:textId="77777777">
      <w:pPr>
        <w:spacing w:after="0" w:line="276" w:lineRule="auto"/>
        <w:rPr>
          <w:rFonts w:ascii="Times New Roman" w:hAnsi="Times New Roman" w:cs="Times New Roman"/>
          <w:sz w:val="24"/>
          <w:szCs w:val="24"/>
        </w:rPr>
      </w:pPr>
    </w:p>
    <w:p w:rsidRPr="00463949" w:rsidR="000E60EB" w:rsidP="00D045E0" w:rsidRDefault="00093977" w14:paraId="7418E90B" w14:textId="0D53A732">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Net als onder</w:t>
      </w:r>
      <w:r w:rsidRPr="00463949" w:rsidR="00B14E70">
        <w:rPr>
          <w:rFonts w:ascii="Times New Roman" w:hAnsi="Times New Roman" w:cs="Times New Roman"/>
          <w:sz w:val="24"/>
          <w:szCs w:val="24"/>
        </w:rPr>
        <w:t xml:space="preserve"> Richtlijn 85/374</w:t>
      </w:r>
      <w:r w:rsidRPr="00463949" w:rsidR="005D0658">
        <w:rPr>
          <w:rFonts w:ascii="Times New Roman" w:hAnsi="Times New Roman" w:cs="Times New Roman"/>
          <w:sz w:val="24"/>
          <w:szCs w:val="24"/>
        </w:rPr>
        <w:t xml:space="preserve">, </w:t>
      </w:r>
      <w:r w:rsidRPr="00463949">
        <w:rPr>
          <w:rFonts w:ascii="Times New Roman" w:hAnsi="Times New Roman" w:cs="Times New Roman"/>
          <w:sz w:val="24"/>
          <w:szCs w:val="24"/>
        </w:rPr>
        <w:t xml:space="preserve">zullen niet </w:t>
      </w:r>
      <w:r w:rsidRPr="00463949" w:rsidR="00B20E9B">
        <w:rPr>
          <w:rFonts w:ascii="Times New Roman" w:hAnsi="Times New Roman" w:cs="Times New Roman"/>
          <w:sz w:val="24"/>
          <w:szCs w:val="24"/>
        </w:rPr>
        <w:t xml:space="preserve">alle </w:t>
      </w:r>
      <w:r w:rsidRPr="00463949" w:rsidR="0004611A">
        <w:rPr>
          <w:rFonts w:ascii="Times New Roman" w:hAnsi="Times New Roman" w:cs="Times New Roman"/>
          <w:sz w:val="24"/>
          <w:szCs w:val="24"/>
        </w:rPr>
        <w:t>aansprakelijkheids</w:t>
      </w:r>
      <w:r w:rsidRPr="00463949" w:rsidR="00B20E9B">
        <w:rPr>
          <w:rFonts w:ascii="Times New Roman" w:hAnsi="Times New Roman" w:cs="Times New Roman"/>
          <w:sz w:val="24"/>
          <w:szCs w:val="24"/>
        </w:rPr>
        <w:t>risico</w:t>
      </w:r>
      <w:r w:rsidRPr="00463949">
        <w:rPr>
          <w:rFonts w:ascii="Times New Roman" w:hAnsi="Times New Roman" w:cs="Times New Roman"/>
          <w:sz w:val="24"/>
          <w:szCs w:val="24"/>
        </w:rPr>
        <w:t>’</w:t>
      </w:r>
      <w:r w:rsidRPr="00463949" w:rsidR="00B20E9B">
        <w:rPr>
          <w:rFonts w:ascii="Times New Roman" w:hAnsi="Times New Roman" w:cs="Times New Roman"/>
          <w:sz w:val="24"/>
          <w:szCs w:val="24"/>
        </w:rPr>
        <w:t>s</w:t>
      </w:r>
      <w:r w:rsidRPr="00463949" w:rsidR="001609B8">
        <w:rPr>
          <w:rFonts w:ascii="Times New Roman" w:hAnsi="Times New Roman" w:cs="Times New Roman"/>
          <w:sz w:val="24"/>
          <w:szCs w:val="24"/>
        </w:rPr>
        <w:t xml:space="preserve"> </w:t>
      </w:r>
      <w:r w:rsidRPr="00463949" w:rsidR="001617FA">
        <w:rPr>
          <w:rFonts w:ascii="Times New Roman" w:hAnsi="Times New Roman" w:cs="Times New Roman"/>
          <w:sz w:val="24"/>
          <w:szCs w:val="24"/>
        </w:rPr>
        <w:t xml:space="preserve">(volledig) </w:t>
      </w:r>
      <w:r w:rsidRPr="00463949" w:rsidR="00B20E9B">
        <w:rPr>
          <w:rFonts w:ascii="Times New Roman" w:hAnsi="Times New Roman" w:cs="Times New Roman"/>
          <w:sz w:val="24"/>
          <w:szCs w:val="24"/>
        </w:rPr>
        <w:t>verzekerd kunnen worden.</w:t>
      </w:r>
      <w:r w:rsidRPr="00463949">
        <w:rPr>
          <w:rFonts w:ascii="Times New Roman" w:hAnsi="Times New Roman" w:cs="Times New Roman"/>
          <w:sz w:val="24"/>
          <w:szCs w:val="24"/>
        </w:rPr>
        <w:t xml:space="preserve"> </w:t>
      </w:r>
      <w:r w:rsidRPr="00463949" w:rsidR="00B20E9B">
        <w:rPr>
          <w:rFonts w:ascii="Times New Roman" w:hAnsi="Times New Roman" w:cs="Times New Roman"/>
          <w:sz w:val="24"/>
          <w:szCs w:val="24"/>
        </w:rPr>
        <w:t xml:space="preserve">Met de Richtlijn is beoogd een balans </w:t>
      </w:r>
      <w:r w:rsidRPr="00463949" w:rsidR="003A274D">
        <w:rPr>
          <w:rFonts w:ascii="Times New Roman" w:hAnsi="Times New Roman" w:cs="Times New Roman"/>
          <w:sz w:val="24"/>
          <w:szCs w:val="24"/>
        </w:rPr>
        <w:t>t</w:t>
      </w:r>
      <w:r w:rsidRPr="00463949" w:rsidR="00B20E9B">
        <w:rPr>
          <w:rFonts w:ascii="Times New Roman" w:hAnsi="Times New Roman" w:cs="Times New Roman"/>
          <w:sz w:val="24"/>
          <w:szCs w:val="24"/>
        </w:rPr>
        <w:t>e vinden tussen een hoog niveau van consumentenbescherming en de belangen van het bedrijfsleven en innovatie. Wanneer de risico’s als gevolg van bepaalde (nieuwe</w:t>
      </w:r>
      <w:r w:rsidRPr="00463949" w:rsidR="0004611A">
        <w:rPr>
          <w:rFonts w:ascii="Times New Roman" w:hAnsi="Times New Roman" w:cs="Times New Roman"/>
          <w:sz w:val="24"/>
          <w:szCs w:val="24"/>
        </w:rPr>
        <w:t>, innovatieve</w:t>
      </w:r>
      <w:r w:rsidRPr="00463949" w:rsidR="00B20E9B">
        <w:rPr>
          <w:rFonts w:ascii="Times New Roman" w:hAnsi="Times New Roman" w:cs="Times New Roman"/>
          <w:sz w:val="24"/>
          <w:szCs w:val="24"/>
        </w:rPr>
        <w:t>) producten</w:t>
      </w:r>
      <w:r w:rsidRPr="00463949" w:rsidR="0004611A">
        <w:rPr>
          <w:rFonts w:ascii="Times New Roman" w:hAnsi="Times New Roman" w:cs="Times New Roman"/>
          <w:sz w:val="24"/>
          <w:szCs w:val="24"/>
        </w:rPr>
        <w:t xml:space="preserve"> door verzekeraars</w:t>
      </w:r>
      <w:r w:rsidRPr="00463949" w:rsidR="00B20E9B">
        <w:rPr>
          <w:rFonts w:ascii="Times New Roman" w:hAnsi="Times New Roman" w:cs="Times New Roman"/>
          <w:sz w:val="24"/>
          <w:szCs w:val="24"/>
        </w:rPr>
        <w:t xml:space="preserve"> dermate hoog worden ingeschat dat deze</w:t>
      </w:r>
      <w:r w:rsidRPr="00463949" w:rsidR="00EC1360">
        <w:rPr>
          <w:rFonts w:ascii="Times New Roman" w:hAnsi="Times New Roman" w:cs="Times New Roman"/>
          <w:sz w:val="24"/>
          <w:szCs w:val="24"/>
        </w:rPr>
        <w:t xml:space="preserve"> </w:t>
      </w:r>
      <w:r w:rsidRPr="00463949" w:rsidR="001617FA">
        <w:rPr>
          <w:rFonts w:ascii="Times New Roman" w:hAnsi="Times New Roman" w:cs="Times New Roman"/>
          <w:sz w:val="24"/>
          <w:szCs w:val="24"/>
        </w:rPr>
        <w:t xml:space="preserve">slechts beperkt of </w:t>
      </w:r>
      <w:r w:rsidRPr="00463949" w:rsidR="003A274D">
        <w:rPr>
          <w:rFonts w:ascii="Times New Roman" w:hAnsi="Times New Roman" w:cs="Times New Roman"/>
          <w:sz w:val="24"/>
          <w:szCs w:val="24"/>
        </w:rPr>
        <w:t xml:space="preserve">niet </w:t>
      </w:r>
      <w:r w:rsidRPr="00463949" w:rsidR="00EC1360">
        <w:rPr>
          <w:rFonts w:ascii="Times New Roman" w:hAnsi="Times New Roman" w:cs="Times New Roman"/>
          <w:sz w:val="24"/>
          <w:szCs w:val="24"/>
        </w:rPr>
        <w:t>verzekerbaar zijn</w:t>
      </w:r>
      <w:r w:rsidRPr="00463949" w:rsidR="00B20E9B">
        <w:rPr>
          <w:rFonts w:ascii="Times New Roman" w:hAnsi="Times New Roman" w:cs="Times New Roman"/>
          <w:sz w:val="24"/>
          <w:szCs w:val="24"/>
        </w:rPr>
        <w:t>, ligt daarin een</w:t>
      </w:r>
      <w:r w:rsidRPr="00463949" w:rsidR="001617FA">
        <w:rPr>
          <w:rFonts w:ascii="Times New Roman" w:hAnsi="Times New Roman" w:cs="Times New Roman"/>
          <w:sz w:val="24"/>
          <w:szCs w:val="24"/>
        </w:rPr>
        <w:t xml:space="preserve"> </w:t>
      </w:r>
      <w:r w:rsidRPr="00463949" w:rsidR="00B20E9B">
        <w:rPr>
          <w:rFonts w:ascii="Times New Roman" w:hAnsi="Times New Roman" w:cs="Times New Roman"/>
          <w:sz w:val="24"/>
          <w:szCs w:val="24"/>
        </w:rPr>
        <w:t>begrenzing</w:t>
      </w:r>
      <w:r w:rsidRPr="00463949" w:rsidR="0004611A">
        <w:rPr>
          <w:rFonts w:ascii="Times New Roman" w:hAnsi="Times New Roman" w:cs="Times New Roman"/>
          <w:sz w:val="24"/>
          <w:szCs w:val="24"/>
        </w:rPr>
        <w:t xml:space="preserve"> van </w:t>
      </w:r>
      <w:r w:rsidRPr="00463949">
        <w:rPr>
          <w:rFonts w:ascii="Times New Roman" w:hAnsi="Times New Roman" w:cs="Times New Roman"/>
          <w:sz w:val="24"/>
          <w:szCs w:val="24"/>
        </w:rPr>
        <w:t xml:space="preserve">de </w:t>
      </w:r>
      <w:r w:rsidRPr="00463949" w:rsidR="0004611A">
        <w:rPr>
          <w:rFonts w:ascii="Times New Roman" w:hAnsi="Times New Roman" w:cs="Times New Roman"/>
          <w:sz w:val="24"/>
          <w:szCs w:val="24"/>
        </w:rPr>
        <w:t>innovatie</w:t>
      </w:r>
      <w:r w:rsidRPr="00463949" w:rsidR="00BC1D37">
        <w:rPr>
          <w:rFonts w:ascii="Times New Roman" w:hAnsi="Times New Roman" w:cs="Times New Roman"/>
          <w:sz w:val="24"/>
          <w:szCs w:val="24"/>
        </w:rPr>
        <w:t xml:space="preserve"> met het oog op de </w:t>
      </w:r>
      <w:r w:rsidRPr="00463949" w:rsidR="001609B8">
        <w:rPr>
          <w:rFonts w:ascii="Times New Roman" w:hAnsi="Times New Roman" w:cs="Times New Roman"/>
          <w:sz w:val="24"/>
          <w:szCs w:val="24"/>
        </w:rPr>
        <w:t>gezondheid</w:t>
      </w:r>
      <w:r w:rsidRPr="00463949">
        <w:rPr>
          <w:rFonts w:ascii="Times New Roman" w:hAnsi="Times New Roman" w:cs="Times New Roman"/>
          <w:sz w:val="24"/>
          <w:szCs w:val="24"/>
        </w:rPr>
        <w:t xml:space="preserve"> en veiligheid</w:t>
      </w:r>
      <w:r w:rsidRPr="00463949" w:rsidR="001609B8">
        <w:rPr>
          <w:rFonts w:ascii="Times New Roman" w:hAnsi="Times New Roman" w:cs="Times New Roman"/>
          <w:sz w:val="24"/>
          <w:szCs w:val="24"/>
        </w:rPr>
        <w:t xml:space="preserve"> van natuurlijke personen</w:t>
      </w:r>
      <w:r w:rsidRPr="00463949" w:rsidR="00B20E9B">
        <w:rPr>
          <w:rFonts w:ascii="Times New Roman" w:hAnsi="Times New Roman" w:cs="Times New Roman"/>
          <w:sz w:val="24"/>
          <w:szCs w:val="24"/>
        </w:rPr>
        <w:t>.</w:t>
      </w:r>
      <w:r w:rsidRPr="00463949" w:rsidR="00AC5B99">
        <w:rPr>
          <w:rFonts w:ascii="Times New Roman" w:hAnsi="Times New Roman" w:cs="Times New Roman"/>
          <w:sz w:val="24"/>
          <w:szCs w:val="24"/>
        </w:rPr>
        <w:t xml:space="preserve"> </w:t>
      </w:r>
      <w:r w:rsidRPr="00463949" w:rsidR="003232DF">
        <w:rPr>
          <w:rFonts w:ascii="Times New Roman" w:hAnsi="Times New Roman" w:cs="Times New Roman"/>
          <w:sz w:val="24"/>
          <w:szCs w:val="24"/>
        </w:rPr>
        <w:t>M</w:t>
      </w:r>
      <w:r w:rsidRPr="00463949" w:rsidR="00987926">
        <w:rPr>
          <w:rFonts w:ascii="Times New Roman" w:hAnsi="Times New Roman" w:cs="Times New Roman"/>
          <w:sz w:val="24"/>
          <w:szCs w:val="24"/>
        </w:rPr>
        <w:t>arktdeelnemers zonder aansprakelijkheidsverzekering</w:t>
      </w:r>
      <w:r w:rsidRPr="00463949" w:rsidR="001F4691">
        <w:rPr>
          <w:rFonts w:ascii="Times New Roman" w:hAnsi="Times New Roman" w:cs="Times New Roman"/>
          <w:sz w:val="24"/>
          <w:szCs w:val="24"/>
        </w:rPr>
        <w:t xml:space="preserve"> (dit is een minderheid)</w:t>
      </w:r>
      <w:r w:rsidRPr="00463949" w:rsidR="00975035">
        <w:rPr>
          <w:rStyle w:val="Voetnootmarkering"/>
          <w:rFonts w:ascii="Times New Roman" w:hAnsi="Times New Roman" w:cs="Times New Roman"/>
          <w:sz w:val="24"/>
          <w:szCs w:val="24"/>
        </w:rPr>
        <w:footnoteReference w:id="43"/>
      </w:r>
      <w:r w:rsidRPr="00463949" w:rsidR="00DC24BA">
        <w:rPr>
          <w:rFonts w:ascii="Times New Roman" w:hAnsi="Times New Roman" w:cs="Times New Roman"/>
          <w:sz w:val="24"/>
          <w:szCs w:val="24"/>
        </w:rPr>
        <w:t xml:space="preserve"> </w:t>
      </w:r>
      <w:r w:rsidRPr="00463949" w:rsidR="00987926">
        <w:rPr>
          <w:rFonts w:ascii="Times New Roman" w:hAnsi="Times New Roman" w:cs="Times New Roman"/>
          <w:sz w:val="24"/>
          <w:szCs w:val="24"/>
        </w:rPr>
        <w:t xml:space="preserve">kunnen </w:t>
      </w:r>
      <w:r w:rsidRPr="00463949" w:rsidR="00715E55">
        <w:rPr>
          <w:rFonts w:ascii="Times New Roman" w:hAnsi="Times New Roman" w:cs="Times New Roman"/>
          <w:sz w:val="24"/>
          <w:szCs w:val="24"/>
        </w:rPr>
        <w:t xml:space="preserve">worden </w:t>
      </w:r>
      <w:r w:rsidRPr="00463949" w:rsidR="00987926">
        <w:rPr>
          <w:rFonts w:ascii="Times New Roman" w:hAnsi="Times New Roman" w:cs="Times New Roman"/>
          <w:sz w:val="24"/>
          <w:szCs w:val="24"/>
        </w:rPr>
        <w:t>geconfronteerd met</w:t>
      </w:r>
      <w:r w:rsidRPr="00463949" w:rsidR="002E4A52">
        <w:rPr>
          <w:rFonts w:ascii="Times New Roman" w:hAnsi="Times New Roman" w:cs="Times New Roman"/>
          <w:sz w:val="24"/>
          <w:szCs w:val="24"/>
        </w:rPr>
        <w:t xml:space="preserve"> directe schadevergoedingskosten en juridische kosten als </w:t>
      </w:r>
      <w:r w:rsidRPr="00463949" w:rsidR="002E4A52">
        <w:rPr>
          <w:rFonts w:ascii="Times New Roman" w:hAnsi="Times New Roman" w:cs="Times New Roman"/>
          <w:sz w:val="24"/>
          <w:szCs w:val="24"/>
        </w:rPr>
        <w:lastRenderedPageBreak/>
        <w:t>de zaak voor de rechter komt.</w:t>
      </w:r>
      <w:r w:rsidRPr="00463949" w:rsidR="00715E55">
        <w:rPr>
          <w:rStyle w:val="Voetnootmarkering"/>
          <w:rFonts w:ascii="Times New Roman" w:hAnsi="Times New Roman" w:cs="Times New Roman"/>
          <w:sz w:val="24"/>
          <w:szCs w:val="24"/>
        </w:rPr>
        <w:footnoteReference w:id="44"/>
      </w:r>
      <w:r w:rsidRPr="00463949" w:rsidR="009E0A8E">
        <w:rPr>
          <w:rFonts w:ascii="Times New Roman" w:hAnsi="Times New Roman" w:cs="Times New Roman"/>
          <w:sz w:val="24"/>
          <w:szCs w:val="24"/>
        </w:rPr>
        <w:t xml:space="preserve"> Door het ruimere toepassingsbereik </w:t>
      </w:r>
      <w:r w:rsidRPr="00463949" w:rsidR="007A4FE0">
        <w:rPr>
          <w:rFonts w:ascii="Times New Roman" w:hAnsi="Times New Roman" w:cs="Times New Roman"/>
          <w:sz w:val="24"/>
          <w:szCs w:val="24"/>
        </w:rPr>
        <w:t xml:space="preserve">van de productaansprakelijkheidsregeling </w:t>
      </w:r>
      <w:r w:rsidRPr="00463949" w:rsidR="009E0A8E">
        <w:rPr>
          <w:rFonts w:ascii="Times New Roman" w:hAnsi="Times New Roman" w:cs="Times New Roman"/>
          <w:sz w:val="24"/>
          <w:szCs w:val="24"/>
        </w:rPr>
        <w:t>kunnen die kosten hoger zijn dan nu het geval is.</w:t>
      </w:r>
    </w:p>
    <w:p w:rsidRPr="00463949" w:rsidR="002E4A52" w:rsidP="00D045E0" w:rsidRDefault="002E4A52" w14:paraId="540C1715" w14:textId="77777777">
      <w:pPr>
        <w:spacing w:after="0" w:line="276" w:lineRule="auto"/>
        <w:rPr>
          <w:rFonts w:ascii="Times New Roman" w:hAnsi="Times New Roman" w:cs="Times New Roman"/>
          <w:sz w:val="24"/>
          <w:szCs w:val="24"/>
        </w:rPr>
      </w:pPr>
    </w:p>
    <w:p w:rsidRPr="00463949" w:rsidR="000E60EB" w:rsidP="00D045E0" w:rsidRDefault="000E60EB" w14:paraId="7F6DABF6" w14:textId="3C6C6A9D">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R</w:t>
      </w:r>
      <w:r w:rsidRPr="00463949" w:rsidR="003C5524">
        <w:rPr>
          <w:rFonts w:ascii="Times New Roman" w:hAnsi="Times New Roman" w:cs="Times New Roman"/>
          <w:i/>
          <w:iCs/>
          <w:sz w:val="24"/>
          <w:szCs w:val="24"/>
        </w:rPr>
        <w:t>aad voor de r</w:t>
      </w:r>
      <w:r w:rsidRPr="00463949">
        <w:rPr>
          <w:rFonts w:ascii="Times New Roman" w:hAnsi="Times New Roman" w:cs="Times New Roman"/>
          <w:i/>
          <w:iCs/>
          <w:sz w:val="24"/>
          <w:szCs w:val="24"/>
        </w:rPr>
        <w:t>echtspraak</w:t>
      </w:r>
    </w:p>
    <w:p w:rsidRPr="00463949" w:rsidR="00100EC6" w:rsidP="00D045E0" w:rsidRDefault="000E60EB" w14:paraId="10271E2A" w14:textId="5B205BA4">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Het voldoen aan de hiervoor genoemde verplichting tot het publiceren van onherroepelijke uitspraken van gerechtshoven en de Hoge Raad heeft geen financiële gevolgen voor de gerechten. </w:t>
      </w:r>
      <w:r w:rsidRPr="00463949" w:rsidR="00576AC2">
        <w:rPr>
          <w:rFonts w:ascii="Times New Roman" w:hAnsi="Times New Roman" w:cs="Times New Roman"/>
          <w:sz w:val="24"/>
          <w:szCs w:val="24"/>
        </w:rPr>
        <w:t>Het beleid van de rechtspraak, zoals neergelegd in het Besluit selectiecriteria uitsprakendatabank Rechtspraak.nl, is dat nagenoeg alle uitspraken van gerechtshoven en de Hoge Raad worden gepubliceerd. Daarnaast is in artikel 4 van dit besluit bepaald dat uitspraken over productaansprakelijkheid altijd worden gepubliceerd. D</w:t>
      </w:r>
      <w:r w:rsidRPr="00463949" w:rsidR="00B84BEC">
        <w:rPr>
          <w:rFonts w:ascii="Times New Roman" w:hAnsi="Times New Roman" w:cs="Times New Roman"/>
          <w:sz w:val="24"/>
          <w:szCs w:val="24"/>
        </w:rPr>
        <w:t>eze</w:t>
      </w:r>
      <w:r w:rsidRPr="00463949" w:rsidR="00576AC2">
        <w:rPr>
          <w:rFonts w:ascii="Times New Roman" w:hAnsi="Times New Roman" w:cs="Times New Roman"/>
          <w:sz w:val="24"/>
          <w:szCs w:val="24"/>
        </w:rPr>
        <w:t xml:space="preserve"> publicatie vormt een onderdeel van de rechterlijke taken</w:t>
      </w:r>
      <w:r w:rsidRPr="00463949" w:rsidR="00B84BEC">
        <w:rPr>
          <w:rFonts w:ascii="Times New Roman" w:hAnsi="Times New Roman" w:cs="Times New Roman"/>
          <w:sz w:val="24"/>
          <w:szCs w:val="24"/>
        </w:rPr>
        <w:t xml:space="preserve"> </w:t>
      </w:r>
      <w:r w:rsidRPr="00463949" w:rsidR="00576AC2">
        <w:rPr>
          <w:rFonts w:ascii="Times New Roman" w:hAnsi="Times New Roman" w:cs="Times New Roman"/>
          <w:sz w:val="24"/>
          <w:szCs w:val="24"/>
        </w:rPr>
        <w:t>waarvoor middelen zijn toegekend.</w:t>
      </w:r>
    </w:p>
    <w:p w:rsidRPr="00463949" w:rsidR="00374DB2" w:rsidP="00D045E0" w:rsidRDefault="00374DB2" w14:paraId="40A6D403" w14:textId="77777777">
      <w:pPr>
        <w:spacing w:after="0" w:line="276" w:lineRule="auto"/>
        <w:rPr>
          <w:rFonts w:ascii="Times New Roman" w:hAnsi="Times New Roman" w:cs="Times New Roman"/>
          <w:sz w:val="24"/>
          <w:szCs w:val="24"/>
        </w:rPr>
      </w:pPr>
    </w:p>
    <w:p w:rsidRPr="00463949" w:rsidR="00100EC6" w:rsidP="00D045E0" w:rsidRDefault="00100EC6" w14:paraId="360721CE" w14:textId="223E4472">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Rijksoverheid</w:t>
      </w:r>
    </w:p>
    <w:p w:rsidRPr="00463949" w:rsidR="00100EC6" w:rsidP="00D045E0" w:rsidRDefault="00100EC6" w14:paraId="7C06979D" w14:textId="6B2635F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Dit wetsvoorstel heeft geen gevolgen voor de Rijksbegroting.</w:t>
      </w:r>
    </w:p>
    <w:p w:rsidRPr="00463949" w:rsidR="00281C24" w:rsidP="00281C24" w:rsidRDefault="00281C24" w14:paraId="1724416B" w14:textId="77777777">
      <w:pPr>
        <w:spacing w:after="0"/>
        <w:rPr>
          <w:rFonts w:ascii="Times New Roman" w:hAnsi="Times New Roman" w:cs="Times New Roman"/>
          <w:sz w:val="24"/>
          <w:szCs w:val="24"/>
        </w:rPr>
      </w:pPr>
    </w:p>
    <w:p w:rsidRPr="00463949" w:rsidR="00440B94" w:rsidP="00D045E0" w:rsidRDefault="00CD211B" w14:paraId="478BC6A6" w14:textId="1BC8BB2D">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 xml:space="preserve">6. </w:t>
      </w:r>
      <w:r w:rsidRPr="00463949" w:rsidR="00440B94">
        <w:rPr>
          <w:rFonts w:ascii="Times New Roman" w:hAnsi="Times New Roman" w:cs="Times New Roman"/>
          <w:b/>
          <w:bCs/>
          <w:sz w:val="24"/>
          <w:szCs w:val="24"/>
        </w:rPr>
        <w:t>Advies en consultatie</w:t>
      </w:r>
    </w:p>
    <w:p w:rsidRPr="00463949" w:rsidR="00440B94" w:rsidP="00D045E0" w:rsidRDefault="00440B94" w14:paraId="2B90EE72" w14:textId="77777777">
      <w:pPr>
        <w:spacing w:after="0" w:line="276" w:lineRule="auto"/>
        <w:rPr>
          <w:rFonts w:ascii="Times New Roman" w:hAnsi="Times New Roman" w:cs="Times New Roman"/>
          <w:sz w:val="24"/>
          <w:szCs w:val="24"/>
        </w:rPr>
      </w:pPr>
    </w:p>
    <w:p w:rsidRPr="00463949" w:rsidR="00440B94" w:rsidP="00D045E0" w:rsidRDefault="00D45B5B" w14:paraId="2B5ED264" w14:textId="264A8C8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Het wetsvoorstel is van </w:t>
      </w:r>
      <w:r w:rsidRPr="00463949" w:rsidR="00301C6A">
        <w:rPr>
          <w:rFonts w:ascii="Times New Roman" w:hAnsi="Times New Roman" w:cs="Times New Roman"/>
          <w:sz w:val="24"/>
          <w:szCs w:val="24"/>
        </w:rPr>
        <w:t>24 april 2025 tot en met 22 mei 2025</w:t>
      </w:r>
      <w:r w:rsidRPr="00463949" w:rsidR="000026FE">
        <w:rPr>
          <w:rFonts w:ascii="Times New Roman" w:hAnsi="Times New Roman" w:cs="Times New Roman"/>
          <w:sz w:val="24"/>
          <w:szCs w:val="24"/>
        </w:rPr>
        <w:t xml:space="preserve"> in internetconsultatie geweest</w:t>
      </w:r>
      <w:r w:rsidRPr="00463949" w:rsidR="00301C6A">
        <w:rPr>
          <w:rFonts w:ascii="Times New Roman" w:hAnsi="Times New Roman" w:cs="Times New Roman"/>
          <w:sz w:val="24"/>
          <w:szCs w:val="24"/>
        </w:rPr>
        <w:t>.</w:t>
      </w:r>
      <w:r w:rsidRPr="00463949" w:rsidR="000026FE">
        <w:rPr>
          <w:rFonts w:ascii="Times New Roman" w:hAnsi="Times New Roman" w:cs="Times New Roman"/>
          <w:sz w:val="24"/>
          <w:szCs w:val="24"/>
        </w:rPr>
        <w:t xml:space="preserve"> Daarop zijn in totaal tien openbaar raadpleegbare reacties binnengekomen, voornamelijk van betrokken belangenorganisaties. </w:t>
      </w:r>
      <w:r w:rsidRPr="00463949">
        <w:rPr>
          <w:rFonts w:ascii="Times New Roman" w:hAnsi="Times New Roman" w:cs="Times New Roman"/>
          <w:sz w:val="24"/>
          <w:szCs w:val="24"/>
        </w:rPr>
        <w:t>Daarnaast is een aantal organisatie</w:t>
      </w:r>
      <w:r w:rsidRPr="00463949" w:rsidR="000026FE">
        <w:rPr>
          <w:rFonts w:ascii="Times New Roman" w:hAnsi="Times New Roman" w:cs="Times New Roman"/>
          <w:sz w:val="24"/>
          <w:szCs w:val="24"/>
        </w:rPr>
        <w:t>s</w:t>
      </w:r>
      <w:r w:rsidRPr="00463949">
        <w:rPr>
          <w:rFonts w:ascii="Times New Roman" w:hAnsi="Times New Roman" w:cs="Times New Roman"/>
          <w:sz w:val="24"/>
          <w:szCs w:val="24"/>
        </w:rPr>
        <w:t xml:space="preserve"> aangeschreven met het verzoek om een reactie of advies. </w:t>
      </w:r>
      <w:r w:rsidRPr="00463949" w:rsidR="00645A9B">
        <w:rPr>
          <w:rFonts w:ascii="Times New Roman" w:hAnsi="Times New Roman" w:cs="Times New Roman"/>
          <w:sz w:val="24"/>
          <w:szCs w:val="24"/>
        </w:rPr>
        <w:t>D</w:t>
      </w:r>
      <w:r w:rsidRPr="00463949" w:rsidR="005663D4">
        <w:rPr>
          <w:rFonts w:ascii="Times New Roman" w:hAnsi="Times New Roman" w:cs="Times New Roman"/>
          <w:sz w:val="24"/>
          <w:szCs w:val="24"/>
        </w:rPr>
        <w:t>it betreft onder meer d</w:t>
      </w:r>
      <w:r w:rsidRPr="00463949" w:rsidR="00645A9B">
        <w:rPr>
          <w:rFonts w:ascii="Times New Roman" w:hAnsi="Times New Roman" w:cs="Times New Roman"/>
          <w:sz w:val="24"/>
          <w:szCs w:val="24"/>
        </w:rPr>
        <w:t xml:space="preserve">e Raad voor de rechtspraak (Rvdr), </w:t>
      </w:r>
      <w:r w:rsidRPr="00463949" w:rsidR="000026FE">
        <w:rPr>
          <w:rFonts w:ascii="Times New Roman" w:hAnsi="Times New Roman" w:cs="Times New Roman"/>
          <w:sz w:val="24"/>
          <w:szCs w:val="24"/>
        </w:rPr>
        <w:t>d</w:t>
      </w:r>
      <w:r w:rsidRPr="00463949" w:rsidR="00645A9B">
        <w:rPr>
          <w:rFonts w:ascii="Times New Roman" w:hAnsi="Times New Roman" w:cs="Times New Roman"/>
          <w:sz w:val="24"/>
          <w:szCs w:val="24"/>
        </w:rPr>
        <w:t xml:space="preserve">e Nederlandse </w:t>
      </w:r>
      <w:r w:rsidRPr="00463949" w:rsidR="002C59D8">
        <w:rPr>
          <w:rFonts w:ascii="Times New Roman" w:hAnsi="Times New Roman" w:cs="Times New Roman"/>
          <w:sz w:val="24"/>
          <w:szCs w:val="24"/>
        </w:rPr>
        <w:t>O</w:t>
      </w:r>
      <w:r w:rsidRPr="00463949" w:rsidR="00645A9B">
        <w:rPr>
          <w:rFonts w:ascii="Times New Roman" w:hAnsi="Times New Roman" w:cs="Times New Roman"/>
          <w:sz w:val="24"/>
          <w:szCs w:val="24"/>
        </w:rPr>
        <w:t xml:space="preserve">rde van </w:t>
      </w:r>
      <w:r w:rsidRPr="00463949" w:rsidR="000026FE">
        <w:rPr>
          <w:rFonts w:ascii="Times New Roman" w:hAnsi="Times New Roman" w:cs="Times New Roman"/>
          <w:sz w:val="24"/>
          <w:szCs w:val="24"/>
        </w:rPr>
        <w:t>a</w:t>
      </w:r>
      <w:r w:rsidRPr="00463949" w:rsidR="00645A9B">
        <w:rPr>
          <w:rFonts w:ascii="Times New Roman" w:hAnsi="Times New Roman" w:cs="Times New Roman"/>
          <w:sz w:val="24"/>
          <w:szCs w:val="24"/>
        </w:rPr>
        <w:t>dvocaten (NOvA) en het Verbond van Verzekeraars</w:t>
      </w:r>
      <w:r w:rsidRPr="00463949" w:rsidR="002F65F8">
        <w:rPr>
          <w:rFonts w:ascii="Times New Roman" w:hAnsi="Times New Roman" w:cs="Times New Roman"/>
          <w:sz w:val="24"/>
          <w:szCs w:val="24"/>
        </w:rPr>
        <w:t xml:space="preserve"> (Verbond)</w:t>
      </w:r>
      <w:r w:rsidRPr="00463949" w:rsidR="00645A9B">
        <w:rPr>
          <w:rFonts w:ascii="Times New Roman" w:hAnsi="Times New Roman" w:cs="Times New Roman"/>
          <w:sz w:val="24"/>
          <w:szCs w:val="24"/>
        </w:rPr>
        <w:t xml:space="preserve">. </w:t>
      </w:r>
      <w:r w:rsidRPr="00463949" w:rsidR="00956FE0">
        <w:rPr>
          <w:rFonts w:ascii="Times New Roman" w:hAnsi="Times New Roman" w:cs="Times New Roman"/>
          <w:sz w:val="24"/>
          <w:szCs w:val="24"/>
        </w:rPr>
        <w:t>De Rvdr h</w:t>
      </w:r>
      <w:r w:rsidRPr="00463949" w:rsidR="00B16CAD">
        <w:rPr>
          <w:rFonts w:ascii="Times New Roman" w:hAnsi="Times New Roman" w:cs="Times New Roman"/>
          <w:sz w:val="24"/>
          <w:szCs w:val="24"/>
        </w:rPr>
        <w:t>eeft</w:t>
      </w:r>
      <w:r w:rsidRPr="00463949" w:rsidR="00956FE0">
        <w:rPr>
          <w:rFonts w:ascii="Times New Roman" w:hAnsi="Times New Roman" w:cs="Times New Roman"/>
          <w:sz w:val="24"/>
          <w:szCs w:val="24"/>
        </w:rPr>
        <w:t xml:space="preserve"> geen inhoudelijke opmerkingen bij het wetsvoorstel</w:t>
      </w:r>
      <w:r w:rsidRPr="00463949" w:rsidR="000A5AE7">
        <w:rPr>
          <w:rFonts w:ascii="Times New Roman" w:hAnsi="Times New Roman" w:cs="Times New Roman"/>
          <w:sz w:val="24"/>
          <w:szCs w:val="24"/>
        </w:rPr>
        <w:t xml:space="preserve">. </w:t>
      </w:r>
      <w:r w:rsidRPr="00463949" w:rsidR="002F65F8">
        <w:rPr>
          <w:rFonts w:ascii="Times New Roman" w:hAnsi="Times New Roman" w:cs="Times New Roman"/>
          <w:sz w:val="24"/>
          <w:szCs w:val="24"/>
        </w:rPr>
        <w:t xml:space="preserve">De Rvdr heeft </w:t>
      </w:r>
      <w:r w:rsidRPr="00463949" w:rsidR="00F6022C">
        <w:rPr>
          <w:rFonts w:ascii="Times New Roman" w:hAnsi="Times New Roman" w:cs="Times New Roman"/>
          <w:sz w:val="24"/>
          <w:szCs w:val="24"/>
        </w:rPr>
        <w:t xml:space="preserve">verder laten weten dat </w:t>
      </w:r>
      <w:r w:rsidRPr="00463949" w:rsidR="0003246A">
        <w:rPr>
          <w:rFonts w:ascii="Times New Roman" w:hAnsi="Times New Roman" w:cs="Times New Roman"/>
          <w:sz w:val="24"/>
          <w:szCs w:val="24"/>
        </w:rPr>
        <w:t xml:space="preserve">het voorstel </w:t>
      </w:r>
      <w:r w:rsidRPr="00463949" w:rsidR="00956FE0">
        <w:rPr>
          <w:rFonts w:ascii="Times New Roman" w:hAnsi="Times New Roman" w:cs="Times New Roman"/>
          <w:sz w:val="24"/>
          <w:szCs w:val="24"/>
        </w:rPr>
        <w:t>naar verwachting</w:t>
      </w:r>
      <w:r w:rsidRPr="00463949" w:rsidR="008D260F">
        <w:rPr>
          <w:rFonts w:ascii="Times New Roman" w:hAnsi="Times New Roman" w:cs="Times New Roman"/>
          <w:sz w:val="24"/>
          <w:szCs w:val="24"/>
        </w:rPr>
        <w:t xml:space="preserve"> </w:t>
      </w:r>
      <w:r w:rsidRPr="00463949" w:rsidR="00606BB3">
        <w:rPr>
          <w:rFonts w:ascii="Times New Roman" w:hAnsi="Times New Roman" w:cs="Times New Roman"/>
          <w:sz w:val="24"/>
          <w:szCs w:val="24"/>
        </w:rPr>
        <w:t xml:space="preserve">geen </w:t>
      </w:r>
      <w:r w:rsidRPr="00463949" w:rsidR="00956FE0">
        <w:rPr>
          <w:rFonts w:ascii="Times New Roman" w:hAnsi="Times New Roman" w:cs="Times New Roman"/>
          <w:sz w:val="24"/>
          <w:szCs w:val="24"/>
        </w:rPr>
        <w:t>substantiële werklastgevolgen</w:t>
      </w:r>
      <w:r w:rsidRPr="00463949" w:rsidR="00091629">
        <w:rPr>
          <w:rFonts w:ascii="Times New Roman" w:hAnsi="Times New Roman" w:cs="Times New Roman"/>
          <w:sz w:val="24"/>
          <w:szCs w:val="24"/>
        </w:rPr>
        <w:t xml:space="preserve"> </w:t>
      </w:r>
      <w:r w:rsidRPr="00463949" w:rsidR="002F65F8">
        <w:rPr>
          <w:rFonts w:ascii="Times New Roman" w:hAnsi="Times New Roman" w:cs="Times New Roman"/>
          <w:sz w:val="24"/>
          <w:szCs w:val="24"/>
        </w:rPr>
        <w:t xml:space="preserve">heeft </w:t>
      </w:r>
      <w:r w:rsidRPr="00463949" w:rsidR="00956FE0">
        <w:rPr>
          <w:rFonts w:ascii="Times New Roman" w:hAnsi="Times New Roman" w:cs="Times New Roman"/>
          <w:sz w:val="24"/>
          <w:szCs w:val="24"/>
        </w:rPr>
        <w:t xml:space="preserve">voor de Rechtspraak. </w:t>
      </w:r>
      <w:r w:rsidRPr="00463949" w:rsidR="00BF614D">
        <w:rPr>
          <w:rFonts w:ascii="Times New Roman" w:hAnsi="Times New Roman" w:cs="Times New Roman"/>
          <w:sz w:val="24"/>
          <w:szCs w:val="24"/>
        </w:rPr>
        <w:t xml:space="preserve">Dit is </w:t>
      </w:r>
      <w:r w:rsidRPr="00463949" w:rsidR="00942568">
        <w:rPr>
          <w:rFonts w:ascii="Times New Roman" w:hAnsi="Times New Roman" w:cs="Times New Roman"/>
          <w:sz w:val="24"/>
          <w:szCs w:val="24"/>
        </w:rPr>
        <w:t xml:space="preserve">verwerkt </w:t>
      </w:r>
      <w:r w:rsidRPr="00463949" w:rsidR="00BF614D">
        <w:rPr>
          <w:rFonts w:ascii="Times New Roman" w:hAnsi="Times New Roman" w:cs="Times New Roman"/>
          <w:sz w:val="24"/>
          <w:szCs w:val="24"/>
        </w:rPr>
        <w:t xml:space="preserve">in paragraaf 4 van deze </w:t>
      </w:r>
      <w:r w:rsidRPr="00463949" w:rsidR="003D48EE">
        <w:rPr>
          <w:rFonts w:ascii="Times New Roman" w:hAnsi="Times New Roman" w:cs="Times New Roman"/>
          <w:sz w:val="24"/>
          <w:szCs w:val="24"/>
        </w:rPr>
        <w:t xml:space="preserve">memorie van </w:t>
      </w:r>
      <w:r w:rsidRPr="00463949" w:rsidR="00BF614D">
        <w:rPr>
          <w:rFonts w:ascii="Times New Roman" w:hAnsi="Times New Roman" w:cs="Times New Roman"/>
          <w:sz w:val="24"/>
          <w:szCs w:val="24"/>
        </w:rPr>
        <w:t>toelichting.</w:t>
      </w:r>
      <w:r w:rsidRPr="00463949" w:rsidR="005C7EBA">
        <w:rPr>
          <w:rFonts w:ascii="Times New Roman" w:hAnsi="Times New Roman" w:cs="Times New Roman"/>
          <w:sz w:val="24"/>
          <w:szCs w:val="24"/>
        </w:rPr>
        <w:t xml:space="preserve"> </w:t>
      </w:r>
      <w:r w:rsidRPr="00463949" w:rsidR="00645A9B">
        <w:rPr>
          <w:rFonts w:ascii="Times New Roman" w:hAnsi="Times New Roman" w:cs="Times New Roman"/>
          <w:sz w:val="24"/>
          <w:szCs w:val="24"/>
        </w:rPr>
        <w:t xml:space="preserve">De NOvA </w:t>
      </w:r>
      <w:r w:rsidRPr="00463949" w:rsidR="000A5AE7">
        <w:rPr>
          <w:rFonts w:ascii="Times New Roman" w:hAnsi="Times New Roman" w:cs="Times New Roman"/>
          <w:sz w:val="24"/>
          <w:szCs w:val="24"/>
        </w:rPr>
        <w:t xml:space="preserve">heeft </w:t>
      </w:r>
      <w:r w:rsidRPr="00463949" w:rsidR="00645A9B">
        <w:rPr>
          <w:rFonts w:ascii="Times New Roman" w:hAnsi="Times New Roman" w:cs="Times New Roman"/>
          <w:sz w:val="24"/>
          <w:szCs w:val="24"/>
        </w:rPr>
        <w:t xml:space="preserve">geen opmerkingen bij het wetsvoorstel. </w:t>
      </w:r>
      <w:r w:rsidRPr="00463949" w:rsidR="00956FE0">
        <w:rPr>
          <w:rFonts w:ascii="Times New Roman" w:hAnsi="Times New Roman" w:cs="Times New Roman"/>
          <w:sz w:val="24"/>
          <w:szCs w:val="24"/>
        </w:rPr>
        <w:t xml:space="preserve">Het Verbond </w:t>
      </w:r>
      <w:r w:rsidRPr="00463949" w:rsidR="005D2626">
        <w:rPr>
          <w:rFonts w:ascii="Times New Roman" w:hAnsi="Times New Roman" w:cs="Times New Roman"/>
          <w:sz w:val="24"/>
          <w:szCs w:val="24"/>
        </w:rPr>
        <w:t xml:space="preserve">vraagt aandacht </w:t>
      </w:r>
      <w:r w:rsidRPr="00463949" w:rsidR="001156F5">
        <w:rPr>
          <w:rFonts w:ascii="Times New Roman" w:hAnsi="Times New Roman" w:cs="Times New Roman"/>
          <w:sz w:val="24"/>
          <w:szCs w:val="24"/>
        </w:rPr>
        <w:t xml:space="preserve">voor </w:t>
      </w:r>
      <w:r w:rsidRPr="00463949" w:rsidR="00606BB3">
        <w:rPr>
          <w:rFonts w:ascii="Times New Roman" w:hAnsi="Times New Roman" w:cs="Times New Roman"/>
          <w:sz w:val="24"/>
          <w:szCs w:val="24"/>
        </w:rPr>
        <w:t>de</w:t>
      </w:r>
      <w:r w:rsidRPr="00463949" w:rsidR="001156F5">
        <w:rPr>
          <w:rFonts w:ascii="Times New Roman" w:hAnsi="Times New Roman" w:cs="Times New Roman"/>
          <w:sz w:val="24"/>
          <w:szCs w:val="24"/>
        </w:rPr>
        <w:t xml:space="preserve"> mogelijke gevolgen voor de</w:t>
      </w:r>
      <w:r w:rsidRPr="00463949" w:rsidR="00606BB3">
        <w:rPr>
          <w:rFonts w:ascii="Times New Roman" w:hAnsi="Times New Roman" w:cs="Times New Roman"/>
          <w:sz w:val="24"/>
          <w:szCs w:val="24"/>
        </w:rPr>
        <w:t xml:space="preserve"> verzekerbaarheid van productaansprakelijkheidsrisico’s, de financiële impact op verzekeringsproducten</w:t>
      </w:r>
      <w:r w:rsidRPr="00463949" w:rsidR="005D2626">
        <w:rPr>
          <w:rFonts w:ascii="Times New Roman" w:hAnsi="Times New Roman" w:cs="Times New Roman"/>
          <w:sz w:val="24"/>
          <w:szCs w:val="24"/>
        </w:rPr>
        <w:t xml:space="preserve"> </w:t>
      </w:r>
      <w:r w:rsidRPr="00463949" w:rsidR="00606BB3">
        <w:rPr>
          <w:rFonts w:ascii="Times New Roman" w:hAnsi="Times New Roman" w:cs="Times New Roman"/>
          <w:sz w:val="24"/>
          <w:szCs w:val="24"/>
        </w:rPr>
        <w:t>en de daarmee samenhangende financiële gevolgen voor marktdeelnemers.</w:t>
      </w:r>
      <w:r w:rsidRPr="00463949" w:rsidR="00AC5B99">
        <w:rPr>
          <w:rFonts w:ascii="Times New Roman" w:hAnsi="Times New Roman" w:cs="Times New Roman"/>
          <w:sz w:val="24"/>
          <w:szCs w:val="24"/>
        </w:rPr>
        <w:t xml:space="preserve"> </w:t>
      </w:r>
      <w:r w:rsidRPr="00463949" w:rsidR="001156F5">
        <w:rPr>
          <w:rFonts w:ascii="Times New Roman" w:hAnsi="Times New Roman" w:cs="Times New Roman"/>
          <w:sz w:val="24"/>
          <w:szCs w:val="24"/>
        </w:rPr>
        <w:t xml:space="preserve">Ook de Vereniging Innovatieve Geneesmiddelen (VIG) en The American Chamber of Commerce in the Netherlands </w:t>
      </w:r>
      <w:r w:rsidRPr="00463949" w:rsidR="00F76671">
        <w:rPr>
          <w:rFonts w:ascii="Times New Roman" w:hAnsi="Times New Roman" w:cs="Times New Roman"/>
          <w:sz w:val="24"/>
          <w:szCs w:val="24"/>
        </w:rPr>
        <w:t xml:space="preserve">(AmCham) </w:t>
      </w:r>
      <w:r w:rsidRPr="00463949" w:rsidR="001156F5">
        <w:rPr>
          <w:rFonts w:ascii="Times New Roman" w:hAnsi="Times New Roman" w:cs="Times New Roman"/>
          <w:sz w:val="24"/>
          <w:szCs w:val="24"/>
        </w:rPr>
        <w:t xml:space="preserve">wijzen op de mogelijke gevolgen </w:t>
      </w:r>
      <w:r w:rsidRPr="00463949" w:rsidR="00F6022C">
        <w:rPr>
          <w:rFonts w:ascii="Times New Roman" w:hAnsi="Times New Roman" w:cs="Times New Roman"/>
          <w:sz w:val="24"/>
          <w:szCs w:val="24"/>
        </w:rPr>
        <w:t xml:space="preserve">van het wetsvoorstel </w:t>
      </w:r>
      <w:r w:rsidRPr="00463949" w:rsidR="001156F5">
        <w:rPr>
          <w:rFonts w:ascii="Times New Roman" w:hAnsi="Times New Roman" w:cs="Times New Roman"/>
          <w:sz w:val="24"/>
          <w:szCs w:val="24"/>
        </w:rPr>
        <w:t xml:space="preserve">voor de verzekerbaarheid, dekking en premies. Naar aanleiding van deze reacties is paragraaf 5 van deze </w:t>
      </w:r>
      <w:r w:rsidRPr="00463949" w:rsidR="003D48EE">
        <w:rPr>
          <w:rFonts w:ascii="Times New Roman" w:hAnsi="Times New Roman" w:cs="Times New Roman"/>
          <w:sz w:val="24"/>
          <w:szCs w:val="24"/>
        </w:rPr>
        <w:t xml:space="preserve">memorie van </w:t>
      </w:r>
      <w:r w:rsidRPr="00463949" w:rsidR="001156F5">
        <w:rPr>
          <w:rFonts w:ascii="Times New Roman" w:hAnsi="Times New Roman" w:cs="Times New Roman"/>
          <w:sz w:val="24"/>
          <w:szCs w:val="24"/>
        </w:rPr>
        <w:t xml:space="preserve">toelichting </w:t>
      </w:r>
      <w:r w:rsidRPr="00463949" w:rsidR="00B16CAD">
        <w:rPr>
          <w:rFonts w:ascii="Times New Roman" w:hAnsi="Times New Roman" w:cs="Times New Roman"/>
          <w:sz w:val="24"/>
          <w:szCs w:val="24"/>
        </w:rPr>
        <w:t xml:space="preserve">aangepast en </w:t>
      </w:r>
      <w:r w:rsidRPr="00463949" w:rsidR="001156F5">
        <w:rPr>
          <w:rFonts w:ascii="Times New Roman" w:hAnsi="Times New Roman" w:cs="Times New Roman"/>
          <w:sz w:val="24"/>
          <w:szCs w:val="24"/>
        </w:rPr>
        <w:t xml:space="preserve">aangevuld. </w:t>
      </w:r>
      <w:r w:rsidRPr="00463949" w:rsidR="008455FD">
        <w:rPr>
          <w:rFonts w:ascii="Times New Roman" w:hAnsi="Times New Roman" w:cs="Times New Roman"/>
          <w:sz w:val="24"/>
          <w:szCs w:val="24"/>
        </w:rPr>
        <w:t xml:space="preserve">Tot slot </w:t>
      </w:r>
      <w:r w:rsidRPr="00463949" w:rsidR="000026FE">
        <w:rPr>
          <w:rFonts w:ascii="Times New Roman" w:hAnsi="Times New Roman" w:cs="Times New Roman"/>
          <w:sz w:val="24"/>
          <w:szCs w:val="24"/>
        </w:rPr>
        <w:t xml:space="preserve">is de consultatieversie </w:t>
      </w:r>
      <w:r w:rsidRPr="00463949" w:rsidR="003D48EE">
        <w:rPr>
          <w:rFonts w:ascii="Times New Roman" w:hAnsi="Times New Roman" w:cs="Times New Roman"/>
          <w:sz w:val="24"/>
          <w:szCs w:val="24"/>
        </w:rPr>
        <w:t xml:space="preserve">voorgelegd </w:t>
      </w:r>
      <w:r w:rsidRPr="00463949" w:rsidR="000026FE">
        <w:rPr>
          <w:rFonts w:ascii="Times New Roman" w:hAnsi="Times New Roman" w:cs="Times New Roman"/>
          <w:sz w:val="24"/>
          <w:szCs w:val="24"/>
        </w:rPr>
        <w:t>aan het Adviescollege toetsing regeldruk (ATR)</w:t>
      </w:r>
      <w:r w:rsidRPr="00463949" w:rsidR="003A3685">
        <w:rPr>
          <w:rFonts w:ascii="Times New Roman" w:hAnsi="Times New Roman" w:cs="Times New Roman"/>
          <w:sz w:val="24"/>
          <w:szCs w:val="24"/>
        </w:rPr>
        <w:t xml:space="preserve">. </w:t>
      </w:r>
      <w:r w:rsidRPr="00463949" w:rsidR="00B16CAD">
        <w:rPr>
          <w:rFonts w:ascii="Times New Roman" w:hAnsi="Times New Roman" w:cs="Times New Roman"/>
          <w:sz w:val="24"/>
          <w:szCs w:val="24"/>
        </w:rPr>
        <w:t>Het</w:t>
      </w:r>
      <w:r w:rsidRPr="00463949" w:rsidR="00E857DB">
        <w:rPr>
          <w:rFonts w:ascii="Times New Roman" w:hAnsi="Times New Roman" w:cs="Times New Roman"/>
          <w:sz w:val="24"/>
          <w:szCs w:val="24"/>
        </w:rPr>
        <w:t xml:space="preserve"> ATR heeft laten weten dat advisering achterwege kan blijven, omdat het</w:t>
      </w:r>
      <w:r w:rsidRPr="00463949" w:rsidR="00B16CAD">
        <w:rPr>
          <w:rFonts w:ascii="Times New Roman" w:hAnsi="Times New Roman" w:cs="Times New Roman"/>
          <w:sz w:val="24"/>
          <w:szCs w:val="24"/>
        </w:rPr>
        <w:t xml:space="preserve"> wetsvoorstel </w:t>
      </w:r>
      <w:r w:rsidRPr="00463949" w:rsidR="003A3685">
        <w:rPr>
          <w:rFonts w:ascii="Times New Roman" w:hAnsi="Times New Roman" w:cs="Times New Roman"/>
          <w:sz w:val="24"/>
          <w:szCs w:val="24"/>
        </w:rPr>
        <w:t>zuivere een-op-een-implementatie</w:t>
      </w:r>
      <w:r w:rsidRPr="00463949" w:rsidR="00E857DB">
        <w:rPr>
          <w:rFonts w:ascii="Times New Roman" w:hAnsi="Times New Roman" w:cs="Times New Roman"/>
          <w:sz w:val="24"/>
          <w:szCs w:val="24"/>
        </w:rPr>
        <w:t xml:space="preserve"> betreft</w:t>
      </w:r>
      <w:r w:rsidRPr="00463949" w:rsidR="003A3685">
        <w:rPr>
          <w:rFonts w:ascii="Times New Roman" w:hAnsi="Times New Roman" w:cs="Times New Roman"/>
          <w:sz w:val="24"/>
          <w:szCs w:val="24"/>
        </w:rPr>
        <w:t xml:space="preserve">. </w:t>
      </w:r>
      <w:r w:rsidRPr="00463949" w:rsidR="00B16CAD">
        <w:rPr>
          <w:rFonts w:ascii="Times New Roman" w:hAnsi="Times New Roman" w:cs="Times New Roman"/>
          <w:sz w:val="24"/>
          <w:szCs w:val="24"/>
        </w:rPr>
        <w:t>De overige consultatiereacties worden hierna thematisch besproken.</w:t>
      </w:r>
    </w:p>
    <w:p w:rsidRPr="00463949" w:rsidR="001156F5" w:rsidP="00D045E0" w:rsidRDefault="001156F5" w14:paraId="6A954B3D" w14:textId="77777777">
      <w:pPr>
        <w:spacing w:after="0" w:line="276" w:lineRule="auto"/>
        <w:rPr>
          <w:rFonts w:ascii="Times New Roman" w:hAnsi="Times New Roman" w:cs="Times New Roman"/>
          <w:sz w:val="24"/>
          <w:szCs w:val="24"/>
        </w:rPr>
      </w:pPr>
    </w:p>
    <w:p w:rsidRPr="00463949" w:rsidR="00E21F71" w:rsidP="00D045E0" w:rsidRDefault="00E21F71" w14:paraId="6A9C2D26" w14:textId="3BF1BD7F">
      <w:pPr>
        <w:spacing w:after="0" w:line="276" w:lineRule="auto"/>
        <w:rPr>
          <w:rFonts w:ascii="Times New Roman" w:hAnsi="Times New Roman" w:cs="Times New Roman"/>
          <w:i/>
          <w:iCs/>
          <w:sz w:val="24"/>
          <w:szCs w:val="24"/>
        </w:rPr>
      </w:pPr>
      <w:bookmarkStart w:name="_Hlk202271106" w:id="7"/>
      <w:r w:rsidRPr="00463949">
        <w:rPr>
          <w:rFonts w:ascii="Times New Roman" w:hAnsi="Times New Roman" w:cs="Times New Roman"/>
          <w:i/>
          <w:iCs/>
          <w:sz w:val="24"/>
          <w:szCs w:val="24"/>
        </w:rPr>
        <w:t>Kanalisatiebepaling bij consumentenkoop (artikel 7:24 lid 2 BW)</w:t>
      </w:r>
    </w:p>
    <w:p w:rsidRPr="00463949" w:rsidR="00E21F71" w:rsidP="00D045E0" w:rsidRDefault="00E21F71" w14:paraId="7A4B7971" w14:textId="77777777">
      <w:pPr>
        <w:spacing w:after="0" w:line="276" w:lineRule="auto"/>
        <w:rPr>
          <w:rFonts w:ascii="Times New Roman" w:hAnsi="Times New Roman" w:cs="Times New Roman"/>
          <w:sz w:val="24"/>
          <w:szCs w:val="24"/>
        </w:rPr>
      </w:pPr>
    </w:p>
    <w:p w:rsidRPr="00463949" w:rsidR="00550F1C" w:rsidP="005C7EBA" w:rsidRDefault="00AC5B99" w14:paraId="085A8197" w14:textId="35A4849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 xml:space="preserve">Een aantal reacties gaat </w:t>
      </w:r>
      <w:r w:rsidRPr="00463949" w:rsidR="0060195F">
        <w:rPr>
          <w:rFonts w:ascii="Times New Roman" w:hAnsi="Times New Roman" w:cs="Times New Roman"/>
          <w:sz w:val="24"/>
          <w:szCs w:val="24"/>
        </w:rPr>
        <w:t xml:space="preserve">over de kanalisatiebepaling bij consumentenkoop (artikel 7:24 </w:t>
      </w:r>
      <w:r w:rsidRPr="00463949" w:rsidR="00155120">
        <w:rPr>
          <w:rFonts w:ascii="Times New Roman" w:hAnsi="Times New Roman" w:cs="Times New Roman"/>
          <w:sz w:val="24"/>
          <w:szCs w:val="24"/>
        </w:rPr>
        <w:t xml:space="preserve">lid 2 </w:t>
      </w:r>
      <w:r w:rsidRPr="00463949" w:rsidR="0060195F">
        <w:rPr>
          <w:rFonts w:ascii="Times New Roman" w:hAnsi="Times New Roman" w:cs="Times New Roman"/>
          <w:sz w:val="24"/>
          <w:szCs w:val="24"/>
        </w:rPr>
        <w:t xml:space="preserve">BW). </w:t>
      </w:r>
      <w:r w:rsidRPr="00463949" w:rsidR="00550F1C">
        <w:rPr>
          <w:rFonts w:ascii="Times New Roman" w:hAnsi="Times New Roman" w:cs="Times New Roman"/>
          <w:sz w:val="24"/>
          <w:szCs w:val="24"/>
        </w:rPr>
        <w:t>Als sprake is van non-conformiteit</w:t>
      </w:r>
      <w:r w:rsidRPr="00463949" w:rsidR="0076371E">
        <w:rPr>
          <w:rStyle w:val="Voetnootmarkering"/>
          <w:rFonts w:ascii="Times New Roman" w:hAnsi="Times New Roman" w:cs="Times New Roman"/>
          <w:sz w:val="24"/>
          <w:szCs w:val="24"/>
        </w:rPr>
        <w:footnoteReference w:id="45"/>
      </w:r>
      <w:r w:rsidRPr="00463949" w:rsidR="0076371E">
        <w:rPr>
          <w:rFonts w:ascii="Times New Roman" w:hAnsi="Times New Roman" w:cs="Times New Roman"/>
          <w:sz w:val="24"/>
          <w:szCs w:val="24"/>
        </w:rPr>
        <w:t xml:space="preserve"> </w:t>
      </w:r>
      <w:r w:rsidRPr="00463949" w:rsidR="00550F1C">
        <w:rPr>
          <w:rFonts w:ascii="Times New Roman" w:hAnsi="Times New Roman" w:cs="Times New Roman"/>
          <w:sz w:val="24"/>
          <w:szCs w:val="24"/>
        </w:rPr>
        <w:t>bij een consumentenkoop</w:t>
      </w:r>
      <w:r w:rsidRPr="00463949" w:rsidR="0076371E">
        <w:rPr>
          <w:rFonts w:ascii="Times New Roman" w:hAnsi="Times New Roman" w:cs="Times New Roman"/>
          <w:sz w:val="24"/>
          <w:szCs w:val="24"/>
        </w:rPr>
        <w:t xml:space="preserve"> </w:t>
      </w:r>
      <w:r w:rsidRPr="00463949" w:rsidR="00550F1C">
        <w:rPr>
          <w:rFonts w:ascii="Times New Roman" w:hAnsi="Times New Roman" w:cs="Times New Roman"/>
          <w:sz w:val="24"/>
          <w:szCs w:val="24"/>
        </w:rPr>
        <w:t>dan heeft een consument</w:t>
      </w:r>
      <w:r w:rsidRPr="00463949" w:rsidR="00BF614D">
        <w:rPr>
          <w:rFonts w:ascii="Times New Roman" w:hAnsi="Times New Roman" w:cs="Times New Roman"/>
          <w:sz w:val="24"/>
          <w:szCs w:val="24"/>
        </w:rPr>
        <w:t>-</w:t>
      </w:r>
      <w:r w:rsidRPr="00463949" w:rsidR="00DA6F94">
        <w:rPr>
          <w:rFonts w:ascii="Times New Roman" w:hAnsi="Times New Roman" w:cs="Times New Roman"/>
          <w:sz w:val="24"/>
          <w:szCs w:val="24"/>
        </w:rPr>
        <w:t>koper</w:t>
      </w:r>
      <w:r w:rsidRPr="00463949" w:rsidR="00550F1C">
        <w:rPr>
          <w:rFonts w:ascii="Times New Roman" w:hAnsi="Times New Roman" w:cs="Times New Roman"/>
          <w:sz w:val="24"/>
          <w:szCs w:val="24"/>
        </w:rPr>
        <w:t xml:space="preserve"> </w:t>
      </w:r>
      <w:r w:rsidRPr="00463949" w:rsidR="00DA6F94">
        <w:rPr>
          <w:rFonts w:ascii="Times New Roman" w:hAnsi="Times New Roman" w:cs="Times New Roman"/>
          <w:sz w:val="24"/>
          <w:szCs w:val="24"/>
        </w:rPr>
        <w:t xml:space="preserve">jegens de verkoper </w:t>
      </w:r>
      <w:r w:rsidRPr="00463949" w:rsidR="00550F1C">
        <w:rPr>
          <w:rFonts w:ascii="Times New Roman" w:hAnsi="Times New Roman" w:cs="Times New Roman"/>
          <w:sz w:val="24"/>
          <w:szCs w:val="24"/>
        </w:rPr>
        <w:t>recht op schadevergoeding</w:t>
      </w:r>
      <w:r w:rsidRPr="00463949" w:rsidR="00DA6F94">
        <w:rPr>
          <w:rFonts w:ascii="Times New Roman" w:hAnsi="Times New Roman" w:cs="Times New Roman"/>
          <w:sz w:val="24"/>
          <w:szCs w:val="24"/>
        </w:rPr>
        <w:t xml:space="preserve"> (artikel 7:24 lid 1 in verbinding met artikel 6:74 BW)</w:t>
      </w:r>
      <w:r w:rsidRPr="00463949" w:rsidR="00550F1C">
        <w:rPr>
          <w:rFonts w:ascii="Times New Roman" w:hAnsi="Times New Roman" w:cs="Times New Roman"/>
          <w:sz w:val="24"/>
          <w:szCs w:val="24"/>
        </w:rPr>
        <w:t xml:space="preserve">. </w:t>
      </w:r>
      <w:r w:rsidRPr="00463949" w:rsidR="000A4869">
        <w:rPr>
          <w:rFonts w:ascii="Times New Roman" w:hAnsi="Times New Roman" w:cs="Times New Roman"/>
          <w:sz w:val="24"/>
          <w:szCs w:val="24"/>
        </w:rPr>
        <w:t xml:space="preserve">Bestaat </w:t>
      </w:r>
      <w:r w:rsidRPr="00463949" w:rsidR="00550F1C">
        <w:rPr>
          <w:rFonts w:ascii="Times New Roman" w:hAnsi="Times New Roman" w:cs="Times New Roman"/>
          <w:sz w:val="24"/>
          <w:szCs w:val="24"/>
        </w:rPr>
        <w:t>de tekortkoming evenwel</w:t>
      </w:r>
      <w:r w:rsidRPr="00463949" w:rsidR="000A4869">
        <w:rPr>
          <w:rFonts w:ascii="Times New Roman" w:hAnsi="Times New Roman" w:cs="Times New Roman"/>
          <w:sz w:val="24"/>
          <w:szCs w:val="24"/>
        </w:rPr>
        <w:t xml:space="preserve"> in</w:t>
      </w:r>
      <w:r w:rsidRPr="00463949" w:rsidR="00550F1C">
        <w:rPr>
          <w:rFonts w:ascii="Times New Roman" w:hAnsi="Times New Roman" w:cs="Times New Roman"/>
          <w:sz w:val="24"/>
          <w:szCs w:val="24"/>
        </w:rPr>
        <w:t xml:space="preserve"> een gebrek als bedoeld in afdeling 6.3.3 BW, dan volgt uit artikel 7:24 lid 2 BW dat de consument zich voor schade </w:t>
      </w:r>
      <w:r w:rsidRPr="00463949" w:rsidR="00DA6F94">
        <w:rPr>
          <w:rFonts w:ascii="Times New Roman" w:hAnsi="Times New Roman" w:cs="Times New Roman"/>
          <w:sz w:val="24"/>
          <w:szCs w:val="24"/>
        </w:rPr>
        <w:t>als bedoeld in die afdeling</w:t>
      </w:r>
      <w:r w:rsidRPr="00463949" w:rsidR="00F65EAB">
        <w:rPr>
          <w:rFonts w:ascii="Times New Roman" w:hAnsi="Times New Roman" w:cs="Times New Roman"/>
          <w:sz w:val="24"/>
          <w:szCs w:val="24"/>
        </w:rPr>
        <w:t xml:space="preserve"> (kort gezegd: letselschade en schade aan andere zaken dan het product zelf)</w:t>
      </w:r>
      <w:r w:rsidRPr="00463949" w:rsidR="00DA6F94">
        <w:rPr>
          <w:rFonts w:ascii="Times New Roman" w:hAnsi="Times New Roman" w:cs="Times New Roman"/>
          <w:sz w:val="24"/>
          <w:szCs w:val="24"/>
        </w:rPr>
        <w:t xml:space="preserve"> </w:t>
      </w:r>
      <w:r w:rsidRPr="00463949" w:rsidR="00550F1C">
        <w:rPr>
          <w:rFonts w:ascii="Times New Roman" w:hAnsi="Times New Roman" w:cs="Times New Roman"/>
          <w:sz w:val="24"/>
          <w:szCs w:val="24"/>
        </w:rPr>
        <w:t>dient te wenden tot de producent. De verkoper is voor die schade niet aansprakelijk</w:t>
      </w:r>
      <w:r w:rsidRPr="00463949" w:rsidR="0076371E">
        <w:rPr>
          <w:rFonts w:ascii="Times New Roman" w:hAnsi="Times New Roman" w:cs="Times New Roman"/>
          <w:sz w:val="24"/>
          <w:szCs w:val="24"/>
        </w:rPr>
        <w:t xml:space="preserve">. </w:t>
      </w:r>
      <w:r w:rsidRPr="00463949" w:rsidR="00550F1C">
        <w:rPr>
          <w:rFonts w:ascii="Times New Roman" w:hAnsi="Times New Roman" w:cs="Times New Roman"/>
          <w:sz w:val="24"/>
          <w:szCs w:val="24"/>
        </w:rPr>
        <w:t>Hierop gelden drie uitzonderingen. De consument</w:t>
      </w:r>
      <w:r w:rsidRPr="00463949" w:rsidR="00BF614D">
        <w:rPr>
          <w:rFonts w:ascii="Times New Roman" w:hAnsi="Times New Roman" w:cs="Times New Roman"/>
          <w:sz w:val="24"/>
          <w:szCs w:val="24"/>
        </w:rPr>
        <w:t>-</w:t>
      </w:r>
      <w:r w:rsidRPr="00463949" w:rsidR="00550F1C">
        <w:rPr>
          <w:rFonts w:ascii="Times New Roman" w:hAnsi="Times New Roman" w:cs="Times New Roman"/>
          <w:sz w:val="24"/>
          <w:szCs w:val="24"/>
        </w:rPr>
        <w:t>koper heeft wel</w:t>
      </w:r>
      <w:r w:rsidRPr="00463949" w:rsidR="008D260F">
        <w:rPr>
          <w:rFonts w:ascii="Times New Roman" w:hAnsi="Times New Roman" w:cs="Times New Roman"/>
          <w:sz w:val="24"/>
          <w:szCs w:val="24"/>
        </w:rPr>
        <w:t xml:space="preserve"> </w:t>
      </w:r>
      <w:r w:rsidRPr="00463949" w:rsidR="00550F1C">
        <w:rPr>
          <w:rFonts w:ascii="Times New Roman" w:hAnsi="Times New Roman" w:cs="Times New Roman"/>
          <w:sz w:val="24"/>
          <w:szCs w:val="24"/>
        </w:rPr>
        <w:t>recht op schadevergoeding jegens de verkoper als a) de verkoper het gebrek kende, b) hij de afwezigheid van het gebrek heeft toegezegd</w:t>
      </w:r>
      <w:r w:rsidRPr="00463949" w:rsidR="00DA6F94">
        <w:rPr>
          <w:rFonts w:ascii="Times New Roman" w:hAnsi="Times New Roman" w:cs="Times New Roman"/>
          <w:sz w:val="24"/>
          <w:szCs w:val="24"/>
        </w:rPr>
        <w:t xml:space="preserve"> of</w:t>
      </w:r>
      <w:r w:rsidRPr="00463949" w:rsidR="00550F1C">
        <w:rPr>
          <w:rFonts w:ascii="Times New Roman" w:hAnsi="Times New Roman" w:cs="Times New Roman"/>
          <w:sz w:val="24"/>
          <w:szCs w:val="24"/>
        </w:rPr>
        <w:t xml:space="preserve"> c) het </w:t>
      </w:r>
      <w:r w:rsidRPr="00463949" w:rsidR="0076371E">
        <w:rPr>
          <w:rFonts w:ascii="Times New Roman" w:hAnsi="Times New Roman" w:cs="Times New Roman"/>
          <w:sz w:val="24"/>
          <w:szCs w:val="24"/>
        </w:rPr>
        <w:t>zaak</w:t>
      </w:r>
      <w:r w:rsidRPr="00463949" w:rsidR="00550F1C">
        <w:rPr>
          <w:rFonts w:ascii="Times New Roman" w:hAnsi="Times New Roman" w:cs="Times New Roman"/>
          <w:sz w:val="24"/>
          <w:szCs w:val="24"/>
        </w:rPr>
        <w:t xml:space="preserve">schade </w:t>
      </w:r>
      <w:r w:rsidRPr="00463949" w:rsidR="00DA6F94">
        <w:rPr>
          <w:rFonts w:ascii="Times New Roman" w:hAnsi="Times New Roman" w:cs="Times New Roman"/>
          <w:sz w:val="24"/>
          <w:szCs w:val="24"/>
        </w:rPr>
        <w:t>onder de €</w:t>
      </w:r>
      <w:r w:rsidRPr="00463949" w:rsidR="0003246A">
        <w:rPr>
          <w:rFonts w:ascii="Times New Roman" w:hAnsi="Times New Roman" w:cs="Times New Roman"/>
          <w:sz w:val="24"/>
          <w:szCs w:val="24"/>
        </w:rPr>
        <w:t> </w:t>
      </w:r>
      <w:r w:rsidRPr="00463949" w:rsidR="00DA6F94">
        <w:rPr>
          <w:rFonts w:ascii="Times New Roman" w:hAnsi="Times New Roman" w:cs="Times New Roman"/>
          <w:sz w:val="24"/>
          <w:szCs w:val="24"/>
        </w:rPr>
        <w:t>500,-</w:t>
      </w:r>
      <w:r w:rsidRPr="00463949" w:rsidR="0076371E">
        <w:rPr>
          <w:rFonts w:ascii="Times New Roman" w:hAnsi="Times New Roman" w:cs="Times New Roman"/>
          <w:sz w:val="24"/>
          <w:szCs w:val="24"/>
        </w:rPr>
        <w:t xml:space="preserve"> betreft</w:t>
      </w:r>
      <w:r w:rsidRPr="00463949" w:rsidR="00DA6F94">
        <w:rPr>
          <w:rFonts w:ascii="Times New Roman" w:hAnsi="Times New Roman" w:cs="Times New Roman"/>
          <w:sz w:val="24"/>
          <w:szCs w:val="24"/>
        </w:rPr>
        <w:t xml:space="preserve">. </w:t>
      </w:r>
      <w:r w:rsidRPr="00463949" w:rsidR="005C7EBA">
        <w:rPr>
          <w:rFonts w:ascii="Times New Roman" w:hAnsi="Times New Roman" w:cs="Times New Roman"/>
          <w:sz w:val="24"/>
          <w:szCs w:val="24"/>
        </w:rPr>
        <w:t>De gedachte achter de</w:t>
      </w:r>
      <w:r w:rsidRPr="00463949" w:rsidR="00942568">
        <w:rPr>
          <w:rFonts w:ascii="Times New Roman" w:hAnsi="Times New Roman" w:cs="Times New Roman"/>
          <w:sz w:val="24"/>
          <w:szCs w:val="24"/>
        </w:rPr>
        <w:t>ze regeling</w:t>
      </w:r>
      <w:r w:rsidRPr="00463949" w:rsidR="005C7EBA">
        <w:rPr>
          <w:rFonts w:ascii="Times New Roman" w:hAnsi="Times New Roman" w:cs="Times New Roman"/>
          <w:sz w:val="24"/>
          <w:szCs w:val="24"/>
        </w:rPr>
        <w:t xml:space="preserve"> is dat het niet redelijk is de verkoper steeds aansprakelijk te houden voor producten die hij niet zelf heeft vervaardigd en redelijkerwijs ook niet op deugdelijkheid heeft kunnen controleren. In dat geval behoort de eigenlijke veroorzaker van de ondeugdelijkheid </w:t>
      </w:r>
      <w:r w:rsidRPr="00463949" w:rsidR="00B45153">
        <w:rPr>
          <w:rFonts w:ascii="Times New Roman" w:hAnsi="Times New Roman" w:cs="Times New Roman"/>
          <w:sz w:val="24"/>
          <w:szCs w:val="24"/>
        </w:rPr>
        <w:t xml:space="preserve">(de producent) </w:t>
      </w:r>
      <w:r w:rsidRPr="00463949" w:rsidR="005C7EBA">
        <w:rPr>
          <w:rFonts w:ascii="Times New Roman" w:hAnsi="Times New Roman" w:cs="Times New Roman"/>
          <w:sz w:val="24"/>
          <w:szCs w:val="24"/>
        </w:rPr>
        <w:t>te worden aangesproken.</w:t>
      </w:r>
      <w:r w:rsidRPr="00463949" w:rsidR="00942568">
        <w:rPr>
          <w:rStyle w:val="Voetnootmarkering"/>
          <w:rFonts w:ascii="Times New Roman" w:hAnsi="Times New Roman" w:cs="Times New Roman"/>
          <w:sz w:val="24"/>
          <w:szCs w:val="24"/>
        </w:rPr>
        <w:footnoteReference w:id="46"/>
      </w:r>
      <w:r w:rsidRPr="00463949" w:rsidR="005C7EBA">
        <w:rPr>
          <w:rFonts w:ascii="Times New Roman" w:hAnsi="Times New Roman" w:cs="Times New Roman"/>
          <w:sz w:val="24"/>
          <w:szCs w:val="24"/>
        </w:rPr>
        <w:t xml:space="preserve"> </w:t>
      </w:r>
      <w:r w:rsidRPr="00463949" w:rsidR="000A2A79">
        <w:rPr>
          <w:rFonts w:ascii="Times New Roman" w:hAnsi="Times New Roman" w:cs="Times New Roman"/>
          <w:sz w:val="24"/>
          <w:szCs w:val="24"/>
        </w:rPr>
        <w:t xml:space="preserve">Het kan voorkomen dat de verkoper dezelfde persoon is als de producent. Dit maakt voor het kanalisatieprincipe geen verschil: betrokkene kan </w:t>
      </w:r>
      <w:r w:rsidRPr="00463949" w:rsidR="007256B7">
        <w:rPr>
          <w:rFonts w:ascii="Times New Roman" w:hAnsi="Times New Roman" w:cs="Times New Roman"/>
          <w:sz w:val="24"/>
          <w:szCs w:val="24"/>
        </w:rPr>
        <w:t>dan</w:t>
      </w:r>
      <w:r w:rsidRPr="00463949" w:rsidR="00E6421B">
        <w:rPr>
          <w:rFonts w:ascii="Times New Roman" w:hAnsi="Times New Roman" w:cs="Times New Roman"/>
          <w:sz w:val="24"/>
          <w:szCs w:val="24"/>
        </w:rPr>
        <w:t xml:space="preserve"> </w:t>
      </w:r>
      <w:r w:rsidRPr="00463949" w:rsidR="000A2A79">
        <w:rPr>
          <w:rFonts w:ascii="Times New Roman" w:hAnsi="Times New Roman" w:cs="Times New Roman"/>
          <w:sz w:val="24"/>
          <w:szCs w:val="24"/>
        </w:rPr>
        <w:t xml:space="preserve">in zijn hoedanigheid van producent tot schadevergoeding worden aangesproken (afdeling 6.3.3 BW), niet in zijn rol van verkoper (artikel 7:24 lid 2 BW). </w:t>
      </w:r>
      <w:r w:rsidRPr="00463949" w:rsidR="00DA6F94">
        <w:rPr>
          <w:rFonts w:ascii="Times New Roman" w:hAnsi="Times New Roman" w:cs="Times New Roman"/>
          <w:sz w:val="24"/>
          <w:szCs w:val="24"/>
        </w:rPr>
        <w:t>Artikel 7:50am BW verklaart artikel 7:24 BW van overeenkomstige toepassing op de levering van digitale inhoud of digitale diensten.</w:t>
      </w:r>
    </w:p>
    <w:p w:rsidRPr="00463949" w:rsidR="00DA6F94" w:rsidP="00D045E0" w:rsidRDefault="00DA6F94" w14:paraId="62E9E307" w14:textId="77777777">
      <w:pPr>
        <w:spacing w:after="0" w:line="276" w:lineRule="auto"/>
        <w:rPr>
          <w:rFonts w:ascii="Times New Roman" w:hAnsi="Times New Roman" w:cs="Times New Roman"/>
          <w:sz w:val="24"/>
          <w:szCs w:val="24"/>
        </w:rPr>
      </w:pPr>
    </w:p>
    <w:p w:rsidRPr="00463949" w:rsidR="00BD720F" w:rsidP="00BD720F" w:rsidRDefault="00DA6F94" w14:paraId="21FE2FBC" w14:textId="45B0F9C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Professor M.B.M. Loos pleit voor </w:t>
      </w:r>
      <w:r w:rsidRPr="00463949" w:rsidR="00C0072E">
        <w:rPr>
          <w:rFonts w:ascii="Times New Roman" w:hAnsi="Times New Roman" w:cs="Times New Roman"/>
          <w:sz w:val="24"/>
          <w:szCs w:val="24"/>
        </w:rPr>
        <w:t xml:space="preserve">het schrappen </w:t>
      </w:r>
      <w:r w:rsidRPr="00463949">
        <w:rPr>
          <w:rFonts w:ascii="Times New Roman" w:hAnsi="Times New Roman" w:cs="Times New Roman"/>
          <w:sz w:val="24"/>
          <w:szCs w:val="24"/>
        </w:rPr>
        <w:t>van de kanal</w:t>
      </w:r>
      <w:r w:rsidRPr="00463949" w:rsidR="00EC4C8E">
        <w:rPr>
          <w:rFonts w:ascii="Times New Roman" w:hAnsi="Times New Roman" w:cs="Times New Roman"/>
          <w:sz w:val="24"/>
          <w:szCs w:val="24"/>
        </w:rPr>
        <w:t>isatiebepaling</w:t>
      </w:r>
      <w:r w:rsidRPr="00463949" w:rsidR="00C0072E">
        <w:rPr>
          <w:rFonts w:ascii="Times New Roman" w:hAnsi="Times New Roman" w:cs="Times New Roman"/>
          <w:sz w:val="24"/>
          <w:szCs w:val="24"/>
        </w:rPr>
        <w:t xml:space="preserve"> bij consumentenkoop</w:t>
      </w:r>
      <w:r w:rsidRPr="00463949" w:rsidR="00EC4C8E">
        <w:rPr>
          <w:rFonts w:ascii="Times New Roman" w:hAnsi="Times New Roman" w:cs="Times New Roman"/>
          <w:sz w:val="24"/>
          <w:szCs w:val="24"/>
        </w:rPr>
        <w:t xml:space="preserve"> in artikel 7:24 lid 2 BW (en daarmee ook artikel 7:50am BW)</w:t>
      </w:r>
      <w:r w:rsidRPr="00463949" w:rsidR="00C0072E">
        <w:rPr>
          <w:rFonts w:ascii="Times New Roman" w:hAnsi="Times New Roman" w:cs="Times New Roman"/>
          <w:sz w:val="24"/>
          <w:szCs w:val="24"/>
        </w:rPr>
        <w:t xml:space="preserve">. </w:t>
      </w:r>
      <w:r w:rsidRPr="00463949" w:rsidR="00BD720F">
        <w:rPr>
          <w:rFonts w:ascii="Times New Roman" w:hAnsi="Times New Roman" w:cs="Times New Roman"/>
          <w:sz w:val="24"/>
          <w:szCs w:val="24"/>
        </w:rPr>
        <w:t>Volgens Loos brengt deze bepaling mee dat de consument</w:t>
      </w:r>
      <w:r w:rsidRPr="00463949" w:rsidR="00BF614D">
        <w:rPr>
          <w:rFonts w:ascii="Times New Roman" w:hAnsi="Times New Roman" w:cs="Times New Roman"/>
          <w:sz w:val="24"/>
          <w:szCs w:val="24"/>
        </w:rPr>
        <w:t>-</w:t>
      </w:r>
      <w:r w:rsidRPr="00463949" w:rsidR="00BD720F">
        <w:rPr>
          <w:rFonts w:ascii="Times New Roman" w:hAnsi="Times New Roman" w:cs="Times New Roman"/>
          <w:sz w:val="24"/>
          <w:szCs w:val="24"/>
        </w:rPr>
        <w:t xml:space="preserve">koper </w:t>
      </w:r>
      <w:r w:rsidRPr="00463949" w:rsidR="005C7EBA">
        <w:rPr>
          <w:rFonts w:ascii="Times New Roman" w:hAnsi="Times New Roman" w:cs="Times New Roman"/>
          <w:sz w:val="24"/>
          <w:szCs w:val="24"/>
        </w:rPr>
        <w:t xml:space="preserve">op dit punt </w:t>
      </w:r>
      <w:r w:rsidRPr="00463949" w:rsidR="00BD720F">
        <w:rPr>
          <w:rFonts w:ascii="Times New Roman" w:hAnsi="Times New Roman" w:cs="Times New Roman"/>
          <w:sz w:val="24"/>
          <w:szCs w:val="24"/>
        </w:rPr>
        <w:t>in een</w:t>
      </w:r>
    </w:p>
    <w:p w:rsidRPr="00463949" w:rsidR="00DA6F94" w:rsidP="00BD720F" w:rsidRDefault="00BD720F" w14:paraId="3446B619" w14:textId="00E500B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slechtere positie verkeert dan een professionele koper</w:t>
      </w:r>
      <w:r w:rsidRPr="00463949" w:rsidR="00365DCB">
        <w:rPr>
          <w:rFonts w:ascii="Times New Roman" w:hAnsi="Times New Roman" w:cs="Times New Roman"/>
          <w:sz w:val="24"/>
          <w:szCs w:val="24"/>
        </w:rPr>
        <w:t xml:space="preserve">, die </w:t>
      </w:r>
      <w:r w:rsidRPr="00463949" w:rsidR="00BF614D">
        <w:rPr>
          <w:rFonts w:ascii="Times New Roman" w:hAnsi="Times New Roman" w:cs="Times New Roman"/>
          <w:sz w:val="24"/>
          <w:szCs w:val="24"/>
        </w:rPr>
        <w:t>zich in beginsel kan wenden tot de verkoper</w:t>
      </w:r>
      <w:r w:rsidRPr="00463949" w:rsidR="00365DCB">
        <w:rPr>
          <w:rFonts w:ascii="Times New Roman" w:hAnsi="Times New Roman" w:cs="Times New Roman"/>
          <w:sz w:val="24"/>
          <w:szCs w:val="24"/>
        </w:rPr>
        <w:t xml:space="preserve">. </w:t>
      </w:r>
      <w:r w:rsidRPr="00463949" w:rsidR="00155120">
        <w:rPr>
          <w:rFonts w:ascii="Times New Roman" w:hAnsi="Times New Roman" w:cs="Times New Roman"/>
          <w:sz w:val="24"/>
          <w:szCs w:val="24"/>
        </w:rPr>
        <w:t>Loos</w:t>
      </w:r>
      <w:r w:rsidRPr="00463949">
        <w:rPr>
          <w:rFonts w:ascii="Times New Roman" w:hAnsi="Times New Roman" w:cs="Times New Roman"/>
          <w:sz w:val="24"/>
          <w:szCs w:val="24"/>
        </w:rPr>
        <w:t xml:space="preserve"> stelt dat niet </w:t>
      </w:r>
      <w:r w:rsidRPr="00463949" w:rsidR="00EC4C8E">
        <w:rPr>
          <w:rFonts w:ascii="Times New Roman" w:hAnsi="Times New Roman" w:cs="Times New Roman"/>
          <w:sz w:val="24"/>
          <w:szCs w:val="24"/>
        </w:rPr>
        <w:t xml:space="preserve">valt in te zien waarom de </w:t>
      </w:r>
      <w:r w:rsidRPr="00463949" w:rsidR="00365DCB">
        <w:rPr>
          <w:rFonts w:ascii="Times New Roman" w:hAnsi="Times New Roman" w:cs="Times New Roman"/>
          <w:sz w:val="24"/>
          <w:szCs w:val="24"/>
        </w:rPr>
        <w:t xml:space="preserve">verkoper </w:t>
      </w:r>
      <w:r w:rsidRPr="00463949" w:rsidR="00EC4C8E">
        <w:rPr>
          <w:rFonts w:ascii="Times New Roman" w:hAnsi="Times New Roman" w:cs="Times New Roman"/>
          <w:sz w:val="24"/>
          <w:szCs w:val="24"/>
        </w:rPr>
        <w:t xml:space="preserve">die tegenover een </w:t>
      </w:r>
      <w:r w:rsidRPr="00463949" w:rsidR="00C0072E">
        <w:rPr>
          <w:rFonts w:ascii="Times New Roman" w:hAnsi="Times New Roman" w:cs="Times New Roman"/>
          <w:sz w:val="24"/>
          <w:szCs w:val="24"/>
        </w:rPr>
        <w:t>consument</w:t>
      </w:r>
      <w:r w:rsidRPr="00463949" w:rsidR="00BF614D">
        <w:rPr>
          <w:rFonts w:ascii="Times New Roman" w:hAnsi="Times New Roman" w:cs="Times New Roman"/>
          <w:sz w:val="24"/>
          <w:szCs w:val="24"/>
        </w:rPr>
        <w:t>-</w:t>
      </w:r>
      <w:r w:rsidRPr="00463949" w:rsidR="00C0072E">
        <w:rPr>
          <w:rFonts w:ascii="Times New Roman" w:hAnsi="Times New Roman" w:cs="Times New Roman"/>
          <w:sz w:val="24"/>
          <w:szCs w:val="24"/>
        </w:rPr>
        <w:t xml:space="preserve">koper staat op dit punt meer bescherming zou verdienen dan wanneer hij tegenover een professionele koper staat. </w:t>
      </w:r>
      <w:r w:rsidRPr="00463949" w:rsidR="00BF614D">
        <w:rPr>
          <w:rFonts w:ascii="Times New Roman" w:hAnsi="Times New Roman" w:cs="Times New Roman"/>
          <w:sz w:val="24"/>
          <w:szCs w:val="24"/>
        </w:rPr>
        <w:t xml:space="preserve">Naar aanleiding van </w:t>
      </w:r>
      <w:r w:rsidRPr="00463949" w:rsidR="0076371E">
        <w:rPr>
          <w:rFonts w:ascii="Times New Roman" w:hAnsi="Times New Roman" w:cs="Times New Roman"/>
          <w:sz w:val="24"/>
          <w:szCs w:val="24"/>
        </w:rPr>
        <w:t xml:space="preserve">dit </w:t>
      </w:r>
      <w:r w:rsidRPr="00463949" w:rsidR="00BF614D">
        <w:rPr>
          <w:rFonts w:ascii="Times New Roman" w:hAnsi="Times New Roman" w:cs="Times New Roman"/>
          <w:sz w:val="24"/>
          <w:szCs w:val="24"/>
        </w:rPr>
        <w:t xml:space="preserve">betoog, </w:t>
      </w:r>
      <w:r w:rsidRPr="00463949" w:rsidR="0076371E">
        <w:rPr>
          <w:rFonts w:ascii="Times New Roman" w:hAnsi="Times New Roman" w:cs="Times New Roman"/>
          <w:sz w:val="24"/>
          <w:szCs w:val="24"/>
        </w:rPr>
        <w:t xml:space="preserve">stellen </w:t>
      </w:r>
      <w:r w:rsidRPr="00463949" w:rsidR="00C0072E">
        <w:rPr>
          <w:rFonts w:ascii="Times New Roman" w:hAnsi="Times New Roman" w:cs="Times New Roman"/>
          <w:sz w:val="24"/>
          <w:szCs w:val="24"/>
        </w:rPr>
        <w:t xml:space="preserve">Koninklijke INretail (brancheorganisatie voor retailers in Wonen, Mode Schoenen en Sport) en Techniek Nederland </w:t>
      </w:r>
      <w:r w:rsidRPr="00463949" w:rsidR="0076371E">
        <w:rPr>
          <w:rFonts w:ascii="Times New Roman" w:hAnsi="Times New Roman" w:cs="Times New Roman"/>
          <w:sz w:val="24"/>
          <w:szCs w:val="24"/>
        </w:rPr>
        <w:t xml:space="preserve">zich </w:t>
      </w:r>
      <w:r w:rsidRPr="00463949" w:rsidR="008D260F">
        <w:rPr>
          <w:rFonts w:ascii="Times New Roman" w:hAnsi="Times New Roman" w:cs="Times New Roman"/>
          <w:sz w:val="24"/>
          <w:szCs w:val="24"/>
        </w:rPr>
        <w:t xml:space="preserve">in hun reacties </w:t>
      </w:r>
      <w:r w:rsidRPr="00463949" w:rsidR="0076371E">
        <w:rPr>
          <w:rFonts w:ascii="Times New Roman" w:hAnsi="Times New Roman" w:cs="Times New Roman"/>
          <w:sz w:val="24"/>
          <w:szCs w:val="24"/>
        </w:rPr>
        <w:t xml:space="preserve">op het standpunt </w:t>
      </w:r>
      <w:r w:rsidRPr="00463949" w:rsidR="00365DCB">
        <w:rPr>
          <w:rFonts w:ascii="Times New Roman" w:hAnsi="Times New Roman" w:cs="Times New Roman"/>
          <w:sz w:val="24"/>
          <w:szCs w:val="24"/>
        </w:rPr>
        <w:t xml:space="preserve">dat </w:t>
      </w:r>
      <w:r w:rsidRPr="00463949" w:rsidR="00C0072E">
        <w:rPr>
          <w:rFonts w:ascii="Times New Roman" w:hAnsi="Times New Roman" w:cs="Times New Roman"/>
          <w:sz w:val="24"/>
          <w:szCs w:val="24"/>
        </w:rPr>
        <w:t>de kanalisatiebepaling</w:t>
      </w:r>
      <w:r w:rsidRPr="00463949" w:rsidR="00365DCB">
        <w:rPr>
          <w:rFonts w:ascii="Times New Roman" w:hAnsi="Times New Roman" w:cs="Times New Roman"/>
          <w:sz w:val="24"/>
          <w:szCs w:val="24"/>
        </w:rPr>
        <w:t xml:space="preserve"> </w:t>
      </w:r>
      <w:r w:rsidRPr="00463949" w:rsidR="00155120">
        <w:rPr>
          <w:rFonts w:ascii="Times New Roman" w:hAnsi="Times New Roman" w:cs="Times New Roman"/>
          <w:sz w:val="24"/>
          <w:szCs w:val="24"/>
        </w:rPr>
        <w:t>behouden moet blijven</w:t>
      </w:r>
      <w:r w:rsidRPr="00463949" w:rsidR="00C0072E">
        <w:rPr>
          <w:rFonts w:ascii="Times New Roman" w:hAnsi="Times New Roman" w:cs="Times New Roman"/>
          <w:sz w:val="24"/>
          <w:szCs w:val="24"/>
        </w:rPr>
        <w:t xml:space="preserve">. Zij </w:t>
      </w:r>
      <w:r w:rsidRPr="00463949" w:rsidR="00155120">
        <w:rPr>
          <w:rFonts w:ascii="Times New Roman" w:hAnsi="Times New Roman" w:cs="Times New Roman"/>
          <w:sz w:val="24"/>
          <w:szCs w:val="24"/>
        </w:rPr>
        <w:t xml:space="preserve">wijzen erop </w:t>
      </w:r>
      <w:r w:rsidRPr="00463949" w:rsidR="00C0072E">
        <w:rPr>
          <w:rFonts w:ascii="Times New Roman" w:hAnsi="Times New Roman" w:cs="Times New Roman"/>
          <w:sz w:val="24"/>
          <w:szCs w:val="24"/>
        </w:rPr>
        <w:t xml:space="preserve">dat verkopers geen ‘schuld’ hebben aan het ontstaan van de schade en </w:t>
      </w:r>
      <w:r w:rsidRPr="00463949" w:rsidR="00EE7012">
        <w:rPr>
          <w:rFonts w:ascii="Times New Roman" w:hAnsi="Times New Roman" w:cs="Times New Roman"/>
          <w:sz w:val="24"/>
          <w:szCs w:val="24"/>
        </w:rPr>
        <w:t xml:space="preserve">dat </w:t>
      </w:r>
      <w:r w:rsidRPr="00463949" w:rsidR="00C0072E">
        <w:rPr>
          <w:rFonts w:ascii="Times New Roman" w:hAnsi="Times New Roman" w:cs="Times New Roman"/>
          <w:sz w:val="24"/>
          <w:szCs w:val="24"/>
        </w:rPr>
        <w:t>regres op de voorschakel</w:t>
      </w:r>
      <w:r w:rsidRPr="00463949" w:rsidR="00EE7012">
        <w:rPr>
          <w:rFonts w:ascii="Times New Roman" w:hAnsi="Times New Roman" w:cs="Times New Roman"/>
          <w:sz w:val="24"/>
          <w:szCs w:val="24"/>
        </w:rPr>
        <w:t xml:space="preserve"> in de praktijk niet altijd mogelijk is</w:t>
      </w:r>
      <w:r w:rsidRPr="00463949" w:rsidR="00C0072E">
        <w:rPr>
          <w:rFonts w:ascii="Times New Roman" w:hAnsi="Times New Roman" w:cs="Times New Roman"/>
          <w:sz w:val="24"/>
          <w:szCs w:val="24"/>
        </w:rPr>
        <w:t xml:space="preserve">. </w:t>
      </w:r>
      <w:r w:rsidRPr="00463949">
        <w:rPr>
          <w:rFonts w:ascii="Times New Roman" w:hAnsi="Times New Roman" w:cs="Times New Roman"/>
          <w:sz w:val="24"/>
          <w:szCs w:val="24"/>
        </w:rPr>
        <w:t xml:space="preserve">De </w:t>
      </w:r>
      <w:r w:rsidRPr="00463949" w:rsidR="00B771C1">
        <w:rPr>
          <w:rFonts w:ascii="Times New Roman" w:hAnsi="Times New Roman" w:cs="Times New Roman"/>
          <w:sz w:val="24"/>
          <w:szCs w:val="24"/>
        </w:rPr>
        <w:t xml:space="preserve">Consumentenbond </w:t>
      </w:r>
      <w:r w:rsidRPr="00463949">
        <w:rPr>
          <w:rFonts w:ascii="Times New Roman" w:hAnsi="Times New Roman" w:cs="Times New Roman"/>
          <w:sz w:val="24"/>
          <w:szCs w:val="24"/>
        </w:rPr>
        <w:t xml:space="preserve">merkt op dat het </w:t>
      </w:r>
      <w:r w:rsidRPr="00463949" w:rsidR="00B771C1">
        <w:rPr>
          <w:rFonts w:ascii="Times New Roman" w:hAnsi="Times New Roman" w:cs="Times New Roman"/>
          <w:sz w:val="24"/>
          <w:szCs w:val="24"/>
        </w:rPr>
        <w:t xml:space="preserve">voorgestelde schrappen van artikel 7:24 lid 2, onderdeel c, BW </w:t>
      </w:r>
      <w:r w:rsidRPr="00463949" w:rsidR="00EE7012">
        <w:rPr>
          <w:rFonts w:ascii="Times New Roman" w:hAnsi="Times New Roman" w:cs="Times New Roman"/>
          <w:sz w:val="24"/>
          <w:szCs w:val="24"/>
        </w:rPr>
        <w:t>(de franchise van €</w:t>
      </w:r>
      <w:r w:rsidRPr="00463949">
        <w:rPr>
          <w:rFonts w:ascii="Times New Roman" w:hAnsi="Times New Roman" w:cs="Times New Roman"/>
          <w:sz w:val="24"/>
          <w:szCs w:val="24"/>
        </w:rPr>
        <w:t> </w:t>
      </w:r>
      <w:r w:rsidRPr="00463949" w:rsidR="00BF614D">
        <w:rPr>
          <w:rFonts w:ascii="Times New Roman" w:hAnsi="Times New Roman" w:cs="Times New Roman"/>
          <w:sz w:val="24"/>
          <w:szCs w:val="24"/>
        </w:rPr>
        <w:t>500,</w:t>
      </w:r>
      <w:r w:rsidRPr="00463949" w:rsidR="00BF614D">
        <w:rPr>
          <w:rFonts w:ascii="Times New Roman" w:hAnsi="Times New Roman" w:cs="Times New Roman"/>
          <w:sz w:val="24"/>
          <w:szCs w:val="24"/>
        </w:rPr>
        <w:noBreakHyphen/>
      </w:r>
      <w:r w:rsidRPr="00463949" w:rsidR="00EE7012">
        <w:rPr>
          <w:rFonts w:ascii="Times New Roman" w:hAnsi="Times New Roman" w:cs="Times New Roman"/>
          <w:sz w:val="24"/>
          <w:szCs w:val="24"/>
        </w:rPr>
        <w:t xml:space="preserve">) </w:t>
      </w:r>
      <w:r w:rsidRPr="00463949" w:rsidR="00B771C1">
        <w:rPr>
          <w:rFonts w:ascii="Times New Roman" w:hAnsi="Times New Roman" w:cs="Times New Roman"/>
          <w:sz w:val="24"/>
          <w:szCs w:val="24"/>
        </w:rPr>
        <w:t xml:space="preserve">ertoe </w:t>
      </w:r>
      <w:r w:rsidRPr="00463949">
        <w:rPr>
          <w:rFonts w:ascii="Times New Roman" w:hAnsi="Times New Roman" w:cs="Times New Roman"/>
          <w:sz w:val="24"/>
          <w:szCs w:val="24"/>
        </w:rPr>
        <w:t xml:space="preserve">leidt </w:t>
      </w:r>
      <w:r w:rsidRPr="00463949" w:rsidR="00EE7012">
        <w:rPr>
          <w:rFonts w:ascii="Times New Roman" w:hAnsi="Times New Roman" w:cs="Times New Roman"/>
          <w:sz w:val="24"/>
          <w:szCs w:val="24"/>
        </w:rPr>
        <w:t xml:space="preserve">dat verkopers </w:t>
      </w:r>
      <w:r w:rsidRPr="00463949" w:rsidR="00461087">
        <w:rPr>
          <w:rFonts w:ascii="Times New Roman" w:hAnsi="Times New Roman" w:cs="Times New Roman"/>
          <w:sz w:val="24"/>
          <w:szCs w:val="24"/>
        </w:rPr>
        <w:t>consument</w:t>
      </w:r>
      <w:r w:rsidRPr="00463949" w:rsidR="00BF614D">
        <w:rPr>
          <w:rFonts w:ascii="Times New Roman" w:hAnsi="Times New Roman" w:cs="Times New Roman"/>
          <w:sz w:val="24"/>
          <w:szCs w:val="24"/>
        </w:rPr>
        <w:t>-</w:t>
      </w:r>
      <w:r w:rsidRPr="00463949" w:rsidR="00461087">
        <w:rPr>
          <w:rFonts w:ascii="Times New Roman" w:hAnsi="Times New Roman" w:cs="Times New Roman"/>
          <w:sz w:val="24"/>
          <w:szCs w:val="24"/>
        </w:rPr>
        <w:t xml:space="preserve">kopers </w:t>
      </w:r>
      <w:r w:rsidRPr="00463949" w:rsidR="00EE7012">
        <w:rPr>
          <w:rFonts w:ascii="Times New Roman" w:hAnsi="Times New Roman" w:cs="Times New Roman"/>
          <w:sz w:val="24"/>
          <w:szCs w:val="24"/>
        </w:rPr>
        <w:t xml:space="preserve">voortaan ook voor kleine zaakschades kunnen doorverwijzen naar de producent. </w:t>
      </w:r>
      <w:r w:rsidRPr="00463949" w:rsidR="007F04DC">
        <w:rPr>
          <w:rFonts w:ascii="Times New Roman" w:hAnsi="Times New Roman" w:cs="Times New Roman"/>
          <w:sz w:val="24"/>
          <w:szCs w:val="24"/>
        </w:rPr>
        <w:t>H</w:t>
      </w:r>
      <w:r w:rsidRPr="00463949" w:rsidR="00461087">
        <w:rPr>
          <w:rFonts w:ascii="Times New Roman" w:hAnsi="Times New Roman" w:cs="Times New Roman"/>
          <w:sz w:val="24"/>
          <w:szCs w:val="24"/>
        </w:rPr>
        <w:t xml:space="preserve">ij </w:t>
      </w:r>
      <w:r w:rsidRPr="00463949" w:rsidR="00EE7012">
        <w:rPr>
          <w:rFonts w:ascii="Times New Roman" w:hAnsi="Times New Roman" w:cs="Times New Roman"/>
          <w:sz w:val="24"/>
          <w:szCs w:val="24"/>
        </w:rPr>
        <w:t xml:space="preserve">ziet bij </w:t>
      </w:r>
      <w:r w:rsidRPr="00463949" w:rsidR="00365DCB">
        <w:rPr>
          <w:rFonts w:ascii="Times New Roman" w:hAnsi="Times New Roman" w:cs="Times New Roman"/>
          <w:sz w:val="24"/>
          <w:szCs w:val="24"/>
        </w:rPr>
        <w:t>zaakschade onder de €</w:t>
      </w:r>
      <w:r w:rsidRPr="00463949" w:rsidR="00461087">
        <w:rPr>
          <w:rFonts w:ascii="Times New Roman" w:hAnsi="Times New Roman" w:cs="Times New Roman"/>
          <w:sz w:val="24"/>
          <w:szCs w:val="24"/>
        </w:rPr>
        <w:t> </w:t>
      </w:r>
      <w:r w:rsidRPr="00463949" w:rsidR="00365DCB">
        <w:rPr>
          <w:rFonts w:ascii="Times New Roman" w:hAnsi="Times New Roman" w:cs="Times New Roman"/>
          <w:sz w:val="24"/>
          <w:szCs w:val="24"/>
        </w:rPr>
        <w:t xml:space="preserve">500,- bij </w:t>
      </w:r>
      <w:r w:rsidRPr="00463949" w:rsidR="00EE7012">
        <w:rPr>
          <w:rFonts w:ascii="Times New Roman" w:hAnsi="Times New Roman" w:cs="Times New Roman"/>
          <w:sz w:val="24"/>
          <w:szCs w:val="24"/>
        </w:rPr>
        <w:t>voorkeur een gezamenlijke aansprakelijkheid van de verkoper en de producent.</w:t>
      </w:r>
    </w:p>
    <w:p w:rsidRPr="00463949" w:rsidR="00BF614D" w:rsidP="00BD720F" w:rsidRDefault="00BF614D" w14:paraId="3DD8E619" w14:textId="77777777">
      <w:pPr>
        <w:spacing w:after="0" w:line="276" w:lineRule="auto"/>
        <w:rPr>
          <w:rFonts w:ascii="Times New Roman" w:hAnsi="Times New Roman" w:cs="Times New Roman"/>
          <w:sz w:val="24"/>
          <w:szCs w:val="24"/>
        </w:rPr>
      </w:pPr>
    </w:p>
    <w:p w:rsidRPr="00463949" w:rsidR="00DC4B24" w:rsidP="00C0072E" w:rsidRDefault="00EE7012" w14:paraId="2B0CFFDF" w14:textId="4F3D4134">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w:t>
      </w:r>
      <w:r w:rsidRPr="00463949" w:rsidR="003406A3">
        <w:rPr>
          <w:rFonts w:ascii="Times New Roman" w:hAnsi="Times New Roman" w:cs="Times New Roman"/>
          <w:sz w:val="24"/>
          <w:szCs w:val="24"/>
        </w:rPr>
        <w:t xml:space="preserve">suggesties </w:t>
      </w:r>
      <w:r w:rsidRPr="00463949">
        <w:rPr>
          <w:rFonts w:ascii="Times New Roman" w:hAnsi="Times New Roman" w:cs="Times New Roman"/>
          <w:sz w:val="24"/>
          <w:szCs w:val="24"/>
        </w:rPr>
        <w:t xml:space="preserve">van Loos en de Consumentenbond tot het schrappen respectievelijk aanpassen van de kanalisatiebepaling in artikel 7:24 lid 2 BW zijn niet verwerkt in </w:t>
      </w:r>
      <w:r w:rsidRPr="00463949" w:rsidR="00BF614D">
        <w:rPr>
          <w:rFonts w:ascii="Times New Roman" w:hAnsi="Times New Roman" w:cs="Times New Roman"/>
          <w:sz w:val="24"/>
          <w:szCs w:val="24"/>
        </w:rPr>
        <w:t xml:space="preserve">het </w:t>
      </w:r>
      <w:r w:rsidRPr="00463949">
        <w:rPr>
          <w:rFonts w:ascii="Times New Roman" w:hAnsi="Times New Roman" w:cs="Times New Roman"/>
          <w:sz w:val="24"/>
          <w:szCs w:val="24"/>
        </w:rPr>
        <w:t xml:space="preserve">wetsvoorstel. </w:t>
      </w:r>
      <w:r w:rsidRPr="00463949" w:rsidR="00365DCB">
        <w:rPr>
          <w:rFonts w:ascii="Times New Roman" w:hAnsi="Times New Roman" w:cs="Times New Roman"/>
          <w:sz w:val="24"/>
          <w:szCs w:val="24"/>
        </w:rPr>
        <w:t xml:space="preserve">Uit </w:t>
      </w:r>
      <w:r w:rsidRPr="00463949" w:rsidR="00616D05">
        <w:rPr>
          <w:rFonts w:ascii="Times New Roman" w:hAnsi="Times New Roman" w:cs="Times New Roman"/>
          <w:sz w:val="24"/>
          <w:szCs w:val="24"/>
        </w:rPr>
        <w:t>vast beleid ten aanzien van implementatie van EU-recht</w:t>
      </w:r>
      <w:r w:rsidRPr="00463949" w:rsidR="00BD720F">
        <w:rPr>
          <w:rFonts w:ascii="Times New Roman" w:hAnsi="Times New Roman" w:cs="Times New Roman"/>
          <w:sz w:val="24"/>
          <w:szCs w:val="24"/>
        </w:rPr>
        <w:t xml:space="preserve"> </w:t>
      </w:r>
      <w:r w:rsidRPr="00463949" w:rsidR="00461087">
        <w:rPr>
          <w:rFonts w:ascii="Times New Roman" w:hAnsi="Times New Roman" w:cs="Times New Roman"/>
          <w:sz w:val="24"/>
          <w:szCs w:val="24"/>
        </w:rPr>
        <w:t xml:space="preserve">volgt </w:t>
      </w:r>
      <w:r w:rsidRPr="00463949" w:rsidR="00BD720F">
        <w:rPr>
          <w:rFonts w:ascii="Times New Roman" w:hAnsi="Times New Roman" w:cs="Times New Roman"/>
          <w:sz w:val="24"/>
          <w:szCs w:val="24"/>
        </w:rPr>
        <w:t xml:space="preserve">dat </w:t>
      </w:r>
      <w:r w:rsidRPr="00463949" w:rsidR="00365DCB">
        <w:rPr>
          <w:rFonts w:ascii="Times New Roman" w:hAnsi="Times New Roman" w:cs="Times New Roman"/>
          <w:sz w:val="24"/>
          <w:szCs w:val="24"/>
        </w:rPr>
        <w:t xml:space="preserve">in een implementatiewet </w:t>
      </w:r>
      <w:r w:rsidRPr="00463949">
        <w:rPr>
          <w:rFonts w:ascii="Times New Roman" w:hAnsi="Times New Roman" w:cs="Times New Roman"/>
          <w:sz w:val="24"/>
          <w:szCs w:val="24"/>
        </w:rPr>
        <w:t xml:space="preserve">alleen regels </w:t>
      </w:r>
      <w:r w:rsidRPr="00463949" w:rsidR="008D260F">
        <w:rPr>
          <w:rFonts w:ascii="Times New Roman" w:hAnsi="Times New Roman" w:cs="Times New Roman"/>
          <w:sz w:val="24"/>
          <w:szCs w:val="24"/>
        </w:rPr>
        <w:t xml:space="preserve">die volgen </w:t>
      </w:r>
      <w:r w:rsidRPr="00463949">
        <w:rPr>
          <w:rFonts w:ascii="Times New Roman" w:hAnsi="Times New Roman" w:cs="Times New Roman"/>
          <w:sz w:val="24"/>
          <w:szCs w:val="24"/>
        </w:rPr>
        <w:t xml:space="preserve">uit de Richtlijn </w:t>
      </w:r>
      <w:r w:rsidRPr="00463949" w:rsidR="00BF614D">
        <w:rPr>
          <w:rFonts w:ascii="Times New Roman" w:hAnsi="Times New Roman" w:cs="Times New Roman"/>
          <w:sz w:val="24"/>
          <w:szCs w:val="24"/>
        </w:rPr>
        <w:t xml:space="preserve">worden </w:t>
      </w:r>
      <w:r w:rsidRPr="00463949">
        <w:rPr>
          <w:rFonts w:ascii="Times New Roman" w:hAnsi="Times New Roman" w:cs="Times New Roman"/>
          <w:sz w:val="24"/>
          <w:szCs w:val="24"/>
        </w:rPr>
        <w:t>opgenomen.</w:t>
      </w:r>
      <w:r w:rsidRPr="00463949" w:rsidR="00616D05">
        <w:rPr>
          <w:rFonts w:ascii="Times New Roman" w:hAnsi="Times New Roman" w:cs="Times New Roman"/>
          <w:sz w:val="24"/>
          <w:szCs w:val="24"/>
        </w:rPr>
        <w:t xml:space="preserve"> In het Regeerprogramma Schoof </w:t>
      </w:r>
      <w:r w:rsidRPr="00463949" w:rsidR="00616D05">
        <w:rPr>
          <w:rFonts w:ascii="Times New Roman" w:hAnsi="Times New Roman" w:cs="Times New Roman"/>
          <w:sz w:val="24"/>
          <w:szCs w:val="24"/>
        </w:rPr>
        <w:lastRenderedPageBreak/>
        <w:t>is dit uitgangspunt nog eens benadrukt.</w:t>
      </w:r>
      <w:r w:rsidRPr="00463949" w:rsidR="00BD720F">
        <w:rPr>
          <w:rStyle w:val="Voetnootmarkering"/>
          <w:rFonts w:ascii="Times New Roman" w:hAnsi="Times New Roman" w:cs="Times New Roman"/>
          <w:sz w:val="24"/>
          <w:szCs w:val="24"/>
        </w:rPr>
        <w:footnoteReference w:id="47"/>
      </w:r>
      <w:r w:rsidRPr="00463949">
        <w:rPr>
          <w:rFonts w:ascii="Times New Roman" w:hAnsi="Times New Roman" w:cs="Times New Roman"/>
          <w:sz w:val="24"/>
          <w:szCs w:val="24"/>
        </w:rPr>
        <w:t xml:space="preserve"> Er mag dus geen nationaal beleid of nationale regelgeving van andere aard worden meegenomen.</w:t>
      </w:r>
      <w:r w:rsidRPr="00463949" w:rsidR="00BD720F">
        <w:rPr>
          <w:rFonts w:ascii="Times New Roman" w:hAnsi="Times New Roman" w:cs="Times New Roman"/>
          <w:sz w:val="24"/>
          <w:szCs w:val="24"/>
        </w:rPr>
        <w:t xml:space="preserve"> </w:t>
      </w:r>
      <w:r w:rsidRPr="00463949" w:rsidR="00461087">
        <w:rPr>
          <w:rFonts w:ascii="Times New Roman" w:hAnsi="Times New Roman" w:cs="Times New Roman"/>
          <w:sz w:val="24"/>
          <w:szCs w:val="24"/>
        </w:rPr>
        <w:t xml:space="preserve">Verder is van belang dat de </w:t>
      </w:r>
      <w:r w:rsidRPr="00463949" w:rsidR="00BD720F">
        <w:rPr>
          <w:rFonts w:ascii="Times New Roman" w:hAnsi="Times New Roman" w:cs="Times New Roman"/>
          <w:sz w:val="24"/>
          <w:szCs w:val="24"/>
        </w:rPr>
        <w:t>Richtlijn de kring van aansprakelijke marktdeelnemers uit</w:t>
      </w:r>
      <w:r w:rsidRPr="00463949" w:rsidR="00461087">
        <w:rPr>
          <w:rFonts w:ascii="Times New Roman" w:hAnsi="Times New Roman" w:cs="Times New Roman"/>
          <w:sz w:val="24"/>
          <w:szCs w:val="24"/>
        </w:rPr>
        <w:t>breidt</w:t>
      </w:r>
      <w:r w:rsidRPr="00463949" w:rsidR="00BD720F">
        <w:rPr>
          <w:rFonts w:ascii="Times New Roman" w:hAnsi="Times New Roman" w:cs="Times New Roman"/>
          <w:sz w:val="24"/>
          <w:szCs w:val="24"/>
        </w:rPr>
        <w:t xml:space="preserve"> met onder andere de gemachtigde van de fabrikant, de fulfilmentdienstverlener en</w:t>
      </w:r>
      <w:r w:rsidRPr="00463949" w:rsidR="00344B8B">
        <w:rPr>
          <w:rFonts w:ascii="Times New Roman" w:hAnsi="Times New Roman" w:cs="Times New Roman"/>
          <w:sz w:val="24"/>
          <w:szCs w:val="24"/>
        </w:rPr>
        <w:t>, onder voorwaarden,</w:t>
      </w:r>
      <w:r w:rsidRPr="00463949" w:rsidR="00BD720F">
        <w:rPr>
          <w:rFonts w:ascii="Times New Roman" w:hAnsi="Times New Roman" w:cs="Times New Roman"/>
          <w:sz w:val="24"/>
          <w:szCs w:val="24"/>
        </w:rPr>
        <w:t xml:space="preserve"> onlineplatforms. </w:t>
      </w:r>
      <w:r w:rsidRPr="00463949" w:rsidR="00D2504A">
        <w:rPr>
          <w:rFonts w:ascii="Times New Roman" w:hAnsi="Times New Roman" w:cs="Times New Roman"/>
          <w:sz w:val="24"/>
          <w:szCs w:val="24"/>
        </w:rPr>
        <w:t xml:space="preserve">Dit brengt mee dat er vaker een aansprakelijke </w:t>
      </w:r>
      <w:r w:rsidRPr="00463949" w:rsidR="00BF614D">
        <w:rPr>
          <w:rFonts w:ascii="Times New Roman" w:hAnsi="Times New Roman" w:cs="Times New Roman"/>
          <w:sz w:val="24"/>
          <w:szCs w:val="24"/>
        </w:rPr>
        <w:t>marktdeelnemer</w:t>
      </w:r>
      <w:r w:rsidRPr="00463949" w:rsidR="00D2504A">
        <w:rPr>
          <w:rFonts w:ascii="Times New Roman" w:hAnsi="Times New Roman" w:cs="Times New Roman"/>
          <w:sz w:val="24"/>
          <w:szCs w:val="24"/>
        </w:rPr>
        <w:t xml:space="preserve"> in de EU</w:t>
      </w:r>
      <w:r w:rsidRPr="00463949" w:rsidR="00C455A8">
        <w:rPr>
          <w:rFonts w:ascii="Times New Roman" w:hAnsi="Times New Roman" w:cs="Times New Roman"/>
          <w:sz w:val="24"/>
          <w:szCs w:val="24"/>
        </w:rPr>
        <w:t xml:space="preserve"> zal zijn tot wie de consument zich kan wenden</w:t>
      </w:r>
      <w:r w:rsidRPr="00463949" w:rsidR="00D2504A">
        <w:rPr>
          <w:rFonts w:ascii="Times New Roman" w:hAnsi="Times New Roman" w:cs="Times New Roman"/>
          <w:sz w:val="24"/>
          <w:szCs w:val="24"/>
        </w:rPr>
        <w:t xml:space="preserve">. Na inwerkingtreding van de implementatiewet zal worden </w:t>
      </w:r>
      <w:r w:rsidRPr="00463949" w:rsidR="00BF614D">
        <w:rPr>
          <w:rFonts w:ascii="Times New Roman" w:hAnsi="Times New Roman" w:cs="Times New Roman"/>
          <w:sz w:val="24"/>
          <w:szCs w:val="24"/>
        </w:rPr>
        <w:t>b</w:t>
      </w:r>
      <w:r w:rsidRPr="00463949" w:rsidR="00461087">
        <w:rPr>
          <w:rFonts w:ascii="Times New Roman" w:hAnsi="Times New Roman" w:cs="Times New Roman"/>
          <w:sz w:val="24"/>
          <w:szCs w:val="24"/>
        </w:rPr>
        <w:t>e</w:t>
      </w:r>
      <w:r w:rsidRPr="00463949" w:rsidR="00D2504A">
        <w:rPr>
          <w:rFonts w:ascii="Times New Roman" w:hAnsi="Times New Roman" w:cs="Times New Roman"/>
          <w:sz w:val="24"/>
          <w:szCs w:val="24"/>
        </w:rPr>
        <w:t xml:space="preserve">keken hoe de kanalisatiebepaling in de praktijk uitwerkt. Mochten er signalen </w:t>
      </w:r>
      <w:r w:rsidRPr="00463949" w:rsidR="00344B8B">
        <w:rPr>
          <w:rFonts w:ascii="Times New Roman" w:hAnsi="Times New Roman" w:cs="Times New Roman"/>
          <w:sz w:val="24"/>
          <w:szCs w:val="24"/>
        </w:rPr>
        <w:t xml:space="preserve">zijn </w:t>
      </w:r>
      <w:r w:rsidRPr="00463949" w:rsidR="00D2504A">
        <w:rPr>
          <w:rFonts w:ascii="Times New Roman" w:hAnsi="Times New Roman" w:cs="Times New Roman"/>
          <w:sz w:val="24"/>
          <w:szCs w:val="24"/>
        </w:rPr>
        <w:t>dat</w:t>
      </w:r>
      <w:r w:rsidRPr="00463949" w:rsidR="00843852">
        <w:rPr>
          <w:rFonts w:ascii="Times New Roman" w:hAnsi="Times New Roman" w:cs="Times New Roman"/>
          <w:sz w:val="24"/>
          <w:szCs w:val="24"/>
        </w:rPr>
        <w:t xml:space="preserve"> consumenten </w:t>
      </w:r>
      <w:r w:rsidRPr="00463949" w:rsidR="003406A3">
        <w:rPr>
          <w:rFonts w:ascii="Times New Roman" w:hAnsi="Times New Roman" w:cs="Times New Roman"/>
          <w:sz w:val="24"/>
          <w:szCs w:val="24"/>
        </w:rPr>
        <w:t>problemen ondervinden bij het halen van hun recht</w:t>
      </w:r>
      <w:r w:rsidRPr="00463949" w:rsidR="00D2504A">
        <w:rPr>
          <w:rFonts w:ascii="Times New Roman" w:hAnsi="Times New Roman" w:cs="Times New Roman"/>
          <w:sz w:val="24"/>
          <w:szCs w:val="24"/>
        </w:rPr>
        <w:t xml:space="preserve">, dan zal worden bezien of, en zo ja, </w:t>
      </w:r>
      <w:r w:rsidRPr="00463949" w:rsidR="00BF614D">
        <w:rPr>
          <w:rFonts w:ascii="Times New Roman" w:hAnsi="Times New Roman" w:cs="Times New Roman"/>
          <w:sz w:val="24"/>
          <w:szCs w:val="24"/>
        </w:rPr>
        <w:t>op welke wijze</w:t>
      </w:r>
      <w:r w:rsidRPr="00463949" w:rsidR="00D2504A">
        <w:rPr>
          <w:rFonts w:ascii="Times New Roman" w:hAnsi="Times New Roman" w:cs="Times New Roman"/>
          <w:sz w:val="24"/>
          <w:szCs w:val="24"/>
        </w:rPr>
        <w:t xml:space="preserve"> de kanalisatiebepaling dient te worden aangepast.</w:t>
      </w:r>
    </w:p>
    <w:p w:rsidRPr="00463949" w:rsidR="00C27FE5" w:rsidP="00C0072E" w:rsidRDefault="00C27FE5" w14:paraId="1DE4FF36" w14:textId="77777777">
      <w:pPr>
        <w:spacing w:after="0" w:line="276" w:lineRule="auto"/>
        <w:rPr>
          <w:rFonts w:ascii="Times New Roman" w:hAnsi="Times New Roman" w:cs="Times New Roman"/>
          <w:sz w:val="24"/>
          <w:szCs w:val="24"/>
        </w:rPr>
      </w:pPr>
    </w:p>
    <w:bookmarkEnd w:id="7"/>
    <w:p w:rsidRPr="00463949" w:rsidR="00DC4B24" w:rsidP="00DC4B24" w:rsidRDefault="00DC4B24" w14:paraId="7C6E2A33" w14:textId="77777777">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(Afwijking van) het ontwikkelingsrisicoverweer</w:t>
      </w:r>
    </w:p>
    <w:p w:rsidRPr="00463949" w:rsidR="00DC4B24" w:rsidP="00DC4B24" w:rsidRDefault="00DC4B24" w14:paraId="2955DCC4" w14:textId="77777777">
      <w:pPr>
        <w:spacing w:after="0" w:line="276" w:lineRule="auto"/>
        <w:rPr>
          <w:rFonts w:ascii="Times New Roman" w:hAnsi="Times New Roman" w:cs="Times New Roman"/>
          <w:sz w:val="24"/>
          <w:szCs w:val="24"/>
        </w:rPr>
      </w:pPr>
    </w:p>
    <w:p w:rsidRPr="00463949" w:rsidR="00DC4B24" w:rsidP="00DC4B24" w:rsidRDefault="00DC4B24" w14:paraId="5E0316F4" w14:textId="3A2A33B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Consumentenbond adviseert om een afwijking van het ontwikkelingsrisicoverweer op te nemen voor “consumentengevoelige productcategorieën</w:t>
      </w:r>
      <w:r w:rsidRPr="00463949" w:rsidR="00263AD8">
        <w:rPr>
          <w:rFonts w:ascii="Times New Roman" w:hAnsi="Times New Roman" w:cs="Times New Roman"/>
          <w:sz w:val="24"/>
          <w:szCs w:val="24"/>
        </w:rPr>
        <w:t xml:space="preserve"> zoals kinderproducten, medische hulpmiddelen, voeding en AI-gestuurde consumentenelektronica</w:t>
      </w:r>
      <w:r w:rsidRPr="00463949">
        <w:rPr>
          <w:rFonts w:ascii="Times New Roman" w:hAnsi="Times New Roman" w:cs="Times New Roman"/>
          <w:sz w:val="24"/>
          <w:szCs w:val="24"/>
        </w:rPr>
        <w:t xml:space="preserve">”. Dit advies wordt niet opgevolgd, omdat de noodzaak van een dergelijke afwijking onvoldoende is gebleken. De Richtlijn beoogt een balans te vinden tussen een hoog niveau van consumentenbescherming en de belangen van het bedrijfsleven en innovatie. Afwijking van het ontwikkelingsrisicoverweer leidt tot een ruimere aansprakelijkheid van marktdeelnemers. Zij zijn in dat geval ook risicoaansprakelijk als het op grond van de objectieve stand van de wetenschap en technische kennis niet mogelijk was het gebrek te ontdekken op, kort gezegd, het moment dat het product in de handel werd gebracht. Dit kan innovatie belemmeren en afremmen. </w:t>
      </w:r>
      <w:r w:rsidRPr="00463949" w:rsidR="009336B9">
        <w:rPr>
          <w:rFonts w:ascii="Times New Roman" w:hAnsi="Times New Roman" w:cs="Times New Roman"/>
          <w:sz w:val="24"/>
          <w:szCs w:val="24"/>
        </w:rPr>
        <w:t>Ook onder Richtlijn 85/374 heeft Nederland niet gekozen voor de optie om af te wijken van het ontwikkelingsrisicoverweer. In die zin is de keuze om geen gebruik te maken van de afwijkingsmogelijkheid in de Richtlijn ook in overeenstemming met het uitgangspunt in het Regeerprogramma van zuivere implementatie.</w:t>
      </w:r>
    </w:p>
    <w:p w:rsidRPr="00463949" w:rsidR="00DC4B24" w:rsidP="00DC4B24" w:rsidRDefault="00DC4B24" w14:paraId="379480FB" w14:textId="77777777">
      <w:pPr>
        <w:spacing w:after="0" w:line="276" w:lineRule="auto"/>
        <w:rPr>
          <w:rFonts w:ascii="Times New Roman" w:hAnsi="Times New Roman" w:cs="Times New Roman"/>
          <w:sz w:val="24"/>
          <w:szCs w:val="24"/>
        </w:rPr>
      </w:pPr>
    </w:p>
    <w:p w:rsidRPr="00463949" w:rsidR="00DC4B24" w:rsidP="00DC4B24" w:rsidRDefault="00DC4B24" w14:paraId="5724FE11" w14:textId="77777777">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‘Regulatory compliance defence’ (gebrek is gevolg van naleven wettelijke voorschriften)</w:t>
      </w:r>
    </w:p>
    <w:p w:rsidRPr="00463949" w:rsidR="00DC4B24" w:rsidP="00DC4B24" w:rsidRDefault="00DC4B24" w14:paraId="4133A6B2" w14:textId="77777777">
      <w:pPr>
        <w:spacing w:after="0" w:line="276" w:lineRule="auto"/>
        <w:rPr>
          <w:rFonts w:ascii="Times New Roman" w:hAnsi="Times New Roman" w:cs="Times New Roman"/>
          <w:sz w:val="24"/>
          <w:szCs w:val="24"/>
        </w:rPr>
      </w:pPr>
    </w:p>
    <w:p w:rsidRPr="00463949" w:rsidR="00DC4B24" w:rsidP="00DC4B24" w:rsidRDefault="00DC4B24" w14:paraId="758ED04E" w14:textId="5D4F83C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Consumentenbond is ook kritisch op het zogenoemde </w:t>
      </w:r>
      <w:r w:rsidRPr="00463949">
        <w:rPr>
          <w:rFonts w:ascii="Times New Roman" w:hAnsi="Times New Roman" w:cs="Times New Roman"/>
          <w:i/>
          <w:iCs/>
          <w:sz w:val="24"/>
          <w:szCs w:val="24"/>
        </w:rPr>
        <w:t>regulatory compliance defence</w:t>
      </w:r>
      <w:r w:rsidRPr="00463949">
        <w:rPr>
          <w:rFonts w:ascii="Times New Roman" w:hAnsi="Times New Roman" w:cs="Times New Roman"/>
          <w:sz w:val="24"/>
          <w:szCs w:val="24"/>
        </w:rPr>
        <w:t xml:space="preserve"> </w:t>
      </w:r>
      <w:r w:rsidRPr="00463949" w:rsidR="00F6022C">
        <w:rPr>
          <w:rFonts w:ascii="Times New Roman" w:hAnsi="Times New Roman" w:cs="Times New Roman"/>
          <w:sz w:val="24"/>
          <w:szCs w:val="24"/>
        </w:rPr>
        <w:t>(</w:t>
      </w:r>
      <w:r w:rsidRPr="00463949">
        <w:rPr>
          <w:rFonts w:ascii="Times New Roman" w:hAnsi="Times New Roman" w:cs="Times New Roman"/>
          <w:sz w:val="24"/>
          <w:szCs w:val="24"/>
        </w:rPr>
        <w:t>artikel 11 lid 1, onderdeel d, Richtlijn</w:t>
      </w:r>
      <w:r w:rsidRPr="00463949" w:rsidR="00F6022C">
        <w:rPr>
          <w:rFonts w:ascii="Times New Roman" w:hAnsi="Times New Roman" w:cs="Times New Roman"/>
          <w:sz w:val="24"/>
          <w:szCs w:val="24"/>
        </w:rPr>
        <w:t xml:space="preserve">; </w:t>
      </w:r>
      <w:r w:rsidRPr="00463949">
        <w:rPr>
          <w:rFonts w:ascii="Times New Roman" w:hAnsi="Times New Roman" w:cs="Times New Roman"/>
          <w:sz w:val="24"/>
          <w:szCs w:val="24"/>
        </w:rPr>
        <w:t>geïmplementeerd in artikel 6:185 lid 1, onderdeel d, BW)</w:t>
      </w:r>
      <w:r w:rsidRPr="00463949">
        <w:rPr>
          <w:rFonts w:ascii="Times New Roman" w:hAnsi="Times New Roman" w:cs="Times New Roman"/>
          <w:i/>
          <w:iCs/>
          <w:sz w:val="24"/>
          <w:szCs w:val="24"/>
        </w:rPr>
        <w:t xml:space="preserve">. </w:t>
      </w:r>
      <w:r w:rsidRPr="00463949">
        <w:rPr>
          <w:rFonts w:ascii="Times New Roman" w:hAnsi="Times New Roman" w:cs="Times New Roman"/>
          <w:sz w:val="24"/>
          <w:szCs w:val="24"/>
        </w:rPr>
        <w:t>Zij vraagt om hieraan een bepaling toe te voegen met de strekking dat naleving van minimumnormen geen vrijwaring van aansprakelijkheid biedt wanneer het product desondanks onvoldoende veilig is gebleken.</w:t>
      </w:r>
    </w:p>
    <w:p w:rsidRPr="00463949" w:rsidR="00DC4B24" w:rsidP="00DC4B24" w:rsidRDefault="00DC4B24" w14:paraId="02DA31C8" w14:textId="77777777">
      <w:pPr>
        <w:spacing w:after="0" w:line="276" w:lineRule="auto"/>
        <w:rPr>
          <w:rFonts w:ascii="Times New Roman" w:hAnsi="Times New Roman" w:cs="Times New Roman"/>
          <w:sz w:val="24"/>
          <w:szCs w:val="24"/>
        </w:rPr>
      </w:pPr>
    </w:p>
    <w:p w:rsidRPr="00463949" w:rsidR="00DC4B24" w:rsidP="00DC4B24" w:rsidRDefault="00DC4B24" w14:paraId="07B4796F" w14:textId="6F86E62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Het </w:t>
      </w:r>
      <w:r w:rsidRPr="00463949">
        <w:rPr>
          <w:rFonts w:ascii="Times New Roman" w:hAnsi="Times New Roman" w:cs="Times New Roman"/>
          <w:i/>
          <w:iCs/>
          <w:sz w:val="24"/>
          <w:szCs w:val="24"/>
        </w:rPr>
        <w:t>regulatory compliance defence</w:t>
      </w:r>
      <w:r w:rsidRPr="00463949">
        <w:rPr>
          <w:rFonts w:ascii="Times New Roman" w:hAnsi="Times New Roman" w:cs="Times New Roman"/>
          <w:sz w:val="24"/>
          <w:szCs w:val="24"/>
        </w:rPr>
        <w:t xml:space="preserve"> maakt ook </w:t>
      </w:r>
      <w:r w:rsidRPr="00463949" w:rsidR="00F6022C">
        <w:rPr>
          <w:rFonts w:ascii="Times New Roman" w:hAnsi="Times New Roman" w:cs="Times New Roman"/>
          <w:sz w:val="24"/>
          <w:szCs w:val="24"/>
        </w:rPr>
        <w:t xml:space="preserve">al </w:t>
      </w:r>
      <w:r w:rsidRPr="00463949">
        <w:rPr>
          <w:rFonts w:ascii="Times New Roman" w:hAnsi="Times New Roman" w:cs="Times New Roman"/>
          <w:sz w:val="24"/>
          <w:szCs w:val="24"/>
        </w:rPr>
        <w:t>onderdeel uit van</w:t>
      </w:r>
      <w:r w:rsidRPr="00463949" w:rsidR="006A7ABD">
        <w:rPr>
          <w:rFonts w:ascii="Times New Roman" w:hAnsi="Times New Roman" w:cs="Times New Roman"/>
          <w:sz w:val="24"/>
          <w:szCs w:val="24"/>
        </w:rPr>
        <w:t xml:space="preserve"> Richtlijn 85/374</w:t>
      </w:r>
      <w:r w:rsidRPr="00463949">
        <w:rPr>
          <w:rFonts w:ascii="Times New Roman" w:hAnsi="Times New Roman" w:cs="Times New Roman"/>
          <w:sz w:val="24"/>
          <w:szCs w:val="24"/>
        </w:rPr>
        <w:t>.</w:t>
      </w:r>
      <w:r w:rsidRPr="00463949">
        <w:rPr>
          <w:rStyle w:val="Voetnootmarkering"/>
          <w:rFonts w:ascii="Times New Roman" w:hAnsi="Times New Roman" w:cs="Times New Roman"/>
          <w:sz w:val="24"/>
          <w:szCs w:val="24"/>
        </w:rPr>
        <w:footnoteReference w:id="48"/>
      </w:r>
      <w:r w:rsidRPr="00463949">
        <w:rPr>
          <w:rFonts w:ascii="Times New Roman" w:hAnsi="Times New Roman" w:cs="Times New Roman"/>
          <w:sz w:val="24"/>
          <w:szCs w:val="24"/>
        </w:rPr>
        <w:t xml:space="preserve"> Het houdt in dat een marktdeelnemer niet aansprakelijk is als hij aantoont dat het gebrek dat de schade heeft veroorzaakt een gevolg is van het feit dat het product in overeenstemming is met wettelijke voorschriften. De marktdeelnemer zal dus moeten aantonen dat het ontwerp of de samenstelling van het product wettelijk is voorgeschreven en dat het gebrek rechtstreeks </w:t>
      </w:r>
      <w:r w:rsidRPr="00463949">
        <w:rPr>
          <w:rFonts w:ascii="Times New Roman" w:hAnsi="Times New Roman" w:cs="Times New Roman"/>
          <w:sz w:val="24"/>
          <w:szCs w:val="24"/>
        </w:rPr>
        <w:lastRenderedPageBreak/>
        <w:t xml:space="preserve">voortvloeit uit de noodzaak om deze voorschriften in acht te nemen. Slaagt de marktdeelnemer hierin, dan is hij gevrijwaard van aansprakelijkheid. Onder </w:t>
      </w:r>
      <w:r w:rsidRPr="00463949" w:rsidR="00B14E70">
        <w:rPr>
          <w:rFonts w:ascii="Times New Roman" w:hAnsi="Times New Roman" w:cs="Times New Roman"/>
          <w:sz w:val="24"/>
          <w:szCs w:val="24"/>
        </w:rPr>
        <w:t xml:space="preserve">Richtlijn 85/374 </w:t>
      </w:r>
      <w:r w:rsidRPr="00463949">
        <w:rPr>
          <w:rFonts w:ascii="Times New Roman" w:hAnsi="Times New Roman" w:cs="Times New Roman"/>
          <w:sz w:val="24"/>
          <w:szCs w:val="24"/>
        </w:rPr>
        <w:t>is dit verweer, voor zover bekend, nog nooit aantoonbaar toegepast.</w:t>
      </w:r>
      <w:r w:rsidRPr="00463949">
        <w:rPr>
          <w:rStyle w:val="Voetnootmarkering"/>
          <w:rFonts w:ascii="Times New Roman" w:hAnsi="Times New Roman" w:cs="Times New Roman"/>
          <w:sz w:val="24"/>
          <w:szCs w:val="24"/>
        </w:rPr>
        <w:footnoteReference w:id="49"/>
      </w:r>
      <w:r w:rsidRPr="00463949">
        <w:rPr>
          <w:rFonts w:ascii="Times New Roman" w:hAnsi="Times New Roman" w:cs="Times New Roman"/>
          <w:sz w:val="24"/>
          <w:szCs w:val="24"/>
        </w:rPr>
        <w:t xml:space="preserve"> De verwachting is dan ook dat deze situatie zich in de praktijk niet of nauwelijks zal voordoen. Zoals hiervoor is opgemerkt, laat de Richtlijn geen ruimte voor het invoeren van nieuwe regels over productaansprakelijkheid op nationaal niveau</w:t>
      </w:r>
      <w:r w:rsidRPr="00463949" w:rsidR="00507082">
        <w:rPr>
          <w:rFonts w:ascii="Times New Roman" w:hAnsi="Times New Roman" w:cs="Times New Roman"/>
          <w:sz w:val="24"/>
          <w:szCs w:val="24"/>
        </w:rPr>
        <w:t xml:space="preserve"> (maximumharmonisatie)</w:t>
      </w:r>
      <w:r w:rsidRPr="00463949">
        <w:rPr>
          <w:rFonts w:ascii="Times New Roman" w:hAnsi="Times New Roman" w:cs="Times New Roman"/>
          <w:sz w:val="24"/>
          <w:szCs w:val="24"/>
        </w:rPr>
        <w:t>. Daarbij is ook van belang dat in de implementatiewet alleen regels die volgen uit de Richtlijn mogen worden opgenomen. Het voorstel</w:t>
      </w:r>
      <w:r w:rsidRPr="00463949" w:rsidR="00175B0A">
        <w:rPr>
          <w:rFonts w:ascii="Times New Roman" w:hAnsi="Times New Roman" w:cs="Times New Roman"/>
          <w:sz w:val="24"/>
          <w:szCs w:val="24"/>
        </w:rPr>
        <w:t xml:space="preserve"> van de Consumentenbond</w:t>
      </w:r>
      <w:r w:rsidRPr="00463949">
        <w:rPr>
          <w:rFonts w:ascii="Times New Roman" w:hAnsi="Times New Roman" w:cs="Times New Roman"/>
          <w:sz w:val="24"/>
          <w:szCs w:val="24"/>
        </w:rPr>
        <w:t xml:space="preserve"> lijkt er bovendien aan voorbij te </w:t>
      </w:r>
      <w:r w:rsidRPr="00463949" w:rsidR="00175B0A">
        <w:rPr>
          <w:rFonts w:ascii="Times New Roman" w:hAnsi="Times New Roman" w:cs="Times New Roman"/>
          <w:sz w:val="24"/>
          <w:szCs w:val="24"/>
        </w:rPr>
        <w:t xml:space="preserve">gaan </w:t>
      </w:r>
      <w:r w:rsidRPr="00463949">
        <w:rPr>
          <w:rFonts w:ascii="Times New Roman" w:hAnsi="Times New Roman" w:cs="Times New Roman"/>
          <w:sz w:val="24"/>
          <w:szCs w:val="24"/>
        </w:rPr>
        <w:t xml:space="preserve">dat marktdeelnemers het </w:t>
      </w:r>
      <w:r w:rsidRPr="00463949">
        <w:rPr>
          <w:rFonts w:ascii="Times New Roman" w:hAnsi="Times New Roman" w:cs="Times New Roman"/>
          <w:i/>
          <w:iCs/>
          <w:sz w:val="24"/>
          <w:szCs w:val="24"/>
        </w:rPr>
        <w:t>regulatory compliance</w:t>
      </w:r>
      <w:r w:rsidRPr="00463949">
        <w:rPr>
          <w:rFonts w:ascii="Times New Roman" w:hAnsi="Times New Roman" w:cs="Times New Roman"/>
          <w:sz w:val="24"/>
          <w:szCs w:val="24"/>
        </w:rPr>
        <w:t>-verweer alleen met succes kunnen inroepen als er een oorzakelijk verband bestaat tussen het naleven van wettelijke voorschriften en het ontstaan van het gebrek.</w:t>
      </w:r>
      <w:r w:rsidRPr="00463949" w:rsidR="00175B0A">
        <w:rPr>
          <w:rFonts w:ascii="Times New Roman" w:hAnsi="Times New Roman" w:cs="Times New Roman"/>
          <w:sz w:val="24"/>
          <w:szCs w:val="24"/>
        </w:rPr>
        <w:t xml:space="preserve"> Het voorstel van de Consumentenbond is daarom niet overgenomen</w:t>
      </w:r>
      <w:r w:rsidRPr="00463949" w:rsidR="003D6ED5">
        <w:rPr>
          <w:rFonts w:ascii="Times New Roman" w:hAnsi="Times New Roman" w:cs="Times New Roman"/>
          <w:sz w:val="24"/>
          <w:szCs w:val="24"/>
        </w:rPr>
        <w:t xml:space="preserve"> in het wetsvoorstel</w:t>
      </w:r>
      <w:r w:rsidRPr="00463949" w:rsidR="00175B0A">
        <w:rPr>
          <w:rFonts w:ascii="Times New Roman" w:hAnsi="Times New Roman" w:cs="Times New Roman"/>
          <w:sz w:val="24"/>
          <w:szCs w:val="24"/>
        </w:rPr>
        <w:t>.</w:t>
      </w:r>
    </w:p>
    <w:p w:rsidRPr="00463949" w:rsidR="00DC4B24" w:rsidP="00DC4B24" w:rsidRDefault="00DC4B24" w14:paraId="31A35E82" w14:textId="77777777">
      <w:pPr>
        <w:spacing w:after="0" w:line="276" w:lineRule="auto"/>
        <w:rPr>
          <w:rFonts w:ascii="Times New Roman" w:hAnsi="Times New Roman" w:cs="Times New Roman"/>
          <w:sz w:val="24"/>
          <w:szCs w:val="24"/>
        </w:rPr>
      </w:pPr>
    </w:p>
    <w:p w:rsidRPr="00463949" w:rsidR="00DC4B24" w:rsidP="00DC4B24" w:rsidRDefault="00DC4B24" w14:paraId="636D8120" w14:textId="77777777">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Dropshipping en directe import</w:t>
      </w:r>
    </w:p>
    <w:p w:rsidRPr="00463949" w:rsidR="00DC4B24" w:rsidP="00DC4B24" w:rsidRDefault="00DC4B24" w14:paraId="7AFF8665" w14:textId="77777777">
      <w:pPr>
        <w:spacing w:after="0" w:line="276" w:lineRule="auto"/>
        <w:rPr>
          <w:rFonts w:ascii="Times New Roman" w:hAnsi="Times New Roman" w:cs="Times New Roman"/>
          <w:sz w:val="24"/>
          <w:szCs w:val="24"/>
        </w:rPr>
      </w:pPr>
    </w:p>
    <w:p w:rsidRPr="00463949" w:rsidR="00DC4B24" w:rsidP="00DC4B24" w:rsidRDefault="00DC4B24" w14:paraId="37D3CA13" w14:textId="7777777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Consumentenbond doet twee voorstellen tot uitbreiding van de productaansprakelijkheidsregeling met het oog op dropshipping en directe import. Bij </w:t>
      </w:r>
      <w:r w:rsidRPr="00463949">
        <w:rPr>
          <w:rFonts w:ascii="Times New Roman" w:hAnsi="Times New Roman" w:cs="Times New Roman"/>
          <w:i/>
          <w:iCs/>
          <w:sz w:val="24"/>
          <w:szCs w:val="24"/>
        </w:rPr>
        <w:t>dropshipping</w:t>
      </w:r>
      <w:r w:rsidRPr="00463949">
        <w:rPr>
          <w:rFonts w:ascii="Times New Roman" w:hAnsi="Times New Roman" w:cs="Times New Roman"/>
          <w:sz w:val="24"/>
          <w:szCs w:val="24"/>
        </w:rPr>
        <w:t xml:space="preserve"> verkoopt een ‘dropshipper’ producten zonder deze zelf op voorraad te hebben. Dit doet hij bijvoorbeeld door online producten uit landen buiten de EU door te verkopen, bijvoorbeeld uit webwinkels in China, en deze rechtstreeks naar de klant te laten verzenden. Bij directe import koopt een consument zelf rechtstreeks producten via een webwinkel of online platform buiten de EU, zonder tussenkomst van een importeur en/of distributeur.</w:t>
      </w:r>
    </w:p>
    <w:p w:rsidRPr="00463949" w:rsidR="00DC4B24" w:rsidP="00DC4B24" w:rsidRDefault="00DC4B24" w14:paraId="52FC1EA2" w14:textId="77777777">
      <w:pPr>
        <w:spacing w:after="0" w:line="276" w:lineRule="auto"/>
        <w:rPr>
          <w:rFonts w:ascii="Times New Roman" w:hAnsi="Times New Roman" w:cs="Times New Roman"/>
          <w:sz w:val="24"/>
          <w:szCs w:val="24"/>
        </w:rPr>
      </w:pPr>
    </w:p>
    <w:p w:rsidRPr="00463949" w:rsidR="00DC4B24" w:rsidP="00DC4B24" w:rsidRDefault="00DC4B24" w14:paraId="2D2FFDA0" w14:textId="3086650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het geval van dropshipping en directe import is er geen aansprakelijke partij in de EU op grond van de Richtlijn. Zoals ook hiervoor is opgemerkt, laat de Richtlijn geen ruimte voor het invoeren van nieuwe regels over productaansprakelijkheid op nationaal niveau (maximumharmonisatie). Bovendien volgt uit het Regeerprogramma dat in de implementatiewet alleen regels die volgen uit de Richtlijn mogen worden opgenomen. </w:t>
      </w:r>
      <w:r w:rsidRPr="00463949" w:rsidR="00175B0A">
        <w:rPr>
          <w:rFonts w:ascii="Times New Roman" w:hAnsi="Times New Roman" w:cs="Times New Roman"/>
          <w:sz w:val="24"/>
          <w:szCs w:val="24"/>
        </w:rPr>
        <w:t xml:space="preserve">Dit geldt ook voor het voorstel van de Consumentenbond om onlineplatforms hoofdelijk aansprakelijk te maken als zij verkopers van buiten de EU toelaten op het platform zonder vooraf te controleren of er een EU-importeur of gemachtigde is. </w:t>
      </w:r>
      <w:r w:rsidRPr="00463949">
        <w:rPr>
          <w:rFonts w:ascii="Times New Roman" w:hAnsi="Times New Roman" w:cs="Times New Roman"/>
          <w:sz w:val="24"/>
          <w:szCs w:val="24"/>
        </w:rPr>
        <w:t xml:space="preserve">De voorstellen van de Consumentenbond zijn daarom niet overgenomen. </w:t>
      </w:r>
    </w:p>
    <w:p w:rsidRPr="00463949" w:rsidR="00DC4B24" w:rsidP="00DC4B24" w:rsidRDefault="00DC4B24" w14:paraId="2521B59F" w14:textId="77777777">
      <w:pPr>
        <w:spacing w:after="0" w:line="276" w:lineRule="auto"/>
        <w:rPr>
          <w:rFonts w:ascii="Times New Roman" w:hAnsi="Times New Roman" w:cs="Times New Roman"/>
          <w:sz w:val="24"/>
          <w:szCs w:val="24"/>
        </w:rPr>
      </w:pPr>
    </w:p>
    <w:p w:rsidRPr="00463949" w:rsidR="00DC4B24" w:rsidP="00DC4B24" w:rsidRDefault="00DC4B24" w14:paraId="19416E14" w14:textId="16CFB269">
      <w:pPr>
        <w:spacing w:after="0" w:line="276" w:lineRule="auto"/>
        <w:rPr>
          <w:rFonts w:ascii="Times New Roman" w:hAnsi="Times New Roman" w:cs="Times New Roman"/>
          <w:sz w:val="24"/>
          <w:szCs w:val="24"/>
        </w:rPr>
      </w:pPr>
      <w:bookmarkStart w:name="_Hlk203495295" w:id="8"/>
      <w:r w:rsidRPr="00463949">
        <w:rPr>
          <w:rFonts w:ascii="Times New Roman" w:hAnsi="Times New Roman" w:cs="Times New Roman"/>
          <w:sz w:val="24"/>
          <w:szCs w:val="24"/>
        </w:rPr>
        <w:t>Het voorgaande neemt niet weg dat het belangrijk is dat consumenten zich bewust zijn van de risico’s van dropshipping en directe import. Om consumenten hierover voor te lichten, is op de website van de Rijksoverheid een pagina ingericht met informatie over hun rechten bij directe import.</w:t>
      </w:r>
      <w:r w:rsidRPr="00463949">
        <w:rPr>
          <w:rStyle w:val="Voetnootmarkering"/>
          <w:rFonts w:ascii="Times New Roman" w:hAnsi="Times New Roman" w:cs="Times New Roman"/>
          <w:sz w:val="24"/>
          <w:szCs w:val="24"/>
        </w:rPr>
        <w:footnoteReference w:id="50"/>
      </w:r>
      <w:r w:rsidRPr="00463949">
        <w:rPr>
          <w:rFonts w:ascii="Times New Roman" w:hAnsi="Times New Roman" w:cs="Times New Roman"/>
          <w:sz w:val="24"/>
          <w:szCs w:val="24"/>
        </w:rPr>
        <w:t xml:space="preserve"> Voor informatie over dropshipping wordt doorverwezen naar de website van ACM ConsuWijzer.</w:t>
      </w:r>
      <w:r w:rsidRPr="00463949">
        <w:rPr>
          <w:rStyle w:val="Voetnootmarkering"/>
          <w:rFonts w:ascii="Times New Roman" w:hAnsi="Times New Roman" w:cs="Times New Roman"/>
          <w:sz w:val="24"/>
          <w:szCs w:val="24"/>
        </w:rPr>
        <w:footnoteReference w:id="51"/>
      </w:r>
      <w:r w:rsidRPr="00463949">
        <w:rPr>
          <w:rFonts w:ascii="Times New Roman" w:hAnsi="Times New Roman" w:cs="Times New Roman"/>
          <w:sz w:val="24"/>
          <w:szCs w:val="24"/>
        </w:rPr>
        <w:t xml:space="preserve"> Bij dropshipping geldt dat de dropshipper verantwoordelijk is voor </w:t>
      </w:r>
      <w:r w:rsidRPr="00463949">
        <w:rPr>
          <w:rFonts w:ascii="Times New Roman" w:hAnsi="Times New Roman" w:cs="Times New Roman"/>
          <w:sz w:val="24"/>
          <w:szCs w:val="24"/>
        </w:rPr>
        <w:lastRenderedPageBreak/>
        <w:t xml:space="preserve">onder andere de veiligheid en levering van de producten. </w:t>
      </w:r>
      <w:r w:rsidRPr="00463949" w:rsidR="00AF7B43">
        <w:rPr>
          <w:rFonts w:ascii="Times New Roman" w:hAnsi="Times New Roman" w:cs="Times New Roman"/>
          <w:sz w:val="24"/>
          <w:szCs w:val="24"/>
        </w:rPr>
        <w:t xml:space="preserve">De dropshipper kan dus, los van de regels inzake productaansprakelijkheid, aansprakelijk zijn op grond van wanprestatie of onrechtmatige daad als de veiligheid of levering niet in orde zijn. </w:t>
      </w:r>
      <w:r w:rsidRPr="00463949">
        <w:rPr>
          <w:rFonts w:ascii="Times New Roman" w:hAnsi="Times New Roman" w:cs="Times New Roman"/>
          <w:sz w:val="24"/>
          <w:szCs w:val="24"/>
        </w:rPr>
        <w:t>Hij mag consumenten voor dit soort zaken dus niet zomaar doorverwijzen naar een partij buiten de EU</w:t>
      </w:r>
      <w:r w:rsidRPr="00463949" w:rsidR="00270158">
        <w:rPr>
          <w:rFonts w:ascii="Times New Roman" w:hAnsi="Times New Roman" w:cs="Times New Roman"/>
          <w:sz w:val="24"/>
          <w:szCs w:val="24"/>
        </w:rPr>
        <w:t xml:space="preserve">. </w:t>
      </w:r>
      <w:r w:rsidRPr="00463949">
        <w:rPr>
          <w:rFonts w:ascii="Times New Roman" w:hAnsi="Times New Roman" w:cs="Times New Roman"/>
          <w:sz w:val="24"/>
          <w:szCs w:val="24"/>
        </w:rPr>
        <w:t>Op de website van de Rijksoverheid is een pagina te vinden met informatie over de regels waar dropshippers aan moeten voldoen.</w:t>
      </w:r>
      <w:r w:rsidRPr="00463949">
        <w:rPr>
          <w:rStyle w:val="Voetnootmarkering"/>
          <w:rFonts w:ascii="Times New Roman" w:hAnsi="Times New Roman" w:cs="Times New Roman"/>
          <w:sz w:val="24"/>
          <w:szCs w:val="24"/>
        </w:rPr>
        <w:footnoteReference w:id="52"/>
      </w:r>
      <w:r w:rsidRPr="00463949">
        <w:rPr>
          <w:rFonts w:ascii="Times New Roman" w:hAnsi="Times New Roman" w:cs="Times New Roman"/>
          <w:sz w:val="24"/>
          <w:szCs w:val="24"/>
        </w:rPr>
        <w:t xml:space="preserve"> </w:t>
      </w:r>
    </w:p>
    <w:bookmarkEnd w:id="8"/>
    <w:p w:rsidRPr="00463949" w:rsidR="00DC4B24" w:rsidP="00DC4B24" w:rsidRDefault="00DC4B24" w14:paraId="7E28BC85" w14:textId="77777777">
      <w:pPr>
        <w:spacing w:after="0" w:line="276" w:lineRule="auto"/>
        <w:rPr>
          <w:rFonts w:ascii="Times New Roman" w:hAnsi="Times New Roman" w:cs="Times New Roman"/>
          <w:sz w:val="24"/>
          <w:szCs w:val="24"/>
        </w:rPr>
      </w:pPr>
    </w:p>
    <w:p w:rsidRPr="00463949" w:rsidR="00DC4B24" w:rsidP="00DC4B24" w:rsidRDefault="009972A7" w14:paraId="7BD5308D" w14:textId="39AA5998">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Circulaire economie, p</w:t>
      </w:r>
      <w:r w:rsidRPr="00463949" w:rsidR="00DC4B24">
        <w:rPr>
          <w:rFonts w:ascii="Times New Roman" w:hAnsi="Times New Roman" w:cs="Times New Roman"/>
          <w:i/>
          <w:iCs/>
          <w:sz w:val="24"/>
          <w:szCs w:val="24"/>
        </w:rPr>
        <w:t>ositie reparateurs en refurbish-bedrijven</w:t>
      </w:r>
    </w:p>
    <w:p w:rsidRPr="00463949" w:rsidR="00DC4B24" w:rsidP="00DC4B24" w:rsidRDefault="00DC4B24" w14:paraId="3CB48357" w14:textId="77777777">
      <w:pPr>
        <w:spacing w:after="0" w:line="276" w:lineRule="auto"/>
        <w:rPr>
          <w:rFonts w:ascii="Times New Roman" w:hAnsi="Times New Roman" w:cs="Times New Roman"/>
          <w:sz w:val="24"/>
          <w:szCs w:val="24"/>
        </w:rPr>
      </w:pPr>
    </w:p>
    <w:p w:rsidRPr="00463949" w:rsidR="009972A7" w:rsidP="009972A7" w:rsidRDefault="009972A7" w14:paraId="22A63AD9" w14:textId="7777777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Techniek Nederland en de Consumentenbond hebben opmerkingen gemaakt over de positie onder de Richtlijn van reparateurs en refurbish-bedrijven die producten repareren of opknappen nadat zij op de markt zijn gebracht. </w:t>
      </w:r>
    </w:p>
    <w:p w:rsidRPr="00463949" w:rsidR="009972A7" w:rsidP="009972A7" w:rsidRDefault="009972A7" w14:paraId="5E2C5EFD" w14:textId="77777777">
      <w:pPr>
        <w:spacing w:after="0" w:line="276" w:lineRule="auto"/>
        <w:rPr>
          <w:rFonts w:ascii="Times New Roman" w:hAnsi="Times New Roman" w:cs="Times New Roman"/>
          <w:sz w:val="24"/>
          <w:szCs w:val="24"/>
        </w:rPr>
      </w:pPr>
    </w:p>
    <w:p w:rsidRPr="00463949" w:rsidR="009972A7" w:rsidP="009972A7" w:rsidRDefault="009972A7" w14:paraId="6744E6AD" w14:textId="33A0787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Richtlijn regelt dat personen die een product ingrijpend wijzigen nadat het op de markt is gebracht, zonder dat de fabrikant daar zeggenschap over heeft, en het vervolgens in handel brengen of in gebruik stellen, als fabrikant van dat product worden beschouwd (artikel 8 lid 2 Richtlijn; geïmplementeerd in artikel 6:187 lid 2 BW). Dit betekent dat zij op grond van de Richtlijn aansprakelijk kunnen worden gehouden als dat product gebrekkig is en daardoor schade veroorzaakt.</w:t>
      </w:r>
      <w:r w:rsidRPr="00463949">
        <w:rPr>
          <w:rStyle w:val="Voetnootmarkering"/>
          <w:rFonts w:ascii="Times New Roman" w:hAnsi="Times New Roman" w:cs="Times New Roman"/>
          <w:sz w:val="24"/>
          <w:szCs w:val="24"/>
        </w:rPr>
        <w:footnoteReference w:id="53"/>
      </w:r>
      <w:r w:rsidRPr="00463949">
        <w:rPr>
          <w:rFonts w:ascii="Times New Roman" w:hAnsi="Times New Roman" w:cs="Times New Roman"/>
          <w:sz w:val="24"/>
          <w:szCs w:val="24"/>
        </w:rPr>
        <w:t xml:space="preserve"> Met het oog op een eerlijke risicoverdeling in de circulaire economie, regelt de Richtlijn dat zij worden vrijgesteld van aansprakelijkheid als zij bewijzen dat de schade verband houdt met een onderdeel van het product waarop de ingrijpende wijziging geen betrekking heeft (artikel 11 lid 1, onderdeel g, Richtlijn; geïmplementeerd in artikel 6:185 lid 1, onderdeel g, BW). Marktdeelnemers die reparaties of andere verrichtingen uitvoeren die geen ingrijpende wijziging inhouden, zijn niet aansprakelijk op grond van de Richtlijn (zie ook overweging 39). Zij kunnen wel aansprakelijk zijn op grond van wanprestatie of onrechtmatige daad.</w:t>
      </w:r>
    </w:p>
    <w:p w:rsidRPr="00463949" w:rsidR="009972A7" w:rsidP="009972A7" w:rsidRDefault="009972A7" w14:paraId="595261B9" w14:textId="77777777">
      <w:pPr>
        <w:spacing w:after="0" w:line="276" w:lineRule="auto"/>
        <w:rPr>
          <w:rFonts w:ascii="Times New Roman" w:hAnsi="Times New Roman" w:cs="Times New Roman"/>
          <w:sz w:val="24"/>
          <w:szCs w:val="24"/>
        </w:rPr>
      </w:pPr>
    </w:p>
    <w:p w:rsidRPr="00463949" w:rsidR="009972A7" w:rsidP="009972A7" w:rsidRDefault="009972A7" w14:paraId="487BDF1B" w14:textId="1948609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Richtlijn bevat een definitie van “ingrijpende wijziging” (artikel 4 onder 18 Richtlijn, geïmplementeerd in artikel 6:184a lid 1, onderdeel </w:t>
      </w:r>
      <w:r w:rsidRPr="00463949" w:rsidR="00B70166">
        <w:rPr>
          <w:rFonts w:ascii="Times New Roman" w:hAnsi="Times New Roman" w:cs="Times New Roman"/>
          <w:sz w:val="24"/>
          <w:szCs w:val="24"/>
        </w:rPr>
        <w:t>q</w:t>
      </w:r>
      <w:r w:rsidRPr="00463949">
        <w:rPr>
          <w:rFonts w:ascii="Times New Roman" w:hAnsi="Times New Roman" w:cs="Times New Roman"/>
          <w:sz w:val="24"/>
          <w:szCs w:val="24"/>
        </w:rPr>
        <w:t>, BW). Of een wijziging ingrijpend is, moet in de eerste plaats worden bepaald aan de hand van criteria die zijn vastgesteld in het relevante EU- en nationale productveiligheidsrecht (zie bijvoorbeeld artikel 13 lid 3 van Verordening (EU) 2023/988</w:t>
      </w:r>
      <w:r w:rsidRPr="00463949">
        <w:rPr>
          <w:rStyle w:val="Voetnootmarkering"/>
          <w:rFonts w:ascii="Times New Roman" w:hAnsi="Times New Roman" w:cs="Times New Roman"/>
          <w:sz w:val="24"/>
          <w:szCs w:val="24"/>
        </w:rPr>
        <w:footnoteReference w:id="54"/>
      </w:r>
      <w:r w:rsidRPr="00463949">
        <w:rPr>
          <w:rFonts w:ascii="Times New Roman" w:hAnsi="Times New Roman" w:cs="Times New Roman"/>
          <w:sz w:val="24"/>
          <w:szCs w:val="24"/>
        </w:rPr>
        <w:t xml:space="preserve">, over substantiële wijzigingen van producten die van invloed zijn op de veiligheid van het product). Wanneer dergelijke criteria voor het betrokken product niet zijn vastgesteld, wordt als “ingrijpende wijziging” beschouwd: een wijziging die (i) de oorspronkelijke prestaties, het doel of het type van een product wijzigt, zonder dat die wijziging was voorzien in de oorspronkelijke risicobeoordeling van de fabrikant, en (ii) de aard van het gevaar verandert, een nieuw gevaar creëert of het risiconiveau verhoogt. Het </w:t>
      </w:r>
      <w:r w:rsidRPr="00463949">
        <w:rPr>
          <w:rFonts w:ascii="Times New Roman" w:hAnsi="Times New Roman" w:cs="Times New Roman"/>
          <w:sz w:val="24"/>
          <w:szCs w:val="24"/>
        </w:rPr>
        <w:lastRenderedPageBreak/>
        <w:t>gaat er dus om of het product zodanig wordt gewijzigd dat d</w:t>
      </w:r>
      <w:r w:rsidRPr="00463949" w:rsidR="001A4E0E">
        <w:rPr>
          <w:rFonts w:ascii="Times New Roman" w:hAnsi="Times New Roman" w:cs="Times New Roman"/>
          <w:sz w:val="24"/>
          <w:szCs w:val="24"/>
        </w:rPr>
        <w:t>a</w:t>
      </w:r>
      <w:r w:rsidRPr="00463949">
        <w:rPr>
          <w:rFonts w:ascii="Times New Roman" w:hAnsi="Times New Roman" w:cs="Times New Roman"/>
          <w:sz w:val="24"/>
          <w:szCs w:val="24"/>
        </w:rPr>
        <w:t>t gevolgen heeft voor de veiligheid en risico’s van het product die door de oorspronkelijke fabrikant niet waren voorzien. Of daarvan sprake is, is afhankelijk van de omstandigheden van het geval.</w:t>
      </w:r>
    </w:p>
    <w:p w:rsidRPr="00463949" w:rsidR="009972A7" w:rsidP="009972A7" w:rsidRDefault="009972A7" w14:paraId="15A6A4E9" w14:textId="77777777">
      <w:pPr>
        <w:spacing w:after="0" w:line="276" w:lineRule="auto"/>
        <w:rPr>
          <w:rFonts w:ascii="Times New Roman" w:hAnsi="Times New Roman" w:cs="Times New Roman"/>
          <w:sz w:val="24"/>
          <w:szCs w:val="24"/>
        </w:rPr>
      </w:pPr>
    </w:p>
    <w:p w:rsidRPr="00463949" w:rsidR="009972A7" w:rsidP="009972A7" w:rsidRDefault="009972A7" w14:paraId="31E0E652" w14:textId="1DB515C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Consumentenbond merkt op dat bedrijven die producten opknappen (refurbishen)</w:t>
      </w:r>
      <w:r w:rsidRPr="00463949">
        <w:rPr>
          <w:rStyle w:val="Voetnootmarkering"/>
          <w:rFonts w:ascii="Times New Roman" w:hAnsi="Times New Roman" w:cs="Times New Roman"/>
          <w:sz w:val="24"/>
          <w:szCs w:val="24"/>
        </w:rPr>
        <w:footnoteReference w:id="55"/>
      </w:r>
      <w:r w:rsidRPr="00463949">
        <w:rPr>
          <w:rFonts w:ascii="Times New Roman" w:hAnsi="Times New Roman" w:cs="Times New Roman"/>
          <w:sz w:val="24"/>
          <w:szCs w:val="24"/>
        </w:rPr>
        <w:t xml:space="preserve"> en cruciale onderdelen vervangen zonder dat er sprake is van een “ingrijpende wijziging”, niet zullen kwalificeren als fabrikant in de zin van de Richtlijn. De Consumentenbond vreest dat het hierdoor voor consumenten onzeker is wie aansprakelijk is in het geval een opgeknapt product gebrekkig is en schade veroorzaakt. De Consumentenbond suggereert daarom om op nationaal niveau </w:t>
      </w:r>
      <w:r w:rsidRPr="00463949" w:rsidR="00CD17A7">
        <w:rPr>
          <w:rFonts w:ascii="Times New Roman" w:hAnsi="Times New Roman" w:cs="Times New Roman"/>
          <w:sz w:val="24"/>
          <w:szCs w:val="24"/>
        </w:rPr>
        <w:t>de volgende</w:t>
      </w:r>
      <w:r w:rsidRPr="00463949">
        <w:rPr>
          <w:rFonts w:ascii="Times New Roman" w:hAnsi="Times New Roman" w:cs="Times New Roman"/>
          <w:sz w:val="24"/>
          <w:szCs w:val="24"/>
        </w:rPr>
        <w:t xml:space="preserve"> bepaling toe te voegen aan het voorgestelde artikel 6:187 BW: “wie een product voor wederverkoop zodanig reviseert dat een nieuwe CE-keur of nieuwe garantie wordt afgegeven, geldt als fabrikant”. </w:t>
      </w:r>
      <w:r w:rsidRPr="00463949" w:rsidR="00CD17A7">
        <w:rPr>
          <w:rFonts w:ascii="Times New Roman" w:hAnsi="Times New Roman" w:cs="Times New Roman"/>
          <w:sz w:val="24"/>
          <w:szCs w:val="24"/>
        </w:rPr>
        <w:t xml:space="preserve">Deze toevoeging geeft een nadere invulling aan het begrip ‘fabrikant’ en stelt nadere regels voor productaansprakelijkheid op nationaal niveau. </w:t>
      </w:r>
      <w:r w:rsidRPr="00463949">
        <w:rPr>
          <w:rFonts w:ascii="Times New Roman" w:hAnsi="Times New Roman" w:cs="Times New Roman"/>
          <w:sz w:val="24"/>
          <w:szCs w:val="24"/>
        </w:rPr>
        <w:t xml:space="preserve">Zoals hiervoor is opgemerkt, laat de Richtlijn </w:t>
      </w:r>
      <w:r w:rsidRPr="00463949" w:rsidR="00CD17A7">
        <w:rPr>
          <w:rFonts w:ascii="Times New Roman" w:hAnsi="Times New Roman" w:cs="Times New Roman"/>
          <w:sz w:val="24"/>
          <w:szCs w:val="24"/>
        </w:rPr>
        <w:t xml:space="preserve">hiervoor </w:t>
      </w:r>
      <w:r w:rsidRPr="00463949">
        <w:rPr>
          <w:rFonts w:ascii="Times New Roman" w:hAnsi="Times New Roman" w:cs="Times New Roman"/>
          <w:sz w:val="24"/>
          <w:szCs w:val="24"/>
        </w:rPr>
        <w:t xml:space="preserve">geen ruimte (maximumharmonisatie). </w:t>
      </w:r>
      <w:r w:rsidRPr="00463949" w:rsidR="00CD17A7">
        <w:rPr>
          <w:rFonts w:ascii="Times New Roman" w:hAnsi="Times New Roman" w:cs="Times New Roman"/>
          <w:sz w:val="24"/>
          <w:szCs w:val="24"/>
        </w:rPr>
        <w:t>D</w:t>
      </w:r>
      <w:r w:rsidRPr="00463949">
        <w:rPr>
          <w:rFonts w:ascii="Times New Roman" w:hAnsi="Times New Roman" w:cs="Times New Roman"/>
          <w:sz w:val="24"/>
          <w:szCs w:val="24"/>
        </w:rPr>
        <w:t xml:space="preserve">e begrippen “ingrijpende wijziging” en “fabrikant” </w:t>
      </w:r>
      <w:r w:rsidRPr="00463949" w:rsidR="00CD17A7">
        <w:rPr>
          <w:rFonts w:ascii="Times New Roman" w:hAnsi="Times New Roman" w:cs="Times New Roman"/>
          <w:sz w:val="24"/>
          <w:szCs w:val="24"/>
        </w:rPr>
        <w:t xml:space="preserve">moeten </w:t>
      </w:r>
      <w:r w:rsidRPr="00463949">
        <w:rPr>
          <w:rFonts w:ascii="Times New Roman" w:hAnsi="Times New Roman" w:cs="Times New Roman"/>
          <w:sz w:val="24"/>
          <w:szCs w:val="24"/>
        </w:rPr>
        <w:t>uniform en autonoom worden uitgelegd. Die uitleg is uiteindelijk voorbehouden aan het Hof van Justitie van de EU. Het is d</w:t>
      </w:r>
      <w:r w:rsidRPr="00463949" w:rsidR="000F0BDA">
        <w:rPr>
          <w:rFonts w:ascii="Times New Roman" w:hAnsi="Times New Roman" w:cs="Times New Roman"/>
          <w:sz w:val="24"/>
          <w:szCs w:val="24"/>
        </w:rPr>
        <w:t xml:space="preserve">aarom </w:t>
      </w:r>
      <w:r w:rsidRPr="00463949">
        <w:rPr>
          <w:rFonts w:ascii="Times New Roman" w:hAnsi="Times New Roman" w:cs="Times New Roman"/>
          <w:sz w:val="24"/>
          <w:szCs w:val="24"/>
        </w:rPr>
        <w:t>niet toegestaan om deze begrippen op nationaal niveau verder in te vullen. Tot slot volgt uit het Regeerprogramma dat in de implementatiewet alleen regels die volgen uit de Richtlijn mogen worden opgenomen.</w:t>
      </w:r>
      <w:r w:rsidRPr="00463949" w:rsidR="003F3D50">
        <w:rPr>
          <w:rFonts w:ascii="Times New Roman" w:hAnsi="Times New Roman" w:cs="Times New Roman"/>
          <w:sz w:val="24"/>
          <w:szCs w:val="24"/>
        </w:rPr>
        <w:t xml:space="preserve"> </w:t>
      </w:r>
      <w:r w:rsidRPr="00463949">
        <w:rPr>
          <w:rFonts w:ascii="Times New Roman" w:hAnsi="Times New Roman" w:cs="Times New Roman"/>
          <w:sz w:val="24"/>
          <w:szCs w:val="24"/>
        </w:rPr>
        <w:t>De hiervoor genoemde suggestie van de Consumentenbond wordt dan ook niet overgenomen.</w:t>
      </w:r>
    </w:p>
    <w:p w:rsidRPr="00463949" w:rsidR="009972A7" w:rsidP="009972A7" w:rsidRDefault="009972A7" w14:paraId="1BF0A498" w14:textId="77777777">
      <w:pPr>
        <w:spacing w:after="0" w:line="276" w:lineRule="auto"/>
        <w:rPr>
          <w:rFonts w:ascii="Times New Roman" w:hAnsi="Times New Roman" w:cs="Times New Roman"/>
          <w:sz w:val="24"/>
          <w:szCs w:val="24"/>
        </w:rPr>
      </w:pPr>
    </w:p>
    <w:p w:rsidRPr="00463949" w:rsidR="009972A7" w:rsidP="009972A7" w:rsidRDefault="009972A7" w14:paraId="79E715A9" w14:textId="175AB57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Techniek Nederland uit </w:t>
      </w:r>
      <w:r w:rsidRPr="00463949" w:rsidR="00226C2B">
        <w:rPr>
          <w:rFonts w:ascii="Times New Roman" w:hAnsi="Times New Roman" w:cs="Times New Roman"/>
          <w:sz w:val="24"/>
          <w:szCs w:val="24"/>
        </w:rPr>
        <w:t xml:space="preserve">haar </w:t>
      </w:r>
      <w:r w:rsidRPr="00463949">
        <w:rPr>
          <w:rFonts w:ascii="Times New Roman" w:hAnsi="Times New Roman" w:cs="Times New Roman"/>
          <w:sz w:val="24"/>
          <w:szCs w:val="24"/>
        </w:rPr>
        <w:t xml:space="preserve">zorgen over de kwetsbare positie van de reparateur die niet geautoriseerd is door de fabrikant om een bepaald merk of product te repareren. Indien hij een product “ingrijpend wijzigt” kan hij als fabrikant aansprakelijk worden gesteld op grond van de Richtlijn. Techniek Nederland vreest dat onduidelijkheid over de mogelijke aansprakelijkheid van de reparateur kan leiden tot discussies tussen consumenten, reparateurs en fabrikanten. Zij meent dat deze discussies vanuit het belang van de circulaire economie voorkomen moeten worden. Zoals hiervoor is toegelicht, hangt het af van de omstandigheden geval of een wijziging moet worden aangemerkt als een “ingrijpende wijziging”. Als een reparateur op verzoek van een consument een klein onderdeel repareert of vervangt, waarbij het doel, de prestaties en de risico’s van het product hetzelfde blijven, zal </w:t>
      </w:r>
      <w:r w:rsidRPr="00463949" w:rsidR="0032731D">
        <w:rPr>
          <w:rFonts w:ascii="Times New Roman" w:hAnsi="Times New Roman" w:cs="Times New Roman"/>
          <w:sz w:val="24"/>
          <w:szCs w:val="24"/>
        </w:rPr>
        <w:t xml:space="preserve">over het algemeen geen sprake </w:t>
      </w:r>
      <w:r w:rsidRPr="00463949">
        <w:rPr>
          <w:rFonts w:ascii="Times New Roman" w:hAnsi="Times New Roman" w:cs="Times New Roman"/>
          <w:sz w:val="24"/>
          <w:szCs w:val="24"/>
        </w:rPr>
        <w:t xml:space="preserve">zijn van een ingrijpende wijziging. Van aansprakelijkheid </w:t>
      </w:r>
      <w:r w:rsidRPr="00463949" w:rsidR="0073782B">
        <w:rPr>
          <w:rFonts w:ascii="Times New Roman" w:hAnsi="Times New Roman" w:cs="Times New Roman"/>
          <w:sz w:val="24"/>
          <w:szCs w:val="24"/>
        </w:rPr>
        <w:t xml:space="preserve">van de reparateur </w:t>
      </w:r>
      <w:r w:rsidRPr="00463949">
        <w:rPr>
          <w:rFonts w:ascii="Times New Roman" w:hAnsi="Times New Roman" w:cs="Times New Roman"/>
          <w:sz w:val="24"/>
          <w:szCs w:val="24"/>
        </w:rPr>
        <w:t xml:space="preserve">op grond van de Richtlijn </w:t>
      </w:r>
      <w:r w:rsidRPr="00463949" w:rsidR="00275254">
        <w:rPr>
          <w:rFonts w:ascii="Times New Roman" w:hAnsi="Times New Roman" w:cs="Times New Roman"/>
          <w:sz w:val="24"/>
          <w:szCs w:val="24"/>
        </w:rPr>
        <w:t xml:space="preserve">is </w:t>
      </w:r>
      <w:r w:rsidRPr="00463949">
        <w:rPr>
          <w:rFonts w:ascii="Times New Roman" w:hAnsi="Times New Roman" w:cs="Times New Roman"/>
          <w:sz w:val="24"/>
          <w:szCs w:val="24"/>
        </w:rPr>
        <w:t xml:space="preserve">in dat geval </w:t>
      </w:r>
      <w:r w:rsidRPr="00463949" w:rsidR="00226C2B">
        <w:rPr>
          <w:rFonts w:ascii="Times New Roman" w:hAnsi="Times New Roman" w:cs="Times New Roman"/>
          <w:sz w:val="24"/>
          <w:szCs w:val="24"/>
        </w:rPr>
        <w:t xml:space="preserve">dan ook </w:t>
      </w:r>
      <w:r w:rsidRPr="00463949">
        <w:rPr>
          <w:rFonts w:ascii="Times New Roman" w:hAnsi="Times New Roman" w:cs="Times New Roman"/>
          <w:sz w:val="24"/>
          <w:szCs w:val="24"/>
        </w:rPr>
        <w:t xml:space="preserve">geen sprake. Dit geldt </w:t>
      </w:r>
      <w:r w:rsidRPr="00463949" w:rsidR="0073782B">
        <w:rPr>
          <w:rFonts w:ascii="Times New Roman" w:hAnsi="Times New Roman" w:cs="Times New Roman"/>
          <w:sz w:val="24"/>
          <w:szCs w:val="24"/>
        </w:rPr>
        <w:t xml:space="preserve">naar verwachting </w:t>
      </w:r>
      <w:r w:rsidRPr="00463949">
        <w:rPr>
          <w:rFonts w:ascii="Times New Roman" w:hAnsi="Times New Roman" w:cs="Times New Roman"/>
          <w:sz w:val="24"/>
          <w:szCs w:val="24"/>
        </w:rPr>
        <w:t xml:space="preserve">voor het merendeel van de reparaties. </w:t>
      </w:r>
      <w:r w:rsidRPr="00463949" w:rsidR="0032731D">
        <w:rPr>
          <w:rFonts w:ascii="Times New Roman" w:hAnsi="Times New Roman" w:cs="Times New Roman"/>
          <w:sz w:val="24"/>
          <w:szCs w:val="24"/>
        </w:rPr>
        <w:t xml:space="preserve">Die hebben immers als doel om een kapot apparaat weer te laten werken zoals voor het defect. </w:t>
      </w:r>
      <w:r w:rsidRPr="00463949">
        <w:rPr>
          <w:rFonts w:ascii="Times New Roman" w:hAnsi="Times New Roman" w:cs="Times New Roman"/>
          <w:sz w:val="24"/>
          <w:szCs w:val="24"/>
        </w:rPr>
        <w:t xml:space="preserve">Als een reparateur echter, zonder zeggenschap van de fabrikant, het product zodanig wijzigt dat daardoor, kort gezegd, nieuwe of hogere veiligheidsrisico’s ontstaan die door de oorspronkelijke fabrikant niet waren voorzien, kan hij op grond van de Richtlijn als fabrikant aansprakelijk worden gesteld. Daarvoor is dan wel </w:t>
      </w:r>
      <w:r w:rsidRPr="00463949">
        <w:rPr>
          <w:rFonts w:ascii="Times New Roman" w:hAnsi="Times New Roman" w:cs="Times New Roman"/>
          <w:sz w:val="24"/>
          <w:szCs w:val="24"/>
        </w:rPr>
        <w:lastRenderedPageBreak/>
        <w:t xml:space="preserve">vereist dat hij het product na de ingrijpende wijziging in de handel heeft gebracht of in gebruik heeft gesteld. Daarnaast dient het ingrijpend gewijzigde product gebrekkig te zijn en dient er een oorzakelijk verband te bestaan tussen dat gebrek en de schade. Reparateurs die ingrijpende wijzigingen aanbrengen aan een product, zonder dat de fabrikant daar zeggenschap over heeft, dienen zich bewust te zijn van hun gewijzigde aansprakelijkheidspositie. </w:t>
      </w:r>
      <w:r w:rsidRPr="00463949" w:rsidR="008B2039">
        <w:rPr>
          <w:rFonts w:ascii="Times New Roman" w:hAnsi="Times New Roman" w:cs="Times New Roman"/>
          <w:sz w:val="24"/>
          <w:szCs w:val="24"/>
        </w:rPr>
        <w:t xml:space="preserve">Het </w:t>
      </w:r>
      <w:r w:rsidRPr="00463949">
        <w:rPr>
          <w:rFonts w:ascii="Times New Roman" w:hAnsi="Times New Roman" w:cs="Times New Roman"/>
          <w:sz w:val="24"/>
          <w:szCs w:val="24"/>
        </w:rPr>
        <w:t>valt onder de professionele toewijding van reparateurs</w:t>
      </w:r>
      <w:r w:rsidRPr="00463949" w:rsidR="008B2039">
        <w:rPr>
          <w:rFonts w:ascii="Times New Roman" w:hAnsi="Times New Roman" w:cs="Times New Roman"/>
          <w:sz w:val="24"/>
          <w:szCs w:val="24"/>
        </w:rPr>
        <w:t xml:space="preserve"> om zich hiervan op de hoogte te stellen</w:t>
      </w:r>
      <w:r w:rsidRPr="00463949">
        <w:rPr>
          <w:rFonts w:ascii="Times New Roman" w:hAnsi="Times New Roman" w:cs="Times New Roman"/>
          <w:sz w:val="24"/>
          <w:szCs w:val="24"/>
        </w:rPr>
        <w:t>.</w:t>
      </w:r>
    </w:p>
    <w:p w:rsidRPr="00463949" w:rsidR="009972A7" w:rsidP="009972A7" w:rsidRDefault="009972A7" w14:paraId="3136E84F" w14:textId="77777777">
      <w:pPr>
        <w:spacing w:after="0" w:line="276" w:lineRule="auto"/>
        <w:rPr>
          <w:rFonts w:ascii="Times New Roman" w:hAnsi="Times New Roman" w:cs="Times New Roman"/>
          <w:sz w:val="24"/>
          <w:szCs w:val="24"/>
        </w:rPr>
      </w:pPr>
    </w:p>
    <w:p w:rsidRPr="00463949" w:rsidR="009972A7" w:rsidP="009972A7" w:rsidRDefault="009972A7" w14:paraId="629D97CE" w14:textId="1A3F2B3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Techniek Nederland pleit in haar reactie voorts voor het duidelijk en zichtbaar vermelden van de levensduur van producten. In het wetsvoorstel mist de brancheorganisatie dat de fabrikant duidelijk zichtbaar en herkenbaar aan iedere consument aangeeft hoe lang het product veilig meegaat of gebruikt kan worden (de gebruiksduur). Een dergelijk voorschrift is inderdaad niet opgenomen in het wetsvoorstel, omdat dit </w:t>
      </w:r>
      <w:r w:rsidRPr="00463949" w:rsidR="00A10035">
        <w:rPr>
          <w:rFonts w:ascii="Times New Roman" w:hAnsi="Times New Roman" w:cs="Times New Roman"/>
          <w:sz w:val="24"/>
          <w:szCs w:val="24"/>
        </w:rPr>
        <w:t xml:space="preserve">wetsvoorstel </w:t>
      </w:r>
      <w:r w:rsidRPr="00463949">
        <w:rPr>
          <w:rFonts w:ascii="Times New Roman" w:hAnsi="Times New Roman" w:cs="Times New Roman"/>
          <w:sz w:val="24"/>
          <w:szCs w:val="24"/>
        </w:rPr>
        <w:t>alleen regels bevat die volgen uit de Richtlijn (zuivere implementatie). De Richtlijn bevat geen bepaling</w:t>
      </w:r>
      <w:r w:rsidRPr="00463949" w:rsidR="00275254">
        <w:rPr>
          <w:rFonts w:ascii="Times New Roman" w:hAnsi="Times New Roman" w:cs="Times New Roman"/>
          <w:sz w:val="24"/>
          <w:szCs w:val="24"/>
        </w:rPr>
        <w:t>en</w:t>
      </w:r>
      <w:r w:rsidRPr="00463949">
        <w:rPr>
          <w:rFonts w:ascii="Times New Roman" w:hAnsi="Times New Roman" w:cs="Times New Roman"/>
          <w:sz w:val="24"/>
          <w:szCs w:val="24"/>
        </w:rPr>
        <w:t xml:space="preserve"> over het vermelden van de levensduur van producten. Voor de volledigheid wordt opgemerkt dat Richtlijn (EU) 2024/825</w:t>
      </w:r>
      <w:r w:rsidRPr="00463949">
        <w:rPr>
          <w:rStyle w:val="Voetnootmarkering"/>
          <w:rFonts w:ascii="Times New Roman" w:hAnsi="Times New Roman" w:cs="Times New Roman"/>
          <w:sz w:val="24"/>
          <w:szCs w:val="24"/>
        </w:rPr>
        <w:footnoteReference w:id="56"/>
      </w:r>
      <w:r w:rsidRPr="00463949">
        <w:rPr>
          <w:rFonts w:ascii="Times New Roman" w:hAnsi="Times New Roman" w:cs="Times New Roman"/>
          <w:sz w:val="24"/>
          <w:szCs w:val="24"/>
        </w:rPr>
        <w:t xml:space="preserve"> </w:t>
      </w:r>
      <w:r w:rsidRPr="00463949" w:rsidR="00A10035">
        <w:rPr>
          <w:rFonts w:ascii="Times New Roman" w:hAnsi="Times New Roman" w:cs="Times New Roman"/>
          <w:sz w:val="24"/>
          <w:szCs w:val="24"/>
        </w:rPr>
        <w:t xml:space="preserve">wel </w:t>
      </w:r>
      <w:r w:rsidRPr="00463949">
        <w:rPr>
          <w:rFonts w:ascii="Times New Roman" w:hAnsi="Times New Roman" w:cs="Times New Roman"/>
          <w:sz w:val="24"/>
          <w:szCs w:val="24"/>
        </w:rPr>
        <w:t>bepaalt dat handelaren consumenten informeren over het bestaan en de duur van een commerciële levensduurgarantie (fabrieksgarantie), in het geval dat deze gratis, voor meer dan twee jaar en met betrekking tot het hele goed wordt aangeboden door de producent. Handelaren zijn verplicht om consumenten hierover te informeren wanneer zij hierover informatie hebben ontvangen van de fabrikant</w:t>
      </w:r>
      <w:r w:rsidRPr="00463949" w:rsidR="00A31CF6">
        <w:rPr>
          <w:rFonts w:ascii="Times New Roman" w:hAnsi="Times New Roman" w:cs="Times New Roman"/>
          <w:sz w:val="24"/>
          <w:szCs w:val="24"/>
        </w:rPr>
        <w:t>. Zij</w:t>
      </w:r>
      <w:r w:rsidRPr="00463949">
        <w:rPr>
          <w:rFonts w:ascii="Times New Roman" w:hAnsi="Times New Roman" w:cs="Times New Roman"/>
          <w:sz w:val="24"/>
          <w:szCs w:val="24"/>
        </w:rPr>
        <w:t xml:space="preserve"> dienen </w:t>
      </w:r>
      <w:r w:rsidRPr="00463949" w:rsidR="00A31CF6">
        <w:rPr>
          <w:rFonts w:ascii="Times New Roman" w:hAnsi="Times New Roman" w:cs="Times New Roman"/>
          <w:sz w:val="24"/>
          <w:szCs w:val="24"/>
        </w:rPr>
        <w:t>hier</w:t>
      </w:r>
      <w:r w:rsidRPr="00463949">
        <w:rPr>
          <w:rFonts w:ascii="Times New Roman" w:hAnsi="Times New Roman" w:cs="Times New Roman"/>
          <w:sz w:val="24"/>
          <w:szCs w:val="24"/>
        </w:rPr>
        <w:t xml:space="preserve">voor gebruik </w:t>
      </w:r>
      <w:r w:rsidRPr="00463949" w:rsidR="00B51420">
        <w:rPr>
          <w:rFonts w:ascii="Times New Roman" w:hAnsi="Times New Roman" w:cs="Times New Roman"/>
          <w:sz w:val="24"/>
          <w:szCs w:val="24"/>
        </w:rPr>
        <w:t xml:space="preserve">te maken </w:t>
      </w:r>
      <w:r w:rsidRPr="00463949">
        <w:rPr>
          <w:rFonts w:ascii="Times New Roman" w:hAnsi="Times New Roman" w:cs="Times New Roman"/>
          <w:sz w:val="24"/>
          <w:szCs w:val="24"/>
        </w:rPr>
        <w:t>van een geharmoniseerd etiket.</w:t>
      </w:r>
      <w:r w:rsidRPr="00463949">
        <w:rPr>
          <w:rStyle w:val="Voetnootmarkering"/>
          <w:rFonts w:ascii="Times New Roman" w:hAnsi="Times New Roman" w:cs="Times New Roman"/>
          <w:sz w:val="24"/>
          <w:szCs w:val="24"/>
        </w:rPr>
        <w:footnoteReference w:id="57"/>
      </w:r>
      <w:r w:rsidRPr="00463949">
        <w:rPr>
          <w:rFonts w:ascii="Times New Roman" w:hAnsi="Times New Roman" w:cs="Times New Roman"/>
          <w:sz w:val="24"/>
          <w:szCs w:val="24"/>
        </w:rPr>
        <w:t xml:space="preserve"> Lidstaten </w:t>
      </w:r>
      <w:r w:rsidRPr="00463949" w:rsidR="008B2039">
        <w:rPr>
          <w:rFonts w:ascii="Times New Roman" w:hAnsi="Times New Roman" w:cs="Times New Roman"/>
          <w:sz w:val="24"/>
          <w:szCs w:val="24"/>
        </w:rPr>
        <w:t xml:space="preserve">moeten </w:t>
      </w:r>
      <w:r w:rsidRPr="00463949">
        <w:rPr>
          <w:rFonts w:ascii="Times New Roman" w:hAnsi="Times New Roman" w:cs="Times New Roman"/>
          <w:sz w:val="24"/>
          <w:szCs w:val="24"/>
        </w:rPr>
        <w:t>de bepalingen uit Richtlijn (EU) 2024/825 vanaf 27 september 2026 toepassen.</w:t>
      </w:r>
    </w:p>
    <w:p w:rsidRPr="00463949" w:rsidR="009972A7" w:rsidP="009972A7" w:rsidRDefault="009972A7" w14:paraId="52D59339" w14:textId="77777777">
      <w:pPr>
        <w:spacing w:after="0" w:line="276" w:lineRule="auto"/>
        <w:rPr>
          <w:rFonts w:ascii="Times New Roman" w:hAnsi="Times New Roman" w:cs="Times New Roman"/>
          <w:sz w:val="24"/>
          <w:szCs w:val="24"/>
        </w:rPr>
      </w:pPr>
    </w:p>
    <w:p w:rsidRPr="00463949" w:rsidR="009972A7" w:rsidP="009972A7" w:rsidRDefault="001A7505" w14:paraId="667DE64B" w14:textId="6EBA61E8">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Tot slot </w:t>
      </w:r>
      <w:r w:rsidRPr="00463949" w:rsidR="00AC4813">
        <w:rPr>
          <w:rFonts w:ascii="Times New Roman" w:hAnsi="Times New Roman" w:cs="Times New Roman"/>
          <w:sz w:val="24"/>
          <w:szCs w:val="24"/>
        </w:rPr>
        <w:t xml:space="preserve">maakt </w:t>
      </w:r>
      <w:r w:rsidRPr="00463949" w:rsidR="009972A7">
        <w:rPr>
          <w:rFonts w:ascii="Times New Roman" w:hAnsi="Times New Roman" w:cs="Times New Roman"/>
          <w:sz w:val="24"/>
          <w:szCs w:val="24"/>
        </w:rPr>
        <w:t xml:space="preserve">Techniek Nederland </w:t>
      </w:r>
      <w:r w:rsidRPr="00463949">
        <w:rPr>
          <w:rFonts w:ascii="Times New Roman" w:hAnsi="Times New Roman" w:cs="Times New Roman"/>
          <w:sz w:val="24"/>
          <w:szCs w:val="24"/>
        </w:rPr>
        <w:t>opmerkingen</w:t>
      </w:r>
      <w:r w:rsidRPr="00463949" w:rsidR="00F57C9B">
        <w:rPr>
          <w:rFonts w:ascii="Times New Roman" w:hAnsi="Times New Roman" w:cs="Times New Roman"/>
          <w:sz w:val="24"/>
          <w:szCs w:val="24"/>
        </w:rPr>
        <w:t xml:space="preserve"> </w:t>
      </w:r>
      <w:r w:rsidRPr="00463949" w:rsidR="009972A7">
        <w:rPr>
          <w:rFonts w:ascii="Times New Roman" w:hAnsi="Times New Roman" w:cs="Times New Roman"/>
          <w:sz w:val="24"/>
          <w:szCs w:val="24"/>
        </w:rPr>
        <w:t>over de positie van de reparateur en de garantie voor een gerepareerd product</w:t>
      </w:r>
      <w:r w:rsidRPr="00463949">
        <w:rPr>
          <w:rFonts w:ascii="Times New Roman" w:hAnsi="Times New Roman" w:cs="Times New Roman"/>
          <w:sz w:val="24"/>
          <w:szCs w:val="24"/>
        </w:rPr>
        <w:t>.</w:t>
      </w:r>
      <w:r w:rsidRPr="00463949" w:rsidR="00F57C9B">
        <w:rPr>
          <w:rStyle w:val="Voetnootmarkering"/>
          <w:rFonts w:ascii="Times New Roman" w:hAnsi="Times New Roman" w:cs="Times New Roman"/>
          <w:sz w:val="24"/>
          <w:szCs w:val="24"/>
        </w:rPr>
        <w:footnoteReference w:id="58"/>
      </w:r>
      <w:r w:rsidRPr="00463949" w:rsidR="00F57C9B">
        <w:rPr>
          <w:rFonts w:ascii="Times New Roman" w:hAnsi="Times New Roman" w:cs="Times New Roman"/>
          <w:sz w:val="24"/>
          <w:szCs w:val="24"/>
        </w:rPr>
        <w:t xml:space="preserve"> </w:t>
      </w:r>
      <w:r w:rsidRPr="00463949">
        <w:rPr>
          <w:rFonts w:ascii="Times New Roman" w:hAnsi="Times New Roman" w:cs="Times New Roman"/>
          <w:sz w:val="24"/>
          <w:szCs w:val="24"/>
        </w:rPr>
        <w:t xml:space="preserve">Deze opmerkingen gaan niet over de regeling van de productaansprakelijkheid, maar over </w:t>
      </w:r>
      <w:r w:rsidRPr="00463949" w:rsidR="009972A7">
        <w:rPr>
          <w:rFonts w:ascii="Times New Roman" w:hAnsi="Times New Roman" w:cs="Times New Roman"/>
          <w:sz w:val="24"/>
          <w:szCs w:val="24"/>
        </w:rPr>
        <w:t xml:space="preserve">de regeling van non-conformiteit bij consumentenkoop. Als een afgeleverde zaak niet voldoet aan de overeenkomst (non-conform is), dan kan een consument-koper de verkoper vragen om herstel of vervanging van de zaak (Titel 7.1 BW). Ook is de verkoper aansprakelijk voor schade die de consument-koper door de non-conformiteit lijdt (behoudens de schade </w:t>
      </w:r>
      <w:r w:rsidRPr="00463949" w:rsidR="00A10035">
        <w:rPr>
          <w:rFonts w:ascii="Times New Roman" w:hAnsi="Times New Roman" w:cs="Times New Roman"/>
          <w:sz w:val="24"/>
          <w:szCs w:val="24"/>
        </w:rPr>
        <w:t>door een gebrekkig product waarvoor ingevolge</w:t>
      </w:r>
      <w:r w:rsidRPr="00463949" w:rsidR="009972A7">
        <w:rPr>
          <w:rFonts w:ascii="Times New Roman" w:hAnsi="Times New Roman" w:cs="Times New Roman"/>
          <w:sz w:val="24"/>
          <w:szCs w:val="24"/>
        </w:rPr>
        <w:t xml:space="preserve"> de kanalisatiebepaling van artikel 7:24 lid 2 BW</w:t>
      </w:r>
      <w:r w:rsidRPr="00463949" w:rsidR="00A10035">
        <w:rPr>
          <w:rFonts w:ascii="Times New Roman" w:hAnsi="Times New Roman" w:cs="Times New Roman"/>
          <w:sz w:val="24"/>
          <w:szCs w:val="24"/>
        </w:rPr>
        <w:t xml:space="preserve"> de producent kan worden aangesproken</w:t>
      </w:r>
      <w:r w:rsidRPr="00463949" w:rsidR="009972A7">
        <w:rPr>
          <w:rFonts w:ascii="Times New Roman" w:hAnsi="Times New Roman" w:cs="Times New Roman"/>
          <w:sz w:val="24"/>
          <w:szCs w:val="24"/>
        </w:rPr>
        <w:t xml:space="preserve">). De Richtlijn ziet niet op de consumentenkoop. </w:t>
      </w:r>
      <w:r w:rsidRPr="00463949" w:rsidR="000F0BDA">
        <w:rPr>
          <w:rFonts w:ascii="Times New Roman" w:hAnsi="Times New Roman" w:cs="Times New Roman"/>
          <w:sz w:val="24"/>
          <w:szCs w:val="24"/>
        </w:rPr>
        <w:t xml:space="preserve">Er is </w:t>
      </w:r>
      <w:r w:rsidRPr="00463949" w:rsidR="00A10035">
        <w:rPr>
          <w:rFonts w:ascii="Times New Roman" w:hAnsi="Times New Roman" w:cs="Times New Roman"/>
          <w:sz w:val="24"/>
          <w:szCs w:val="24"/>
        </w:rPr>
        <w:t xml:space="preserve">bij de implementatie </w:t>
      </w:r>
      <w:r w:rsidRPr="00463949" w:rsidR="009972A7">
        <w:rPr>
          <w:rFonts w:ascii="Times New Roman" w:hAnsi="Times New Roman" w:cs="Times New Roman"/>
          <w:sz w:val="24"/>
          <w:szCs w:val="24"/>
        </w:rPr>
        <w:t xml:space="preserve">van de </w:t>
      </w:r>
      <w:r w:rsidRPr="00463949" w:rsidR="00AC4813">
        <w:rPr>
          <w:rFonts w:ascii="Times New Roman" w:hAnsi="Times New Roman" w:cs="Times New Roman"/>
          <w:sz w:val="24"/>
          <w:szCs w:val="24"/>
        </w:rPr>
        <w:t xml:space="preserve">Richtlijn </w:t>
      </w:r>
      <w:r w:rsidRPr="00463949" w:rsidR="009972A7">
        <w:rPr>
          <w:rFonts w:ascii="Times New Roman" w:hAnsi="Times New Roman" w:cs="Times New Roman"/>
          <w:sz w:val="24"/>
          <w:szCs w:val="24"/>
        </w:rPr>
        <w:t xml:space="preserve">geen ruimte </w:t>
      </w:r>
      <w:r w:rsidRPr="00463949" w:rsidR="00E67CC0">
        <w:rPr>
          <w:rFonts w:ascii="Times New Roman" w:hAnsi="Times New Roman" w:cs="Times New Roman"/>
          <w:sz w:val="24"/>
          <w:szCs w:val="24"/>
        </w:rPr>
        <w:t>voor nadere bepalingen op nationaal niveau waartoe de Richtlijn niet dwingt</w:t>
      </w:r>
      <w:r w:rsidRPr="00463949" w:rsidR="009972A7">
        <w:rPr>
          <w:rFonts w:ascii="Times New Roman" w:hAnsi="Times New Roman" w:cs="Times New Roman"/>
          <w:sz w:val="24"/>
          <w:szCs w:val="24"/>
        </w:rPr>
        <w:t xml:space="preserve">. Voor de </w:t>
      </w:r>
      <w:r w:rsidRPr="00463949" w:rsidR="009972A7">
        <w:rPr>
          <w:rFonts w:ascii="Times New Roman" w:hAnsi="Times New Roman" w:cs="Times New Roman"/>
          <w:sz w:val="24"/>
          <w:szCs w:val="24"/>
        </w:rPr>
        <w:lastRenderedPageBreak/>
        <w:t>inzet van Nederland in de transitie op weg naar de circulaire economie wordt verwezen naar het Nationaal Programma Circulaire Economie 2023-2030.</w:t>
      </w:r>
      <w:r w:rsidRPr="00463949" w:rsidR="009972A7">
        <w:rPr>
          <w:rStyle w:val="Voetnootmarkering"/>
          <w:rFonts w:ascii="Times New Roman" w:hAnsi="Times New Roman" w:cs="Times New Roman"/>
          <w:sz w:val="24"/>
          <w:szCs w:val="24"/>
        </w:rPr>
        <w:footnoteReference w:id="59"/>
      </w:r>
    </w:p>
    <w:p w:rsidRPr="00463949" w:rsidR="009972A7" w:rsidP="005A2D7D" w:rsidRDefault="009972A7" w14:paraId="07BD7F84" w14:textId="77777777">
      <w:pPr>
        <w:spacing w:after="0" w:line="276" w:lineRule="auto"/>
        <w:rPr>
          <w:rFonts w:ascii="Times New Roman" w:hAnsi="Times New Roman" w:cs="Times New Roman"/>
          <w:sz w:val="24"/>
          <w:szCs w:val="24"/>
        </w:rPr>
      </w:pPr>
    </w:p>
    <w:p w:rsidRPr="00463949" w:rsidR="005A2D7D" w:rsidP="005A2D7D" w:rsidRDefault="005A2D7D" w14:paraId="08AA2507" w14:textId="7653CBC7">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Definitie van ‘component’</w:t>
      </w:r>
    </w:p>
    <w:p w:rsidRPr="00463949" w:rsidR="005A2D7D" w:rsidP="005A2D7D" w:rsidRDefault="005A2D7D" w14:paraId="025B34FE" w14:textId="77777777">
      <w:pPr>
        <w:spacing w:after="0" w:line="276" w:lineRule="auto"/>
        <w:rPr>
          <w:rFonts w:ascii="Times New Roman" w:hAnsi="Times New Roman" w:cs="Times New Roman"/>
          <w:sz w:val="24"/>
          <w:szCs w:val="24"/>
        </w:rPr>
      </w:pPr>
    </w:p>
    <w:p w:rsidRPr="00463949" w:rsidR="005A2D7D" w:rsidP="005A2D7D" w:rsidRDefault="005A2D7D" w14:paraId="000CB7A3" w14:textId="259BA99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Consumentenbond doet een aantal suggesties ter verduidelijking en verfijning van de definitie van component. Deze suggesties zijn niet overgenomen in het wetsvoorstel en deze toelichting. De definitie van component in het voorgestelde artikel 6:184a lid 1, onderdeel d, BW is overgenomen uit artikel 4 onder 4 van de Richtlijn. De uitleg van die richtlijnbepaling is voorbehouden aan het Hof van Justitie van de EU. Het is daarom niet </w:t>
      </w:r>
      <w:r w:rsidRPr="00463949" w:rsidR="005523A1">
        <w:rPr>
          <w:rFonts w:ascii="Times New Roman" w:hAnsi="Times New Roman" w:cs="Times New Roman"/>
          <w:sz w:val="24"/>
          <w:szCs w:val="24"/>
        </w:rPr>
        <w:t xml:space="preserve">toegestaan </w:t>
      </w:r>
      <w:r w:rsidRPr="00463949">
        <w:rPr>
          <w:rFonts w:ascii="Times New Roman" w:hAnsi="Times New Roman" w:cs="Times New Roman"/>
          <w:sz w:val="24"/>
          <w:szCs w:val="24"/>
        </w:rPr>
        <w:t>om de definitie aan te passen.</w:t>
      </w:r>
    </w:p>
    <w:p w:rsidRPr="00463949" w:rsidR="005A2D7D" w:rsidP="00D045E0" w:rsidRDefault="005A2D7D" w14:paraId="13B6EAFB" w14:textId="77777777">
      <w:pPr>
        <w:spacing w:after="0" w:line="276" w:lineRule="auto"/>
        <w:rPr>
          <w:rFonts w:ascii="Times New Roman" w:hAnsi="Times New Roman" w:cs="Times New Roman"/>
          <w:sz w:val="24"/>
          <w:szCs w:val="24"/>
        </w:rPr>
      </w:pPr>
    </w:p>
    <w:p w:rsidRPr="00463949" w:rsidR="008A4EA3" w:rsidP="00D045E0" w:rsidRDefault="008C1A64" w14:paraId="73D935A7" w14:textId="1C516438">
      <w:pPr>
        <w:spacing w:after="0" w:line="276" w:lineRule="auto"/>
        <w:rPr>
          <w:rFonts w:ascii="Times New Roman" w:hAnsi="Times New Roman" w:cs="Times New Roman"/>
          <w:i/>
          <w:iCs/>
          <w:sz w:val="24"/>
          <w:szCs w:val="24"/>
        </w:rPr>
      </w:pPr>
      <w:bookmarkStart w:name="_Hlk201590069" w:id="9"/>
      <w:r w:rsidRPr="00463949">
        <w:rPr>
          <w:rFonts w:ascii="Times New Roman" w:hAnsi="Times New Roman" w:cs="Times New Roman"/>
          <w:i/>
          <w:iCs/>
          <w:sz w:val="24"/>
          <w:szCs w:val="24"/>
        </w:rPr>
        <w:t>A</w:t>
      </w:r>
      <w:r w:rsidRPr="00463949" w:rsidR="008A4EA3">
        <w:rPr>
          <w:rFonts w:ascii="Times New Roman" w:hAnsi="Times New Roman" w:cs="Times New Roman"/>
          <w:i/>
          <w:iCs/>
          <w:sz w:val="24"/>
          <w:szCs w:val="24"/>
        </w:rPr>
        <w:t>ansprakelijkheid voor</w:t>
      </w:r>
      <w:r w:rsidRPr="00463949" w:rsidR="00985FC2">
        <w:rPr>
          <w:rFonts w:ascii="Times New Roman" w:hAnsi="Times New Roman" w:cs="Times New Roman"/>
          <w:i/>
          <w:iCs/>
          <w:sz w:val="24"/>
          <w:szCs w:val="24"/>
        </w:rPr>
        <w:t xml:space="preserve"> </w:t>
      </w:r>
      <w:r w:rsidRPr="00463949" w:rsidR="008A4EA3">
        <w:rPr>
          <w:rFonts w:ascii="Times New Roman" w:hAnsi="Times New Roman" w:cs="Times New Roman"/>
          <w:i/>
          <w:iCs/>
          <w:sz w:val="24"/>
          <w:szCs w:val="24"/>
        </w:rPr>
        <w:t>vervuild drinkwater</w:t>
      </w:r>
    </w:p>
    <w:p w:rsidRPr="00463949" w:rsidR="008A4EA3" w:rsidP="00D045E0" w:rsidRDefault="008A4EA3" w14:paraId="574C6E11" w14:textId="77777777">
      <w:pPr>
        <w:spacing w:after="0" w:line="276" w:lineRule="auto"/>
        <w:rPr>
          <w:rFonts w:ascii="Times New Roman" w:hAnsi="Times New Roman" w:cs="Times New Roman"/>
          <w:sz w:val="24"/>
          <w:szCs w:val="24"/>
        </w:rPr>
      </w:pPr>
    </w:p>
    <w:p w:rsidRPr="00463949" w:rsidR="008A4EA3" w:rsidP="00D045E0" w:rsidRDefault="00BA3A1A" w14:paraId="3DAFC5B1" w14:textId="3F97A6E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V</w:t>
      </w:r>
      <w:r w:rsidRPr="00463949" w:rsidR="0068613E">
        <w:rPr>
          <w:rFonts w:ascii="Times New Roman" w:hAnsi="Times New Roman" w:cs="Times New Roman"/>
          <w:sz w:val="24"/>
          <w:szCs w:val="24"/>
        </w:rPr>
        <w:t>ereniging van waterbedrijven in Nederland</w:t>
      </w:r>
      <w:r w:rsidRPr="00463949">
        <w:rPr>
          <w:rFonts w:ascii="Times New Roman" w:hAnsi="Times New Roman" w:cs="Times New Roman"/>
          <w:sz w:val="24"/>
          <w:szCs w:val="24"/>
        </w:rPr>
        <w:t xml:space="preserve"> (Vewin)</w:t>
      </w:r>
      <w:r w:rsidRPr="00463949" w:rsidR="008A4EA3">
        <w:rPr>
          <w:rFonts w:ascii="Times New Roman" w:hAnsi="Times New Roman" w:cs="Times New Roman"/>
          <w:sz w:val="24"/>
          <w:szCs w:val="24"/>
        </w:rPr>
        <w:t xml:space="preserve"> </w:t>
      </w:r>
      <w:r w:rsidRPr="00463949" w:rsidR="0050408C">
        <w:rPr>
          <w:rFonts w:ascii="Times New Roman" w:hAnsi="Times New Roman" w:cs="Times New Roman"/>
          <w:sz w:val="24"/>
          <w:szCs w:val="24"/>
        </w:rPr>
        <w:t xml:space="preserve">stelt te vrezen </w:t>
      </w:r>
      <w:r w:rsidRPr="00463949" w:rsidR="008B4D90">
        <w:rPr>
          <w:rFonts w:ascii="Times New Roman" w:hAnsi="Times New Roman" w:cs="Times New Roman"/>
          <w:sz w:val="24"/>
          <w:szCs w:val="24"/>
        </w:rPr>
        <w:t>dat</w:t>
      </w:r>
      <w:r w:rsidRPr="00463949" w:rsidR="0068613E">
        <w:rPr>
          <w:rFonts w:ascii="Times New Roman" w:hAnsi="Times New Roman" w:cs="Times New Roman"/>
          <w:sz w:val="24"/>
          <w:szCs w:val="24"/>
        </w:rPr>
        <w:t xml:space="preserve"> </w:t>
      </w:r>
      <w:r w:rsidRPr="00463949" w:rsidR="008A4EA3">
        <w:rPr>
          <w:rFonts w:ascii="Times New Roman" w:hAnsi="Times New Roman" w:cs="Times New Roman"/>
          <w:sz w:val="24"/>
          <w:szCs w:val="24"/>
        </w:rPr>
        <w:t>drinkwaterbedrijven door lozingen van derden, via vervuiling van hun drinkwaterbronnen, aansprakelijk gesteld kunnen worden op grond van</w:t>
      </w:r>
      <w:r w:rsidRPr="00463949" w:rsidR="0068613E">
        <w:rPr>
          <w:rFonts w:ascii="Times New Roman" w:hAnsi="Times New Roman" w:cs="Times New Roman"/>
          <w:sz w:val="24"/>
          <w:szCs w:val="24"/>
        </w:rPr>
        <w:t xml:space="preserve"> de R</w:t>
      </w:r>
      <w:r w:rsidRPr="00463949" w:rsidR="008B4D90">
        <w:rPr>
          <w:rFonts w:ascii="Times New Roman" w:hAnsi="Times New Roman" w:cs="Times New Roman"/>
          <w:sz w:val="24"/>
          <w:szCs w:val="24"/>
        </w:rPr>
        <w:t>ichtlijn</w:t>
      </w:r>
      <w:r w:rsidRPr="00463949" w:rsidR="008A4EA3">
        <w:rPr>
          <w:rFonts w:ascii="Times New Roman" w:hAnsi="Times New Roman" w:cs="Times New Roman"/>
          <w:sz w:val="24"/>
          <w:szCs w:val="24"/>
        </w:rPr>
        <w:t xml:space="preserve">. </w:t>
      </w:r>
      <w:r w:rsidRPr="00463949">
        <w:rPr>
          <w:rFonts w:ascii="Times New Roman" w:hAnsi="Times New Roman" w:cs="Times New Roman"/>
          <w:sz w:val="24"/>
          <w:szCs w:val="24"/>
        </w:rPr>
        <w:t xml:space="preserve">Volgens Vewin zijn </w:t>
      </w:r>
      <w:r w:rsidRPr="00463949" w:rsidR="00667545">
        <w:rPr>
          <w:rFonts w:ascii="Times New Roman" w:hAnsi="Times New Roman" w:cs="Times New Roman"/>
          <w:sz w:val="24"/>
          <w:szCs w:val="24"/>
        </w:rPr>
        <w:t xml:space="preserve">dergelijke </w:t>
      </w:r>
      <w:r w:rsidRPr="00463949" w:rsidR="00525DA7">
        <w:rPr>
          <w:rFonts w:ascii="Times New Roman" w:hAnsi="Times New Roman" w:cs="Times New Roman"/>
          <w:sz w:val="24"/>
          <w:szCs w:val="24"/>
        </w:rPr>
        <w:t>product</w:t>
      </w:r>
      <w:r w:rsidRPr="00463949" w:rsidR="00667545">
        <w:rPr>
          <w:rFonts w:ascii="Times New Roman" w:hAnsi="Times New Roman" w:cs="Times New Roman"/>
          <w:sz w:val="24"/>
          <w:szCs w:val="24"/>
        </w:rPr>
        <w:t>aansprakelijkheidsrisico</w:t>
      </w:r>
      <w:r w:rsidRPr="00463949">
        <w:rPr>
          <w:rFonts w:ascii="Times New Roman" w:hAnsi="Times New Roman" w:cs="Times New Roman"/>
          <w:sz w:val="24"/>
          <w:szCs w:val="24"/>
        </w:rPr>
        <w:t>’</w:t>
      </w:r>
      <w:r w:rsidRPr="00463949" w:rsidR="00667545">
        <w:rPr>
          <w:rFonts w:ascii="Times New Roman" w:hAnsi="Times New Roman" w:cs="Times New Roman"/>
          <w:sz w:val="24"/>
          <w:szCs w:val="24"/>
        </w:rPr>
        <w:t xml:space="preserve">s </w:t>
      </w:r>
      <w:r w:rsidRPr="00463949">
        <w:rPr>
          <w:rFonts w:ascii="Times New Roman" w:hAnsi="Times New Roman" w:cs="Times New Roman"/>
          <w:sz w:val="24"/>
          <w:szCs w:val="24"/>
        </w:rPr>
        <w:t xml:space="preserve">niet altijd </w:t>
      </w:r>
      <w:r w:rsidRPr="00463949" w:rsidR="00667545">
        <w:rPr>
          <w:rFonts w:ascii="Times New Roman" w:hAnsi="Times New Roman" w:cs="Times New Roman"/>
          <w:sz w:val="24"/>
          <w:szCs w:val="24"/>
        </w:rPr>
        <w:t>verzekerb</w:t>
      </w:r>
      <w:r w:rsidRPr="00463949">
        <w:rPr>
          <w:rFonts w:ascii="Times New Roman" w:hAnsi="Times New Roman" w:cs="Times New Roman"/>
          <w:sz w:val="24"/>
          <w:szCs w:val="24"/>
        </w:rPr>
        <w:t>aar</w:t>
      </w:r>
      <w:r w:rsidRPr="00463949" w:rsidR="00A2215F">
        <w:rPr>
          <w:rFonts w:ascii="Times New Roman" w:hAnsi="Times New Roman" w:cs="Times New Roman"/>
          <w:sz w:val="24"/>
          <w:szCs w:val="24"/>
        </w:rPr>
        <w:t xml:space="preserve">, </w:t>
      </w:r>
      <w:r w:rsidRPr="00463949">
        <w:rPr>
          <w:rFonts w:ascii="Times New Roman" w:hAnsi="Times New Roman" w:cs="Times New Roman"/>
          <w:sz w:val="24"/>
          <w:szCs w:val="24"/>
        </w:rPr>
        <w:t xml:space="preserve">met als </w:t>
      </w:r>
      <w:r w:rsidRPr="00463949" w:rsidR="00667545">
        <w:rPr>
          <w:rFonts w:ascii="Times New Roman" w:hAnsi="Times New Roman" w:cs="Times New Roman"/>
          <w:sz w:val="24"/>
          <w:szCs w:val="24"/>
        </w:rPr>
        <w:t xml:space="preserve">gevolg dat drinkwaterbedrijven worden geconfronteerd met directe schadevergoedingskosten en juridische kosten als de zaak voor de rechter komt. </w:t>
      </w:r>
      <w:r w:rsidRPr="00463949" w:rsidR="004B2314">
        <w:rPr>
          <w:rFonts w:ascii="Times New Roman" w:hAnsi="Times New Roman" w:cs="Times New Roman"/>
          <w:sz w:val="24"/>
          <w:szCs w:val="24"/>
        </w:rPr>
        <w:t xml:space="preserve">Vewin </w:t>
      </w:r>
      <w:r w:rsidRPr="00463949" w:rsidR="00A2215F">
        <w:rPr>
          <w:rFonts w:ascii="Times New Roman" w:hAnsi="Times New Roman" w:cs="Times New Roman"/>
          <w:sz w:val="24"/>
          <w:szCs w:val="24"/>
        </w:rPr>
        <w:t xml:space="preserve">vraagt </w:t>
      </w:r>
      <w:r w:rsidRPr="00463949" w:rsidR="002E4A63">
        <w:rPr>
          <w:rFonts w:ascii="Times New Roman" w:hAnsi="Times New Roman" w:cs="Times New Roman"/>
          <w:sz w:val="24"/>
          <w:szCs w:val="24"/>
        </w:rPr>
        <w:t xml:space="preserve">daarom </w:t>
      </w:r>
      <w:r w:rsidRPr="00463949" w:rsidR="00A2215F">
        <w:rPr>
          <w:rFonts w:ascii="Times New Roman" w:hAnsi="Times New Roman" w:cs="Times New Roman"/>
          <w:sz w:val="24"/>
          <w:szCs w:val="24"/>
        </w:rPr>
        <w:t xml:space="preserve">om de introductie van </w:t>
      </w:r>
      <w:r w:rsidRPr="00463949" w:rsidR="00C02EE4">
        <w:rPr>
          <w:rFonts w:ascii="Times New Roman" w:hAnsi="Times New Roman" w:cs="Times New Roman"/>
          <w:sz w:val="24"/>
          <w:szCs w:val="24"/>
        </w:rPr>
        <w:t xml:space="preserve">een </w:t>
      </w:r>
      <w:r w:rsidRPr="00463949" w:rsidR="008A4EA3">
        <w:rPr>
          <w:rFonts w:ascii="Times New Roman" w:hAnsi="Times New Roman" w:cs="Times New Roman"/>
          <w:sz w:val="24"/>
          <w:szCs w:val="24"/>
        </w:rPr>
        <w:t xml:space="preserve">regresrecht, </w:t>
      </w:r>
      <w:r w:rsidRPr="00463949" w:rsidR="00C02EE4">
        <w:rPr>
          <w:rFonts w:ascii="Times New Roman" w:hAnsi="Times New Roman" w:cs="Times New Roman"/>
          <w:sz w:val="24"/>
          <w:szCs w:val="24"/>
        </w:rPr>
        <w:t>waarmee</w:t>
      </w:r>
      <w:r w:rsidRPr="00463949" w:rsidR="00640369">
        <w:rPr>
          <w:rFonts w:ascii="Times New Roman" w:hAnsi="Times New Roman" w:cs="Times New Roman"/>
          <w:sz w:val="24"/>
          <w:szCs w:val="24"/>
        </w:rPr>
        <w:t xml:space="preserve"> </w:t>
      </w:r>
      <w:r w:rsidRPr="00463949" w:rsidR="00667545">
        <w:rPr>
          <w:rFonts w:ascii="Times New Roman" w:hAnsi="Times New Roman" w:cs="Times New Roman"/>
          <w:sz w:val="24"/>
          <w:szCs w:val="24"/>
        </w:rPr>
        <w:t xml:space="preserve">drinkwaterbedrijven </w:t>
      </w:r>
      <w:r w:rsidRPr="00463949" w:rsidR="008A4EA3">
        <w:rPr>
          <w:rFonts w:ascii="Times New Roman" w:hAnsi="Times New Roman" w:cs="Times New Roman"/>
          <w:sz w:val="24"/>
          <w:szCs w:val="24"/>
        </w:rPr>
        <w:t xml:space="preserve">op </w:t>
      </w:r>
      <w:r w:rsidRPr="00463949" w:rsidR="0068613E">
        <w:rPr>
          <w:rFonts w:ascii="Times New Roman" w:hAnsi="Times New Roman" w:cs="Times New Roman"/>
          <w:sz w:val="24"/>
          <w:szCs w:val="24"/>
        </w:rPr>
        <w:t xml:space="preserve">een </w:t>
      </w:r>
      <w:r w:rsidRPr="00463949" w:rsidR="008A4EA3">
        <w:rPr>
          <w:rFonts w:ascii="Times New Roman" w:hAnsi="Times New Roman" w:cs="Times New Roman"/>
          <w:sz w:val="24"/>
          <w:szCs w:val="24"/>
        </w:rPr>
        <w:t xml:space="preserve">laagdrempelige wijze de </w:t>
      </w:r>
      <w:r w:rsidRPr="00463949" w:rsidR="0068613E">
        <w:rPr>
          <w:rFonts w:ascii="Times New Roman" w:hAnsi="Times New Roman" w:cs="Times New Roman"/>
          <w:sz w:val="24"/>
          <w:szCs w:val="24"/>
        </w:rPr>
        <w:t xml:space="preserve">vergoede schade kunnen verhalen op de </w:t>
      </w:r>
      <w:r w:rsidRPr="00463949" w:rsidR="008A4EA3">
        <w:rPr>
          <w:rFonts w:ascii="Times New Roman" w:hAnsi="Times New Roman" w:cs="Times New Roman"/>
          <w:sz w:val="24"/>
          <w:szCs w:val="24"/>
        </w:rPr>
        <w:t>vervuilers van (de bronnen van) het product drinkwater</w:t>
      </w:r>
      <w:r w:rsidRPr="00463949" w:rsidR="0068613E">
        <w:rPr>
          <w:rFonts w:ascii="Times New Roman" w:hAnsi="Times New Roman" w:cs="Times New Roman"/>
          <w:sz w:val="24"/>
          <w:szCs w:val="24"/>
        </w:rPr>
        <w:t>.</w:t>
      </w:r>
    </w:p>
    <w:p w:rsidRPr="00463949" w:rsidR="0068613E" w:rsidP="00D045E0" w:rsidRDefault="0068613E" w14:paraId="44524DC1" w14:textId="77777777">
      <w:pPr>
        <w:spacing w:after="0" w:line="276" w:lineRule="auto"/>
        <w:rPr>
          <w:rFonts w:ascii="Times New Roman" w:hAnsi="Times New Roman" w:cs="Times New Roman"/>
          <w:sz w:val="24"/>
          <w:szCs w:val="24"/>
        </w:rPr>
      </w:pPr>
    </w:p>
    <w:p w:rsidRPr="00463949" w:rsidR="0068613E" w:rsidP="00D045E0" w:rsidRDefault="009C262D" w14:paraId="596DCFB7" w14:textId="38CB449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w:t>
      </w:r>
      <w:r w:rsidRPr="00463949" w:rsidR="00703F9D">
        <w:rPr>
          <w:rFonts w:ascii="Times New Roman" w:hAnsi="Times New Roman" w:cs="Times New Roman"/>
          <w:sz w:val="24"/>
          <w:szCs w:val="24"/>
        </w:rPr>
        <w:t xml:space="preserve">de preambule van de Richtlijn </w:t>
      </w:r>
      <w:r w:rsidRPr="00463949">
        <w:rPr>
          <w:rFonts w:ascii="Times New Roman" w:hAnsi="Times New Roman" w:cs="Times New Roman"/>
          <w:sz w:val="24"/>
          <w:szCs w:val="24"/>
        </w:rPr>
        <w:t xml:space="preserve">is </w:t>
      </w:r>
      <w:r w:rsidRPr="00463949" w:rsidR="00703F9D">
        <w:rPr>
          <w:rFonts w:ascii="Times New Roman" w:hAnsi="Times New Roman" w:cs="Times New Roman"/>
          <w:sz w:val="24"/>
          <w:szCs w:val="24"/>
        </w:rPr>
        <w:t>vermeld dat grondstoffen, zoals gas en water, producten zijn (zie overweging 16).</w:t>
      </w:r>
      <w:r w:rsidRPr="00463949">
        <w:rPr>
          <w:rFonts w:ascii="Times New Roman" w:hAnsi="Times New Roman" w:cs="Times New Roman"/>
          <w:sz w:val="24"/>
          <w:szCs w:val="24"/>
        </w:rPr>
        <w:t xml:space="preserve"> </w:t>
      </w:r>
      <w:r w:rsidRPr="00463949" w:rsidR="00A2215F">
        <w:rPr>
          <w:rFonts w:ascii="Times New Roman" w:hAnsi="Times New Roman" w:cs="Times New Roman"/>
          <w:sz w:val="24"/>
          <w:szCs w:val="24"/>
        </w:rPr>
        <w:t>Dit is opgenomen ter verduidelijking van het toepassingsbereik</w:t>
      </w:r>
      <w:r w:rsidRPr="00463949" w:rsidR="00525DA7">
        <w:rPr>
          <w:rFonts w:ascii="Times New Roman" w:hAnsi="Times New Roman" w:cs="Times New Roman"/>
          <w:sz w:val="24"/>
          <w:szCs w:val="24"/>
        </w:rPr>
        <w:t>.</w:t>
      </w:r>
      <w:r w:rsidRPr="00463949" w:rsidR="00A2215F">
        <w:rPr>
          <w:rFonts w:ascii="Times New Roman" w:hAnsi="Times New Roman" w:cs="Times New Roman"/>
          <w:sz w:val="24"/>
          <w:szCs w:val="24"/>
        </w:rPr>
        <w:t xml:space="preserve"> </w:t>
      </w:r>
      <w:r w:rsidRPr="00463949" w:rsidR="00703F9D">
        <w:rPr>
          <w:rFonts w:ascii="Times New Roman" w:hAnsi="Times New Roman" w:cs="Times New Roman"/>
          <w:sz w:val="24"/>
          <w:szCs w:val="24"/>
        </w:rPr>
        <w:t xml:space="preserve">Ook </w:t>
      </w:r>
      <w:r w:rsidRPr="00463949" w:rsidR="006A7ABD">
        <w:rPr>
          <w:rFonts w:ascii="Times New Roman" w:hAnsi="Times New Roman" w:cs="Times New Roman"/>
          <w:sz w:val="24"/>
          <w:szCs w:val="24"/>
        </w:rPr>
        <w:t xml:space="preserve">Richtlijn 85/354 </w:t>
      </w:r>
      <w:r w:rsidRPr="00463949" w:rsidR="00703F9D">
        <w:rPr>
          <w:rFonts w:ascii="Times New Roman" w:hAnsi="Times New Roman" w:cs="Times New Roman"/>
          <w:sz w:val="24"/>
          <w:szCs w:val="24"/>
        </w:rPr>
        <w:t>is van toepassing op drinkwater.</w:t>
      </w:r>
      <w:r w:rsidRPr="00463949" w:rsidR="00703F9D">
        <w:rPr>
          <w:rStyle w:val="Voetnootmarkering"/>
          <w:rFonts w:ascii="Times New Roman" w:hAnsi="Times New Roman" w:cs="Times New Roman"/>
          <w:sz w:val="24"/>
          <w:szCs w:val="24"/>
        </w:rPr>
        <w:footnoteReference w:id="60"/>
      </w:r>
      <w:r w:rsidRPr="00463949" w:rsidR="00703F9D">
        <w:rPr>
          <w:rFonts w:ascii="Times New Roman" w:hAnsi="Times New Roman" w:cs="Times New Roman"/>
          <w:sz w:val="24"/>
          <w:szCs w:val="24"/>
        </w:rPr>
        <w:t xml:space="preserve"> </w:t>
      </w:r>
      <w:r w:rsidRPr="00463949" w:rsidR="00E7701C">
        <w:rPr>
          <w:rFonts w:ascii="Times New Roman" w:hAnsi="Times New Roman" w:cs="Times New Roman"/>
          <w:sz w:val="24"/>
          <w:szCs w:val="24"/>
        </w:rPr>
        <w:t xml:space="preserve">Als </w:t>
      </w:r>
      <w:r w:rsidRPr="00463949">
        <w:rPr>
          <w:rFonts w:ascii="Times New Roman" w:hAnsi="Times New Roman" w:cs="Times New Roman"/>
          <w:sz w:val="24"/>
          <w:szCs w:val="24"/>
        </w:rPr>
        <w:t xml:space="preserve">gebrekkig </w:t>
      </w:r>
      <w:r w:rsidRPr="00463949" w:rsidR="00E7701C">
        <w:rPr>
          <w:rFonts w:ascii="Times New Roman" w:hAnsi="Times New Roman" w:cs="Times New Roman"/>
          <w:sz w:val="24"/>
          <w:szCs w:val="24"/>
        </w:rPr>
        <w:t>drinkwater schade veroorzaakt aan natuurlijke personen kan het drinkwaterbedrijf daarvoor</w:t>
      </w:r>
      <w:r w:rsidRPr="00463949" w:rsidR="00FF7F33">
        <w:rPr>
          <w:rFonts w:ascii="Times New Roman" w:hAnsi="Times New Roman" w:cs="Times New Roman"/>
          <w:sz w:val="24"/>
          <w:szCs w:val="24"/>
        </w:rPr>
        <w:t xml:space="preserve"> </w:t>
      </w:r>
      <w:r w:rsidRPr="00463949" w:rsidR="00E7701C">
        <w:rPr>
          <w:rFonts w:ascii="Times New Roman" w:hAnsi="Times New Roman" w:cs="Times New Roman"/>
          <w:sz w:val="24"/>
          <w:szCs w:val="24"/>
        </w:rPr>
        <w:t>aansprakelijk</w:t>
      </w:r>
      <w:r w:rsidRPr="00463949" w:rsidR="005D2626">
        <w:rPr>
          <w:rFonts w:ascii="Times New Roman" w:hAnsi="Times New Roman" w:cs="Times New Roman"/>
          <w:sz w:val="24"/>
          <w:szCs w:val="24"/>
        </w:rPr>
        <w:t xml:space="preserve"> </w:t>
      </w:r>
      <w:r w:rsidRPr="00463949" w:rsidR="00E7701C">
        <w:rPr>
          <w:rFonts w:ascii="Times New Roman" w:hAnsi="Times New Roman" w:cs="Times New Roman"/>
          <w:sz w:val="24"/>
          <w:szCs w:val="24"/>
        </w:rPr>
        <w:t>worden gesteld op grond van afdeling 6.3.3</w:t>
      </w:r>
      <w:r w:rsidRPr="00463949" w:rsidR="00FF7F33">
        <w:rPr>
          <w:rFonts w:ascii="Times New Roman" w:hAnsi="Times New Roman" w:cs="Times New Roman"/>
          <w:sz w:val="24"/>
          <w:szCs w:val="24"/>
        </w:rPr>
        <w:t xml:space="preserve"> BW.</w:t>
      </w:r>
      <w:r w:rsidRPr="00463949" w:rsidR="00E7701C">
        <w:rPr>
          <w:rFonts w:ascii="Times New Roman" w:hAnsi="Times New Roman" w:cs="Times New Roman"/>
          <w:sz w:val="24"/>
          <w:szCs w:val="24"/>
        </w:rPr>
        <w:t xml:space="preserve"> </w:t>
      </w:r>
      <w:r w:rsidRPr="00463949" w:rsidR="006A7ABD">
        <w:rPr>
          <w:rFonts w:ascii="Times New Roman" w:hAnsi="Times New Roman" w:cs="Times New Roman"/>
          <w:sz w:val="24"/>
          <w:szCs w:val="24"/>
        </w:rPr>
        <w:t>De Richtlijn brengt daarin geen verandering. Als een ander dan het drinkwaterbedrijf verantwoordelijk is voor de vervuiling van het drinkwater, kan het drinkwaterbedrijf op basis van de bepalingen van nationaal recht regres nemen</w:t>
      </w:r>
      <w:r w:rsidRPr="00463949" w:rsidR="00AF7B43">
        <w:rPr>
          <w:rFonts w:ascii="Times New Roman" w:hAnsi="Times New Roman" w:cs="Times New Roman"/>
          <w:sz w:val="24"/>
          <w:szCs w:val="24"/>
        </w:rPr>
        <w:t xml:space="preserve"> (artikel 6:10 lid 1 BW in verbinding met de artikelen 6:102 lid 1 en 6:101 BW)</w:t>
      </w:r>
      <w:r w:rsidRPr="00463949" w:rsidR="006A7ABD">
        <w:rPr>
          <w:rFonts w:ascii="Times New Roman" w:hAnsi="Times New Roman" w:cs="Times New Roman"/>
          <w:sz w:val="24"/>
          <w:szCs w:val="24"/>
        </w:rPr>
        <w:t xml:space="preserve">. Dit geldt zowel voor Richtlijn 85/374 als voor de Richtlijn. </w:t>
      </w:r>
    </w:p>
    <w:p w:rsidRPr="00463949" w:rsidR="00E7701C" w:rsidP="00D045E0" w:rsidRDefault="00E7701C" w14:paraId="7E0B68F9" w14:textId="77777777">
      <w:pPr>
        <w:spacing w:after="0" w:line="276" w:lineRule="auto"/>
        <w:rPr>
          <w:rFonts w:ascii="Times New Roman" w:hAnsi="Times New Roman" w:cs="Times New Roman"/>
          <w:sz w:val="24"/>
          <w:szCs w:val="24"/>
        </w:rPr>
      </w:pPr>
    </w:p>
    <w:p w:rsidRPr="00463949" w:rsidR="0050408C" w:rsidP="00D045E0" w:rsidRDefault="00E7701C" w14:paraId="73191349" w14:textId="7777777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risicoaansprakelijkheid van drinkwaterbedrijven </w:t>
      </w:r>
      <w:r w:rsidRPr="00463949" w:rsidR="005B7E23">
        <w:rPr>
          <w:rFonts w:ascii="Times New Roman" w:hAnsi="Times New Roman" w:cs="Times New Roman"/>
          <w:sz w:val="24"/>
          <w:szCs w:val="24"/>
        </w:rPr>
        <w:t xml:space="preserve">op grond van afdeling 6.3.3 BW </w:t>
      </w:r>
      <w:r w:rsidRPr="00463949">
        <w:rPr>
          <w:rFonts w:ascii="Times New Roman" w:hAnsi="Times New Roman" w:cs="Times New Roman"/>
          <w:sz w:val="24"/>
          <w:szCs w:val="24"/>
        </w:rPr>
        <w:t xml:space="preserve">neemt niet weg dat natuurlijke personen hun schade ook kunnen verhalen op bijvoorbeeld vervuilende bedrijven. Voor bedrijven die schadelijke stoffen gebruiken geldt </w:t>
      </w:r>
      <w:r w:rsidRPr="00463949" w:rsidR="00FF7F33">
        <w:rPr>
          <w:rFonts w:ascii="Times New Roman" w:hAnsi="Times New Roman" w:cs="Times New Roman"/>
          <w:sz w:val="24"/>
          <w:szCs w:val="24"/>
        </w:rPr>
        <w:t xml:space="preserve">eveneens </w:t>
      </w:r>
      <w:r w:rsidRPr="00463949">
        <w:rPr>
          <w:rFonts w:ascii="Times New Roman" w:hAnsi="Times New Roman" w:cs="Times New Roman"/>
          <w:sz w:val="24"/>
          <w:szCs w:val="24"/>
        </w:rPr>
        <w:t>een risicoaansprakelijkheid (artikel 6:</w:t>
      </w:r>
      <w:r w:rsidRPr="00463949" w:rsidR="00C90352">
        <w:rPr>
          <w:rFonts w:ascii="Times New Roman" w:hAnsi="Times New Roman" w:cs="Times New Roman"/>
          <w:sz w:val="24"/>
          <w:szCs w:val="24"/>
        </w:rPr>
        <w:t>1</w:t>
      </w:r>
      <w:r w:rsidRPr="00463949">
        <w:rPr>
          <w:rFonts w:ascii="Times New Roman" w:hAnsi="Times New Roman" w:cs="Times New Roman"/>
          <w:sz w:val="24"/>
          <w:szCs w:val="24"/>
        </w:rPr>
        <w:t>75 B</w:t>
      </w:r>
      <w:r w:rsidRPr="00463949" w:rsidR="00C90352">
        <w:rPr>
          <w:rFonts w:ascii="Times New Roman" w:hAnsi="Times New Roman" w:cs="Times New Roman"/>
          <w:sz w:val="24"/>
          <w:szCs w:val="24"/>
        </w:rPr>
        <w:t>W</w:t>
      </w:r>
      <w:r w:rsidRPr="00463949">
        <w:rPr>
          <w:rFonts w:ascii="Times New Roman" w:hAnsi="Times New Roman" w:cs="Times New Roman"/>
          <w:sz w:val="24"/>
          <w:szCs w:val="24"/>
        </w:rPr>
        <w:t>). Dit is een regeling van nationaal recht</w:t>
      </w:r>
      <w:r w:rsidRPr="00463949" w:rsidR="00B66337">
        <w:rPr>
          <w:rFonts w:ascii="Times New Roman" w:hAnsi="Times New Roman" w:cs="Times New Roman"/>
          <w:sz w:val="24"/>
          <w:szCs w:val="24"/>
        </w:rPr>
        <w:t xml:space="preserve">: </w:t>
      </w:r>
      <w:r w:rsidRPr="00463949" w:rsidR="00C90352">
        <w:rPr>
          <w:rFonts w:ascii="Times New Roman" w:hAnsi="Times New Roman" w:cs="Times New Roman"/>
          <w:sz w:val="24"/>
          <w:szCs w:val="24"/>
        </w:rPr>
        <w:t>d</w:t>
      </w:r>
      <w:r w:rsidRPr="00463949">
        <w:rPr>
          <w:rFonts w:ascii="Times New Roman" w:hAnsi="Times New Roman" w:cs="Times New Roman"/>
          <w:sz w:val="24"/>
          <w:szCs w:val="24"/>
        </w:rPr>
        <w:t xml:space="preserve">egene die in de uitoefening van zijn beroep of bedrijf een stof gebruikt of onder zich heeft, terwijl van deze stof bekend is dat zij zodanige eigenschappen heeft, dat zij een bijzonder gevaar van </w:t>
      </w:r>
      <w:r w:rsidRPr="00463949">
        <w:rPr>
          <w:rFonts w:ascii="Times New Roman" w:hAnsi="Times New Roman" w:cs="Times New Roman"/>
          <w:sz w:val="24"/>
          <w:szCs w:val="24"/>
        </w:rPr>
        <w:lastRenderedPageBreak/>
        <w:t>ernstige aard voor personen of zaken oplevert</w:t>
      </w:r>
      <w:r w:rsidRPr="00463949" w:rsidR="00C90352">
        <w:rPr>
          <w:rFonts w:ascii="Times New Roman" w:hAnsi="Times New Roman" w:cs="Times New Roman"/>
          <w:sz w:val="24"/>
          <w:szCs w:val="24"/>
        </w:rPr>
        <w:t>,</w:t>
      </w:r>
      <w:r w:rsidRPr="00463949" w:rsidR="002E4A63">
        <w:rPr>
          <w:rFonts w:ascii="Times New Roman" w:hAnsi="Times New Roman" w:cs="Times New Roman"/>
          <w:sz w:val="24"/>
          <w:szCs w:val="24"/>
        </w:rPr>
        <w:t xml:space="preserve"> is</w:t>
      </w:r>
      <w:r w:rsidRPr="00463949" w:rsidR="00C90352">
        <w:rPr>
          <w:rFonts w:ascii="Times New Roman" w:hAnsi="Times New Roman" w:cs="Times New Roman"/>
          <w:sz w:val="24"/>
          <w:szCs w:val="24"/>
        </w:rPr>
        <w:t xml:space="preserve"> aansprakelijk, wanneer dit gevaar zich verwezenlijkt</w:t>
      </w:r>
      <w:r w:rsidRPr="00463949" w:rsidR="009C262D">
        <w:rPr>
          <w:rFonts w:ascii="Times New Roman" w:hAnsi="Times New Roman" w:cs="Times New Roman"/>
          <w:sz w:val="24"/>
          <w:szCs w:val="24"/>
        </w:rPr>
        <w:t xml:space="preserve"> (artikel 6:175 lid 1 BW)</w:t>
      </w:r>
      <w:r w:rsidRPr="00463949" w:rsidR="00C90352">
        <w:rPr>
          <w:rFonts w:ascii="Times New Roman" w:hAnsi="Times New Roman" w:cs="Times New Roman"/>
          <w:sz w:val="24"/>
          <w:szCs w:val="24"/>
        </w:rPr>
        <w:t xml:space="preserve">. </w:t>
      </w:r>
      <w:r w:rsidRPr="00463949" w:rsidR="00C02EE4">
        <w:rPr>
          <w:rFonts w:ascii="Times New Roman" w:hAnsi="Times New Roman" w:cs="Times New Roman"/>
          <w:sz w:val="24"/>
          <w:szCs w:val="24"/>
        </w:rPr>
        <w:t>Ook is het mogelijk dat natuurlijke personen een vordering instellen op grond van onrechtmatige daad (artikel 6:162 BW). In dat geval is wel vereist dat het vervuilende bedrijf</w:t>
      </w:r>
      <w:r w:rsidRPr="00463949" w:rsidR="00525DA7">
        <w:rPr>
          <w:rFonts w:ascii="Times New Roman" w:hAnsi="Times New Roman" w:cs="Times New Roman"/>
          <w:sz w:val="24"/>
          <w:szCs w:val="24"/>
        </w:rPr>
        <w:t xml:space="preserve"> een verwijt treft.</w:t>
      </w:r>
      <w:r w:rsidRPr="00463949" w:rsidR="0050408C">
        <w:rPr>
          <w:rFonts w:ascii="Times New Roman" w:hAnsi="Times New Roman" w:cs="Times New Roman"/>
          <w:sz w:val="24"/>
          <w:szCs w:val="24"/>
        </w:rPr>
        <w:t xml:space="preserve"> </w:t>
      </w:r>
      <w:r w:rsidRPr="00463949" w:rsidR="005B7E23">
        <w:rPr>
          <w:rFonts w:ascii="Times New Roman" w:hAnsi="Times New Roman" w:cs="Times New Roman"/>
          <w:sz w:val="24"/>
          <w:szCs w:val="24"/>
        </w:rPr>
        <w:t>Het kan ook zo zijn dat in het geval van vervuild drinkwater verschillende partijen aansprakelijk worden gesteld voor dezelfde schade, bijvoorbeeld de vervuiler</w:t>
      </w:r>
      <w:r w:rsidRPr="00463949" w:rsidR="00C02EE4">
        <w:rPr>
          <w:rFonts w:ascii="Times New Roman" w:hAnsi="Times New Roman" w:cs="Times New Roman"/>
          <w:sz w:val="24"/>
          <w:szCs w:val="24"/>
        </w:rPr>
        <w:t xml:space="preserve"> </w:t>
      </w:r>
      <w:r w:rsidRPr="00463949" w:rsidR="005B7E23">
        <w:rPr>
          <w:rFonts w:ascii="Times New Roman" w:hAnsi="Times New Roman" w:cs="Times New Roman"/>
          <w:sz w:val="24"/>
          <w:szCs w:val="24"/>
        </w:rPr>
        <w:t>en het drinkwaterbedrijf.</w:t>
      </w:r>
      <w:r w:rsidRPr="00463949" w:rsidR="0050408C">
        <w:rPr>
          <w:rFonts w:ascii="Times New Roman" w:hAnsi="Times New Roman" w:cs="Times New Roman"/>
          <w:sz w:val="24"/>
          <w:szCs w:val="24"/>
        </w:rPr>
        <w:t xml:space="preserve"> </w:t>
      </w:r>
    </w:p>
    <w:p w:rsidRPr="00463949" w:rsidR="0050408C" w:rsidP="00D045E0" w:rsidRDefault="0050408C" w14:paraId="2D03E238" w14:textId="77777777">
      <w:pPr>
        <w:spacing w:after="0" w:line="276" w:lineRule="auto"/>
        <w:rPr>
          <w:rFonts w:ascii="Times New Roman" w:hAnsi="Times New Roman" w:cs="Times New Roman"/>
          <w:sz w:val="24"/>
          <w:szCs w:val="24"/>
        </w:rPr>
      </w:pPr>
    </w:p>
    <w:p w:rsidRPr="00463949" w:rsidR="00C90352" w:rsidP="00D045E0" w:rsidRDefault="00C90352" w14:paraId="14E097BB" w14:textId="7B0C96D8">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Als de benadeelde zijn schade alleen wenst te verhalen op het drinkwaterbedrijf, kan het drinkwaterbedrijf zelf andere partijen in de procedure bij de rechter betrekken (in vrijwaring oproepen</w:t>
      </w:r>
      <w:r w:rsidRPr="00463949" w:rsidR="001225F7">
        <w:rPr>
          <w:rFonts w:ascii="Times New Roman" w:hAnsi="Times New Roman" w:cs="Times New Roman"/>
          <w:sz w:val="24"/>
          <w:szCs w:val="24"/>
        </w:rPr>
        <w:t>; artikelen 210-216 Rv</w:t>
      </w:r>
      <w:r w:rsidRPr="00463949">
        <w:rPr>
          <w:rFonts w:ascii="Times New Roman" w:hAnsi="Times New Roman" w:cs="Times New Roman"/>
          <w:sz w:val="24"/>
          <w:szCs w:val="24"/>
        </w:rPr>
        <w:t xml:space="preserve">). </w:t>
      </w:r>
      <w:bookmarkStart w:name="_Hlk201588529" w:id="11"/>
      <w:r w:rsidRPr="00463949" w:rsidR="00F5742D">
        <w:rPr>
          <w:rFonts w:ascii="Times New Roman" w:hAnsi="Times New Roman" w:cs="Times New Roman"/>
          <w:sz w:val="24"/>
          <w:szCs w:val="24"/>
        </w:rPr>
        <w:t>Dit met het doel om bij een veroordeling direct de schade op de in vrijwaring opgeroepen derde te verhalen.</w:t>
      </w:r>
      <w:bookmarkEnd w:id="11"/>
      <w:r w:rsidRPr="00463949" w:rsidR="00F5742D">
        <w:rPr>
          <w:rFonts w:ascii="Times New Roman" w:hAnsi="Times New Roman" w:cs="Times New Roman"/>
          <w:sz w:val="24"/>
          <w:szCs w:val="24"/>
        </w:rPr>
        <w:t xml:space="preserve"> </w:t>
      </w:r>
      <w:r w:rsidRPr="00463949" w:rsidR="004B2314">
        <w:rPr>
          <w:rFonts w:ascii="Times New Roman" w:hAnsi="Times New Roman" w:cs="Times New Roman"/>
          <w:sz w:val="24"/>
          <w:szCs w:val="24"/>
        </w:rPr>
        <w:t>A</w:t>
      </w:r>
      <w:r w:rsidRPr="00463949">
        <w:rPr>
          <w:rFonts w:ascii="Times New Roman" w:hAnsi="Times New Roman" w:cs="Times New Roman"/>
          <w:sz w:val="24"/>
          <w:szCs w:val="24"/>
        </w:rPr>
        <w:t>ls er sprake is van een bedrijf dat schadelijke stoffen in de drinkwaterbronnen heeft geloosd</w:t>
      </w:r>
      <w:r w:rsidRPr="00463949" w:rsidR="00213458">
        <w:rPr>
          <w:rFonts w:ascii="Times New Roman" w:hAnsi="Times New Roman" w:cs="Times New Roman"/>
          <w:sz w:val="24"/>
          <w:szCs w:val="24"/>
        </w:rPr>
        <w:t>, kan ook het drinkwaterbedrijf zich op de risicoaansprakelijkheid van artikel 6</w:t>
      </w:r>
      <w:r w:rsidRPr="00463949" w:rsidR="009C262D">
        <w:rPr>
          <w:rFonts w:ascii="Times New Roman" w:hAnsi="Times New Roman" w:cs="Times New Roman"/>
          <w:sz w:val="24"/>
          <w:szCs w:val="24"/>
        </w:rPr>
        <w:t>:</w:t>
      </w:r>
      <w:r w:rsidRPr="00463949" w:rsidR="00213458">
        <w:rPr>
          <w:rFonts w:ascii="Times New Roman" w:hAnsi="Times New Roman" w:cs="Times New Roman"/>
          <w:sz w:val="24"/>
          <w:szCs w:val="24"/>
        </w:rPr>
        <w:t>175 BW beroepen.</w:t>
      </w:r>
      <w:r w:rsidRPr="00463949">
        <w:rPr>
          <w:rFonts w:ascii="Times New Roman" w:hAnsi="Times New Roman" w:cs="Times New Roman"/>
          <w:sz w:val="24"/>
          <w:szCs w:val="24"/>
        </w:rPr>
        <w:t xml:space="preserve"> In dat geval hoeft het drinkwaterbedrijf niet aan te tonen</w:t>
      </w:r>
      <w:r w:rsidRPr="00463949" w:rsidR="009C262D">
        <w:rPr>
          <w:rFonts w:ascii="Times New Roman" w:hAnsi="Times New Roman" w:cs="Times New Roman"/>
          <w:sz w:val="24"/>
          <w:szCs w:val="24"/>
        </w:rPr>
        <w:t xml:space="preserve"> </w:t>
      </w:r>
      <w:r w:rsidRPr="00463949">
        <w:rPr>
          <w:rFonts w:ascii="Times New Roman" w:hAnsi="Times New Roman" w:cs="Times New Roman"/>
          <w:sz w:val="24"/>
          <w:szCs w:val="24"/>
        </w:rPr>
        <w:t>dat het vervuilende bedrijf</w:t>
      </w:r>
      <w:r w:rsidRPr="00463949" w:rsidR="00525DA7">
        <w:rPr>
          <w:rFonts w:ascii="Times New Roman" w:hAnsi="Times New Roman" w:cs="Times New Roman"/>
          <w:sz w:val="24"/>
          <w:szCs w:val="24"/>
        </w:rPr>
        <w:t xml:space="preserve"> een verwijt treft</w:t>
      </w:r>
      <w:r w:rsidRPr="00463949">
        <w:rPr>
          <w:rFonts w:ascii="Times New Roman" w:hAnsi="Times New Roman" w:cs="Times New Roman"/>
          <w:sz w:val="24"/>
          <w:szCs w:val="24"/>
        </w:rPr>
        <w:t>.</w:t>
      </w:r>
    </w:p>
    <w:p w:rsidRPr="00463949" w:rsidR="00C90352" w:rsidP="00D045E0" w:rsidRDefault="00C90352" w14:paraId="58B8A13C" w14:textId="77777777">
      <w:pPr>
        <w:spacing w:after="0" w:line="276" w:lineRule="auto"/>
        <w:rPr>
          <w:rFonts w:ascii="Times New Roman" w:hAnsi="Times New Roman" w:cs="Times New Roman"/>
          <w:sz w:val="24"/>
          <w:szCs w:val="24"/>
        </w:rPr>
      </w:pPr>
    </w:p>
    <w:p w:rsidRPr="00463949" w:rsidR="00C90352" w:rsidP="00D045E0" w:rsidRDefault="00C90352" w14:paraId="515E89B8" w14:textId="18BEFBA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Het feit dat er verschillende partijen aansprakelijk zijn, wil overigens niet zeggen dat die partijen in hun onderlinge verhouding op gelijke wijze draagplichtig zijn. Als een drinkwaterbedrijf geen verwijt te maken valt, en het vervuilende bedrijf schuld treft, dan is het vervuilende bedrijf in de onderlinge verhouding draagplichtig (artikel 6:10 lid 1 </w:t>
      </w:r>
      <w:r w:rsidRPr="00463949" w:rsidR="00AD2CE1">
        <w:rPr>
          <w:rFonts w:ascii="Times New Roman" w:hAnsi="Times New Roman" w:cs="Times New Roman"/>
          <w:sz w:val="24"/>
          <w:szCs w:val="24"/>
        </w:rPr>
        <w:t xml:space="preserve">in verbinding met artikel 6:102 lid 1 en 6:101 </w:t>
      </w:r>
      <w:r w:rsidRPr="00463949">
        <w:rPr>
          <w:rFonts w:ascii="Times New Roman" w:hAnsi="Times New Roman" w:cs="Times New Roman"/>
          <w:sz w:val="24"/>
          <w:szCs w:val="24"/>
        </w:rPr>
        <w:t>BW).</w:t>
      </w:r>
    </w:p>
    <w:p w:rsidRPr="00463949" w:rsidR="00C90352" w:rsidP="00D045E0" w:rsidRDefault="00C90352" w14:paraId="7A023955" w14:textId="77777777">
      <w:pPr>
        <w:spacing w:after="0" w:line="276" w:lineRule="auto"/>
        <w:rPr>
          <w:rFonts w:ascii="Times New Roman" w:hAnsi="Times New Roman" w:cs="Times New Roman"/>
          <w:sz w:val="24"/>
          <w:szCs w:val="24"/>
        </w:rPr>
      </w:pPr>
    </w:p>
    <w:p w:rsidRPr="00463949" w:rsidR="00C90352" w:rsidP="00D045E0" w:rsidRDefault="00C90352" w14:paraId="77A4FE63" w14:textId="4CADF352">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Richtlijn laat geen ruimte voor het invoeren van nieuwe </w:t>
      </w:r>
      <w:r w:rsidRPr="00463949" w:rsidR="00FF7F33">
        <w:rPr>
          <w:rFonts w:ascii="Times New Roman" w:hAnsi="Times New Roman" w:cs="Times New Roman"/>
          <w:sz w:val="24"/>
          <w:szCs w:val="24"/>
        </w:rPr>
        <w:t xml:space="preserve">regels </w:t>
      </w:r>
      <w:r w:rsidRPr="00463949" w:rsidR="00213458">
        <w:rPr>
          <w:rFonts w:ascii="Times New Roman" w:hAnsi="Times New Roman" w:cs="Times New Roman"/>
          <w:sz w:val="24"/>
          <w:szCs w:val="24"/>
        </w:rPr>
        <w:t xml:space="preserve">over </w:t>
      </w:r>
      <w:r w:rsidRPr="00463949">
        <w:rPr>
          <w:rFonts w:ascii="Times New Roman" w:hAnsi="Times New Roman" w:cs="Times New Roman"/>
          <w:sz w:val="24"/>
          <w:szCs w:val="24"/>
        </w:rPr>
        <w:t xml:space="preserve">productaansprakelijkheid op nationaal niveau (maximumharmonisatie). Daarbij is ook van belang dat in </w:t>
      </w:r>
      <w:r w:rsidRPr="00463949" w:rsidR="000937B6">
        <w:rPr>
          <w:rFonts w:ascii="Times New Roman" w:hAnsi="Times New Roman" w:cs="Times New Roman"/>
          <w:sz w:val="24"/>
          <w:szCs w:val="24"/>
        </w:rPr>
        <w:t>de</w:t>
      </w:r>
      <w:r w:rsidRPr="00463949">
        <w:rPr>
          <w:rFonts w:ascii="Times New Roman" w:hAnsi="Times New Roman" w:cs="Times New Roman"/>
          <w:sz w:val="24"/>
          <w:szCs w:val="24"/>
        </w:rPr>
        <w:t xml:space="preserve"> implementatiewet alleen regels </w:t>
      </w:r>
      <w:r w:rsidRPr="00463949" w:rsidR="00952814">
        <w:rPr>
          <w:rFonts w:ascii="Times New Roman" w:hAnsi="Times New Roman" w:cs="Times New Roman"/>
          <w:sz w:val="24"/>
          <w:szCs w:val="24"/>
        </w:rPr>
        <w:t xml:space="preserve">die volgen </w:t>
      </w:r>
      <w:r w:rsidRPr="00463949">
        <w:rPr>
          <w:rFonts w:ascii="Times New Roman" w:hAnsi="Times New Roman" w:cs="Times New Roman"/>
          <w:sz w:val="24"/>
          <w:szCs w:val="24"/>
        </w:rPr>
        <w:t xml:space="preserve">uit de </w:t>
      </w:r>
      <w:r w:rsidRPr="00463949" w:rsidR="000937B6">
        <w:rPr>
          <w:rFonts w:ascii="Times New Roman" w:hAnsi="Times New Roman" w:cs="Times New Roman"/>
          <w:sz w:val="24"/>
          <w:szCs w:val="24"/>
        </w:rPr>
        <w:t>R</w:t>
      </w:r>
      <w:r w:rsidRPr="00463949">
        <w:rPr>
          <w:rFonts w:ascii="Times New Roman" w:hAnsi="Times New Roman" w:cs="Times New Roman"/>
          <w:sz w:val="24"/>
          <w:szCs w:val="24"/>
        </w:rPr>
        <w:t xml:space="preserve">ichtlijn opgenomen mogen worden. </w:t>
      </w:r>
      <w:r w:rsidRPr="00463949" w:rsidR="00715B3C">
        <w:rPr>
          <w:rFonts w:ascii="Times New Roman" w:hAnsi="Times New Roman" w:cs="Times New Roman"/>
          <w:sz w:val="24"/>
          <w:szCs w:val="24"/>
        </w:rPr>
        <w:t>De bestaande regeling van aansprakelijkheid, vrijwaring en regres bieden drinkwaterbedrijven mogelijkheden om andere partijen (bijvoorbeeld vervuilende bedrijven) aan te spr</w:t>
      </w:r>
      <w:r w:rsidRPr="00463949" w:rsidR="008B4D90">
        <w:rPr>
          <w:rFonts w:ascii="Times New Roman" w:hAnsi="Times New Roman" w:cs="Times New Roman"/>
          <w:sz w:val="24"/>
          <w:szCs w:val="24"/>
        </w:rPr>
        <w:t>e</w:t>
      </w:r>
      <w:r w:rsidRPr="00463949" w:rsidR="00715B3C">
        <w:rPr>
          <w:rFonts w:ascii="Times New Roman" w:hAnsi="Times New Roman" w:cs="Times New Roman"/>
          <w:sz w:val="24"/>
          <w:szCs w:val="24"/>
        </w:rPr>
        <w:t>ke</w:t>
      </w:r>
      <w:r w:rsidRPr="00463949" w:rsidR="008B4D90">
        <w:rPr>
          <w:rFonts w:ascii="Times New Roman" w:hAnsi="Times New Roman" w:cs="Times New Roman"/>
          <w:sz w:val="24"/>
          <w:szCs w:val="24"/>
        </w:rPr>
        <w:t>n</w:t>
      </w:r>
      <w:r w:rsidRPr="00463949" w:rsidR="00715B3C">
        <w:rPr>
          <w:rFonts w:ascii="Times New Roman" w:hAnsi="Times New Roman" w:cs="Times New Roman"/>
          <w:sz w:val="24"/>
          <w:szCs w:val="24"/>
        </w:rPr>
        <w:t xml:space="preserve"> voor de schade, waarvoor zij op grond van afdeling 6.3.3 BW worden aangesproken.</w:t>
      </w:r>
    </w:p>
    <w:bookmarkEnd w:id="9"/>
    <w:p w:rsidRPr="00463949" w:rsidR="00DC4B24" w:rsidP="00D045E0" w:rsidRDefault="00DC4B24" w14:paraId="789E2765" w14:textId="77777777">
      <w:pPr>
        <w:spacing w:after="0" w:line="276" w:lineRule="auto"/>
        <w:rPr>
          <w:rFonts w:ascii="Times New Roman" w:hAnsi="Times New Roman" w:cs="Times New Roman"/>
          <w:i/>
          <w:iCs/>
          <w:sz w:val="24"/>
          <w:szCs w:val="24"/>
        </w:rPr>
      </w:pPr>
    </w:p>
    <w:p w:rsidRPr="00463949" w:rsidR="0029511B" w:rsidP="00D045E0" w:rsidRDefault="0029511B" w14:paraId="138A9712" w14:textId="2F5C07A6">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Bewijslast</w:t>
      </w:r>
      <w:r w:rsidRPr="00463949" w:rsidR="00B16CAD">
        <w:rPr>
          <w:rFonts w:ascii="Times New Roman" w:hAnsi="Times New Roman" w:cs="Times New Roman"/>
          <w:i/>
          <w:iCs/>
          <w:sz w:val="24"/>
          <w:szCs w:val="24"/>
        </w:rPr>
        <w:t>verdeling</w:t>
      </w:r>
      <w:r w:rsidRPr="00463949">
        <w:rPr>
          <w:rFonts w:ascii="Times New Roman" w:hAnsi="Times New Roman" w:cs="Times New Roman"/>
          <w:i/>
          <w:iCs/>
          <w:sz w:val="24"/>
          <w:szCs w:val="24"/>
        </w:rPr>
        <w:t xml:space="preserve"> en </w:t>
      </w:r>
      <w:r w:rsidRPr="00463949" w:rsidR="005A0F7F">
        <w:rPr>
          <w:rFonts w:ascii="Times New Roman" w:hAnsi="Times New Roman" w:cs="Times New Roman"/>
          <w:i/>
          <w:iCs/>
          <w:sz w:val="24"/>
          <w:szCs w:val="24"/>
        </w:rPr>
        <w:t xml:space="preserve">weerlegbare </w:t>
      </w:r>
      <w:r w:rsidRPr="00463949">
        <w:rPr>
          <w:rFonts w:ascii="Times New Roman" w:hAnsi="Times New Roman" w:cs="Times New Roman"/>
          <w:i/>
          <w:iCs/>
          <w:sz w:val="24"/>
          <w:szCs w:val="24"/>
        </w:rPr>
        <w:t>bewijsvermoedens</w:t>
      </w:r>
    </w:p>
    <w:p w:rsidRPr="00463949" w:rsidR="007B53A1" w:rsidP="00D045E0" w:rsidRDefault="007B53A1" w14:paraId="10975F11" w14:textId="77777777">
      <w:pPr>
        <w:spacing w:after="0" w:line="276" w:lineRule="auto"/>
        <w:rPr>
          <w:rFonts w:ascii="Times New Roman" w:hAnsi="Times New Roman" w:cs="Times New Roman"/>
          <w:sz w:val="24"/>
          <w:szCs w:val="24"/>
        </w:rPr>
      </w:pPr>
    </w:p>
    <w:p w:rsidRPr="00463949" w:rsidR="004221AA" w:rsidP="00D045E0" w:rsidRDefault="002D4DCA" w14:paraId="64CB53F2" w14:textId="0DDCD996">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Verschillende reacties</w:t>
      </w:r>
      <w:r w:rsidRPr="00463949" w:rsidR="00C92955">
        <w:rPr>
          <w:rFonts w:ascii="Times New Roman" w:hAnsi="Times New Roman" w:cs="Times New Roman"/>
          <w:sz w:val="24"/>
          <w:szCs w:val="24"/>
        </w:rPr>
        <w:t xml:space="preserve"> op de internetconsultatie</w:t>
      </w:r>
      <w:r w:rsidRPr="00463949">
        <w:rPr>
          <w:rFonts w:ascii="Times New Roman" w:hAnsi="Times New Roman" w:cs="Times New Roman"/>
          <w:sz w:val="24"/>
          <w:szCs w:val="24"/>
        </w:rPr>
        <w:t xml:space="preserve"> gaan </w:t>
      </w:r>
      <w:r w:rsidRPr="00463949" w:rsidR="00B92AAA">
        <w:rPr>
          <w:rFonts w:ascii="Times New Roman" w:hAnsi="Times New Roman" w:cs="Times New Roman"/>
          <w:sz w:val="24"/>
          <w:szCs w:val="24"/>
        </w:rPr>
        <w:t xml:space="preserve">over </w:t>
      </w:r>
      <w:r w:rsidRPr="00463949" w:rsidR="005A0F7F">
        <w:rPr>
          <w:rFonts w:ascii="Times New Roman" w:hAnsi="Times New Roman" w:cs="Times New Roman"/>
          <w:sz w:val="24"/>
          <w:szCs w:val="24"/>
        </w:rPr>
        <w:t xml:space="preserve">de bewijslastverdeling en weerlegbare bewijsvermoedens in het voorgestelde artikel 6:188 BW. </w:t>
      </w:r>
      <w:r w:rsidRPr="00463949" w:rsidR="00B61864">
        <w:rPr>
          <w:rFonts w:ascii="Times New Roman" w:hAnsi="Times New Roman" w:cs="Times New Roman"/>
          <w:sz w:val="24"/>
          <w:szCs w:val="24"/>
        </w:rPr>
        <w:t xml:space="preserve">VNO-NCW </w:t>
      </w:r>
      <w:r w:rsidRPr="00463949" w:rsidR="00155120">
        <w:rPr>
          <w:rFonts w:ascii="Times New Roman" w:hAnsi="Times New Roman" w:cs="Times New Roman"/>
          <w:sz w:val="24"/>
          <w:szCs w:val="24"/>
        </w:rPr>
        <w:t>en MKB</w:t>
      </w:r>
      <w:r w:rsidRPr="00463949" w:rsidR="00A82E47">
        <w:rPr>
          <w:rFonts w:ascii="Times New Roman" w:hAnsi="Times New Roman" w:cs="Times New Roman"/>
          <w:sz w:val="24"/>
          <w:szCs w:val="24"/>
        </w:rPr>
        <w:t>-</w:t>
      </w:r>
      <w:r w:rsidRPr="00463949" w:rsidR="00155120">
        <w:rPr>
          <w:rFonts w:ascii="Times New Roman" w:hAnsi="Times New Roman" w:cs="Times New Roman"/>
          <w:sz w:val="24"/>
          <w:szCs w:val="24"/>
        </w:rPr>
        <w:t xml:space="preserve">Nederland onderschrijven </w:t>
      </w:r>
      <w:r w:rsidRPr="00463949" w:rsidR="00B61864">
        <w:rPr>
          <w:rFonts w:ascii="Times New Roman" w:hAnsi="Times New Roman" w:cs="Times New Roman"/>
          <w:sz w:val="24"/>
          <w:szCs w:val="24"/>
        </w:rPr>
        <w:t xml:space="preserve">het uitgangspunt dat een bedrijf dat schade veroorzaakt hiervoor aansprakelijk gesteld moet kunnen worden, maar </w:t>
      </w:r>
      <w:r w:rsidRPr="00463949" w:rsidR="0079490A">
        <w:rPr>
          <w:rFonts w:ascii="Times New Roman" w:hAnsi="Times New Roman" w:cs="Times New Roman"/>
          <w:sz w:val="24"/>
          <w:szCs w:val="24"/>
        </w:rPr>
        <w:t>merk</w:t>
      </w:r>
      <w:r w:rsidRPr="00463949" w:rsidR="00B92AAA">
        <w:rPr>
          <w:rFonts w:ascii="Times New Roman" w:hAnsi="Times New Roman" w:cs="Times New Roman"/>
          <w:sz w:val="24"/>
          <w:szCs w:val="24"/>
        </w:rPr>
        <w:t>en</w:t>
      </w:r>
      <w:r w:rsidRPr="00463949" w:rsidR="0079490A">
        <w:rPr>
          <w:rFonts w:ascii="Times New Roman" w:hAnsi="Times New Roman" w:cs="Times New Roman"/>
          <w:sz w:val="24"/>
          <w:szCs w:val="24"/>
        </w:rPr>
        <w:t xml:space="preserve"> op </w:t>
      </w:r>
      <w:r w:rsidRPr="00463949" w:rsidR="00B61864">
        <w:rPr>
          <w:rFonts w:ascii="Times New Roman" w:hAnsi="Times New Roman" w:cs="Times New Roman"/>
          <w:sz w:val="24"/>
          <w:szCs w:val="24"/>
        </w:rPr>
        <w:t>dat omkering van de bewijslast een zwaar middel is</w:t>
      </w:r>
      <w:r w:rsidRPr="00463949" w:rsidR="00FA2458">
        <w:rPr>
          <w:rFonts w:ascii="Times New Roman" w:hAnsi="Times New Roman" w:cs="Times New Roman"/>
          <w:sz w:val="24"/>
          <w:szCs w:val="24"/>
        </w:rPr>
        <w:t xml:space="preserve">, omdat hiermee </w:t>
      </w:r>
      <w:r w:rsidRPr="00463949" w:rsidR="00C850F9">
        <w:rPr>
          <w:rFonts w:ascii="Times New Roman" w:hAnsi="Times New Roman" w:cs="Times New Roman"/>
          <w:sz w:val="24"/>
          <w:szCs w:val="24"/>
        </w:rPr>
        <w:t xml:space="preserve">wordt </w:t>
      </w:r>
      <w:r w:rsidRPr="00463949" w:rsidR="00FA2458">
        <w:rPr>
          <w:rFonts w:ascii="Times New Roman" w:hAnsi="Times New Roman" w:cs="Times New Roman"/>
          <w:sz w:val="24"/>
          <w:szCs w:val="24"/>
        </w:rPr>
        <w:t>afgeweken van het uitgangspunt ‘wie stelt, die bewijst’</w:t>
      </w:r>
      <w:r w:rsidRPr="00463949" w:rsidR="004E7DB3">
        <w:rPr>
          <w:rFonts w:ascii="Times New Roman" w:hAnsi="Times New Roman" w:cs="Times New Roman"/>
          <w:sz w:val="24"/>
          <w:szCs w:val="24"/>
        </w:rPr>
        <w:t xml:space="preserve">. </w:t>
      </w:r>
    </w:p>
    <w:p w:rsidRPr="00463949" w:rsidR="004221AA" w:rsidP="00D045E0" w:rsidRDefault="004221AA" w14:paraId="6BC95C45" w14:textId="77777777">
      <w:pPr>
        <w:spacing w:after="0" w:line="276" w:lineRule="auto"/>
        <w:rPr>
          <w:rFonts w:ascii="Times New Roman" w:hAnsi="Times New Roman" w:cs="Times New Roman"/>
          <w:sz w:val="24"/>
          <w:szCs w:val="24"/>
        </w:rPr>
      </w:pPr>
    </w:p>
    <w:p w:rsidRPr="00463949" w:rsidR="00E21F71" w:rsidP="00D045E0" w:rsidRDefault="004E7DB3" w14:paraId="73552404" w14:textId="0725A00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Deze stellingname </w:t>
      </w:r>
      <w:r w:rsidRPr="00463949" w:rsidR="00C51D5A">
        <w:rPr>
          <w:rFonts w:ascii="Times New Roman" w:hAnsi="Times New Roman" w:cs="Times New Roman"/>
          <w:sz w:val="24"/>
          <w:szCs w:val="24"/>
        </w:rPr>
        <w:t>van VNO-NCW en MKB</w:t>
      </w:r>
      <w:r w:rsidRPr="00463949" w:rsidR="00A82E47">
        <w:rPr>
          <w:rFonts w:ascii="Times New Roman" w:hAnsi="Times New Roman" w:cs="Times New Roman"/>
          <w:sz w:val="24"/>
          <w:szCs w:val="24"/>
        </w:rPr>
        <w:t>-</w:t>
      </w:r>
      <w:r w:rsidRPr="00463949" w:rsidR="00C51D5A">
        <w:rPr>
          <w:rFonts w:ascii="Times New Roman" w:hAnsi="Times New Roman" w:cs="Times New Roman"/>
          <w:sz w:val="24"/>
          <w:szCs w:val="24"/>
        </w:rPr>
        <w:t xml:space="preserve">Nederland </w:t>
      </w:r>
      <w:r w:rsidRPr="00463949">
        <w:rPr>
          <w:rFonts w:ascii="Times New Roman" w:hAnsi="Times New Roman" w:cs="Times New Roman"/>
          <w:sz w:val="24"/>
          <w:szCs w:val="24"/>
        </w:rPr>
        <w:t xml:space="preserve">berust op </w:t>
      </w:r>
      <w:r w:rsidRPr="00463949" w:rsidR="00FA2CFC">
        <w:rPr>
          <w:rFonts w:ascii="Times New Roman" w:hAnsi="Times New Roman" w:cs="Times New Roman"/>
          <w:sz w:val="24"/>
          <w:szCs w:val="24"/>
        </w:rPr>
        <w:t>een onjuiste</w:t>
      </w:r>
      <w:r w:rsidRPr="00463949" w:rsidR="00C92955">
        <w:rPr>
          <w:rFonts w:ascii="Times New Roman" w:hAnsi="Times New Roman" w:cs="Times New Roman"/>
          <w:sz w:val="24"/>
          <w:szCs w:val="24"/>
        </w:rPr>
        <w:t xml:space="preserve"> veronderstelling</w:t>
      </w:r>
      <w:r w:rsidRPr="00463949" w:rsidR="00FA2CFC">
        <w:rPr>
          <w:rFonts w:ascii="Times New Roman" w:hAnsi="Times New Roman" w:cs="Times New Roman"/>
          <w:sz w:val="24"/>
          <w:szCs w:val="24"/>
        </w:rPr>
        <w:t xml:space="preserve">. </w:t>
      </w:r>
      <w:r w:rsidRPr="00463949" w:rsidR="00C51D5A">
        <w:rPr>
          <w:rFonts w:ascii="Times New Roman" w:hAnsi="Times New Roman" w:cs="Times New Roman"/>
          <w:sz w:val="24"/>
          <w:szCs w:val="24"/>
        </w:rPr>
        <w:t xml:space="preserve">Het </w:t>
      </w:r>
      <w:r w:rsidRPr="00463949" w:rsidR="00224AE7">
        <w:rPr>
          <w:rFonts w:ascii="Times New Roman" w:hAnsi="Times New Roman" w:cs="Times New Roman"/>
          <w:sz w:val="24"/>
          <w:szCs w:val="24"/>
        </w:rPr>
        <w:t>is</w:t>
      </w:r>
      <w:r w:rsidRPr="00463949" w:rsidR="00C51D5A">
        <w:rPr>
          <w:rFonts w:ascii="Times New Roman" w:hAnsi="Times New Roman" w:cs="Times New Roman"/>
          <w:sz w:val="24"/>
          <w:szCs w:val="24"/>
        </w:rPr>
        <w:t xml:space="preserve"> op grond van het wetsvoorstel</w:t>
      </w:r>
      <w:r w:rsidRPr="00463949" w:rsidR="00224AE7">
        <w:rPr>
          <w:rFonts w:ascii="Times New Roman" w:hAnsi="Times New Roman" w:cs="Times New Roman"/>
          <w:sz w:val="24"/>
          <w:szCs w:val="24"/>
        </w:rPr>
        <w:t xml:space="preserve"> aan de eiser </w:t>
      </w:r>
      <w:r w:rsidRPr="00463949" w:rsidR="00F76671">
        <w:rPr>
          <w:rFonts w:ascii="Times New Roman" w:hAnsi="Times New Roman" w:cs="Times New Roman"/>
          <w:sz w:val="24"/>
          <w:szCs w:val="24"/>
        </w:rPr>
        <w:t xml:space="preserve">(de benadeelde) </w:t>
      </w:r>
      <w:r w:rsidRPr="00463949" w:rsidR="00224AE7">
        <w:rPr>
          <w:rFonts w:ascii="Times New Roman" w:hAnsi="Times New Roman" w:cs="Times New Roman"/>
          <w:sz w:val="24"/>
          <w:szCs w:val="24"/>
        </w:rPr>
        <w:t xml:space="preserve">om het gebrek van het product, de geleden schade en het oorzakelijk verband tussen het gebrek en de schade te bewijzen (artikel 6:188 lid 1 BW). </w:t>
      </w:r>
      <w:r w:rsidRPr="00463949">
        <w:rPr>
          <w:rFonts w:ascii="Times New Roman" w:hAnsi="Times New Roman" w:cs="Times New Roman"/>
          <w:sz w:val="24"/>
          <w:szCs w:val="24"/>
        </w:rPr>
        <w:t xml:space="preserve">De </w:t>
      </w:r>
      <w:r w:rsidRPr="00463949" w:rsidR="00FA2458">
        <w:rPr>
          <w:rFonts w:ascii="Times New Roman" w:hAnsi="Times New Roman" w:cs="Times New Roman"/>
          <w:sz w:val="24"/>
          <w:szCs w:val="24"/>
        </w:rPr>
        <w:t xml:space="preserve">weerlegbare bewijsvermoedens van het gebrek en het oorzakelijk verband </w:t>
      </w:r>
      <w:r w:rsidRPr="00463949" w:rsidR="00EA46C6">
        <w:rPr>
          <w:rFonts w:ascii="Times New Roman" w:hAnsi="Times New Roman" w:cs="Times New Roman"/>
          <w:sz w:val="24"/>
          <w:szCs w:val="24"/>
        </w:rPr>
        <w:t xml:space="preserve">(artikel 6:188 leden 2-4 BW) </w:t>
      </w:r>
      <w:r w:rsidRPr="00463949" w:rsidR="008F6CEA">
        <w:rPr>
          <w:rFonts w:ascii="Times New Roman" w:hAnsi="Times New Roman" w:cs="Times New Roman"/>
          <w:sz w:val="24"/>
          <w:szCs w:val="24"/>
        </w:rPr>
        <w:t xml:space="preserve">hebben als doel </w:t>
      </w:r>
      <w:r w:rsidRPr="00463949" w:rsidR="00FA2458">
        <w:rPr>
          <w:rFonts w:ascii="Times New Roman" w:hAnsi="Times New Roman" w:cs="Times New Roman"/>
          <w:sz w:val="24"/>
          <w:szCs w:val="24"/>
        </w:rPr>
        <w:t xml:space="preserve">de bewijslast van de eiser </w:t>
      </w:r>
      <w:r w:rsidRPr="00463949" w:rsidR="008F6CEA">
        <w:rPr>
          <w:rFonts w:ascii="Times New Roman" w:hAnsi="Times New Roman" w:cs="Times New Roman"/>
          <w:sz w:val="24"/>
          <w:szCs w:val="24"/>
        </w:rPr>
        <w:t xml:space="preserve">te </w:t>
      </w:r>
      <w:r w:rsidRPr="00463949" w:rsidR="008F6CEA">
        <w:rPr>
          <w:rFonts w:ascii="Times New Roman" w:hAnsi="Times New Roman" w:cs="Times New Roman"/>
          <w:i/>
          <w:iCs/>
          <w:sz w:val="24"/>
          <w:szCs w:val="24"/>
        </w:rPr>
        <w:t>verlichten</w:t>
      </w:r>
      <w:r w:rsidRPr="00463949" w:rsidR="007658D4">
        <w:rPr>
          <w:rFonts w:ascii="Times New Roman" w:hAnsi="Times New Roman" w:cs="Times New Roman"/>
          <w:sz w:val="24"/>
          <w:szCs w:val="24"/>
        </w:rPr>
        <w:t xml:space="preserve">. Het </w:t>
      </w:r>
      <w:r w:rsidRPr="00463949" w:rsidR="00B61864">
        <w:rPr>
          <w:rFonts w:ascii="Times New Roman" w:hAnsi="Times New Roman" w:cs="Times New Roman"/>
          <w:sz w:val="24"/>
          <w:szCs w:val="24"/>
        </w:rPr>
        <w:t xml:space="preserve">bewijsrisico </w:t>
      </w:r>
      <w:r w:rsidRPr="00463949" w:rsidR="000E0887">
        <w:rPr>
          <w:rFonts w:ascii="Times New Roman" w:hAnsi="Times New Roman" w:cs="Times New Roman"/>
          <w:sz w:val="24"/>
          <w:szCs w:val="24"/>
        </w:rPr>
        <w:t xml:space="preserve">- het risico dat de gestelde feiten niet bewezen </w:t>
      </w:r>
      <w:r w:rsidRPr="00463949" w:rsidR="000E0887">
        <w:rPr>
          <w:rFonts w:ascii="Times New Roman" w:hAnsi="Times New Roman" w:cs="Times New Roman"/>
          <w:sz w:val="24"/>
          <w:szCs w:val="24"/>
        </w:rPr>
        <w:lastRenderedPageBreak/>
        <w:t xml:space="preserve">worden </w:t>
      </w:r>
      <w:r w:rsidRPr="00463949" w:rsidR="00643C3E">
        <w:rPr>
          <w:rFonts w:ascii="Times New Roman" w:hAnsi="Times New Roman" w:cs="Times New Roman"/>
          <w:sz w:val="24"/>
          <w:szCs w:val="24"/>
        </w:rPr>
        <w:t>-</w:t>
      </w:r>
      <w:r w:rsidRPr="00463949" w:rsidR="000E0887">
        <w:rPr>
          <w:rFonts w:ascii="Times New Roman" w:hAnsi="Times New Roman" w:cs="Times New Roman"/>
          <w:sz w:val="24"/>
          <w:szCs w:val="24"/>
        </w:rPr>
        <w:t xml:space="preserve"> blijft</w:t>
      </w:r>
      <w:r w:rsidRPr="00463949" w:rsidR="007658D4">
        <w:rPr>
          <w:rFonts w:ascii="Times New Roman" w:hAnsi="Times New Roman" w:cs="Times New Roman"/>
          <w:sz w:val="24"/>
          <w:szCs w:val="24"/>
        </w:rPr>
        <w:t xml:space="preserve"> </w:t>
      </w:r>
      <w:r w:rsidRPr="00463949" w:rsidR="00920204">
        <w:rPr>
          <w:rFonts w:ascii="Times New Roman" w:hAnsi="Times New Roman" w:cs="Times New Roman"/>
          <w:sz w:val="24"/>
          <w:szCs w:val="24"/>
        </w:rPr>
        <w:t xml:space="preserve">hierbij </w:t>
      </w:r>
      <w:r w:rsidRPr="00463949" w:rsidR="000E0887">
        <w:rPr>
          <w:rFonts w:ascii="Times New Roman" w:hAnsi="Times New Roman" w:cs="Times New Roman"/>
          <w:sz w:val="24"/>
          <w:szCs w:val="24"/>
        </w:rPr>
        <w:t xml:space="preserve">rusten </w:t>
      </w:r>
      <w:r w:rsidRPr="00463949" w:rsidR="00FA2458">
        <w:rPr>
          <w:rFonts w:ascii="Times New Roman" w:hAnsi="Times New Roman" w:cs="Times New Roman"/>
          <w:sz w:val="24"/>
          <w:szCs w:val="24"/>
        </w:rPr>
        <w:t xml:space="preserve">op </w:t>
      </w:r>
      <w:r w:rsidRPr="00463949" w:rsidR="00B61864">
        <w:rPr>
          <w:rFonts w:ascii="Times New Roman" w:hAnsi="Times New Roman" w:cs="Times New Roman"/>
          <w:sz w:val="24"/>
          <w:szCs w:val="24"/>
        </w:rPr>
        <w:t>de eiser.</w:t>
      </w:r>
      <w:r w:rsidRPr="00463949">
        <w:rPr>
          <w:rFonts w:ascii="Times New Roman" w:hAnsi="Times New Roman" w:cs="Times New Roman"/>
          <w:sz w:val="24"/>
          <w:szCs w:val="24"/>
        </w:rPr>
        <w:t xml:space="preserve"> </w:t>
      </w:r>
      <w:r w:rsidRPr="00463949" w:rsidR="00C51D5A">
        <w:rPr>
          <w:rFonts w:ascii="Times New Roman" w:hAnsi="Times New Roman" w:cs="Times New Roman"/>
          <w:sz w:val="24"/>
          <w:szCs w:val="24"/>
        </w:rPr>
        <w:t>Van een omkering van de bewijslast is</w:t>
      </w:r>
      <w:r w:rsidRPr="00463949" w:rsidR="00507082">
        <w:rPr>
          <w:rFonts w:ascii="Times New Roman" w:hAnsi="Times New Roman" w:cs="Times New Roman"/>
          <w:sz w:val="24"/>
          <w:szCs w:val="24"/>
        </w:rPr>
        <w:t xml:space="preserve"> </w:t>
      </w:r>
      <w:r w:rsidRPr="00463949" w:rsidR="00C51D5A">
        <w:rPr>
          <w:rFonts w:ascii="Times New Roman" w:hAnsi="Times New Roman" w:cs="Times New Roman"/>
          <w:sz w:val="24"/>
          <w:szCs w:val="24"/>
        </w:rPr>
        <w:t xml:space="preserve">dus geen sprake. </w:t>
      </w:r>
      <w:r w:rsidRPr="00463949" w:rsidR="00EA46C6">
        <w:rPr>
          <w:rFonts w:ascii="Times New Roman" w:hAnsi="Times New Roman" w:cs="Times New Roman"/>
          <w:sz w:val="24"/>
          <w:szCs w:val="24"/>
        </w:rPr>
        <w:t xml:space="preserve">Ook uit </w:t>
      </w:r>
      <w:r w:rsidRPr="00463949" w:rsidR="004221AA">
        <w:rPr>
          <w:rFonts w:ascii="Times New Roman" w:hAnsi="Times New Roman" w:cs="Times New Roman"/>
          <w:sz w:val="24"/>
          <w:szCs w:val="24"/>
        </w:rPr>
        <w:t xml:space="preserve">de preambule van de Richtlijn </w:t>
      </w:r>
      <w:r w:rsidRPr="00463949" w:rsidR="00C51D5A">
        <w:rPr>
          <w:rFonts w:ascii="Times New Roman" w:hAnsi="Times New Roman" w:cs="Times New Roman"/>
          <w:sz w:val="24"/>
          <w:szCs w:val="24"/>
        </w:rPr>
        <w:t xml:space="preserve">volgt </w:t>
      </w:r>
      <w:r w:rsidRPr="00463949" w:rsidR="004221AA">
        <w:rPr>
          <w:rFonts w:ascii="Times New Roman" w:hAnsi="Times New Roman" w:cs="Times New Roman"/>
          <w:sz w:val="24"/>
          <w:szCs w:val="24"/>
        </w:rPr>
        <w:t xml:space="preserve">dat een omkering </w:t>
      </w:r>
      <w:r w:rsidRPr="00463949" w:rsidR="00EA46C6">
        <w:rPr>
          <w:rFonts w:ascii="Times New Roman" w:hAnsi="Times New Roman" w:cs="Times New Roman"/>
          <w:sz w:val="24"/>
          <w:szCs w:val="24"/>
        </w:rPr>
        <w:t xml:space="preserve">van de bewijslast </w:t>
      </w:r>
      <w:r w:rsidRPr="00463949" w:rsidR="004221AA">
        <w:rPr>
          <w:rFonts w:ascii="Times New Roman" w:hAnsi="Times New Roman" w:cs="Times New Roman"/>
          <w:sz w:val="24"/>
          <w:szCs w:val="24"/>
        </w:rPr>
        <w:t xml:space="preserve">niet is beoogd (zie </w:t>
      </w:r>
      <w:r w:rsidRPr="00463949" w:rsidR="00EA46C6">
        <w:rPr>
          <w:rFonts w:ascii="Times New Roman" w:hAnsi="Times New Roman" w:cs="Times New Roman"/>
          <w:sz w:val="24"/>
          <w:szCs w:val="24"/>
        </w:rPr>
        <w:t xml:space="preserve">overweging </w:t>
      </w:r>
      <w:r w:rsidRPr="00463949" w:rsidR="004221AA">
        <w:rPr>
          <w:rFonts w:ascii="Times New Roman" w:hAnsi="Times New Roman" w:cs="Times New Roman"/>
          <w:sz w:val="24"/>
          <w:szCs w:val="24"/>
        </w:rPr>
        <w:t>48</w:t>
      </w:r>
      <w:r w:rsidRPr="00463949" w:rsidR="00EA46C6">
        <w:rPr>
          <w:rFonts w:ascii="Times New Roman" w:hAnsi="Times New Roman" w:cs="Times New Roman"/>
          <w:sz w:val="24"/>
          <w:szCs w:val="24"/>
        </w:rPr>
        <w:t>:</w:t>
      </w:r>
      <w:r w:rsidRPr="00463949" w:rsidR="004221AA">
        <w:rPr>
          <w:rFonts w:ascii="Times New Roman" w:hAnsi="Times New Roman" w:cs="Times New Roman"/>
          <w:sz w:val="24"/>
          <w:szCs w:val="24"/>
        </w:rPr>
        <w:t xml:space="preserve"> “</w:t>
      </w:r>
      <w:r w:rsidRPr="00463949" w:rsidR="004221AA">
        <w:rPr>
          <w:rFonts w:ascii="Times New Roman" w:hAnsi="Times New Roman" w:cs="Times New Roman"/>
          <w:i/>
          <w:iCs/>
          <w:sz w:val="24"/>
          <w:szCs w:val="24"/>
        </w:rPr>
        <w:t>om een eerlijke risicoverdeling te handhaven en tegelijk een omkering van de bewijslast te voorkomen</w:t>
      </w:r>
      <w:r w:rsidRPr="00463949" w:rsidR="00EA46C6">
        <w:rPr>
          <w:rFonts w:ascii="Times New Roman" w:hAnsi="Times New Roman" w:cs="Times New Roman"/>
          <w:i/>
          <w:iCs/>
          <w:sz w:val="24"/>
          <w:szCs w:val="24"/>
        </w:rPr>
        <w:t>, (…)</w:t>
      </w:r>
      <w:r w:rsidRPr="00463949" w:rsidR="00224AE7">
        <w:rPr>
          <w:rFonts w:ascii="Times New Roman" w:hAnsi="Times New Roman" w:cs="Times New Roman"/>
          <w:sz w:val="24"/>
          <w:szCs w:val="24"/>
        </w:rPr>
        <w:t>”</w:t>
      </w:r>
      <w:r w:rsidRPr="00463949" w:rsidR="004221AA">
        <w:rPr>
          <w:rFonts w:ascii="Times New Roman" w:hAnsi="Times New Roman" w:cs="Times New Roman"/>
          <w:sz w:val="24"/>
          <w:szCs w:val="24"/>
        </w:rPr>
        <w:t>).</w:t>
      </w:r>
      <w:r w:rsidRPr="00463949" w:rsidR="00EA46C6">
        <w:rPr>
          <w:rFonts w:ascii="Times New Roman" w:hAnsi="Times New Roman" w:cs="Times New Roman"/>
          <w:sz w:val="24"/>
          <w:szCs w:val="24"/>
        </w:rPr>
        <w:t xml:space="preserve"> Om misverstanden te voorkomen, is de </w:t>
      </w:r>
      <w:r w:rsidRPr="00463949" w:rsidR="00FA2458">
        <w:rPr>
          <w:rFonts w:ascii="Times New Roman" w:hAnsi="Times New Roman" w:cs="Times New Roman"/>
          <w:sz w:val="24"/>
          <w:szCs w:val="24"/>
        </w:rPr>
        <w:t xml:space="preserve">toelichting bij artikel 6:188 BW </w:t>
      </w:r>
      <w:r w:rsidRPr="00463949" w:rsidR="00C850F9">
        <w:rPr>
          <w:rFonts w:ascii="Times New Roman" w:hAnsi="Times New Roman" w:cs="Times New Roman"/>
          <w:sz w:val="24"/>
          <w:szCs w:val="24"/>
        </w:rPr>
        <w:t xml:space="preserve">op dit punt aangevuld en </w:t>
      </w:r>
      <w:r w:rsidRPr="00463949" w:rsidR="00FA2458">
        <w:rPr>
          <w:rFonts w:ascii="Times New Roman" w:hAnsi="Times New Roman" w:cs="Times New Roman"/>
          <w:sz w:val="24"/>
          <w:szCs w:val="24"/>
        </w:rPr>
        <w:t>verduidelijkt.</w:t>
      </w:r>
    </w:p>
    <w:p w:rsidRPr="00463949" w:rsidR="00C850F9" w:rsidP="00D045E0" w:rsidRDefault="00C850F9" w14:paraId="7FE24BA4" w14:textId="77777777">
      <w:pPr>
        <w:spacing w:after="0" w:line="276" w:lineRule="auto"/>
        <w:rPr>
          <w:rFonts w:ascii="Times New Roman" w:hAnsi="Times New Roman" w:cs="Times New Roman"/>
          <w:sz w:val="24"/>
          <w:szCs w:val="24"/>
        </w:rPr>
      </w:pPr>
    </w:p>
    <w:p w:rsidRPr="00463949" w:rsidR="00C850F9" w:rsidP="00D045E0" w:rsidRDefault="008D260F" w14:paraId="78872D3B" w14:textId="53E56C40">
      <w:pPr>
        <w:spacing w:after="0" w:line="276" w:lineRule="auto"/>
        <w:rPr>
          <w:rFonts w:ascii="Times New Roman" w:hAnsi="Times New Roman" w:cs="Times New Roman"/>
          <w:sz w:val="24"/>
          <w:szCs w:val="24"/>
        </w:rPr>
      </w:pPr>
      <w:bookmarkStart w:name="_Hlk199843163" w:id="12"/>
      <w:r w:rsidRPr="00463949">
        <w:rPr>
          <w:rFonts w:ascii="Times New Roman" w:hAnsi="Times New Roman" w:cs="Times New Roman"/>
          <w:sz w:val="24"/>
          <w:szCs w:val="24"/>
        </w:rPr>
        <w:t>VNO-NCW en MKB</w:t>
      </w:r>
      <w:r w:rsidRPr="00463949" w:rsidR="00A82E47">
        <w:rPr>
          <w:rFonts w:ascii="Times New Roman" w:hAnsi="Times New Roman" w:cs="Times New Roman"/>
          <w:sz w:val="24"/>
          <w:szCs w:val="24"/>
        </w:rPr>
        <w:t>-</w:t>
      </w:r>
      <w:r w:rsidRPr="00463949">
        <w:rPr>
          <w:rFonts w:ascii="Times New Roman" w:hAnsi="Times New Roman" w:cs="Times New Roman"/>
          <w:sz w:val="24"/>
          <w:szCs w:val="24"/>
        </w:rPr>
        <w:t xml:space="preserve">Nederland, </w:t>
      </w:r>
      <w:r w:rsidRPr="00463949" w:rsidR="001931BC">
        <w:rPr>
          <w:rFonts w:ascii="Times New Roman" w:hAnsi="Times New Roman" w:cs="Times New Roman"/>
          <w:sz w:val="24"/>
          <w:szCs w:val="24"/>
        </w:rPr>
        <w:t>VIG</w:t>
      </w:r>
      <w:r w:rsidRPr="00463949">
        <w:rPr>
          <w:rFonts w:ascii="Times New Roman" w:hAnsi="Times New Roman" w:cs="Times New Roman"/>
          <w:sz w:val="24"/>
          <w:szCs w:val="24"/>
        </w:rPr>
        <w:t xml:space="preserve"> en</w:t>
      </w:r>
      <w:r w:rsidRPr="00463949" w:rsidR="001931BC">
        <w:rPr>
          <w:rFonts w:ascii="Times New Roman" w:hAnsi="Times New Roman" w:cs="Times New Roman"/>
          <w:sz w:val="24"/>
          <w:szCs w:val="24"/>
        </w:rPr>
        <w:t xml:space="preserve"> </w:t>
      </w:r>
      <w:r w:rsidRPr="00463949" w:rsidR="00FA2CFC">
        <w:rPr>
          <w:rFonts w:ascii="Times New Roman" w:hAnsi="Times New Roman" w:cs="Times New Roman"/>
          <w:sz w:val="24"/>
          <w:szCs w:val="24"/>
        </w:rPr>
        <w:t xml:space="preserve">AmCham wijzen </w:t>
      </w:r>
      <w:r w:rsidRPr="00463949" w:rsidR="004E7DB3">
        <w:rPr>
          <w:rFonts w:ascii="Times New Roman" w:hAnsi="Times New Roman" w:cs="Times New Roman"/>
          <w:sz w:val="24"/>
          <w:szCs w:val="24"/>
        </w:rPr>
        <w:t xml:space="preserve">verder </w:t>
      </w:r>
      <w:r w:rsidRPr="00463949" w:rsidR="00FA2CFC">
        <w:rPr>
          <w:rFonts w:ascii="Times New Roman" w:hAnsi="Times New Roman" w:cs="Times New Roman"/>
          <w:sz w:val="24"/>
          <w:szCs w:val="24"/>
        </w:rPr>
        <w:t>op een</w:t>
      </w:r>
      <w:r w:rsidRPr="00463949" w:rsidR="004E7DB3">
        <w:rPr>
          <w:rFonts w:ascii="Times New Roman" w:hAnsi="Times New Roman" w:cs="Times New Roman"/>
          <w:sz w:val="24"/>
          <w:szCs w:val="24"/>
        </w:rPr>
        <w:t xml:space="preserve"> </w:t>
      </w:r>
      <w:r w:rsidRPr="00463949" w:rsidR="00C51D5A">
        <w:rPr>
          <w:rFonts w:ascii="Times New Roman" w:hAnsi="Times New Roman" w:cs="Times New Roman"/>
          <w:sz w:val="24"/>
          <w:szCs w:val="24"/>
        </w:rPr>
        <w:t xml:space="preserve">vermeende </w:t>
      </w:r>
      <w:r w:rsidRPr="00463949" w:rsidR="005663D4">
        <w:rPr>
          <w:rFonts w:ascii="Times New Roman" w:hAnsi="Times New Roman" w:cs="Times New Roman"/>
          <w:sz w:val="24"/>
          <w:szCs w:val="24"/>
        </w:rPr>
        <w:t xml:space="preserve">inconsistentie </w:t>
      </w:r>
      <w:r w:rsidRPr="00463949" w:rsidR="001931BC">
        <w:rPr>
          <w:rFonts w:ascii="Times New Roman" w:hAnsi="Times New Roman" w:cs="Times New Roman"/>
          <w:sz w:val="24"/>
          <w:szCs w:val="24"/>
        </w:rPr>
        <w:t xml:space="preserve">tussen de tekst van artikel 6:188 lid 4 </w:t>
      </w:r>
      <w:r w:rsidRPr="00463949" w:rsidR="003B2466">
        <w:rPr>
          <w:rFonts w:ascii="Times New Roman" w:hAnsi="Times New Roman" w:cs="Times New Roman"/>
          <w:sz w:val="24"/>
          <w:szCs w:val="24"/>
        </w:rPr>
        <w:t xml:space="preserve">BW </w:t>
      </w:r>
      <w:r w:rsidRPr="00463949" w:rsidR="001931BC">
        <w:rPr>
          <w:rFonts w:ascii="Times New Roman" w:hAnsi="Times New Roman" w:cs="Times New Roman"/>
          <w:sz w:val="24"/>
          <w:szCs w:val="24"/>
        </w:rPr>
        <w:t>en de</w:t>
      </w:r>
      <w:r w:rsidRPr="00463949" w:rsidR="005663D4">
        <w:rPr>
          <w:rFonts w:ascii="Times New Roman" w:hAnsi="Times New Roman" w:cs="Times New Roman"/>
          <w:sz w:val="24"/>
          <w:szCs w:val="24"/>
        </w:rPr>
        <w:t xml:space="preserve"> memorie van toelichting</w:t>
      </w:r>
      <w:r w:rsidRPr="00463949" w:rsidR="0091027F">
        <w:rPr>
          <w:rFonts w:ascii="Times New Roman" w:hAnsi="Times New Roman" w:cs="Times New Roman"/>
          <w:sz w:val="24"/>
          <w:szCs w:val="24"/>
        </w:rPr>
        <w:t xml:space="preserve">, waardoor onduidelijkheid </w:t>
      </w:r>
      <w:r w:rsidRPr="00463949" w:rsidR="008C1A64">
        <w:rPr>
          <w:rFonts w:ascii="Times New Roman" w:hAnsi="Times New Roman" w:cs="Times New Roman"/>
          <w:sz w:val="24"/>
          <w:szCs w:val="24"/>
        </w:rPr>
        <w:t xml:space="preserve">zou bestaan </w:t>
      </w:r>
      <w:r w:rsidRPr="00463949" w:rsidR="0091027F">
        <w:rPr>
          <w:rFonts w:ascii="Times New Roman" w:hAnsi="Times New Roman" w:cs="Times New Roman"/>
          <w:sz w:val="24"/>
          <w:szCs w:val="24"/>
        </w:rPr>
        <w:t>over de</w:t>
      </w:r>
      <w:r w:rsidRPr="00463949" w:rsidR="00643C3E">
        <w:rPr>
          <w:rFonts w:ascii="Times New Roman" w:hAnsi="Times New Roman" w:cs="Times New Roman"/>
          <w:sz w:val="24"/>
          <w:szCs w:val="24"/>
        </w:rPr>
        <w:t xml:space="preserve"> mogelijkheid van cumulatie van bewijsvermoedens</w:t>
      </w:r>
      <w:r w:rsidRPr="00463949" w:rsidR="000D0969">
        <w:rPr>
          <w:rFonts w:ascii="Times New Roman" w:hAnsi="Times New Roman" w:cs="Times New Roman"/>
          <w:sz w:val="24"/>
          <w:szCs w:val="24"/>
        </w:rPr>
        <w:t xml:space="preserve">. In </w:t>
      </w:r>
      <w:r w:rsidRPr="00463949" w:rsidR="00351062">
        <w:rPr>
          <w:rFonts w:ascii="Times New Roman" w:hAnsi="Times New Roman" w:cs="Times New Roman"/>
          <w:sz w:val="24"/>
          <w:szCs w:val="24"/>
        </w:rPr>
        <w:t xml:space="preserve">de toelichting bij artikel 6:188 lid 4 BW </w:t>
      </w:r>
      <w:r w:rsidRPr="00463949" w:rsidR="000D0969">
        <w:rPr>
          <w:rFonts w:ascii="Times New Roman" w:hAnsi="Times New Roman" w:cs="Times New Roman"/>
          <w:sz w:val="24"/>
          <w:szCs w:val="24"/>
        </w:rPr>
        <w:t xml:space="preserve">is </w:t>
      </w:r>
      <w:r w:rsidRPr="00463949" w:rsidR="00351062">
        <w:rPr>
          <w:rFonts w:ascii="Times New Roman" w:hAnsi="Times New Roman" w:cs="Times New Roman"/>
          <w:sz w:val="24"/>
          <w:szCs w:val="24"/>
        </w:rPr>
        <w:t xml:space="preserve">verduidelijkt dat de bewijsvermoedens </w:t>
      </w:r>
      <w:r w:rsidRPr="00463949" w:rsidR="000D0969">
        <w:rPr>
          <w:rFonts w:ascii="Times New Roman" w:hAnsi="Times New Roman" w:cs="Times New Roman"/>
          <w:sz w:val="24"/>
          <w:szCs w:val="24"/>
        </w:rPr>
        <w:t>van het gebrek en het oorzakelijk verband tussen het gebrek en de schad</w:t>
      </w:r>
      <w:r w:rsidRPr="00463949" w:rsidR="008F0180">
        <w:rPr>
          <w:rFonts w:ascii="Times New Roman" w:hAnsi="Times New Roman" w:cs="Times New Roman"/>
          <w:sz w:val="24"/>
          <w:szCs w:val="24"/>
        </w:rPr>
        <w:t>e</w:t>
      </w:r>
      <w:r w:rsidRPr="00463949" w:rsidR="000D0969">
        <w:rPr>
          <w:rFonts w:ascii="Times New Roman" w:hAnsi="Times New Roman" w:cs="Times New Roman"/>
          <w:sz w:val="24"/>
          <w:szCs w:val="24"/>
        </w:rPr>
        <w:t xml:space="preserve"> </w:t>
      </w:r>
      <w:r w:rsidRPr="00463949" w:rsidR="00351062">
        <w:rPr>
          <w:rFonts w:ascii="Times New Roman" w:hAnsi="Times New Roman" w:cs="Times New Roman"/>
          <w:sz w:val="24"/>
          <w:szCs w:val="24"/>
        </w:rPr>
        <w:t>cumulatief kunnen worden toegepast</w:t>
      </w:r>
      <w:r w:rsidRPr="00463949" w:rsidR="00356B3E">
        <w:rPr>
          <w:rFonts w:ascii="Times New Roman" w:hAnsi="Times New Roman" w:cs="Times New Roman"/>
          <w:sz w:val="24"/>
          <w:szCs w:val="24"/>
        </w:rPr>
        <w:t xml:space="preserve">, voor zover </w:t>
      </w:r>
      <w:r w:rsidRPr="00463949" w:rsidR="0028156F">
        <w:rPr>
          <w:rFonts w:ascii="Times New Roman" w:hAnsi="Times New Roman" w:cs="Times New Roman"/>
          <w:sz w:val="24"/>
          <w:szCs w:val="24"/>
        </w:rPr>
        <w:t>ten aanzien van elk afzonderlijk vermoeden aan de daarvoor geldende vereisten is voldaan</w:t>
      </w:r>
      <w:r w:rsidRPr="00463949" w:rsidR="000D0969">
        <w:rPr>
          <w:rFonts w:ascii="Times New Roman" w:hAnsi="Times New Roman" w:cs="Times New Roman"/>
          <w:sz w:val="24"/>
          <w:szCs w:val="24"/>
        </w:rPr>
        <w:t>.</w:t>
      </w:r>
    </w:p>
    <w:p w:rsidRPr="00463949" w:rsidR="006D603F" w:rsidP="00D045E0" w:rsidRDefault="006D603F" w14:paraId="59646349" w14:textId="77777777">
      <w:pPr>
        <w:spacing w:after="0" w:line="276" w:lineRule="auto"/>
        <w:rPr>
          <w:rFonts w:ascii="Times New Roman" w:hAnsi="Times New Roman" w:cs="Times New Roman"/>
          <w:sz w:val="24"/>
          <w:szCs w:val="24"/>
        </w:rPr>
      </w:pPr>
    </w:p>
    <w:p w:rsidRPr="00463949" w:rsidR="006D603F" w:rsidP="00D045E0" w:rsidRDefault="006D603F" w14:paraId="12065C0F" w14:textId="7BD4D1E5">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Toegang tot bewijsmateriaal</w:t>
      </w:r>
      <w:r w:rsidRPr="00463949" w:rsidR="00DC4B24">
        <w:rPr>
          <w:rFonts w:ascii="Times New Roman" w:hAnsi="Times New Roman" w:cs="Times New Roman"/>
          <w:i/>
          <w:iCs/>
          <w:sz w:val="24"/>
          <w:szCs w:val="24"/>
        </w:rPr>
        <w:t xml:space="preserve">: </w:t>
      </w:r>
      <w:r w:rsidRPr="00463949">
        <w:rPr>
          <w:rFonts w:ascii="Times New Roman" w:hAnsi="Times New Roman" w:cs="Times New Roman"/>
          <w:i/>
          <w:iCs/>
          <w:sz w:val="24"/>
          <w:szCs w:val="24"/>
        </w:rPr>
        <w:t>bescherming van vertrouwelijke bedrijfsinformatie</w:t>
      </w:r>
    </w:p>
    <w:p w:rsidRPr="00463949" w:rsidR="006D603F" w:rsidP="00D045E0" w:rsidRDefault="006D603F" w14:paraId="743D4140" w14:textId="77777777">
      <w:pPr>
        <w:spacing w:after="0" w:line="276" w:lineRule="auto"/>
        <w:rPr>
          <w:rFonts w:ascii="Times New Roman" w:hAnsi="Times New Roman" w:cs="Times New Roman"/>
          <w:sz w:val="24"/>
          <w:szCs w:val="24"/>
        </w:rPr>
      </w:pPr>
    </w:p>
    <w:p w:rsidRPr="00463949" w:rsidR="00AB473A" w:rsidP="00AB473A" w:rsidRDefault="00AB473A" w14:paraId="1035D940" w14:textId="253966C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VIG en AmCham hebben </w:t>
      </w:r>
      <w:r w:rsidRPr="00463949" w:rsidR="00F01621">
        <w:rPr>
          <w:rFonts w:ascii="Times New Roman" w:hAnsi="Times New Roman" w:cs="Times New Roman"/>
          <w:sz w:val="24"/>
          <w:szCs w:val="24"/>
        </w:rPr>
        <w:t xml:space="preserve">een aantal </w:t>
      </w:r>
      <w:r w:rsidRPr="00463949">
        <w:rPr>
          <w:rFonts w:ascii="Times New Roman" w:hAnsi="Times New Roman" w:cs="Times New Roman"/>
          <w:sz w:val="24"/>
          <w:szCs w:val="24"/>
        </w:rPr>
        <w:t>opmerkingen over het recht op toegang tot bewijsmateriaal (artikel 9 Richtlijn). Zij vragen om een afbakening van de term “relevant bewijsmateriaal”, omdat deze nieuwe open norm een risico zou creëren op zogenoemde “</w:t>
      </w:r>
      <w:r w:rsidRPr="00463949">
        <w:rPr>
          <w:rFonts w:ascii="Times New Roman" w:hAnsi="Times New Roman" w:cs="Times New Roman"/>
          <w:i/>
          <w:iCs/>
          <w:sz w:val="24"/>
          <w:szCs w:val="24"/>
        </w:rPr>
        <w:t>fishing expeditions</w:t>
      </w:r>
      <w:r w:rsidRPr="00463949">
        <w:rPr>
          <w:rFonts w:ascii="Times New Roman" w:hAnsi="Times New Roman" w:cs="Times New Roman"/>
          <w:sz w:val="24"/>
          <w:szCs w:val="24"/>
        </w:rPr>
        <w:t>”</w:t>
      </w:r>
      <w:r w:rsidRPr="00463949" w:rsidR="00E15BA1">
        <w:rPr>
          <w:rFonts w:ascii="Times New Roman" w:hAnsi="Times New Roman" w:cs="Times New Roman"/>
          <w:sz w:val="24"/>
          <w:szCs w:val="24"/>
        </w:rPr>
        <w:t>.</w:t>
      </w:r>
      <w:r w:rsidRPr="00463949" w:rsidR="0067258E">
        <w:rPr>
          <w:rFonts w:ascii="Times New Roman" w:hAnsi="Times New Roman" w:cs="Times New Roman"/>
          <w:sz w:val="24"/>
          <w:szCs w:val="24"/>
        </w:rPr>
        <w:t xml:space="preserve"> Hiermee doelen zij op de situatie dat de eisende partij vergaande toegang verzoekt tot allerhande bedrijfsinformatie zonder dat er een duidelijk belang bestaat of een afbakening van wat werkelijk noodzakelijk is om het gevorderde te onderbouwen.</w:t>
      </w:r>
    </w:p>
    <w:p w:rsidRPr="00463949" w:rsidR="00AB473A" w:rsidP="00AB473A" w:rsidRDefault="00AB473A" w14:paraId="7CDC1921" w14:textId="77777777">
      <w:pPr>
        <w:spacing w:after="0" w:line="276" w:lineRule="auto"/>
        <w:rPr>
          <w:rFonts w:ascii="Times New Roman" w:hAnsi="Times New Roman" w:cs="Times New Roman"/>
          <w:sz w:val="24"/>
          <w:szCs w:val="24"/>
        </w:rPr>
      </w:pPr>
    </w:p>
    <w:p w:rsidRPr="00463949" w:rsidR="002D4DCA" w:rsidP="00D045E0" w:rsidRDefault="00AB473A" w14:paraId="1563D7A3" w14:textId="6743DBE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term “relevant bewijsmateriaal” is opgenomen in de artikelen 9, leden 1 en 2, en 10, lid 2, </w:t>
      </w:r>
      <w:r w:rsidRPr="00463949" w:rsidR="00B14E70">
        <w:rPr>
          <w:rFonts w:ascii="Times New Roman" w:hAnsi="Times New Roman" w:cs="Times New Roman"/>
          <w:sz w:val="24"/>
          <w:szCs w:val="24"/>
        </w:rPr>
        <w:t xml:space="preserve">van de </w:t>
      </w:r>
      <w:r w:rsidRPr="00463949">
        <w:rPr>
          <w:rFonts w:ascii="Times New Roman" w:hAnsi="Times New Roman" w:cs="Times New Roman"/>
          <w:sz w:val="24"/>
          <w:szCs w:val="24"/>
        </w:rPr>
        <w:t xml:space="preserve">Richtlijn. De uitleg van die richtlijnbepalingen is voorbehouden aan het Hof van Justitie van de EU. Het is daarom niet </w:t>
      </w:r>
      <w:r w:rsidRPr="00463949" w:rsidR="005523A1">
        <w:rPr>
          <w:rFonts w:ascii="Times New Roman" w:hAnsi="Times New Roman" w:cs="Times New Roman"/>
          <w:sz w:val="24"/>
          <w:szCs w:val="24"/>
        </w:rPr>
        <w:t xml:space="preserve">toegestaan </w:t>
      </w:r>
      <w:r w:rsidRPr="00463949">
        <w:rPr>
          <w:rFonts w:ascii="Times New Roman" w:hAnsi="Times New Roman" w:cs="Times New Roman"/>
          <w:sz w:val="24"/>
          <w:szCs w:val="24"/>
        </w:rPr>
        <w:t xml:space="preserve">om deze term op nationaal niveau af te bakenen. Het risico op </w:t>
      </w:r>
      <w:r w:rsidRPr="00463949">
        <w:rPr>
          <w:rFonts w:ascii="Times New Roman" w:hAnsi="Times New Roman" w:cs="Times New Roman"/>
          <w:i/>
          <w:iCs/>
          <w:sz w:val="24"/>
          <w:szCs w:val="24"/>
        </w:rPr>
        <w:t>fishing expeditions</w:t>
      </w:r>
      <w:r w:rsidRPr="00463949">
        <w:rPr>
          <w:rFonts w:ascii="Times New Roman" w:hAnsi="Times New Roman" w:cs="Times New Roman"/>
          <w:sz w:val="24"/>
          <w:szCs w:val="24"/>
        </w:rPr>
        <w:t xml:space="preserve"> </w:t>
      </w:r>
      <w:r w:rsidRPr="00463949" w:rsidR="00356B3E">
        <w:rPr>
          <w:rFonts w:ascii="Times New Roman" w:hAnsi="Times New Roman" w:cs="Times New Roman"/>
          <w:sz w:val="24"/>
          <w:szCs w:val="24"/>
        </w:rPr>
        <w:t xml:space="preserve">is </w:t>
      </w:r>
      <w:r w:rsidRPr="00463949" w:rsidR="005523A1">
        <w:rPr>
          <w:rFonts w:ascii="Times New Roman" w:hAnsi="Times New Roman" w:cs="Times New Roman"/>
          <w:sz w:val="24"/>
          <w:szCs w:val="24"/>
        </w:rPr>
        <w:t xml:space="preserve">echter </w:t>
      </w:r>
      <w:r w:rsidRPr="00463949">
        <w:rPr>
          <w:rFonts w:ascii="Times New Roman" w:hAnsi="Times New Roman" w:cs="Times New Roman"/>
          <w:sz w:val="24"/>
          <w:szCs w:val="24"/>
        </w:rPr>
        <w:t>beperkt</w:t>
      </w:r>
      <w:r w:rsidRPr="00463949" w:rsidR="005523A1">
        <w:rPr>
          <w:rFonts w:ascii="Times New Roman" w:hAnsi="Times New Roman" w:cs="Times New Roman"/>
          <w:sz w:val="24"/>
          <w:szCs w:val="24"/>
        </w:rPr>
        <w:t>, omdat</w:t>
      </w:r>
      <w:r w:rsidRPr="00463949">
        <w:rPr>
          <w:rFonts w:ascii="Times New Roman" w:hAnsi="Times New Roman" w:cs="Times New Roman"/>
          <w:sz w:val="24"/>
          <w:szCs w:val="24"/>
        </w:rPr>
        <w:t xml:space="preserve"> de Richtlijn lidstaten verplicht erop toe te zien dat het verlenen </w:t>
      </w:r>
      <w:r w:rsidRPr="00463949" w:rsidR="00566722">
        <w:rPr>
          <w:rFonts w:ascii="Times New Roman" w:hAnsi="Times New Roman" w:cs="Times New Roman"/>
          <w:sz w:val="24"/>
          <w:szCs w:val="24"/>
        </w:rPr>
        <w:t>van toegang tot bewijsmateriaal overeenkomstig het nationale recht beperkt blijft tot wat noodzakelijk en evenredig is (artikel 9 l</w:t>
      </w:r>
      <w:r w:rsidRPr="00463949" w:rsidR="00396C1C">
        <w:rPr>
          <w:rFonts w:ascii="Times New Roman" w:hAnsi="Times New Roman" w:cs="Times New Roman"/>
          <w:sz w:val="24"/>
          <w:szCs w:val="24"/>
        </w:rPr>
        <w:t>eden</w:t>
      </w:r>
      <w:r w:rsidRPr="00463949" w:rsidR="00566722">
        <w:rPr>
          <w:rFonts w:ascii="Times New Roman" w:hAnsi="Times New Roman" w:cs="Times New Roman"/>
          <w:sz w:val="24"/>
          <w:szCs w:val="24"/>
        </w:rPr>
        <w:t xml:space="preserve"> 3</w:t>
      </w:r>
      <w:r w:rsidRPr="00463949" w:rsidR="00396C1C">
        <w:rPr>
          <w:rFonts w:ascii="Times New Roman" w:hAnsi="Times New Roman" w:cs="Times New Roman"/>
          <w:sz w:val="24"/>
          <w:szCs w:val="24"/>
        </w:rPr>
        <w:t>-5</w:t>
      </w:r>
      <w:r w:rsidRPr="00463949" w:rsidR="00566722">
        <w:rPr>
          <w:rFonts w:ascii="Times New Roman" w:hAnsi="Times New Roman" w:cs="Times New Roman"/>
          <w:sz w:val="24"/>
          <w:szCs w:val="24"/>
        </w:rPr>
        <w:t xml:space="preserve"> Richtlijn).</w:t>
      </w:r>
      <w:r w:rsidRPr="00463949">
        <w:rPr>
          <w:rFonts w:ascii="Times New Roman" w:hAnsi="Times New Roman" w:cs="Times New Roman"/>
          <w:sz w:val="24"/>
          <w:szCs w:val="24"/>
        </w:rPr>
        <w:t xml:space="preserve"> </w:t>
      </w:r>
      <w:r w:rsidRPr="00463949" w:rsidR="00F01621">
        <w:rPr>
          <w:rFonts w:ascii="Times New Roman" w:hAnsi="Times New Roman" w:cs="Times New Roman"/>
          <w:sz w:val="24"/>
          <w:szCs w:val="24"/>
        </w:rPr>
        <w:t xml:space="preserve">Voor het Nederlandse recht wordt verwezen naar het recht op inzage in de artikelen 194 en 195 Rv. Om </w:t>
      </w:r>
      <w:r w:rsidRPr="00463949" w:rsidR="00275D8C">
        <w:rPr>
          <w:rFonts w:ascii="Times New Roman" w:hAnsi="Times New Roman" w:cs="Times New Roman"/>
          <w:sz w:val="24"/>
          <w:szCs w:val="24"/>
        </w:rPr>
        <w:t xml:space="preserve">in alle zaken </w:t>
      </w:r>
      <w:r w:rsidRPr="00463949" w:rsidR="00F01621">
        <w:rPr>
          <w:rFonts w:ascii="Times New Roman" w:hAnsi="Times New Roman" w:cs="Times New Roman"/>
          <w:sz w:val="24"/>
          <w:szCs w:val="24"/>
        </w:rPr>
        <w:t>te voorkomen dat informatie moet worden gedeeld die niet relevant is voor de oplossing van het geschil of waarbij geen concreet belang aanwezig is of die vertrouwelijk van aard is, zijn aan dit</w:t>
      </w:r>
      <w:r w:rsidRPr="00463949" w:rsidR="002627D7">
        <w:rPr>
          <w:rFonts w:ascii="Times New Roman" w:hAnsi="Times New Roman" w:cs="Times New Roman"/>
          <w:sz w:val="24"/>
          <w:szCs w:val="24"/>
        </w:rPr>
        <w:t xml:space="preserve"> recht op inzage </w:t>
      </w:r>
      <w:r w:rsidRPr="00463949" w:rsidR="00853200">
        <w:rPr>
          <w:rFonts w:ascii="Times New Roman" w:hAnsi="Times New Roman" w:cs="Times New Roman"/>
          <w:sz w:val="24"/>
          <w:szCs w:val="24"/>
        </w:rPr>
        <w:t>de nodige voorwaarden verbonden</w:t>
      </w:r>
      <w:r w:rsidRPr="00463949" w:rsidR="008678C3">
        <w:rPr>
          <w:rFonts w:ascii="Times New Roman" w:hAnsi="Times New Roman" w:cs="Times New Roman"/>
          <w:sz w:val="24"/>
          <w:szCs w:val="24"/>
        </w:rPr>
        <w:t xml:space="preserve"> (artikel 194 lid 1 Rv)</w:t>
      </w:r>
      <w:r w:rsidRPr="00463949" w:rsidR="00853200">
        <w:rPr>
          <w:rFonts w:ascii="Times New Roman" w:hAnsi="Times New Roman" w:cs="Times New Roman"/>
          <w:sz w:val="24"/>
          <w:szCs w:val="24"/>
        </w:rPr>
        <w:t xml:space="preserve">. </w:t>
      </w:r>
      <w:r w:rsidRPr="00463949">
        <w:rPr>
          <w:rFonts w:ascii="Times New Roman" w:hAnsi="Times New Roman" w:cs="Times New Roman"/>
          <w:sz w:val="24"/>
          <w:szCs w:val="24"/>
        </w:rPr>
        <w:t>Daarnaast heeft de rechter mogelijkheden om het verzoek tot het verstrekken van informatie af te wijzen op grond van het bestaan van een verschoningsrecht of gewichtige redenen</w:t>
      </w:r>
      <w:r w:rsidRPr="00463949" w:rsidR="008678C3">
        <w:rPr>
          <w:rFonts w:ascii="Times New Roman" w:hAnsi="Times New Roman" w:cs="Times New Roman"/>
          <w:sz w:val="24"/>
          <w:szCs w:val="24"/>
        </w:rPr>
        <w:t xml:space="preserve"> (artikel 194 lid 2 Rv)</w:t>
      </w:r>
      <w:r w:rsidRPr="00463949">
        <w:rPr>
          <w:rFonts w:ascii="Times New Roman" w:hAnsi="Times New Roman" w:cs="Times New Roman"/>
          <w:sz w:val="24"/>
          <w:szCs w:val="24"/>
        </w:rPr>
        <w:t>. Ook kan de rechter de voorwaarden waaronder en de wijze waarop de verstrekking van informatie moet plaatsvinden, nader bepalen</w:t>
      </w:r>
      <w:r w:rsidRPr="00463949" w:rsidR="008678C3">
        <w:rPr>
          <w:rFonts w:ascii="Times New Roman" w:hAnsi="Times New Roman" w:cs="Times New Roman"/>
          <w:sz w:val="24"/>
          <w:szCs w:val="24"/>
        </w:rPr>
        <w:t xml:space="preserve"> (artikel 195 lid 2 Rv)</w:t>
      </w:r>
      <w:r w:rsidRPr="00463949">
        <w:rPr>
          <w:rFonts w:ascii="Times New Roman" w:hAnsi="Times New Roman" w:cs="Times New Roman"/>
          <w:sz w:val="24"/>
          <w:szCs w:val="24"/>
        </w:rPr>
        <w:t xml:space="preserve">. De voorwaarden, afwijzingscriteria en mogelijkheden voor de rechter bieden voldoende waarborgen om zogenaamde </w:t>
      </w:r>
      <w:r w:rsidRPr="00463949">
        <w:rPr>
          <w:rFonts w:ascii="Times New Roman" w:hAnsi="Times New Roman" w:cs="Times New Roman"/>
          <w:i/>
          <w:iCs/>
          <w:sz w:val="24"/>
          <w:szCs w:val="24"/>
        </w:rPr>
        <w:t>fishing exp</w:t>
      </w:r>
      <w:r w:rsidRPr="00463949" w:rsidR="001A0204">
        <w:rPr>
          <w:rFonts w:ascii="Times New Roman" w:hAnsi="Times New Roman" w:cs="Times New Roman"/>
          <w:i/>
          <w:iCs/>
          <w:sz w:val="24"/>
          <w:szCs w:val="24"/>
        </w:rPr>
        <w:t>e</w:t>
      </w:r>
      <w:r w:rsidRPr="00463949">
        <w:rPr>
          <w:rFonts w:ascii="Times New Roman" w:hAnsi="Times New Roman" w:cs="Times New Roman"/>
          <w:i/>
          <w:iCs/>
          <w:sz w:val="24"/>
          <w:szCs w:val="24"/>
        </w:rPr>
        <w:t>ditions</w:t>
      </w:r>
      <w:r w:rsidRPr="00463949">
        <w:rPr>
          <w:rFonts w:ascii="Times New Roman" w:hAnsi="Times New Roman" w:cs="Times New Roman"/>
          <w:sz w:val="24"/>
          <w:szCs w:val="24"/>
        </w:rPr>
        <w:t xml:space="preserve"> tegen te gaan.</w:t>
      </w:r>
      <w:bookmarkEnd w:id="12"/>
    </w:p>
    <w:p w:rsidRPr="00463949" w:rsidR="001A0204" w:rsidP="00D045E0" w:rsidRDefault="001A0204" w14:paraId="248FE659" w14:textId="77777777">
      <w:pPr>
        <w:spacing w:after="0" w:line="276" w:lineRule="auto"/>
        <w:rPr>
          <w:rFonts w:ascii="Times New Roman" w:hAnsi="Times New Roman" w:cs="Times New Roman"/>
          <w:sz w:val="24"/>
          <w:szCs w:val="24"/>
        </w:rPr>
      </w:pPr>
    </w:p>
    <w:p w:rsidRPr="00463949" w:rsidR="00E21F71" w:rsidP="00D045E0" w:rsidRDefault="003D29B9" w14:paraId="0F33C9BD" w14:textId="0FE95E02">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Link </w:t>
      </w:r>
      <w:r w:rsidRPr="00463949" w:rsidR="00E21F71">
        <w:rPr>
          <w:rFonts w:ascii="Times New Roman" w:hAnsi="Times New Roman" w:cs="Times New Roman"/>
          <w:i/>
          <w:iCs/>
          <w:sz w:val="24"/>
          <w:szCs w:val="24"/>
        </w:rPr>
        <w:t>met W</w:t>
      </w:r>
      <w:r w:rsidRPr="00463949" w:rsidR="00A150BC">
        <w:rPr>
          <w:rFonts w:ascii="Times New Roman" w:hAnsi="Times New Roman" w:cs="Times New Roman"/>
          <w:i/>
          <w:iCs/>
          <w:sz w:val="24"/>
          <w:szCs w:val="24"/>
        </w:rPr>
        <w:t xml:space="preserve">et afwikkeling massaschade in collectieve actie </w:t>
      </w:r>
      <w:r w:rsidRPr="00463949" w:rsidR="00B16CAD">
        <w:rPr>
          <w:rFonts w:ascii="Times New Roman" w:hAnsi="Times New Roman" w:cs="Times New Roman"/>
          <w:i/>
          <w:iCs/>
          <w:sz w:val="24"/>
          <w:szCs w:val="24"/>
        </w:rPr>
        <w:t>en externe procesfinanciering</w:t>
      </w:r>
    </w:p>
    <w:p w:rsidRPr="00463949" w:rsidR="00E21F71" w:rsidP="00D045E0" w:rsidRDefault="00E21F71" w14:paraId="0C5A1781" w14:textId="77777777">
      <w:pPr>
        <w:spacing w:after="0" w:line="276" w:lineRule="auto"/>
        <w:rPr>
          <w:rFonts w:ascii="Times New Roman" w:hAnsi="Times New Roman" w:cs="Times New Roman"/>
          <w:sz w:val="24"/>
          <w:szCs w:val="24"/>
        </w:rPr>
      </w:pPr>
    </w:p>
    <w:p w:rsidRPr="00463949" w:rsidR="003D29B9" w:rsidP="00B82B15" w:rsidRDefault="003D29B9" w14:paraId="151F650A" w14:textId="3165BDF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 xml:space="preserve">Een aantal organisaties (AmCham, VIG en Institute for Legal Reform of the American Chamber of Commerce) legt in hun reacties op de internetconsultatie een link met de Wet afwikkeling massaschade in collectieve actie (WAMCA). Zij stellen te vrezen dat de verruiming van de productaansprakelijkheidsregeling in combinatie met de mogelijkheden voor het voeren van een collectie schadevergoedingsactie onder de WAMCA uitnodigt tot strategisch procederen, rechtsmisbruik en het instellen van </w:t>
      </w:r>
      <w:r w:rsidRPr="00463949">
        <w:rPr>
          <w:rFonts w:ascii="Times New Roman" w:hAnsi="Times New Roman" w:cs="Times New Roman"/>
          <w:i/>
          <w:iCs/>
          <w:sz w:val="24"/>
          <w:szCs w:val="24"/>
        </w:rPr>
        <w:t>frivolous claims</w:t>
      </w:r>
      <w:r w:rsidRPr="00463949">
        <w:rPr>
          <w:rFonts w:ascii="Times New Roman" w:hAnsi="Times New Roman" w:cs="Times New Roman"/>
          <w:sz w:val="24"/>
          <w:szCs w:val="24"/>
        </w:rPr>
        <w:t xml:space="preserve"> tegen bedrijven. Ook wijzen zij op het risico van forumshopping en het ontbreken van maatregelen om dit risico in te perken, bijvoorbeeld ten aanzien van externe procesfinanciering, bescherming van bedrijfsgevoelige informatie </w:t>
      </w:r>
      <w:r w:rsidRPr="00463949" w:rsidR="00F33E6F">
        <w:rPr>
          <w:rFonts w:ascii="Times New Roman" w:hAnsi="Times New Roman" w:cs="Times New Roman"/>
          <w:sz w:val="24"/>
          <w:szCs w:val="24"/>
        </w:rPr>
        <w:t xml:space="preserve">of </w:t>
      </w:r>
      <w:r w:rsidRPr="00463949">
        <w:rPr>
          <w:rFonts w:ascii="Times New Roman" w:hAnsi="Times New Roman" w:cs="Times New Roman"/>
          <w:sz w:val="24"/>
          <w:szCs w:val="24"/>
        </w:rPr>
        <w:t>passende waarborgen bij massaschikkingen.</w:t>
      </w:r>
    </w:p>
    <w:p w:rsidRPr="00463949" w:rsidR="003D29B9" w:rsidP="00B82B15" w:rsidRDefault="003D29B9" w14:paraId="3D9A64E9" w14:textId="77777777">
      <w:pPr>
        <w:spacing w:after="0" w:line="276" w:lineRule="auto"/>
        <w:rPr>
          <w:rFonts w:ascii="Times New Roman" w:hAnsi="Times New Roman" w:cs="Times New Roman"/>
          <w:sz w:val="24"/>
          <w:szCs w:val="24"/>
        </w:rPr>
      </w:pPr>
    </w:p>
    <w:p w:rsidRPr="00463949" w:rsidR="0094577B" w:rsidP="00B82B15" w:rsidRDefault="00B52AE4" w14:paraId="198DD193" w14:textId="3E940A04">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Bij de totstandkoming van de Richtlijn representatieve vorderingen</w:t>
      </w:r>
      <w:r w:rsidRPr="00463949" w:rsidR="00AF7B43">
        <w:rPr>
          <w:rFonts w:ascii="Times New Roman" w:hAnsi="Times New Roman" w:cs="Times New Roman"/>
          <w:sz w:val="24"/>
          <w:szCs w:val="24"/>
        </w:rPr>
        <w:t xml:space="preserve"> </w:t>
      </w:r>
      <w:r w:rsidRPr="00463949">
        <w:rPr>
          <w:rFonts w:ascii="Times New Roman" w:hAnsi="Times New Roman" w:cs="Times New Roman"/>
          <w:sz w:val="24"/>
          <w:szCs w:val="24"/>
        </w:rPr>
        <w:t xml:space="preserve">is </w:t>
      </w:r>
      <w:r w:rsidRPr="00463949" w:rsidR="001A0204">
        <w:rPr>
          <w:rFonts w:ascii="Times New Roman" w:hAnsi="Times New Roman" w:cs="Times New Roman"/>
          <w:sz w:val="24"/>
          <w:szCs w:val="24"/>
        </w:rPr>
        <w:t>R</w:t>
      </w:r>
      <w:r w:rsidRPr="00463949">
        <w:rPr>
          <w:rFonts w:ascii="Times New Roman" w:hAnsi="Times New Roman" w:cs="Times New Roman"/>
          <w:sz w:val="24"/>
          <w:szCs w:val="24"/>
        </w:rPr>
        <w:t xml:space="preserve">ichtlijn </w:t>
      </w:r>
      <w:r w:rsidRPr="00463949" w:rsidR="001A0204">
        <w:rPr>
          <w:rFonts w:ascii="Times New Roman" w:hAnsi="Times New Roman" w:cs="Times New Roman"/>
          <w:sz w:val="24"/>
          <w:szCs w:val="24"/>
        </w:rPr>
        <w:t xml:space="preserve">85/374 </w:t>
      </w:r>
      <w:r w:rsidRPr="00463949">
        <w:rPr>
          <w:rFonts w:ascii="Times New Roman" w:hAnsi="Times New Roman" w:cs="Times New Roman"/>
          <w:sz w:val="24"/>
          <w:szCs w:val="24"/>
        </w:rPr>
        <w:t xml:space="preserve">bewust opgenomen in Bijlage </w:t>
      </w:r>
      <w:r w:rsidRPr="00463949" w:rsidR="00EE6C3A">
        <w:rPr>
          <w:rFonts w:ascii="Times New Roman" w:hAnsi="Times New Roman" w:cs="Times New Roman"/>
          <w:sz w:val="24"/>
          <w:szCs w:val="24"/>
        </w:rPr>
        <w:t xml:space="preserve">I met de </w:t>
      </w:r>
      <w:r w:rsidRPr="00463949">
        <w:rPr>
          <w:rFonts w:ascii="Times New Roman" w:hAnsi="Times New Roman" w:cs="Times New Roman"/>
          <w:sz w:val="24"/>
          <w:szCs w:val="24"/>
        </w:rPr>
        <w:t xml:space="preserve">EU-instrumenten </w:t>
      </w:r>
      <w:r w:rsidRPr="00463949" w:rsidR="00EE6C3A">
        <w:rPr>
          <w:rFonts w:ascii="Times New Roman" w:hAnsi="Times New Roman" w:cs="Times New Roman"/>
          <w:sz w:val="24"/>
          <w:szCs w:val="24"/>
        </w:rPr>
        <w:t>waarop de Richtlijn representati</w:t>
      </w:r>
      <w:r w:rsidRPr="00463949" w:rsidR="002A4C6E">
        <w:rPr>
          <w:rFonts w:ascii="Times New Roman" w:hAnsi="Times New Roman" w:cs="Times New Roman"/>
          <w:sz w:val="24"/>
          <w:szCs w:val="24"/>
        </w:rPr>
        <w:t>e</w:t>
      </w:r>
      <w:r w:rsidRPr="00463949" w:rsidR="00EE6C3A">
        <w:rPr>
          <w:rFonts w:ascii="Times New Roman" w:hAnsi="Times New Roman" w:cs="Times New Roman"/>
          <w:sz w:val="24"/>
          <w:szCs w:val="24"/>
        </w:rPr>
        <w:t>ve vorderingen van toepassing is</w:t>
      </w:r>
      <w:r w:rsidRPr="00463949">
        <w:rPr>
          <w:rFonts w:ascii="Times New Roman" w:hAnsi="Times New Roman" w:cs="Times New Roman"/>
          <w:sz w:val="24"/>
          <w:szCs w:val="24"/>
        </w:rPr>
        <w:t xml:space="preserve">. Los van de regels die met de WAMCA zijn geïntroduceerd, geldt dus in elke lidstaat inmiddels een regeling voor het instellen van een collectieve (schadevergoedings)actie om inbreuken op de productaansprakelijkheidsregels te handhaven. De uitbreiding van </w:t>
      </w:r>
      <w:r w:rsidRPr="00463949" w:rsidR="001A0204">
        <w:rPr>
          <w:rFonts w:ascii="Times New Roman" w:hAnsi="Times New Roman" w:cs="Times New Roman"/>
          <w:sz w:val="24"/>
          <w:szCs w:val="24"/>
        </w:rPr>
        <w:t xml:space="preserve">de kring van aansprakelijke </w:t>
      </w:r>
      <w:r w:rsidRPr="00463949">
        <w:rPr>
          <w:rFonts w:ascii="Times New Roman" w:hAnsi="Times New Roman" w:cs="Times New Roman"/>
          <w:sz w:val="24"/>
          <w:szCs w:val="24"/>
        </w:rPr>
        <w:t xml:space="preserve">marktdeelnemers in de Richtlijn geldt ook voor alle lidstaten. Verruiming van de mogelijkheden voor </w:t>
      </w:r>
      <w:r w:rsidRPr="00463949" w:rsidR="001A0204">
        <w:rPr>
          <w:rFonts w:ascii="Times New Roman" w:hAnsi="Times New Roman" w:cs="Times New Roman"/>
          <w:sz w:val="24"/>
          <w:szCs w:val="24"/>
        </w:rPr>
        <w:t xml:space="preserve">benadeelden </w:t>
      </w:r>
      <w:r w:rsidRPr="00463949">
        <w:rPr>
          <w:rFonts w:ascii="Times New Roman" w:hAnsi="Times New Roman" w:cs="Times New Roman"/>
          <w:sz w:val="24"/>
          <w:szCs w:val="24"/>
        </w:rPr>
        <w:t>om hun schade wegens een gebrek</w:t>
      </w:r>
      <w:r w:rsidRPr="00463949" w:rsidR="001A0204">
        <w:rPr>
          <w:rFonts w:ascii="Times New Roman" w:hAnsi="Times New Roman" w:cs="Times New Roman"/>
          <w:sz w:val="24"/>
          <w:szCs w:val="24"/>
        </w:rPr>
        <w:t>kig</w:t>
      </w:r>
      <w:r w:rsidRPr="00463949">
        <w:rPr>
          <w:rFonts w:ascii="Times New Roman" w:hAnsi="Times New Roman" w:cs="Times New Roman"/>
          <w:sz w:val="24"/>
          <w:szCs w:val="24"/>
        </w:rPr>
        <w:t xml:space="preserve"> product te verhalen, kan leiden tot meer individuele of collectieve zaken</w:t>
      </w:r>
      <w:r w:rsidRPr="00463949" w:rsidR="00EE6C3A">
        <w:rPr>
          <w:rFonts w:ascii="Times New Roman" w:hAnsi="Times New Roman" w:cs="Times New Roman"/>
          <w:sz w:val="24"/>
          <w:szCs w:val="24"/>
        </w:rPr>
        <w:t xml:space="preserve"> onder de Richtlijn representatieve vorderingen</w:t>
      </w:r>
      <w:r w:rsidRPr="00463949">
        <w:rPr>
          <w:rFonts w:ascii="Times New Roman" w:hAnsi="Times New Roman" w:cs="Times New Roman"/>
          <w:sz w:val="24"/>
          <w:szCs w:val="24"/>
        </w:rPr>
        <w:t xml:space="preserve">. Deze verbetering van de positie van de </w:t>
      </w:r>
      <w:r w:rsidRPr="00463949" w:rsidR="001A0204">
        <w:rPr>
          <w:rFonts w:ascii="Times New Roman" w:hAnsi="Times New Roman" w:cs="Times New Roman"/>
          <w:sz w:val="24"/>
          <w:szCs w:val="24"/>
        </w:rPr>
        <w:t xml:space="preserve">benadeelde </w:t>
      </w:r>
      <w:r w:rsidRPr="00463949">
        <w:rPr>
          <w:rFonts w:ascii="Times New Roman" w:hAnsi="Times New Roman" w:cs="Times New Roman"/>
          <w:sz w:val="24"/>
          <w:szCs w:val="24"/>
        </w:rPr>
        <w:t xml:space="preserve">is een van de doelen van de Richtlijn. </w:t>
      </w:r>
      <w:r w:rsidRPr="00463949" w:rsidR="0094577B">
        <w:rPr>
          <w:rFonts w:ascii="Times New Roman" w:hAnsi="Times New Roman" w:cs="Times New Roman"/>
          <w:sz w:val="24"/>
          <w:szCs w:val="24"/>
        </w:rPr>
        <w:t>Aanpassing daarvan is enkel mogelijk door de EU-wetgever.</w:t>
      </w:r>
    </w:p>
    <w:p w:rsidRPr="00463949" w:rsidR="00AF7B43" w:rsidP="00B82B15" w:rsidRDefault="00AF7B43" w14:paraId="04F94706" w14:textId="77777777">
      <w:pPr>
        <w:spacing w:after="0" w:line="276" w:lineRule="auto"/>
        <w:rPr>
          <w:rFonts w:ascii="Times New Roman" w:hAnsi="Times New Roman" w:cs="Times New Roman"/>
          <w:sz w:val="24"/>
          <w:szCs w:val="24"/>
        </w:rPr>
      </w:pPr>
    </w:p>
    <w:p w:rsidRPr="00463949" w:rsidR="001A0204" w:rsidP="00B82B15" w:rsidRDefault="00EE6C3A" w14:paraId="0A8C6DA0" w14:textId="7777777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Op de bevoegdheid van de rechter is de Verordening Brussel I bis van toepassing.</w:t>
      </w:r>
      <w:r w:rsidRPr="00463949">
        <w:rPr>
          <w:rStyle w:val="Voetnootmarkering"/>
          <w:rFonts w:ascii="Times New Roman" w:hAnsi="Times New Roman" w:cs="Times New Roman"/>
          <w:sz w:val="24"/>
          <w:szCs w:val="24"/>
        </w:rPr>
        <w:footnoteReference w:id="61"/>
      </w:r>
      <w:r w:rsidRPr="00463949">
        <w:rPr>
          <w:rFonts w:ascii="Times New Roman" w:hAnsi="Times New Roman" w:cs="Times New Roman"/>
          <w:sz w:val="24"/>
          <w:szCs w:val="24"/>
        </w:rPr>
        <w:t xml:space="preserve"> Ook dit is een Europese regeling, die bepaalt voor welke zaken je bij welke rechter in de EU terecht kan. Voor zover die regeling meer dan </w:t>
      </w:r>
      <w:r w:rsidRPr="00463949" w:rsidR="001A0204">
        <w:rPr>
          <w:rFonts w:ascii="Times New Roman" w:hAnsi="Times New Roman" w:cs="Times New Roman"/>
          <w:sz w:val="24"/>
          <w:szCs w:val="24"/>
        </w:rPr>
        <w:t>éé</w:t>
      </w:r>
      <w:r w:rsidRPr="00463949">
        <w:rPr>
          <w:rFonts w:ascii="Times New Roman" w:hAnsi="Times New Roman" w:cs="Times New Roman"/>
          <w:sz w:val="24"/>
          <w:szCs w:val="24"/>
        </w:rPr>
        <w:t xml:space="preserve">n bevoegde rechter aanwijst in een productaansprakelijkheidszaak en er dus een keuzemogelijkheid is voor de </w:t>
      </w:r>
      <w:r w:rsidRPr="00463949" w:rsidR="002A4C6E">
        <w:rPr>
          <w:rFonts w:ascii="Times New Roman" w:hAnsi="Times New Roman" w:cs="Times New Roman"/>
          <w:sz w:val="24"/>
          <w:szCs w:val="24"/>
        </w:rPr>
        <w:t>benadeelde</w:t>
      </w:r>
      <w:r w:rsidRPr="00463949">
        <w:rPr>
          <w:rFonts w:ascii="Times New Roman" w:hAnsi="Times New Roman" w:cs="Times New Roman"/>
          <w:sz w:val="24"/>
          <w:szCs w:val="24"/>
        </w:rPr>
        <w:t>, is dit een zaak van Unierecht. Nederland heeft daarop geen invloed.</w:t>
      </w:r>
      <w:r w:rsidRPr="00463949" w:rsidR="0094577B">
        <w:rPr>
          <w:rFonts w:ascii="Times New Roman" w:hAnsi="Times New Roman" w:cs="Times New Roman"/>
          <w:sz w:val="24"/>
          <w:szCs w:val="24"/>
        </w:rPr>
        <w:t xml:space="preserve"> Aanpassing daarvan is enkel mogelijk door de EU-wetgever.</w:t>
      </w:r>
      <w:r w:rsidRPr="00463949" w:rsidR="001A0204">
        <w:rPr>
          <w:rFonts w:ascii="Times New Roman" w:hAnsi="Times New Roman" w:cs="Times New Roman"/>
          <w:sz w:val="24"/>
          <w:szCs w:val="24"/>
        </w:rPr>
        <w:t xml:space="preserve"> </w:t>
      </w:r>
    </w:p>
    <w:p w:rsidRPr="00463949" w:rsidR="00A150BC" w:rsidP="00B82B15" w:rsidRDefault="00EE6C3A" w14:paraId="7FAB74AC" w14:textId="485643C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Overigens biedt de Nederlandse WAMCA nog een waarborg tegen collectieve acties die geen band met Nederland hebben door het vereiste</w:t>
      </w:r>
      <w:r w:rsidRPr="00463949" w:rsidR="003D29B9">
        <w:rPr>
          <w:rFonts w:ascii="Times New Roman" w:hAnsi="Times New Roman" w:cs="Times New Roman"/>
          <w:sz w:val="24"/>
          <w:szCs w:val="24"/>
        </w:rPr>
        <w:t xml:space="preserve"> in artikel 3:305a, lid 3, onder b</w:t>
      </w:r>
      <w:r w:rsidRPr="00463949" w:rsidR="00A150BC">
        <w:rPr>
          <w:rFonts w:ascii="Times New Roman" w:hAnsi="Times New Roman" w:cs="Times New Roman"/>
          <w:sz w:val="24"/>
          <w:szCs w:val="24"/>
        </w:rPr>
        <w:t>,</w:t>
      </w:r>
      <w:r w:rsidRPr="00463949" w:rsidR="003D29B9">
        <w:rPr>
          <w:rFonts w:ascii="Times New Roman" w:hAnsi="Times New Roman" w:cs="Times New Roman"/>
          <w:sz w:val="24"/>
          <w:szCs w:val="24"/>
        </w:rPr>
        <w:t xml:space="preserve"> BW dat een belangenorganisatie die een collectieve actie aanhangig maakt</w:t>
      </w:r>
      <w:r w:rsidRPr="00463949">
        <w:rPr>
          <w:rFonts w:ascii="Times New Roman" w:hAnsi="Times New Roman" w:cs="Times New Roman"/>
          <w:sz w:val="24"/>
          <w:szCs w:val="24"/>
        </w:rPr>
        <w:t>,</w:t>
      </w:r>
      <w:r w:rsidRPr="00463949" w:rsidR="003D29B9">
        <w:rPr>
          <w:rFonts w:ascii="Times New Roman" w:hAnsi="Times New Roman" w:cs="Times New Roman"/>
          <w:sz w:val="24"/>
          <w:szCs w:val="24"/>
        </w:rPr>
        <w:t xml:space="preserve"> alleen ontvankelijk is als de rechtsvordering voldoende nauw verbonden is met de Nederlandse rechtssfeer. Verder geldt ingevolge artikel 1018c, </w:t>
      </w:r>
      <w:r w:rsidRPr="00463949" w:rsidR="001A0204">
        <w:rPr>
          <w:rFonts w:ascii="Times New Roman" w:hAnsi="Times New Roman" w:cs="Times New Roman"/>
          <w:sz w:val="24"/>
          <w:szCs w:val="24"/>
        </w:rPr>
        <w:t>lid 5</w:t>
      </w:r>
      <w:r w:rsidRPr="00463949" w:rsidR="003D29B9">
        <w:rPr>
          <w:rFonts w:ascii="Times New Roman" w:hAnsi="Times New Roman" w:cs="Times New Roman"/>
          <w:sz w:val="24"/>
          <w:szCs w:val="24"/>
        </w:rPr>
        <w:t>, onder c</w:t>
      </w:r>
      <w:r w:rsidRPr="00463949" w:rsidR="00A150BC">
        <w:rPr>
          <w:rFonts w:ascii="Times New Roman" w:hAnsi="Times New Roman" w:cs="Times New Roman"/>
          <w:sz w:val="24"/>
          <w:szCs w:val="24"/>
        </w:rPr>
        <w:t>,</w:t>
      </w:r>
      <w:r w:rsidRPr="00463949" w:rsidR="003D29B9">
        <w:rPr>
          <w:rFonts w:ascii="Times New Roman" w:hAnsi="Times New Roman" w:cs="Times New Roman"/>
          <w:sz w:val="24"/>
          <w:szCs w:val="24"/>
        </w:rPr>
        <w:t xml:space="preserve"> Rv dat een inhoudelijke behandeling van een collectieve vordering alleen plaatsvindt indien deze niet summierlijk ondeugdelijk is. Dit maakt dat zogeheten </w:t>
      </w:r>
      <w:r w:rsidRPr="00463949" w:rsidR="003D29B9">
        <w:rPr>
          <w:rFonts w:ascii="Times New Roman" w:hAnsi="Times New Roman" w:cs="Times New Roman"/>
          <w:i/>
          <w:iCs/>
          <w:sz w:val="24"/>
          <w:szCs w:val="24"/>
        </w:rPr>
        <w:t>frivolous claims</w:t>
      </w:r>
      <w:r w:rsidRPr="00463949" w:rsidR="003D29B9">
        <w:rPr>
          <w:rFonts w:ascii="Times New Roman" w:hAnsi="Times New Roman" w:cs="Times New Roman"/>
          <w:sz w:val="24"/>
          <w:szCs w:val="24"/>
        </w:rPr>
        <w:t xml:space="preserve"> direct kunnen worden afgewezen. </w:t>
      </w:r>
      <w:r w:rsidRPr="00463949">
        <w:rPr>
          <w:rFonts w:ascii="Times New Roman" w:hAnsi="Times New Roman" w:cs="Times New Roman"/>
          <w:sz w:val="24"/>
          <w:szCs w:val="24"/>
        </w:rPr>
        <w:t xml:space="preserve">Niet gebleken is dat onder de WAMCA ondeugdelijke vorderingen worden ingesteld. </w:t>
      </w:r>
      <w:r w:rsidRPr="00463949" w:rsidR="003D29B9">
        <w:rPr>
          <w:rFonts w:ascii="Times New Roman" w:hAnsi="Times New Roman" w:cs="Times New Roman"/>
          <w:sz w:val="24"/>
          <w:szCs w:val="24"/>
        </w:rPr>
        <w:t xml:space="preserve">Van de mogelijkheid </w:t>
      </w:r>
      <w:r w:rsidRPr="00463949">
        <w:rPr>
          <w:rFonts w:ascii="Times New Roman" w:hAnsi="Times New Roman" w:cs="Times New Roman"/>
          <w:sz w:val="24"/>
          <w:szCs w:val="24"/>
        </w:rPr>
        <w:t xml:space="preserve">tot vroegtijdige afwijzing </w:t>
      </w:r>
      <w:r w:rsidRPr="00463949" w:rsidR="003D29B9">
        <w:rPr>
          <w:rFonts w:ascii="Times New Roman" w:hAnsi="Times New Roman" w:cs="Times New Roman"/>
          <w:sz w:val="24"/>
          <w:szCs w:val="24"/>
        </w:rPr>
        <w:t xml:space="preserve">is door de rechter tot op heden </w:t>
      </w:r>
      <w:r w:rsidRPr="00463949">
        <w:rPr>
          <w:rFonts w:ascii="Times New Roman" w:hAnsi="Times New Roman" w:cs="Times New Roman"/>
          <w:sz w:val="24"/>
          <w:szCs w:val="24"/>
        </w:rPr>
        <w:t xml:space="preserve">dan ook </w:t>
      </w:r>
      <w:r w:rsidRPr="00463949" w:rsidR="003D29B9">
        <w:rPr>
          <w:rFonts w:ascii="Times New Roman" w:hAnsi="Times New Roman" w:cs="Times New Roman"/>
          <w:sz w:val="24"/>
          <w:szCs w:val="24"/>
        </w:rPr>
        <w:t xml:space="preserve">geen gebruik gemaakt. </w:t>
      </w:r>
    </w:p>
    <w:p w:rsidRPr="00463949" w:rsidR="00A150BC" w:rsidP="00B82B15" w:rsidRDefault="00A150BC" w14:paraId="0F061E15" w14:textId="77777777">
      <w:pPr>
        <w:spacing w:after="0" w:line="276" w:lineRule="auto"/>
        <w:rPr>
          <w:rFonts w:ascii="Times New Roman" w:hAnsi="Times New Roman" w:cs="Times New Roman"/>
          <w:sz w:val="24"/>
          <w:szCs w:val="24"/>
        </w:rPr>
      </w:pPr>
    </w:p>
    <w:p w:rsidRPr="00463949" w:rsidR="003D29B9" w:rsidP="00B82B15" w:rsidRDefault="003D29B9" w14:paraId="125AFDBB" w14:textId="3A853ABD">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Ten aanzien van externe procesfinanciering geldt dat </w:t>
      </w:r>
      <w:r w:rsidRPr="00463949" w:rsidR="0094577B">
        <w:rPr>
          <w:rFonts w:ascii="Times New Roman" w:hAnsi="Times New Roman" w:cs="Times New Roman"/>
          <w:sz w:val="24"/>
          <w:szCs w:val="24"/>
        </w:rPr>
        <w:t xml:space="preserve">de rechter op basis van artikel 3:305a BW en de algemene regels van procesrecht voldoende mogelijkheden heeft om hier toezicht op te houden. Deze mogelijkheden worden in de praktijk ook gebruikt, bijvoorbeeld door het </w:t>
      </w:r>
      <w:r w:rsidRPr="00463949" w:rsidR="0094577B">
        <w:rPr>
          <w:rFonts w:ascii="Times New Roman" w:hAnsi="Times New Roman" w:cs="Times New Roman"/>
          <w:sz w:val="24"/>
          <w:szCs w:val="24"/>
        </w:rPr>
        <w:lastRenderedPageBreak/>
        <w:t xml:space="preserve">opvragen van de financieringsovereenkomst en het beoordelen van de afspraken daarin. Ook artikel 10 van de Richtlijn representatieve vorderingen verplicht tot het hebben van deze mogelijkheden voor de controle van externe financiering. Overigens is </w:t>
      </w:r>
      <w:r w:rsidRPr="00463949">
        <w:rPr>
          <w:rFonts w:ascii="Times New Roman" w:hAnsi="Times New Roman" w:cs="Times New Roman"/>
          <w:sz w:val="24"/>
          <w:szCs w:val="24"/>
        </w:rPr>
        <w:t>in 2023 een onderzoek uitgevoerd onder auspiciën van het Wetenschappelijk Onderzoek en Documentatiecentrum (WODC) naar de wenselijkheid van het instellen van een processenfonds.</w:t>
      </w:r>
      <w:r w:rsidRPr="00463949" w:rsidR="00A150BC">
        <w:rPr>
          <w:rFonts w:ascii="Times New Roman" w:hAnsi="Times New Roman" w:cs="Times New Roman"/>
          <w:sz w:val="24"/>
          <w:szCs w:val="24"/>
        </w:rPr>
        <w:t xml:space="preserve"> </w:t>
      </w:r>
      <w:r w:rsidRPr="00463949">
        <w:rPr>
          <w:rFonts w:ascii="Times New Roman" w:hAnsi="Times New Roman" w:cs="Times New Roman"/>
          <w:sz w:val="24"/>
          <w:szCs w:val="24"/>
        </w:rPr>
        <w:t>De uitkomst van het onderzoek was onder meer dat het nog te vroeg is om zinvolle conclusies te trekken: de financieringsmarkt is nog volop in ontwikkeling en er was nog te weinig ervaring opgedaan sinds de inwerkingtreding van de WAMCA. De onderzoekers pleiten voor vervolgonderzoek na drie tot vijf jaar.</w:t>
      </w:r>
    </w:p>
    <w:p w:rsidRPr="00463949" w:rsidR="003D29B9" w:rsidP="003D29B9" w:rsidRDefault="003D29B9" w14:paraId="10828D6E" w14:textId="46CFB8D9">
      <w:pPr>
        <w:spacing w:after="0"/>
        <w:rPr>
          <w:rFonts w:ascii="Times New Roman" w:hAnsi="Times New Roman" w:cs="Times New Roman"/>
          <w:sz w:val="24"/>
          <w:szCs w:val="24"/>
        </w:rPr>
      </w:pPr>
    </w:p>
    <w:p w:rsidRPr="00463949" w:rsidR="00DC4B24" w:rsidP="00D045E0" w:rsidRDefault="00D33CAD" w14:paraId="76C3AA0F" w14:textId="106D03FA">
      <w:pPr>
        <w:spacing w:after="0" w:line="276" w:lineRule="auto"/>
        <w:rPr>
          <w:rFonts w:ascii="Times New Roman" w:hAnsi="Times New Roman" w:cs="Times New Roman"/>
          <w:i/>
          <w:iCs/>
          <w:sz w:val="24"/>
          <w:szCs w:val="24"/>
        </w:rPr>
      </w:pPr>
      <w:bookmarkStart w:name="_Hlk202271459" w:id="13"/>
      <w:r w:rsidRPr="00463949">
        <w:rPr>
          <w:rFonts w:ascii="Times New Roman" w:hAnsi="Times New Roman" w:cs="Times New Roman"/>
          <w:i/>
          <w:iCs/>
          <w:sz w:val="24"/>
          <w:szCs w:val="24"/>
        </w:rPr>
        <w:t>O</w:t>
      </w:r>
      <w:r w:rsidRPr="00463949" w:rsidR="00DC4B24">
        <w:rPr>
          <w:rFonts w:ascii="Times New Roman" w:hAnsi="Times New Roman" w:cs="Times New Roman"/>
          <w:i/>
          <w:iCs/>
          <w:sz w:val="24"/>
          <w:szCs w:val="24"/>
        </w:rPr>
        <w:t>pmerkingen over de Richtlijn</w:t>
      </w:r>
      <w:r w:rsidRPr="00463949" w:rsidR="003D6ED5">
        <w:rPr>
          <w:rFonts w:ascii="Times New Roman" w:hAnsi="Times New Roman" w:cs="Times New Roman"/>
          <w:i/>
          <w:iCs/>
          <w:sz w:val="24"/>
          <w:szCs w:val="24"/>
        </w:rPr>
        <w:t xml:space="preserve"> zelf</w:t>
      </w:r>
    </w:p>
    <w:p w:rsidRPr="00463949" w:rsidR="00DC4B24" w:rsidP="00D045E0" w:rsidRDefault="00DC4B24" w14:paraId="3460AD74" w14:textId="77777777">
      <w:pPr>
        <w:spacing w:after="0" w:line="276" w:lineRule="auto"/>
        <w:rPr>
          <w:rFonts w:ascii="Times New Roman" w:hAnsi="Times New Roman" w:cs="Times New Roman"/>
          <w:sz w:val="24"/>
          <w:szCs w:val="24"/>
        </w:rPr>
      </w:pPr>
    </w:p>
    <w:p w:rsidRPr="00463949" w:rsidR="003E65A6" w:rsidP="00D045E0" w:rsidRDefault="003E65A6" w14:paraId="7CC19F64" w14:textId="6894BB6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VIG en AmCham hebben </w:t>
      </w:r>
      <w:r w:rsidRPr="00463949" w:rsidR="00C92955">
        <w:rPr>
          <w:rFonts w:ascii="Times New Roman" w:hAnsi="Times New Roman" w:cs="Times New Roman"/>
          <w:sz w:val="24"/>
          <w:szCs w:val="24"/>
        </w:rPr>
        <w:t xml:space="preserve">verder </w:t>
      </w:r>
      <w:r w:rsidRPr="00463949">
        <w:rPr>
          <w:rFonts w:ascii="Times New Roman" w:hAnsi="Times New Roman" w:cs="Times New Roman"/>
          <w:sz w:val="24"/>
          <w:szCs w:val="24"/>
        </w:rPr>
        <w:t xml:space="preserve">een aantal opmerkingen </w:t>
      </w:r>
      <w:r w:rsidRPr="00463949" w:rsidR="00D33CAD">
        <w:rPr>
          <w:rFonts w:ascii="Times New Roman" w:hAnsi="Times New Roman" w:cs="Times New Roman"/>
          <w:sz w:val="24"/>
          <w:szCs w:val="24"/>
        </w:rPr>
        <w:t>over de Richtlijn</w:t>
      </w:r>
      <w:r w:rsidRPr="00463949" w:rsidR="003D6ED5">
        <w:rPr>
          <w:rFonts w:ascii="Times New Roman" w:hAnsi="Times New Roman" w:cs="Times New Roman"/>
          <w:sz w:val="24"/>
          <w:szCs w:val="24"/>
        </w:rPr>
        <w:t xml:space="preserve">, </w:t>
      </w:r>
      <w:r w:rsidRPr="00463949">
        <w:rPr>
          <w:rFonts w:ascii="Times New Roman" w:hAnsi="Times New Roman" w:cs="Times New Roman"/>
          <w:sz w:val="24"/>
          <w:szCs w:val="24"/>
        </w:rPr>
        <w:t xml:space="preserve">waaronder de </w:t>
      </w:r>
      <w:r w:rsidRPr="00463949" w:rsidR="003D6ED5">
        <w:rPr>
          <w:rFonts w:ascii="Times New Roman" w:hAnsi="Times New Roman" w:cs="Times New Roman"/>
          <w:sz w:val="24"/>
          <w:szCs w:val="24"/>
        </w:rPr>
        <w:t xml:space="preserve">daarmee </w:t>
      </w:r>
      <w:r w:rsidRPr="00463949">
        <w:rPr>
          <w:rFonts w:ascii="Times New Roman" w:hAnsi="Times New Roman" w:cs="Times New Roman"/>
          <w:sz w:val="24"/>
          <w:szCs w:val="24"/>
        </w:rPr>
        <w:t xml:space="preserve">beoogde maximumharmonisatie. </w:t>
      </w:r>
      <w:r w:rsidRPr="00463949" w:rsidR="00C6322C">
        <w:rPr>
          <w:rFonts w:ascii="Times New Roman" w:hAnsi="Times New Roman" w:cs="Times New Roman"/>
          <w:sz w:val="24"/>
          <w:szCs w:val="24"/>
        </w:rPr>
        <w:t xml:space="preserve">De Richtlijn is reeds vastgesteld en in werking getreden. </w:t>
      </w:r>
      <w:r w:rsidRPr="00463949" w:rsidR="003D29B9">
        <w:rPr>
          <w:rFonts w:ascii="Times New Roman" w:hAnsi="Times New Roman" w:cs="Times New Roman"/>
          <w:sz w:val="24"/>
          <w:szCs w:val="24"/>
        </w:rPr>
        <w:t>Aanpassing van deze regeling is enkel mogelijk door de EU-wetgever.</w:t>
      </w:r>
    </w:p>
    <w:bookmarkEnd w:id="13"/>
    <w:p w:rsidRPr="00463949" w:rsidR="00272E73" w:rsidP="00D045E0" w:rsidRDefault="00272E73" w14:paraId="76D9BD02" w14:textId="77777777">
      <w:pPr>
        <w:spacing w:after="0" w:line="276" w:lineRule="auto"/>
        <w:rPr>
          <w:rFonts w:ascii="Times New Roman" w:hAnsi="Times New Roman" w:cs="Times New Roman"/>
          <w:sz w:val="24"/>
          <w:szCs w:val="24"/>
        </w:rPr>
      </w:pPr>
    </w:p>
    <w:p w:rsidRPr="00463949" w:rsidR="00B87E86" w:rsidP="00D045E0" w:rsidRDefault="00014C37" w14:paraId="4B6BB04B" w14:textId="4B7E1D26">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Technische onvolkomenheden</w:t>
      </w:r>
    </w:p>
    <w:p w:rsidRPr="00463949" w:rsidR="00014C37" w:rsidP="00D045E0" w:rsidRDefault="00014C37" w14:paraId="753A811D" w14:textId="77777777">
      <w:pPr>
        <w:spacing w:after="0" w:line="276" w:lineRule="auto"/>
        <w:rPr>
          <w:rFonts w:ascii="Times New Roman" w:hAnsi="Times New Roman" w:cs="Times New Roman"/>
          <w:sz w:val="24"/>
          <w:szCs w:val="24"/>
        </w:rPr>
      </w:pPr>
    </w:p>
    <w:p w:rsidRPr="00463949" w:rsidR="00EF45EC" w:rsidP="00D045E0" w:rsidRDefault="00014C37" w14:paraId="37606762" w14:textId="70774F7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Tot slot zijn in verschillende </w:t>
      </w:r>
      <w:r w:rsidRPr="00463949" w:rsidR="007B53A1">
        <w:rPr>
          <w:rFonts w:ascii="Times New Roman" w:hAnsi="Times New Roman" w:cs="Times New Roman"/>
          <w:sz w:val="24"/>
          <w:szCs w:val="24"/>
        </w:rPr>
        <w:t>consultatie</w:t>
      </w:r>
      <w:r w:rsidRPr="00463949">
        <w:rPr>
          <w:rFonts w:ascii="Times New Roman" w:hAnsi="Times New Roman" w:cs="Times New Roman"/>
          <w:sz w:val="24"/>
          <w:szCs w:val="24"/>
        </w:rPr>
        <w:t>reacties suggesties gedaan voor aanpassing van enkele technische onvolkomenheden</w:t>
      </w:r>
      <w:r w:rsidRPr="00463949" w:rsidR="00920204">
        <w:rPr>
          <w:rFonts w:ascii="Times New Roman" w:hAnsi="Times New Roman" w:cs="Times New Roman"/>
          <w:sz w:val="24"/>
          <w:szCs w:val="24"/>
        </w:rPr>
        <w:t xml:space="preserve">, </w:t>
      </w:r>
      <w:r w:rsidRPr="00463949" w:rsidR="007B53A1">
        <w:rPr>
          <w:rFonts w:ascii="Times New Roman" w:hAnsi="Times New Roman" w:cs="Times New Roman"/>
          <w:sz w:val="24"/>
          <w:szCs w:val="24"/>
        </w:rPr>
        <w:t>o</w:t>
      </w:r>
      <w:r w:rsidRPr="00463949" w:rsidR="002A2AB8">
        <w:rPr>
          <w:rFonts w:ascii="Times New Roman" w:hAnsi="Times New Roman" w:cs="Times New Roman"/>
          <w:sz w:val="24"/>
          <w:szCs w:val="24"/>
        </w:rPr>
        <w:t>nder meer verband houdend met de</w:t>
      </w:r>
      <w:r w:rsidRPr="00463949" w:rsidR="008D50BF">
        <w:rPr>
          <w:rFonts w:ascii="Times New Roman" w:hAnsi="Times New Roman" w:cs="Times New Roman"/>
          <w:sz w:val="24"/>
          <w:szCs w:val="24"/>
        </w:rPr>
        <w:t xml:space="preserve"> </w:t>
      </w:r>
      <w:r w:rsidRPr="00463949" w:rsidR="002A2AB8">
        <w:rPr>
          <w:rFonts w:ascii="Times New Roman" w:hAnsi="Times New Roman" w:cs="Times New Roman"/>
          <w:sz w:val="24"/>
          <w:szCs w:val="24"/>
        </w:rPr>
        <w:t xml:space="preserve">vertaling van </w:t>
      </w:r>
      <w:r w:rsidRPr="00463949" w:rsidR="00920204">
        <w:rPr>
          <w:rFonts w:ascii="Times New Roman" w:hAnsi="Times New Roman" w:cs="Times New Roman"/>
          <w:sz w:val="24"/>
          <w:szCs w:val="24"/>
        </w:rPr>
        <w:t xml:space="preserve">de Engelse tekst van </w:t>
      </w:r>
      <w:r w:rsidRPr="00463949" w:rsidR="007B53A1">
        <w:rPr>
          <w:rFonts w:ascii="Times New Roman" w:hAnsi="Times New Roman" w:cs="Times New Roman"/>
          <w:sz w:val="24"/>
          <w:szCs w:val="24"/>
        </w:rPr>
        <w:t xml:space="preserve">de </w:t>
      </w:r>
      <w:r w:rsidRPr="00463949" w:rsidR="002A2AB8">
        <w:rPr>
          <w:rFonts w:ascii="Times New Roman" w:hAnsi="Times New Roman" w:cs="Times New Roman"/>
          <w:sz w:val="24"/>
          <w:szCs w:val="24"/>
        </w:rPr>
        <w:t>Richtlijn</w:t>
      </w:r>
      <w:r w:rsidRPr="00463949" w:rsidR="00920204">
        <w:rPr>
          <w:rFonts w:ascii="Times New Roman" w:hAnsi="Times New Roman" w:cs="Times New Roman"/>
          <w:sz w:val="24"/>
          <w:szCs w:val="24"/>
        </w:rPr>
        <w:t>. Daarnaast is gevraagd om</w:t>
      </w:r>
      <w:r w:rsidRPr="00463949" w:rsidR="00C92955">
        <w:rPr>
          <w:rFonts w:ascii="Times New Roman" w:hAnsi="Times New Roman" w:cs="Times New Roman"/>
          <w:sz w:val="24"/>
          <w:szCs w:val="24"/>
        </w:rPr>
        <w:t xml:space="preserve"> in de memorie van toelichting</w:t>
      </w:r>
      <w:r w:rsidRPr="00463949" w:rsidR="00EF45EC">
        <w:rPr>
          <w:rFonts w:ascii="Times New Roman" w:hAnsi="Times New Roman" w:cs="Times New Roman"/>
          <w:sz w:val="24"/>
          <w:szCs w:val="24"/>
        </w:rPr>
        <w:t xml:space="preserve"> verwijzingen </w:t>
      </w:r>
      <w:r w:rsidRPr="00463949" w:rsidR="00920204">
        <w:rPr>
          <w:rFonts w:ascii="Times New Roman" w:hAnsi="Times New Roman" w:cs="Times New Roman"/>
          <w:sz w:val="24"/>
          <w:szCs w:val="24"/>
        </w:rPr>
        <w:t xml:space="preserve">op te nemen </w:t>
      </w:r>
      <w:r w:rsidRPr="00463949" w:rsidR="00EF45EC">
        <w:rPr>
          <w:rFonts w:ascii="Times New Roman" w:hAnsi="Times New Roman" w:cs="Times New Roman"/>
          <w:sz w:val="24"/>
          <w:szCs w:val="24"/>
        </w:rPr>
        <w:t xml:space="preserve">naar bestaande </w:t>
      </w:r>
      <w:r w:rsidRPr="00463949" w:rsidR="00950D2B">
        <w:rPr>
          <w:rFonts w:ascii="Times New Roman" w:hAnsi="Times New Roman" w:cs="Times New Roman"/>
          <w:sz w:val="24"/>
          <w:szCs w:val="24"/>
        </w:rPr>
        <w:t xml:space="preserve">EU- en nationale </w:t>
      </w:r>
      <w:r w:rsidRPr="00463949" w:rsidR="00EF45EC">
        <w:rPr>
          <w:rFonts w:ascii="Times New Roman" w:hAnsi="Times New Roman" w:cs="Times New Roman"/>
          <w:sz w:val="24"/>
          <w:szCs w:val="24"/>
        </w:rPr>
        <w:t>regelgeving</w:t>
      </w:r>
      <w:r w:rsidRPr="00463949">
        <w:rPr>
          <w:rFonts w:ascii="Times New Roman" w:hAnsi="Times New Roman" w:cs="Times New Roman"/>
          <w:sz w:val="24"/>
          <w:szCs w:val="24"/>
        </w:rPr>
        <w:t xml:space="preserve">. Deze </w:t>
      </w:r>
      <w:r w:rsidRPr="00463949" w:rsidR="00415FD2">
        <w:rPr>
          <w:rFonts w:ascii="Times New Roman" w:hAnsi="Times New Roman" w:cs="Times New Roman"/>
          <w:sz w:val="24"/>
          <w:szCs w:val="24"/>
        </w:rPr>
        <w:t xml:space="preserve">suggesties </w:t>
      </w:r>
      <w:r w:rsidRPr="00463949">
        <w:rPr>
          <w:rFonts w:ascii="Times New Roman" w:hAnsi="Times New Roman" w:cs="Times New Roman"/>
          <w:sz w:val="24"/>
          <w:szCs w:val="24"/>
        </w:rPr>
        <w:t xml:space="preserve">zijn verwerkt in het </w:t>
      </w:r>
      <w:r w:rsidRPr="00463949" w:rsidR="000E436F">
        <w:rPr>
          <w:rFonts w:ascii="Times New Roman" w:hAnsi="Times New Roman" w:cs="Times New Roman"/>
          <w:sz w:val="24"/>
          <w:szCs w:val="24"/>
        </w:rPr>
        <w:t>wets</w:t>
      </w:r>
      <w:r w:rsidRPr="00463949">
        <w:rPr>
          <w:rFonts w:ascii="Times New Roman" w:hAnsi="Times New Roman" w:cs="Times New Roman"/>
          <w:sz w:val="24"/>
          <w:szCs w:val="24"/>
        </w:rPr>
        <w:t>voorstel en de memorie van toelichting.</w:t>
      </w:r>
      <w:r w:rsidRPr="00463949" w:rsidR="00192EE3">
        <w:rPr>
          <w:rFonts w:ascii="Times New Roman" w:hAnsi="Times New Roman" w:cs="Times New Roman"/>
          <w:sz w:val="24"/>
          <w:szCs w:val="24"/>
        </w:rPr>
        <w:t xml:space="preserve"> </w:t>
      </w:r>
    </w:p>
    <w:p w:rsidRPr="00463949" w:rsidR="00440B94" w:rsidP="00D045E0" w:rsidRDefault="00440B94" w14:paraId="2BEA471C" w14:textId="77777777">
      <w:pPr>
        <w:spacing w:after="0" w:line="276" w:lineRule="auto"/>
        <w:rPr>
          <w:rFonts w:ascii="Times New Roman" w:hAnsi="Times New Roman" w:cs="Times New Roman"/>
          <w:sz w:val="24"/>
          <w:szCs w:val="24"/>
        </w:rPr>
      </w:pPr>
    </w:p>
    <w:p w:rsidRPr="00463949" w:rsidR="009660CD" w:rsidP="00D045E0" w:rsidRDefault="00CD211B" w14:paraId="4F3B1A72" w14:textId="7C541F53">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 xml:space="preserve">7. </w:t>
      </w:r>
      <w:r w:rsidRPr="00463949" w:rsidR="00440B94">
        <w:rPr>
          <w:rFonts w:ascii="Times New Roman" w:hAnsi="Times New Roman" w:cs="Times New Roman"/>
          <w:b/>
          <w:bCs/>
          <w:sz w:val="24"/>
          <w:szCs w:val="24"/>
        </w:rPr>
        <w:t>Overgangsrecht en inwerkingtreding</w:t>
      </w:r>
    </w:p>
    <w:p w:rsidRPr="00463949" w:rsidR="00440B94" w:rsidP="00D045E0" w:rsidRDefault="00440B94" w14:paraId="28769366" w14:textId="77777777">
      <w:pPr>
        <w:spacing w:after="0" w:line="276" w:lineRule="auto"/>
        <w:rPr>
          <w:rFonts w:ascii="Times New Roman" w:hAnsi="Times New Roman" w:cs="Times New Roman"/>
          <w:sz w:val="24"/>
          <w:szCs w:val="24"/>
        </w:rPr>
      </w:pPr>
    </w:p>
    <w:p w:rsidRPr="00463949" w:rsidR="00440B94" w:rsidP="00D045E0" w:rsidRDefault="00334963" w14:paraId="197F1CA2" w14:textId="32E22E64">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Richtlijn is alleen van toepassing </w:t>
      </w:r>
      <w:r w:rsidRPr="00463949" w:rsidR="00440B94">
        <w:rPr>
          <w:rFonts w:ascii="Times New Roman" w:hAnsi="Times New Roman" w:cs="Times New Roman"/>
          <w:sz w:val="24"/>
          <w:szCs w:val="24"/>
        </w:rPr>
        <w:t xml:space="preserve">op producten die op of na 9 december 2026 in de handel zijn gebracht of in gebruik zijn gesteld. </w:t>
      </w:r>
      <w:r w:rsidRPr="00463949" w:rsidR="00B26C29">
        <w:rPr>
          <w:rFonts w:ascii="Times New Roman" w:hAnsi="Times New Roman" w:cs="Times New Roman"/>
          <w:sz w:val="24"/>
          <w:szCs w:val="24"/>
        </w:rPr>
        <w:t>Dit wets</w:t>
      </w:r>
      <w:r w:rsidRPr="00463949" w:rsidR="00440B94">
        <w:rPr>
          <w:rFonts w:ascii="Times New Roman" w:hAnsi="Times New Roman" w:cs="Times New Roman"/>
          <w:sz w:val="24"/>
          <w:szCs w:val="24"/>
        </w:rPr>
        <w:t xml:space="preserve">voorstel moet daarom ook alleen van toepassing zijn op die producten. </w:t>
      </w:r>
      <w:r w:rsidRPr="00463949" w:rsidR="00504E2B">
        <w:rPr>
          <w:rFonts w:ascii="Times New Roman" w:hAnsi="Times New Roman" w:cs="Times New Roman"/>
          <w:sz w:val="24"/>
          <w:szCs w:val="24"/>
        </w:rPr>
        <w:t>De datum van inwerkingtreding wordt bij koninklijk besluit bepaald.</w:t>
      </w:r>
    </w:p>
    <w:p w:rsidRPr="00463949" w:rsidR="009660CD" w:rsidP="00D045E0" w:rsidRDefault="009660CD" w14:paraId="3E44F956" w14:textId="77777777">
      <w:pPr>
        <w:spacing w:after="0" w:line="276" w:lineRule="auto"/>
        <w:rPr>
          <w:rFonts w:ascii="Times New Roman" w:hAnsi="Times New Roman" w:cs="Times New Roman"/>
          <w:sz w:val="24"/>
          <w:szCs w:val="24"/>
        </w:rPr>
      </w:pPr>
    </w:p>
    <w:p w:rsidRPr="00463949" w:rsidR="000A19A6" w:rsidP="00D045E0" w:rsidRDefault="000A19A6" w14:paraId="19D6104E" w14:textId="77777777">
      <w:pPr>
        <w:spacing w:after="0" w:line="276" w:lineRule="auto"/>
        <w:rPr>
          <w:rFonts w:ascii="Times New Roman" w:hAnsi="Times New Roman" w:cs="Times New Roman"/>
          <w:sz w:val="24"/>
          <w:szCs w:val="24"/>
        </w:rPr>
      </w:pPr>
    </w:p>
    <w:p w:rsidRPr="00463949" w:rsidR="009660CD" w:rsidP="00D045E0" w:rsidRDefault="009660CD" w14:paraId="5BE467C4" w14:textId="1C01E571">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II. ARTIKELSGEWIJS</w:t>
      </w:r>
    </w:p>
    <w:p w:rsidRPr="00463949" w:rsidR="009660CD" w:rsidP="00D045E0" w:rsidRDefault="009660CD" w14:paraId="2034707E" w14:textId="77777777">
      <w:pPr>
        <w:spacing w:after="0" w:line="276" w:lineRule="auto"/>
        <w:rPr>
          <w:rFonts w:ascii="Times New Roman" w:hAnsi="Times New Roman" w:cs="Times New Roman"/>
          <w:sz w:val="24"/>
          <w:szCs w:val="24"/>
        </w:rPr>
      </w:pPr>
    </w:p>
    <w:p w:rsidRPr="00463949" w:rsidR="009660CD" w:rsidP="00D045E0" w:rsidRDefault="00ED1BBD" w14:paraId="3A9F9F56" w14:textId="7EC7302D">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Artikel I</w:t>
      </w:r>
    </w:p>
    <w:p w:rsidRPr="00463949" w:rsidR="00ED1BBD" w:rsidP="00D045E0" w:rsidRDefault="00ED1BBD" w14:paraId="4651403F" w14:textId="77777777">
      <w:pPr>
        <w:spacing w:after="0" w:line="276" w:lineRule="auto"/>
        <w:rPr>
          <w:rFonts w:ascii="Times New Roman" w:hAnsi="Times New Roman" w:cs="Times New Roman"/>
          <w:sz w:val="24"/>
          <w:szCs w:val="24"/>
        </w:rPr>
      </w:pPr>
    </w:p>
    <w:p w:rsidRPr="00463949" w:rsidR="00ED1BBD" w:rsidP="00D045E0" w:rsidRDefault="00704AB0" w14:paraId="363151BF" w14:textId="45D274CD">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Onderdeel </w:t>
      </w:r>
      <w:r w:rsidRPr="00463949" w:rsidR="00C935B0">
        <w:rPr>
          <w:rFonts w:ascii="Times New Roman" w:hAnsi="Times New Roman" w:cs="Times New Roman"/>
          <w:i/>
          <w:iCs/>
          <w:sz w:val="24"/>
          <w:szCs w:val="24"/>
        </w:rPr>
        <w:t>A</w:t>
      </w:r>
      <w:r w:rsidRPr="00463949" w:rsidR="0070131B">
        <w:rPr>
          <w:rFonts w:ascii="Times New Roman" w:hAnsi="Times New Roman" w:cs="Times New Roman"/>
          <w:i/>
          <w:iCs/>
          <w:sz w:val="24"/>
          <w:szCs w:val="24"/>
        </w:rPr>
        <w:t>, wijziging artikel 173 lid 2</w:t>
      </w:r>
      <w:r w:rsidRPr="00463949" w:rsidR="0099476D">
        <w:rPr>
          <w:rFonts w:ascii="Times New Roman" w:hAnsi="Times New Roman" w:cs="Times New Roman"/>
          <w:i/>
          <w:iCs/>
          <w:sz w:val="24"/>
          <w:szCs w:val="24"/>
        </w:rPr>
        <w:t xml:space="preserve"> (kanalisatiebepaling bezittersaansprakelijkheid)</w:t>
      </w:r>
    </w:p>
    <w:p w:rsidRPr="00463949" w:rsidR="0070131B" w:rsidP="00D045E0" w:rsidRDefault="0070131B" w14:paraId="555461E7" w14:textId="77777777">
      <w:pPr>
        <w:spacing w:after="0" w:line="276" w:lineRule="auto"/>
        <w:rPr>
          <w:rFonts w:ascii="Times New Roman" w:hAnsi="Times New Roman" w:cs="Times New Roman"/>
          <w:sz w:val="24"/>
          <w:szCs w:val="24"/>
        </w:rPr>
      </w:pPr>
    </w:p>
    <w:p w:rsidRPr="00463949" w:rsidR="00526573" w:rsidP="000655DF" w:rsidRDefault="008D44C1" w14:paraId="3A8BA39D" w14:textId="0DFBC86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Richtlijn noodzaakt tot aanpassing van de kanalisatiebepaling in artikel 6:173</w:t>
      </w:r>
      <w:r w:rsidRPr="00463949" w:rsidR="004302E7">
        <w:rPr>
          <w:rFonts w:ascii="Times New Roman" w:hAnsi="Times New Roman" w:cs="Times New Roman"/>
          <w:sz w:val="24"/>
          <w:szCs w:val="24"/>
        </w:rPr>
        <w:t xml:space="preserve"> lid 2</w:t>
      </w:r>
      <w:r w:rsidRPr="00463949">
        <w:rPr>
          <w:rFonts w:ascii="Times New Roman" w:hAnsi="Times New Roman" w:cs="Times New Roman"/>
          <w:sz w:val="24"/>
          <w:szCs w:val="24"/>
        </w:rPr>
        <w:t xml:space="preserve"> BW. </w:t>
      </w:r>
      <w:r w:rsidRPr="00463949" w:rsidR="00466808">
        <w:rPr>
          <w:rFonts w:ascii="Times New Roman" w:hAnsi="Times New Roman" w:cs="Times New Roman"/>
          <w:sz w:val="24"/>
          <w:szCs w:val="24"/>
        </w:rPr>
        <w:t>Ar</w:t>
      </w:r>
      <w:r w:rsidRPr="00463949" w:rsidR="008F1503">
        <w:rPr>
          <w:rFonts w:ascii="Times New Roman" w:hAnsi="Times New Roman" w:cs="Times New Roman"/>
          <w:sz w:val="24"/>
          <w:szCs w:val="24"/>
        </w:rPr>
        <w:t>tikel</w:t>
      </w:r>
      <w:r w:rsidRPr="00463949" w:rsidR="00466808">
        <w:rPr>
          <w:rFonts w:ascii="Times New Roman" w:hAnsi="Times New Roman" w:cs="Times New Roman"/>
          <w:sz w:val="24"/>
          <w:szCs w:val="24"/>
        </w:rPr>
        <w:t xml:space="preserve"> 6:173 BW</w:t>
      </w:r>
      <w:r w:rsidRPr="00463949" w:rsidR="008F1503">
        <w:rPr>
          <w:rFonts w:ascii="Times New Roman" w:hAnsi="Times New Roman" w:cs="Times New Roman"/>
          <w:sz w:val="24"/>
          <w:szCs w:val="24"/>
        </w:rPr>
        <w:t xml:space="preserve"> is opgenomen in Afdeling 2 van Titel 3 van Boek 6 BW, die ziet op </w:t>
      </w:r>
      <w:r w:rsidRPr="00463949" w:rsidR="000E5FF5">
        <w:rPr>
          <w:rFonts w:ascii="Times New Roman" w:hAnsi="Times New Roman" w:cs="Times New Roman"/>
          <w:sz w:val="24"/>
          <w:szCs w:val="24"/>
        </w:rPr>
        <w:t xml:space="preserve">kwalitatieve </w:t>
      </w:r>
      <w:r w:rsidRPr="00463949" w:rsidR="008F1503">
        <w:rPr>
          <w:rFonts w:ascii="Times New Roman" w:hAnsi="Times New Roman" w:cs="Times New Roman"/>
          <w:sz w:val="24"/>
          <w:szCs w:val="24"/>
        </w:rPr>
        <w:t xml:space="preserve">aansprakelijkheid voor personen en zaken. </w:t>
      </w:r>
      <w:r w:rsidRPr="00463949" w:rsidR="004302E7">
        <w:rPr>
          <w:rFonts w:ascii="Times New Roman" w:hAnsi="Times New Roman" w:cs="Times New Roman"/>
          <w:sz w:val="24"/>
          <w:szCs w:val="24"/>
        </w:rPr>
        <w:t xml:space="preserve">Artikel 6:173 BW </w:t>
      </w:r>
      <w:r w:rsidRPr="00463949" w:rsidR="00EE3C91">
        <w:rPr>
          <w:rFonts w:ascii="Times New Roman" w:hAnsi="Times New Roman" w:cs="Times New Roman"/>
          <w:sz w:val="24"/>
          <w:szCs w:val="24"/>
        </w:rPr>
        <w:t xml:space="preserve">regelt de </w:t>
      </w:r>
      <w:r w:rsidRPr="00463949" w:rsidR="007D790F">
        <w:rPr>
          <w:rFonts w:ascii="Times New Roman" w:hAnsi="Times New Roman" w:cs="Times New Roman"/>
          <w:sz w:val="24"/>
          <w:szCs w:val="24"/>
        </w:rPr>
        <w:lastRenderedPageBreak/>
        <w:t>risicoaansprakelijkheid van de</w:t>
      </w:r>
      <w:r w:rsidRPr="00463949" w:rsidR="007D790F">
        <w:rPr>
          <w:rFonts w:ascii="Times New Roman" w:hAnsi="Times New Roman" w:cs="Times New Roman"/>
          <w:i/>
          <w:iCs/>
          <w:sz w:val="24"/>
          <w:szCs w:val="24"/>
        </w:rPr>
        <w:t xml:space="preserve"> bezitter</w:t>
      </w:r>
      <w:r w:rsidRPr="00463949" w:rsidR="007D790F">
        <w:rPr>
          <w:rFonts w:ascii="Times New Roman" w:hAnsi="Times New Roman" w:cs="Times New Roman"/>
          <w:sz w:val="24"/>
          <w:szCs w:val="24"/>
        </w:rPr>
        <w:t xml:space="preserve"> </w:t>
      </w:r>
      <w:r w:rsidRPr="00463949" w:rsidR="00FA34A9">
        <w:rPr>
          <w:rFonts w:ascii="Times New Roman" w:hAnsi="Times New Roman" w:cs="Times New Roman"/>
          <w:sz w:val="24"/>
          <w:szCs w:val="24"/>
        </w:rPr>
        <w:t xml:space="preserve">van een </w:t>
      </w:r>
      <w:r w:rsidRPr="00463949" w:rsidR="00EE3C91">
        <w:rPr>
          <w:rFonts w:ascii="Times New Roman" w:hAnsi="Times New Roman" w:cs="Times New Roman"/>
          <w:sz w:val="24"/>
          <w:szCs w:val="24"/>
        </w:rPr>
        <w:t>‘</w:t>
      </w:r>
      <w:r w:rsidRPr="00463949" w:rsidR="00DB6D1A">
        <w:rPr>
          <w:rFonts w:ascii="Times New Roman" w:hAnsi="Times New Roman" w:cs="Times New Roman"/>
          <w:sz w:val="24"/>
          <w:szCs w:val="24"/>
        </w:rPr>
        <w:t>gebrekkige</w:t>
      </w:r>
      <w:r w:rsidRPr="00463949" w:rsidR="00EE3C91">
        <w:rPr>
          <w:rFonts w:ascii="Times New Roman" w:hAnsi="Times New Roman" w:cs="Times New Roman"/>
          <w:sz w:val="24"/>
          <w:szCs w:val="24"/>
        </w:rPr>
        <w:t>’</w:t>
      </w:r>
      <w:r w:rsidRPr="00463949" w:rsidR="007C1BF3">
        <w:rPr>
          <w:rStyle w:val="Voetnootmarkering"/>
          <w:rFonts w:ascii="Times New Roman" w:hAnsi="Times New Roman" w:cs="Times New Roman"/>
          <w:sz w:val="24"/>
          <w:szCs w:val="24"/>
        </w:rPr>
        <w:footnoteReference w:id="62"/>
      </w:r>
      <w:r w:rsidRPr="00463949" w:rsidR="00DB6D1A">
        <w:rPr>
          <w:rFonts w:ascii="Times New Roman" w:hAnsi="Times New Roman" w:cs="Times New Roman"/>
          <w:sz w:val="24"/>
          <w:szCs w:val="24"/>
        </w:rPr>
        <w:t xml:space="preserve"> </w:t>
      </w:r>
      <w:r w:rsidRPr="00463949" w:rsidR="007D790F">
        <w:rPr>
          <w:rFonts w:ascii="Times New Roman" w:hAnsi="Times New Roman" w:cs="Times New Roman"/>
          <w:sz w:val="24"/>
          <w:szCs w:val="24"/>
        </w:rPr>
        <w:t xml:space="preserve">roerende zaak. </w:t>
      </w:r>
      <w:r w:rsidRPr="00463949" w:rsidR="00FA34A9">
        <w:rPr>
          <w:rFonts w:ascii="Times New Roman" w:hAnsi="Times New Roman" w:cs="Times New Roman"/>
          <w:sz w:val="24"/>
          <w:szCs w:val="24"/>
        </w:rPr>
        <w:t xml:space="preserve">Als een </w:t>
      </w:r>
      <w:r w:rsidRPr="00463949" w:rsidR="00887C58">
        <w:rPr>
          <w:rFonts w:ascii="Times New Roman" w:hAnsi="Times New Roman" w:cs="Times New Roman"/>
          <w:sz w:val="24"/>
          <w:szCs w:val="24"/>
        </w:rPr>
        <w:t xml:space="preserve">dergelijke </w:t>
      </w:r>
      <w:r w:rsidRPr="00463949" w:rsidR="00FA34A9">
        <w:rPr>
          <w:rFonts w:ascii="Times New Roman" w:hAnsi="Times New Roman" w:cs="Times New Roman"/>
          <w:sz w:val="24"/>
          <w:szCs w:val="24"/>
        </w:rPr>
        <w:t>zaak schade veroorzaakt, kan</w:t>
      </w:r>
      <w:r w:rsidRPr="00463949" w:rsidR="00EE3C91">
        <w:rPr>
          <w:rFonts w:ascii="Times New Roman" w:hAnsi="Times New Roman" w:cs="Times New Roman"/>
          <w:sz w:val="24"/>
          <w:szCs w:val="24"/>
        </w:rPr>
        <w:t xml:space="preserve"> het zijn dat </w:t>
      </w:r>
      <w:r w:rsidRPr="00463949" w:rsidR="00CA7B7F">
        <w:rPr>
          <w:rFonts w:ascii="Times New Roman" w:hAnsi="Times New Roman" w:cs="Times New Roman"/>
          <w:sz w:val="24"/>
          <w:szCs w:val="24"/>
        </w:rPr>
        <w:t xml:space="preserve">op grond van </w:t>
      </w:r>
      <w:r w:rsidRPr="00463949" w:rsidR="00EC57A7">
        <w:rPr>
          <w:rFonts w:ascii="Times New Roman" w:hAnsi="Times New Roman" w:cs="Times New Roman"/>
          <w:sz w:val="24"/>
          <w:szCs w:val="24"/>
        </w:rPr>
        <w:t xml:space="preserve">afdeling 6.3.3 BW </w:t>
      </w:r>
      <w:r w:rsidRPr="00463949" w:rsidR="00CA7B7F">
        <w:rPr>
          <w:rFonts w:ascii="Times New Roman" w:hAnsi="Times New Roman" w:cs="Times New Roman"/>
          <w:sz w:val="24"/>
          <w:szCs w:val="24"/>
        </w:rPr>
        <w:t>óók de producent aansprakelijk is</w:t>
      </w:r>
      <w:r w:rsidRPr="00463949" w:rsidR="00FA34A9">
        <w:rPr>
          <w:rFonts w:ascii="Times New Roman" w:hAnsi="Times New Roman" w:cs="Times New Roman"/>
          <w:sz w:val="24"/>
          <w:szCs w:val="24"/>
        </w:rPr>
        <w:t xml:space="preserve">. </w:t>
      </w:r>
      <w:r w:rsidRPr="00463949" w:rsidR="00CA7B7F">
        <w:rPr>
          <w:rFonts w:ascii="Times New Roman" w:hAnsi="Times New Roman" w:cs="Times New Roman"/>
          <w:sz w:val="24"/>
          <w:szCs w:val="24"/>
        </w:rPr>
        <w:t xml:space="preserve">De </w:t>
      </w:r>
      <w:r w:rsidRPr="00463949" w:rsidR="00FD16DD">
        <w:rPr>
          <w:rFonts w:ascii="Times New Roman" w:hAnsi="Times New Roman" w:cs="Times New Roman"/>
          <w:sz w:val="24"/>
          <w:szCs w:val="24"/>
        </w:rPr>
        <w:t xml:space="preserve">kanalisatiebepaling in </w:t>
      </w:r>
      <w:r w:rsidRPr="00463949">
        <w:rPr>
          <w:rFonts w:ascii="Times New Roman" w:hAnsi="Times New Roman" w:cs="Times New Roman"/>
          <w:sz w:val="24"/>
          <w:szCs w:val="24"/>
        </w:rPr>
        <w:t>artikel 6:17</w:t>
      </w:r>
      <w:r w:rsidRPr="00463949" w:rsidR="00FD16DD">
        <w:rPr>
          <w:rFonts w:ascii="Times New Roman" w:hAnsi="Times New Roman" w:cs="Times New Roman"/>
          <w:sz w:val="24"/>
          <w:szCs w:val="24"/>
        </w:rPr>
        <w:t>3</w:t>
      </w:r>
      <w:r w:rsidRPr="00463949">
        <w:rPr>
          <w:rFonts w:ascii="Times New Roman" w:hAnsi="Times New Roman" w:cs="Times New Roman"/>
          <w:sz w:val="24"/>
          <w:szCs w:val="24"/>
        </w:rPr>
        <w:t xml:space="preserve"> </w:t>
      </w:r>
      <w:r w:rsidRPr="00463949" w:rsidR="00887C58">
        <w:rPr>
          <w:rFonts w:ascii="Times New Roman" w:hAnsi="Times New Roman" w:cs="Times New Roman"/>
          <w:sz w:val="24"/>
          <w:szCs w:val="24"/>
        </w:rPr>
        <w:t>l</w:t>
      </w:r>
      <w:r w:rsidRPr="00463949" w:rsidR="00EE3C91">
        <w:rPr>
          <w:rFonts w:ascii="Times New Roman" w:hAnsi="Times New Roman" w:cs="Times New Roman"/>
          <w:sz w:val="24"/>
          <w:szCs w:val="24"/>
        </w:rPr>
        <w:t>id 2</w:t>
      </w:r>
      <w:r w:rsidRPr="00463949" w:rsidR="00CA7B7F">
        <w:rPr>
          <w:rFonts w:ascii="Times New Roman" w:hAnsi="Times New Roman" w:cs="Times New Roman"/>
          <w:sz w:val="24"/>
          <w:szCs w:val="24"/>
        </w:rPr>
        <w:t xml:space="preserve"> </w:t>
      </w:r>
      <w:r w:rsidRPr="00463949" w:rsidR="009E0A8E">
        <w:rPr>
          <w:rFonts w:ascii="Times New Roman" w:hAnsi="Times New Roman" w:cs="Times New Roman"/>
          <w:sz w:val="24"/>
          <w:szCs w:val="24"/>
        </w:rPr>
        <w:t xml:space="preserve">BW </w:t>
      </w:r>
      <w:r w:rsidRPr="00463949" w:rsidR="00CA7B7F">
        <w:rPr>
          <w:rFonts w:ascii="Times New Roman" w:hAnsi="Times New Roman" w:cs="Times New Roman"/>
          <w:sz w:val="24"/>
          <w:szCs w:val="24"/>
        </w:rPr>
        <w:t>regelt dat de bezitter in dat geval niet aansprakelijk is</w:t>
      </w:r>
      <w:r w:rsidRPr="00463949" w:rsidR="007C1BF3">
        <w:rPr>
          <w:rFonts w:ascii="Times New Roman" w:hAnsi="Times New Roman" w:cs="Times New Roman"/>
          <w:sz w:val="24"/>
          <w:szCs w:val="24"/>
        </w:rPr>
        <w:t xml:space="preserve">: </w:t>
      </w:r>
      <w:r w:rsidRPr="00463949" w:rsidR="00FD16DD">
        <w:rPr>
          <w:rFonts w:ascii="Times New Roman" w:hAnsi="Times New Roman" w:cs="Times New Roman"/>
          <w:sz w:val="24"/>
          <w:szCs w:val="24"/>
        </w:rPr>
        <w:t xml:space="preserve">de </w:t>
      </w:r>
      <w:r w:rsidRPr="00463949" w:rsidR="00EE3C91">
        <w:rPr>
          <w:rFonts w:ascii="Times New Roman" w:hAnsi="Times New Roman" w:cs="Times New Roman"/>
          <w:sz w:val="24"/>
          <w:szCs w:val="24"/>
        </w:rPr>
        <w:t>aansprakelijkheid wordt ‘gekanaliseerd’ naar de producent</w:t>
      </w:r>
      <w:r w:rsidRPr="00463949" w:rsidR="00FA34A9">
        <w:rPr>
          <w:rFonts w:ascii="Times New Roman" w:hAnsi="Times New Roman" w:cs="Times New Roman"/>
          <w:sz w:val="24"/>
          <w:szCs w:val="24"/>
        </w:rPr>
        <w:t>.</w:t>
      </w:r>
      <w:r w:rsidRPr="00463949" w:rsidR="00FA34A9">
        <w:rPr>
          <w:rStyle w:val="Voetnootmarkering"/>
          <w:rFonts w:ascii="Times New Roman" w:hAnsi="Times New Roman" w:cs="Times New Roman"/>
          <w:sz w:val="24"/>
          <w:szCs w:val="24"/>
        </w:rPr>
        <w:footnoteReference w:id="63"/>
      </w:r>
      <w:r w:rsidRPr="00463949" w:rsidR="00EE3C91">
        <w:rPr>
          <w:rFonts w:ascii="Times New Roman" w:hAnsi="Times New Roman" w:cs="Times New Roman"/>
          <w:sz w:val="24"/>
          <w:szCs w:val="24"/>
        </w:rPr>
        <w:t xml:space="preserve"> Hierop </w:t>
      </w:r>
      <w:r w:rsidRPr="00463949" w:rsidR="00097045">
        <w:rPr>
          <w:rFonts w:ascii="Times New Roman" w:hAnsi="Times New Roman" w:cs="Times New Roman"/>
          <w:sz w:val="24"/>
          <w:szCs w:val="24"/>
        </w:rPr>
        <w:t>gelden</w:t>
      </w:r>
      <w:r w:rsidRPr="00463949" w:rsidR="00CA7B7F">
        <w:rPr>
          <w:rFonts w:ascii="Times New Roman" w:hAnsi="Times New Roman" w:cs="Times New Roman"/>
          <w:sz w:val="24"/>
          <w:szCs w:val="24"/>
        </w:rPr>
        <w:t xml:space="preserve"> </w:t>
      </w:r>
      <w:r w:rsidRPr="00463949" w:rsidR="00097045">
        <w:rPr>
          <w:rFonts w:ascii="Times New Roman" w:hAnsi="Times New Roman" w:cs="Times New Roman"/>
          <w:sz w:val="24"/>
          <w:szCs w:val="24"/>
        </w:rPr>
        <w:t xml:space="preserve">twee uitzonderingen. De bezitter is </w:t>
      </w:r>
      <w:r w:rsidRPr="00463949" w:rsidR="005D4969">
        <w:rPr>
          <w:rFonts w:ascii="Times New Roman" w:hAnsi="Times New Roman" w:cs="Times New Roman"/>
          <w:sz w:val="24"/>
          <w:szCs w:val="24"/>
        </w:rPr>
        <w:t xml:space="preserve">wel </w:t>
      </w:r>
      <w:r w:rsidRPr="00463949" w:rsidR="00097045">
        <w:rPr>
          <w:rFonts w:ascii="Times New Roman" w:hAnsi="Times New Roman" w:cs="Times New Roman"/>
          <w:sz w:val="24"/>
          <w:szCs w:val="24"/>
        </w:rPr>
        <w:t>aansprakelijk</w:t>
      </w:r>
      <w:r w:rsidRPr="00463949" w:rsidR="008F1503">
        <w:rPr>
          <w:rFonts w:ascii="Times New Roman" w:hAnsi="Times New Roman" w:cs="Times New Roman"/>
          <w:sz w:val="24"/>
          <w:szCs w:val="24"/>
        </w:rPr>
        <w:t>,</w:t>
      </w:r>
      <w:r w:rsidRPr="00463949" w:rsidR="002A7F91">
        <w:rPr>
          <w:rFonts w:ascii="Times New Roman" w:hAnsi="Times New Roman" w:cs="Times New Roman"/>
          <w:sz w:val="24"/>
          <w:szCs w:val="24"/>
        </w:rPr>
        <w:t xml:space="preserve"> </w:t>
      </w:r>
      <w:r w:rsidRPr="00463949" w:rsidR="00097045">
        <w:rPr>
          <w:rFonts w:ascii="Times New Roman" w:hAnsi="Times New Roman" w:cs="Times New Roman"/>
          <w:sz w:val="24"/>
          <w:szCs w:val="24"/>
        </w:rPr>
        <w:t>als</w:t>
      </w:r>
      <w:r w:rsidRPr="00463949" w:rsidR="00466808">
        <w:rPr>
          <w:rFonts w:ascii="Times New Roman" w:hAnsi="Times New Roman" w:cs="Times New Roman"/>
          <w:sz w:val="24"/>
          <w:szCs w:val="24"/>
        </w:rPr>
        <w:t>,</w:t>
      </w:r>
      <w:r w:rsidRPr="00463949" w:rsidR="00097045">
        <w:rPr>
          <w:rFonts w:ascii="Times New Roman" w:hAnsi="Times New Roman" w:cs="Times New Roman"/>
          <w:sz w:val="24"/>
          <w:szCs w:val="24"/>
        </w:rPr>
        <w:t xml:space="preserve"> </w:t>
      </w:r>
      <w:r w:rsidRPr="00463949" w:rsidR="00466808">
        <w:rPr>
          <w:rFonts w:ascii="Times New Roman" w:hAnsi="Times New Roman" w:cs="Times New Roman"/>
          <w:sz w:val="24"/>
          <w:szCs w:val="24"/>
        </w:rPr>
        <w:t xml:space="preserve">kort gezegd, </w:t>
      </w:r>
      <w:r w:rsidRPr="00463949" w:rsidR="00097045">
        <w:rPr>
          <w:rFonts w:ascii="Times New Roman" w:hAnsi="Times New Roman" w:cs="Times New Roman"/>
          <w:sz w:val="24"/>
          <w:szCs w:val="24"/>
        </w:rPr>
        <w:t xml:space="preserve">aannemelijk is </w:t>
      </w:r>
      <w:r w:rsidRPr="00463949" w:rsidR="004971A8">
        <w:rPr>
          <w:rFonts w:ascii="Times New Roman" w:hAnsi="Times New Roman" w:cs="Times New Roman"/>
          <w:sz w:val="24"/>
          <w:szCs w:val="24"/>
        </w:rPr>
        <w:t xml:space="preserve">dat </w:t>
      </w:r>
      <w:r w:rsidRPr="00463949" w:rsidR="00097045">
        <w:rPr>
          <w:rFonts w:ascii="Times New Roman" w:hAnsi="Times New Roman" w:cs="Times New Roman"/>
          <w:sz w:val="24"/>
          <w:szCs w:val="24"/>
        </w:rPr>
        <w:t xml:space="preserve">het gebrek pas na het in het verkeer brengen van het product is ontstaan </w:t>
      </w:r>
      <w:r w:rsidRPr="00463949" w:rsidR="005C6294">
        <w:rPr>
          <w:rFonts w:ascii="Times New Roman" w:hAnsi="Times New Roman" w:cs="Times New Roman"/>
          <w:sz w:val="24"/>
          <w:szCs w:val="24"/>
        </w:rPr>
        <w:t xml:space="preserve">(artikel 6:173 lid 2, onderdeel a, BW) </w:t>
      </w:r>
      <w:r w:rsidRPr="00463949" w:rsidR="00097045">
        <w:rPr>
          <w:rFonts w:ascii="Times New Roman" w:hAnsi="Times New Roman" w:cs="Times New Roman"/>
          <w:sz w:val="24"/>
          <w:szCs w:val="24"/>
        </w:rPr>
        <w:t xml:space="preserve">of als het zaakschade betreft die op grond van de in afdeling 6.3.3 </w:t>
      </w:r>
      <w:r w:rsidRPr="00463949" w:rsidR="0099476D">
        <w:rPr>
          <w:rFonts w:ascii="Times New Roman" w:hAnsi="Times New Roman" w:cs="Times New Roman"/>
          <w:sz w:val="24"/>
          <w:szCs w:val="24"/>
        </w:rPr>
        <w:t xml:space="preserve">BW </w:t>
      </w:r>
      <w:r w:rsidRPr="00463949" w:rsidR="00097045">
        <w:rPr>
          <w:rFonts w:ascii="Times New Roman" w:hAnsi="Times New Roman" w:cs="Times New Roman"/>
          <w:sz w:val="24"/>
          <w:szCs w:val="24"/>
        </w:rPr>
        <w:t>geregelde franchise niet voor vergoeding in aanmerking komt</w:t>
      </w:r>
      <w:r w:rsidRPr="00463949" w:rsidR="005C6294">
        <w:rPr>
          <w:rFonts w:ascii="Times New Roman" w:hAnsi="Times New Roman" w:cs="Times New Roman"/>
          <w:sz w:val="24"/>
          <w:szCs w:val="24"/>
        </w:rPr>
        <w:t xml:space="preserve"> (artikel 6:173 lid 2, onderdeel b, BW)</w:t>
      </w:r>
      <w:r w:rsidRPr="00463949" w:rsidR="00097045">
        <w:rPr>
          <w:rFonts w:ascii="Times New Roman" w:hAnsi="Times New Roman" w:cs="Times New Roman"/>
          <w:sz w:val="24"/>
          <w:szCs w:val="24"/>
        </w:rPr>
        <w:t>.</w:t>
      </w:r>
      <w:r w:rsidRPr="00463949" w:rsidR="009E0A8E">
        <w:rPr>
          <w:rStyle w:val="Voetnootmarkering"/>
          <w:rFonts w:ascii="Times New Roman" w:hAnsi="Times New Roman" w:cs="Times New Roman"/>
          <w:sz w:val="24"/>
          <w:szCs w:val="24"/>
        </w:rPr>
        <w:footnoteReference w:id="64"/>
      </w:r>
      <w:r w:rsidRPr="00463949" w:rsidR="009E0A8E">
        <w:rPr>
          <w:rFonts w:ascii="Times New Roman" w:hAnsi="Times New Roman" w:cs="Times New Roman"/>
          <w:sz w:val="24"/>
          <w:szCs w:val="24"/>
        </w:rPr>
        <w:t xml:space="preserve"> </w:t>
      </w:r>
      <w:r w:rsidRPr="00463949" w:rsidR="00097045">
        <w:rPr>
          <w:rFonts w:ascii="Times New Roman" w:hAnsi="Times New Roman" w:cs="Times New Roman"/>
          <w:sz w:val="24"/>
          <w:szCs w:val="24"/>
        </w:rPr>
        <w:t>In d</w:t>
      </w:r>
      <w:r w:rsidRPr="00463949" w:rsidR="005C6294">
        <w:rPr>
          <w:rFonts w:ascii="Times New Roman" w:hAnsi="Times New Roman" w:cs="Times New Roman"/>
          <w:sz w:val="24"/>
          <w:szCs w:val="24"/>
        </w:rPr>
        <w:t>ie</w:t>
      </w:r>
      <w:r w:rsidRPr="00463949" w:rsidR="00097045">
        <w:rPr>
          <w:rFonts w:ascii="Times New Roman" w:hAnsi="Times New Roman" w:cs="Times New Roman"/>
          <w:sz w:val="24"/>
          <w:szCs w:val="24"/>
        </w:rPr>
        <w:t xml:space="preserve"> situaties kan de producent niet worden aangesproken op grond van de </w:t>
      </w:r>
      <w:r w:rsidRPr="00463949" w:rsidR="00FD16DD">
        <w:rPr>
          <w:rFonts w:ascii="Times New Roman" w:hAnsi="Times New Roman" w:cs="Times New Roman"/>
          <w:sz w:val="24"/>
          <w:szCs w:val="24"/>
        </w:rPr>
        <w:t>regeling</w:t>
      </w:r>
      <w:r w:rsidRPr="00463949" w:rsidR="00CA7B7F">
        <w:rPr>
          <w:rFonts w:ascii="Times New Roman" w:hAnsi="Times New Roman" w:cs="Times New Roman"/>
          <w:sz w:val="24"/>
          <w:szCs w:val="24"/>
        </w:rPr>
        <w:t xml:space="preserve"> in afdeling 6.3.3 BW</w:t>
      </w:r>
      <w:r w:rsidRPr="00463949" w:rsidR="00FD16DD">
        <w:rPr>
          <w:rFonts w:ascii="Times New Roman" w:hAnsi="Times New Roman" w:cs="Times New Roman"/>
          <w:sz w:val="24"/>
          <w:szCs w:val="24"/>
        </w:rPr>
        <w:t xml:space="preserve"> (zie artikel 6:185 lid 1, onderdeel b</w:t>
      </w:r>
      <w:r w:rsidRPr="00463949" w:rsidR="00887C58">
        <w:rPr>
          <w:rFonts w:ascii="Times New Roman" w:hAnsi="Times New Roman" w:cs="Times New Roman"/>
          <w:sz w:val="24"/>
          <w:szCs w:val="24"/>
        </w:rPr>
        <w:t>,</w:t>
      </w:r>
      <w:r w:rsidRPr="00463949" w:rsidR="00FD16DD">
        <w:rPr>
          <w:rFonts w:ascii="Times New Roman" w:hAnsi="Times New Roman" w:cs="Times New Roman"/>
          <w:sz w:val="24"/>
          <w:szCs w:val="24"/>
        </w:rPr>
        <w:t xml:space="preserve"> BW en artikel 6:190 lid 1, onderdeel b, BW)</w:t>
      </w:r>
      <w:r w:rsidRPr="00463949" w:rsidR="00887C58">
        <w:rPr>
          <w:rFonts w:ascii="Times New Roman" w:hAnsi="Times New Roman" w:cs="Times New Roman"/>
          <w:sz w:val="24"/>
          <w:szCs w:val="24"/>
        </w:rPr>
        <w:t>.</w:t>
      </w:r>
      <w:r w:rsidRPr="00463949" w:rsidR="00914FBF">
        <w:rPr>
          <w:rFonts w:ascii="Times New Roman" w:hAnsi="Times New Roman" w:cs="Times New Roman"/>
          <w:sz w:val="24"/>
          <w:szCs w:val="24"/>
        </w:rPr>
        <w:t xml:space="preserve"> </w:t>
      </w:r>
    </w:p>
    <w:p w:rsidRPr="00463949" w:rsidR="00526573" w:rsidP="000655DF" w:rsidRDefault="00526573" w14:paraId="494F5080" w14:textId="77777777">
      <w:pPr>
        <w:spacing w:after="0" w:line="276" w:lineRule="auto"/>
        <w:rPr>
          <w:rFonts w:ascii="Times New Roman" w:hAnsi="Times New Roman" w:cs="Times New Roman"/>
          <w:sz w:val="24"/>
          <w:szCs w:val="24"/>
        </w:rPr>
      </w:pPr>
    </w:p>
    <w:p w:rsidRPr="00463949" w:rsidR="00466808" w:rsidP="000655DF" w:rsidRDefault="00E518D2" w14:paraId="5D721F26" w14:textId="6B36E58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O</w:t>
      </w:r>
      <w:r w:rsidRPr="00463949" w:rsidR="008D44C1">
        <w:rPr>
          <w:rFonts w:ascii="Times New Roman" w:hAnsi="Times New Roman" w:cs="Times New Roman"/>
          <w:sz w:val="24"/>
          <w:szCs w:val="24"/>
        </w:rPr>
        <w:t xml:space="preserve">nderdeel </w:t>
      </w:r>
      <w:r w:rsidRPr="00463949">
        <w:rPr>
          <w:rFonts w:ascii="Times New Roman" w:hAnsi="Times New Roman" w:cs="Times New Roman"/>
          <w:sz w:val="24"/>
          <w:szCs w:val="24"/>
        </w:rPr>
        <w:t xml:space="preserve">A </w:t>
      </w:r>
      <w:r w:rsidRPr="00463949" w:rsidR="008D44C1">
        <w:rPr>
          <w:rFonts w:ascii="Times New Roman" w:hAnsi="Times New Roman" w:cs="Times New Roman"/>
          <w:sz w:val="24"/>
          <w:szCs w:val="24"/>
        </w:rPr>
        <w:t xml:space="preserve">brengt wijzigingen aan in de hiervoor genoemde </w:t>
      </w:r>
      <w:r w:rsidRPr="00463949" w:rsidR="00887C58">
        <w:rPr>
          <w:rFonts w:ascii="Times New Roman" w:hAnsi="Times New Roman" w:cs="Times New Roman"/>
          <w:sz w:val="24"/>
          <w:szCs w:val="24"/>
        </w:rPr>
        <w:t>uitzonderingen</w:t>
      </w:r>
      <w:r w:rsidRPr="00463949" w:rsidR="003D546B">
        <w:rPr>
          <w:rFonts w:ascii="Times New Roman" w:hAnsi="Times New Roman" w:cs="Times New Roman"/>
          <w:sz w:val="24"/>
          <w:szCs w:val="24"/>
        </w:rPr>
        <w:t xml:space="preserve"> </w:t>
      </w:r>
      <w:r w:rsidRPr="00463949" w:rsidR="001556E8">
        <w:rPr>
          <w:rFonts w:ascii="Times New Roman" w:hAnsi="Times New Roman" w:cs="Times New Roman"/>
          <w:sz w:val="24"/>
          <w:szCs w:val="24"/>
        </w:rPr>
        <w:t>op ‘kanalis</w:t>
      </w:r>
      <w:r w:rsidRPr="00463949" w:rsidR="00813D7A">
        <w:rPr>
          <w:rFonts w:ascii="Times New Roman" w:hAnsi="Times New Roman" w:cs="Times New Roman"/>
          <w:sz w:val="24"/>
          <w:szCs w:val="24"/>
        </w:rPr>
        <w:t>atie</w:t>
      </w:r>
      <w:r w:rsidRPr="00463949" w:rsidR="001556E8">
        <w:rPr>
          <w:rFonts w:ascii="Times New Roman" w:hAnsi="Times New Roman" w:cs="Times New Roman"/>
          <w:sz w:val="24"/>
          <w:szCs w:val="24"/>
        </w:rPr>
        <w:t xml:space="preserve">’ </w:t>
      </w:r>
      <w:r w:rsidRPr="00463949" w:rsidR="00FD16DD">
        <w:rPr>
          <w:rFonts w:ascii="Times New Roman" w:hAnsi="Times New Roman" w:cs="Times New Roman"/>
          <w:sz w:val="24"/>
          <w:szCs w:val="24"/>
        </w:rPr>
        <w:t xml:space="preserve">naar de producent </w:t>
      </w:r>
      <w:r w:rsidRPr="00463949" w:rsidR="004C0619">
        <w:rPr>
          <w:rFonts w:ascii="Times New Roman" w:hAnsi="Times New Roman" w:cs="Times New Roman"/>
          <w:sz w:val="24"/>
          <w:szCs w:val="24"/>
        </w:rPr>
        <w:t>(</w:t>
      </w:r>
      <w:r w:rsidRPr="00463949" w:rsidR="008D44C1">
        <w:rPr>
          <w:rFonts w:ascii="Times New Roman" w:hAnsi="Times New Roman" w:cs="Times New Roman"/>
          <w:sz w:val="24"/>
          <w:szCs w:val="24"/>
        </w:rPr>
        <w:t>artikel 6:173</w:t>
      </w:r>
      <w:r w:rsidRPr="00463949" w:rsidR="009E0A8E">
        <w:rPr>
          <w:rFonts w:ascii="Times New Roman" w:hAnsi="Times New Roman" w:cs="Times New Roman"/>
          <w:sz w:val="24"/>
          <w:szCs w:val="24"/>
        </w:rPr>
        <w:t xml:space="preserve"> li</w:t>
      </w:r>
      <w:r w:rsidRPr="00463949" w:rsidR="00EC176A">
        <w:rPr>
          <w:rFonts w:ascii="Times New Roman" w:hAnsi="Times New Roman" w:cs="Times New Roman"/>
          <w:sz w:val="24"/>
          <w:szCs w:val="24"/>
        </w:rPr>
        <w:t xml:space="preserve">d 2, </w:t>
      </w:r>
      <w:r w:rsidRPr="00463949" w:rsidR="00887C58">
        <w:rPr>
          <w:rFonts w:ascii="Times New Roman" w:hAnsi="Times New Roman" w:cs="Times New Roman"/>
          <w:sz w:val="24"/>
          <w:szCs w:val="24"/>
        </w:rPr>
        <w:t>onderdelen a en b</w:t>
      </w:r>
      <w:r w:rsidRPr="00463949" w:rsidR="009E0A8E">
        <w:rPr>
          <w:rFonts w:ascii="Times New Roman" w:hAnsi="Times New Roman" w:cs="Times New Roman"/>
          <w:sz w:val="24"/>
          <w:szCs w:val="24"/>
        </w:rPr>
        <w:t>, BW</w:t>
      </w:r>
      <w:r w:rsidRPr="00463949" w:rsidR="004C0619">
        <w:rPr>
          <w:rFonts w:ascii="Times New Roman" w:hAnsi="Times New Roman" w:cs="Times New Roman"/>
          <w:sz w:val="24"/>
          <w:szCs w:val="24"/>
        </w:rPr>
        <w:t>)</w:t>
      </w:r>
      <w:r w:rsidRPr="00463949" w:rsidR="00887C58">
        <w:rPr>
          <w:rFonts w:ascii="Times New Roman" w:hAnsi="Times New Roman" w:cs="Times New Roman"/>
          <w:sz w:val="24"/>
          <w:szCs w:val="24"/>
        </w:rPr>
        <w:t>.</w:t>
      </w:r>
      <w:r w:rsidRPr="00463949" w:rsidR="00F56088">
        <w:rPr>
          <w:rFonts w:ascii="Times New Roman" w:hAnsi="Times New Roman" w:cs="Times New Roman"/>
          <w:sz w:val="24"/>
          <w:szCs w:val="24"/>
        </w:rPr>
        <w:t xml:space="preserve"> </w:t>
      </w:r>
      <w:r w:rsidRPr="00463949" w:rsidR="00826160">
        <w:rPr>
          <w:rFonts w:ascii="Times New Roman" w:hAnsi="Times New Roman" w:cs="Times New Roman"/>
          <w:sz w:val="24"/>
          <w:szCs w:val="24"/>
        </w:rPr>
        <w:t xml:space="preserve">Die </w:t>
      </w:r>
      <w:r w:rsidRPr="00463949" w:rsidR="00D05549">
        <w:rPr>
          <w:rFonts w:ascii="Times New Roman" w:hAnsi="Times New Roman" w:cs="Times New Roman"/>
          <w:sz w:val="24"/>
          <w:szCs w:val="24"/>
        </w:rPr>
        <w:t xml:space="preserve">wijzigingen hangen </w:t>
      </w:r>
      <w:r w:rsidRPr="00463949" w:rsidR="00276A66">
        <w:rPr>
          <w:rFonts w:ascii="Times New Roman" w:hAnsi="Times New Roman" w:cs="Times New Roman"/>
          <w:sz w:val="24"/>
          <w:szCs w:val="24"/>
        </w:rPr>
        <w:t xml:space="preserve">allereerst </w:t>
      </w:r>
      <w:r w:rsidRPr="00463949" w:rsidR="00D05549">
        <w:rPr>
          <w:rFonts w:ascii="Times New Roman" w:hAnsi="Times New Roman" w:cs="Times New Roman"/>
          <w:sz w:val="24"/>
          <w:szCs w:val="24"/>
        </w:rPr>
        <w:t>samen het uitbreiden van de productaansprakelijkheid op grond van de Richtlijn. Die uitbreiding leidt ertoe dat de aansprakelijkheid van de bezitter</w:t>
      </w:r>
      <w:r w:rsidRPr="00463949" w:rsidR="00466808">
        <w:rPr>
          <w:rFonts w:ascii="Times New Roman" w:hAnsi="Times New Roman" w:cs="Times New Roman"/>
          <w:sz w:val="24"/>
          <w:szCs w:val="24"/>
        </w:rPr>
        <w:t xml:space="preserve"> in artikel 6:173 BW spiegelbeeldig </w:t>
      </w:r>
      <w:r w:rsidRPr="00463949" w:rsidR="00D2310D">
        <w:rPr>
          <w:rFonts w:ascii="Times New Roman" w:hAnsi="Times New Roman" w:cs="Times New Roman"/>
          <w:sz w:val="24"/>
          <w:szCs w:val="24"/>
        </w:rPr>
        <w:t>wordt beperkt.</w:t>
      </w:r>
      <w:r w:rsidRPr="00463949" w:rsidR="00D05549">
        <w:rPr>
          <w:rFonts w:ascii="Times New Roman" w:hAnsi="Times New Roman" w:cs="Times New Roman"/>
          <w:sz w:val="24"/>
          <w:szCs w:val="24"/>
        </w:rPr>
        <w:t xml:space="preserve"> </w:t>
      </w:r>
      <w:r w:rsidRPr="00463949" w:rsidR="00276A66">
        <w:rPr>
          <w:rFonts w:ascii="Times New Roman" w:hAnsi="Times New Roman" w:cs="Times New Roman"/>
          <w:sz w:val="24"/>
          <w:szCs w:val="24"/>
        </w:rPr>
        <w:t xml:space="preserve">Daarnaast vloeien de voorgestelde wijzigingen voort uit </w:t>
      </w:r>
      <w:r w:rsidRPr="00463949" w:rsidR="00466808">
        <w:rPr>
          <w:rFonts w:ascii="Times New Roman" w:hAnsi="Times New Roman" w:cs="Times New Roman"/>
          <w:sz w:val="24"/>
          <w:szCs w:val="24"/>
        </w:rPr>
        <w:t>wijzigingen</w:t>
      </w:r>
      <w:r w:rsidRPr="00463949" w:rsidR="000E5FF5">
        <w:rPr>
          <w:rFonts w:ascii="Times New Roman" w:hAnsi="Times New Roman" w:cs="Times New Roman"/>
          <w:sz w:val="24"/>
          <w:szCs w:val="24"/>
        </w:rPr>
        <w:t xml:space="preserve"> </w:t>
      </w:r>
      <w:r w:rsidRPr="00463949" w:rsidR="00276A66">
        <w:rPr>
          <w:rFonts w:ascii="Times New Roman" w:hAnsi="Times New Roman" w:cs="Times New Roman"/>
          <w:sz w:val="24"/>
          <w:szCs w:val="24"/>
        </w:rPr>
        <w:t xml:space="preserve">in de Richtlijn </w:t>
      </w:r>
      <w:r w:rsidRPr="00463949" w:rsidR="00533674">
        <w:rPr>
          <w:rFonts w:ascii="Times New Roman" w:hAnsi="Times New Roman" w:cs="Times New Roman"/>
          <w:sz w:val="24"/>
          <w:szCs w:val="24"/>
        </w:rPr>
        <w:t xml:space="preserve">die </w:t>
      </w:r>
      <w:r w:rsidRPr="00463949" w:rsidR="00276A66">
        <w:rPr>
          <w:rFonts w:ascii="Times New Roman" w:hAnsi="Times New Roman" w:cs="Times New Roman"/>
          <w:sz w:val="24"/>
          <w:szCs w:val="24"/>
        </w:rPr>
        <w:t xml:space="preserve">van meer </w:t>
      </w:r>
      <w:r w:rsidRPr="00463949" w:rsidR="00466808">
        <w:rPr>
          <w:rFonts w:ascii="Times New Roman" w:hAnsi="Times New Roman" w:cs="Times New Roman"/>
          <w:sz w:val="24"/>
          <w:szCs w:val="24"/>
        </w:rPr>
        <w:t>terminologische aard</w:t>
      </w:r>
      <w:r w:rsidRPr="00463949" w:rsidR="00533674">
        <w:rPr>
          <w:rFonts w:ascii="Times New Roman" w:hAnsi="Times New Roman" w:cs="Times New Roman"/>
          <w:sz w:val="24"/>
          <w:szCs w:val="24"/>
        </w:rPr>
        <w:t xml:space="preserve"> zijn</w:t>
      </w:r>
      <w:r w:rsidRPr="00463949" w:rsidR="00466808">
        <w:rPr>
          <w:rFonts w:ascii="Times New Roman" w:hAnsi="Times New Roman" w:cs="Times New Roman"/>
          <w:sz w:val="24"/>
          <w:szCs w:val="24"/>
        </w:rPr>
        <w:t xml:space="preserve">. </w:t>
      </w:r>
    </w:p>
    <w:p w:rsidRPr="00463949" w:rsidR="00914FBF" w:rsidP="000655DF" w:rsidRDefault="00914FBF" w14:paraId="0419EE8A" w14:textId="77777777">
      <w:pPr>
        <w:spacing w:after="0" w:line="276" w:lineRule="auto"/>
        <w:rPr>
          <w:rFonts w:ascii="Times New Roman" w:hAnsi="Times New Roman" w:cs="Times New Roman"/>
          <w:sz w:val="24"/>
          <w:szCs w:val="24"/>
        </w:rPr>
      </w:pPr>
    </w:p>
    <w:p w:rsidRPr="00463949" w:rsidR="00BC371F" w:rsidP="00E518D2" w:rsidRDefault="00276A66" w14:paraId="42994E62" w14:textId="624817D3">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Voorgesteld wordt de</w:t>
      </w:r>
      <w:r w:rsidRPr="00463949" w:rsidR="00E518D2">
        <w:rPr>
          <w:rFonts w:ascii="Times New Roman" w:hAnsi="Times New Roman" w:cs="Times New Roman"/>
          <w:sz w:val="24"/>
          <w:szCs w:val="24"/>
        </w:rPr>
        <w:t xml:space="preserve"> voorwaarde in onderdeel a</w:t>
      </w:r>
      <w:r w:rsidRPr="00463949" w:rsidR="000E5FF5">
        <w:rPr>
          <w:rFonts w:ascii="Times New Roman" w:hAnsi="Times New Roman" w:cs="Times New Roman"/>
          <w:sz w:val="24"/>
          <w:szCs w:val="24"/>
        </w:rPr>
        <w:t xml:space="preserve">, die samengevat inhoudt dat het gebrek is ontstaan nadat het product in het verkeer is gebracht, </w:t>
      </w:r>
      <w:r w:rsidRPr="00463949" w:rsidR="00E518D2">
        <w:rPr>
          <w:rFonts w:ascii="Times New Roman" w:hAnsi="Times New Roman" w:cs="Times New Roman"/>
          <w:sz w:val="24"/>
          <w:szCs w:val="24"/>
        </w:rPr>
        <w:t xml:space="preserve">op twee manieren </w:t>
      </w:r>
      <w:r w:rsidRPr="00463949">
        <w:rPr>
          <w:rFonts w:ascii="Times New Roman" w:hAnsi="Times New Roman" w:cs="Times New Roman"/>
          <w:sz w:val="24"/>
          <w:szCs w:val="24"/>
        </w:rPr>
        <w:t>aan te passen.</w:t>
      </w:r>
      <w:r w:rsidRPr="00463949" w:rsidR="00E518D2">
        <w:rPr>
          <w:rFonts w:ascii="Times New Roman" w:hAnsi="Times New Roman" w:cs="Times New Roman"/>
          <w:sz w:val="24"/>
          <w:szCs w:val="24"/>
        </w:rPr>
        <w:t xml:space="preserve"> In de eerste plaats wordt de </w:t>
      </w:r>
      <w:r w:rsidRPr="00463949" w:rsidR="0048733E">
        <w:rPr>
          <w:rFonts w:ascii="Times New Roman" w:hAnsi="Times New Roman" w:cs="Times New Roman"/>
          <w:sz w:val="24"/>
          <w:szCs w:val="24"/>
        </w:rPr>
        <w:t xml:space="preserve">aanduiding </w:t>
      </w:r>
      <w:r w:rsidRPr="00463949" w:rsidR="00E518D2">
        <w:rPr>
          <w:rFonts w:ascii="Times New Roman" w:hAnsi="Times New Roman" w:cs="Times New Roman"/>
          <w:sz w:val="24"/>
          <w:szCs w:val="24"/>
        </w:rPr>
        <w:t>“in het verkeer is gebracht” vervangen door “in de handel werd gebracht, in gebruik werd gesteld of, in het geval van een distributeur (…), op de markt werd aangeboden</w:t>
      </w:r>
      <w:r w:rsidRPr="00463949" w:rsidR="00914FBF">
        <w:rPr>
          <w:rFonts w:ascii="Times New Roman" w:hAnsi="Times New Roman" w:cs="Times New Roman"/>
          <w:sz w:val="24"/>
          <w:szCs w:val="24"/>
        </w:rPr>
        <w:t>”</w:t>
      </w:r>
      <w:r w:rsidRPr="00463949" w:rsidR="00BC371F">
        <w:rPr>
          <w:rFonts w:ascii="Times New Roman" w:hAnsi="Times New Roman" w:cs="Times New Roman"/>
          <w:sz w:val="24"/>
          <w:szCs w:val="24"/>
        </w:rPr>
        <w:t xml:space="preserve"> (zie toelichting bij Onderdeel D</w:t>
      </w:r>
      <w:r w:rsidRPr="00463949" w:rsidR="006E18D5">
        <w:rPr>
          <w:rFonts w:ascii="Times New Roman" w:hAnsi="Times New Roman" w:cs="Times New Roman"/>
          <w:sz w:val="24"/>
          <w:szCs w:val="24"/>
        </w:rPr>
        <w:t>, eerste</w:t>
      </w:r>
      <w:r w:rsidRPr="00463949" w:rsidR="00A53F9B">
        <w:rPr>
          <w:rFonts w:ascii="Times New Roman" w:hAnsi="Times New Roman" w:cs="Times New Roman"/>
          <w:sz w:val="24"/>
          <w:szCs w:val="24"/>
        </w:rPr>
        <w:t xml:space="preserve"> lid</w:t>
      </w:r>
      <w:r w:rsidRPr="00463949" w:rsidR="00BC371F">
        <w:rPr>
          <w:rFonts w:ascii="Times New Roman" w:hAnsi="Times New Roman" w:cs="Times New Roman"/>
          <w:sz w:val="24"/>
          <w:szCs w:val="24"/>
        </w:rPr>
        <w:t>).</w:t>
      </w:r>
      <w:r w:rsidRPr="00463949" w:rsidR="00E518D2">
        <w:rPr>
          <w:rFonts w:ascii="Times New Roman" w:hAnsi="Times New Roman" w:cs="Times New Roman"/>
          <w:sz w:val="24"/>
          <w:szCs w:val="24"/>
        </w:rPr>
        <w:t xml:space="preserve"> In de tweede plaats wordt </w:t>
      </w:r>
      <w:r w:rsidRPr="00463949" w:rsidR="000E5FF5">
        <w:rPr>
          <w:rFonts w:ascii="Times New Roman" w:hAnsi="Times New Roman" w:cs="Times New Roman"/>
          <w:sz w:val="24"/>
          <w:szCs w:val="24"/>
        </w:rPr>
        <w:t xml:space="preserve">hieraan </w:t>
      </w:r>
      <w:r w:rsidRPr="00463949" w:rsidR="00E518D2">
        <w:rPr>
          <w:rFonts w:ascii="Times New Roman" w:hAnsi="Times New Roman" w:cs="Times New Roman"/>
          <w:sz w:val="24"/>
          <w:szCs w:val="24"/>
        </w:rPr>
        <w:t xml:space="preserve">aan een </w:t>
      </w:r>
      <w:r w:rsidRPr="00463949" w:rsidR="00BC371F">
        <w:rPr>
          <w:rFonts w:ascii="Times New Roman" w:hAnsi="Times New Roman" w:cs="Times New Roman"/>
          <w:sz w:val="24"/>
          <w:szCs w:val="24"/>
        </w:rPr>
        <w:t>cumulatieve</w:t>
      </w:r>
      <w:r w:rsidRPr="00463949" w:rsidR="00E518D2">
        <w:rPr>
          <w:rFonts w:ascii="Times New Roman" w:hAnsi="Times New Roman" w:cs="Times New Roman"/>
          <w:sz w:val="24"/>
          <w:szCs w:val="24"/>
        </w:rPr>
        <w:t xml:space="preserve"> voorwaarde toegevoegd in onderdeel b (nieuw). </w:t>
      </w:r>
      <w:r w:rsidRPr="00463949" w:rsidR="00433E3A">
        <w:rPr>
          <w:rFonts w:ascii="Times New Roman" w:hAnsi="Times New Roman" w:cs="Times New Roman"/>
          <w:sz w:val="24"/>
          <w:szCs w:val="24"/>
        </w:rPr>
        <w:t>De</w:t>
      </w:r>
      <w:r w:rsidRPr="00463949">
        <w:rPr>
          <w:rFonts w:ascii="Times New Roman" w:hAnsi="Times New Roman" w:cs="Times New Roman"/>
          <w:sz w:val="24"/>
          <w:szCs w:val="24"/>
        </w:rPr>
        <w:t xml:space="preserve">ze nieuwe voorwaarde </w:t>
      </w:r>
      <w:r w:rsidRPr="00463949" w:rsidR="00433E3A">
        <w:rPr>
          <w:rFonts w:ascii="Times New Roman" w:hAnsi="Times New Roman" w:cs="Times New Roman"/>
          <w:sz w:val="24"/>
          <w:szCs w:val="24"/>
        </w:rPr>
        <w:t>beperkt</w:t>
      </w:r>
      <w:r w:rsidRPr="00463949">
        <w:rPr>
          <w:rFonts w:ascii="Times New Roman" w:hAnsi="Times New Roman" w:cs="Times New Roman"/>
          <w:sz w:val="24"/>
          <w:szCs w:val="24"/>
        </w:rPr>
        <w:t xml:space="preserve"> de aansprakelijkheid van de bezitter</w:t>
      </w:r>
      <w:r w:rsidRPr="00463949" w:rsidR="00433E3A">
        <w:rPr>
          <w:rFonts w:ascii="Times New Roman" w:hAnsi="Times New Roman" w:cs="Times New Roman"/>
          <w:sz w:val="24"/>
          <w:szCs w:val="24"/>
        </w:rPr>
        <w:t xml:space="preserve">. </w:t>
      </w:r>
      <w:r w:rsidRPr="00463949" w:rsidR="00E518D2">
        <w:rPr>
          <w:rFonts w:ascii="Times New Roman" w:hAnsi="Times New Roman" w:cs="Times New Roman"/>
          <w:sz w:val="24"/>
          <w:szCs w:val="24"/>
        </w:rPr>
        <w:t xml:space="preserve">Dit </w:t>
      </w:r>
      <w:r w:rsidRPr="00463949" w:rsidR="00B02C86">
        <w:rPr>
          <w:rFonts w:ascii="Times New Roman" w:hAnsi="Times New Roman" w:cs="Times New Roman"/>
          <w:sz w:val="24"/>
          <w:szCs w:val="24"/>
        </w:rPr>
        <w:t xml:space="preserve">hangt samen met </w:t>
      </w:r>
      <w:r w:rsidRPr="00463949" w:rsidR="00E518D2">
        <w:rPr>
          <w:rFonts w:ascii="Times New Roman" w:hAnsi="Times New Roman" w:cs="Times New Roman"/>
          <w:sz w:val="24"/>
          <w:szCs w:val="24"/>
        </w:rPr>
        <w:t>artikel 11 lid 2 van de Richtlijn</w:t>
      </w:r>
      <w:r w:rsidRPr="00463949" w:rsidR="00914FBF">
        <w:rPr>
          <w:rFonts w:ascii="Times New Roman" w:hAnsi="Times New Roman" w:cs="Times New Roman"/>
          <w:sz w:val="24"/>
          <w:szCs w:val="24"/>
        </w:rPr>
        <w:t>, dat een uitzondering bevat op de vrijstellingsgrond in artikel 11, onderdeel c, van de Richtlijn</w:t>
      </w:r>
      <w:r w:rsidRPr="00463949" w:rsidR="00433E3A">
        <w:rPr>
          <w:rFonts w:ascii="Times New Roman" w:hAnsi="Times New Roman" w:cs="Times New Roman"/>
          <w:sz w:val="24"/>
          <w:szCs w:val="24"/>
        </w:rPr>
        <w:t>.</w:t>
      </w:r>
      <w:r w:rsidRPr="00463949" w:rsidR="00B02C86">
        <w:rPr>
          <w:rFonts w:ascii="Times New Roman" w:hAnsi="Times New Roman" w:cs="Times New Roman"/>
          <w:sz w:val="24"/>
          <w:szCs w:val="24"/>
        </w:rPr>
        <w:t xml:space="preserve"> Op grond </w:t>
      </w:r>
      <w:r w:rsidRPr="00463949" w:rsidR="00433E3A">
        <w:rPr>
          <w:rFonts w:ascii="Times New Roman" w:hAnsi="Times New Roman" w:cs="Times New Roman"/>
          <w:sz w:val="24"/>
          <w:szCs w:val="24"/>
        </w:rPr>
        <w:t>hier</w:t>
      </w:r>
      <w:r w:rsidRPr="00463949" w:rsidR="00B02C86">
        <w:rPr>
          <w:rFonts w:ascii="Times New Roman" w:hAnsi="Times New Roman" w:cs="Times New Roman"/>
          <w:sz w:val="24"/>
          <w:szCs w:val="24"/>
        </w:rPr>
        <w:t xml:space="preserve">van </w:t>
      </w:r>
      <w:r w:rsidRPr="00463949" w:rsidR="00E518D2">
        <w:rPr>
          <w:rFonts w:ascii="Times New Roman" w:hAnsi="Times New Roman" w:cs="Times New Roman"/>
          <w:sz w:val="24"/>
          <w:szCs w:val="24"/>
        </w:rPr>
        <w:t xml:space="preserve">is </w:t>
      </w:r>
      <w:r w:rsidRPr="00463949" w:rsidR="00B02C86">
        <w:rPr>
          <w:rFonts w:ascii="Times New Roman" w:hAnsi="Times New Roman" w:cs="Times New Roman"/>
          <w:sz w:val="24"/>
          <w:szCs w:val="24"/>
        </w:rPr>
        <w:t>een</w:t>
      </w:r>
      <w:r w:rsidRPr="00463949" w:rsidR="00E518D2">
        <w:rPr>
          <w:rFonts w:ascii="Times New Roman" w:hAnsi="Times New Roman" w:cs="Times New Roman"/>
          <w:sz w:val="24"/>
          <w:szCs w:val="24"/>
        </w:rPr>
        <w:t xml:space="preserve"> mark</w:t>
      </w:r>
      <w:r w:rsidRPr="00463949" w:rsidR="00433E3A">
        <w:rPr>
          <w:rFonts w:ascii="Times New Roman" w:hAnsi="Times New Roman" w:cs="Times New Roman"/>
          <w:sz w:val="24"/>
          <w:szCs w:val="24"/>
        </w:rPr>
        <w:t>t</w:t>
      </w:r>
      <w:r w:rsidRPr="00463949" w:rsidR="00E518D2">
        <w:rPr>
          <w:rFonts w:ascii="Times New Roman" w:hAnsi="Times New Roman" w:cs="Times New Roman"/>
          <w:sz w:val="24"/>
          <w:szCs w:val="24"/>
        </w:rPr>
        <w:t>deelnemer</w:t>
      </w:r>
      <w:r w:rsidRPr="00463949" w:rsidR="00B02C86">
        <w:rPr>
          <w:rFonts w:ascii="Times New Roman" w:hAnsi="Times New Roman" w:cs="Times New Roman"/>
          <w:sz w:val="24"/>
          <w:szCs w:val="24"/>
        </w:rPr>
        <w:t xml:space="preserve"> </w:t>
      </w:r>
      <w:r w:rsidRPr="00463949">
        <w:rPr>
          <w:rFonts w:ascii="Times New Roman" w:hAnsi="Times New Roman" w:cs="Times New Roman"/>
          <w:sz w:val="24"/>
          <w:szCs w:val="24"/>
        </w:rPr>
        <w:t xml:space="preserve">in de toekomst </w:t>
      </w:r>
      <w:r w:rsidRPr="00463949" w:rsidR="00B02C86">
        <w:rPr>
          <w:rFonts w:ascii="Times New Roman" w:hAnsi="Times New Roman" w:cs="Times New Roman"/>
          <w:sz w:val="24"/>
          <w:szCs w:val="24"/>
        </w:rPr>
        <w:t xml:space="preserve">ook </w:t>
      </w:r>
      <w:r w:rsidRPr="00463949" w:rsidR="00E518D2">
        <w:rPr>
          <w:rFonts w:ascii="Times New Roman" w:hAnsi="Times New Roman" w:cs="Times New Roman"/>
          <w:sz w:val="24"/>
          <w:szCs w:val="24"/>
        </w:rPr>
        <w:t>aansprakelijk</w:t>
      </w:r>
      <w:r w:rsidRPr="00463949" w:rsidR="00B02C86">
        <w:rPr>
          <w:rFonts w:ascii="Times New Roman" w:hAnsi="Times New Roman" w:cs="Times New Roman"/>
          <w:sz w:val="24"/>
          <w:szCs w:val="24"/>
        </w:rPr>
        <w:t xml:space="preserve"> voor </w:t>
      </w:r>
      <w:r w:rsidRPr="00463949" w:rsidR="0000662C">
        <w:rPr>
          <w:rFonts w:ascii="Times New Roman" w:hAnsi="Times New Roman" w:cs="Times New Roman"/>
          <w:sz w:val="24"/>
          <w:szCs w:val="24"/>
        </w:rPr>
        <w:t xml:space="preserve">het gebrek </w:t>
      </w:r>
      <w:r w:rsidRPr="00463949" w:rsidR="00B02C86">
        <w:rPr>
          <w:rFonts w:ascii="Times New Roman" w:hAnsi="Times New Roman" w:cs="Times New Roman"/>
          <w:sz w:val="24"/>
          <w:szCs w:val="24"/>
        </w:rPr>
        <w:t xml:space="preserve">van een product, </w:t>
      </w:r>
      <w:r w:rsidRPr="00463949">
        <w:rPr>
          <w:rFonts w:ascii="Times New Roman" w:hAnsi="Times New Roman" w:cs="Times New Roman"/>
          <w:sz w:val="24"/>
          <w:szCs w:val="24"/>
        </w:rPr>
        <w:t>als</w:t>
      </w:r>
      <w:r w:rsidRPr="00463949" w:rsidR="0000662C">
        <w:rPr>
          <w:rFonts w:ascii="Times New Roman" w:hAnsi="Times New Roman" w:cs="Times New Roman"/>
          <w:sz w:val="24"/>
          <w:szCs w:val="24"/>
        </w:rPr>
        <w:t xml:space="preserve"> dat gebrek</w:t>
      </w:r>
      <w:r w:rsidRPr="00463949" w:rsidR="00433E3A">
        <w:rPr>
          <w:rFonts w:ascii="Times New Roman" w:hAnsi="Times New Roman" w:cs="Times New Roman"/>
          <w:sz w:val="24"/>
          <w:szCs w:val="24"/>
        </w:rPr>
        <w:t>, kort gezegd,</w:t>
      </w:r>
      <w:r w:rsidRPr="00463949" w:rsidR="00B02C86">
        <w:rPr>
          <w:rFonts w:ascii="Times New Roman" w:hAnsi="Times New Roman" w:cs="Times New Roman"/>
          <w:sz w:val="24"/>
          <w:szCs w:val="24"/>
        </w:rPr>
        <w:t xml:space="preserve"> is ontstaan nadat </w:t>
      </w:r>
      <w:r w:rsidRPr="00463949" w:rsidR="00B02C86">
        <w:rPr>
          <w:rFonts w:ascii="Times New Roman" w:hAnsi="Times New Roman" w:cs="Times New Roman"/>
          <w:sz w:val="24"/>
          <w:szCs w:val="24"/>
        </w:rPr>
        <w:lastRenderedPageBreak/>
        <w:t xml:space="preserve">het </w:t>
      </w:r>
      <w:r w:rsidRPr="00463949">
        <w:rPr>
          <w:rFonts w:ascii="Times New Roman" w:hAnsi="Times New Roman" w:cs="Times New Roman"/>
          <w:sz w:val="24"/>
          <w:szCs w:val="24"/>
        </w:rPr>
        <w:t xml:space="preserve">product </w:t>
      </w:r>
      <w:r w:rsidRPr="00463949" w:rsidR="00B02C86">
        <w:rPr>
          <w:rFonts w:ascii="Times New Roman" w:hAnsi="Times New Roman" w:cs="Times New Roman"/>
          <w:sz w:val="24"/>
          <w:szCs w:val="24"/>
        </w:rPr>
        <w:t>in het verkeer is gebracht,</w:t>
      </w:r>
      <w:r w:rsidRPr="00463949" w:rsidR="00E518D2">
        <w:rPr>
          <w:rFonts w:ascii="Times New Roman" w:hAnsi="Times New Roman" w:cs="Times New Roman"/>
          <w:sz w:val="24"/>
          <w:szCs w:val="24"/>
        </w:rPr>
        <w:t xml:space="preserve"> </w:t>
      </w:r>
      <w:r w:rsidRPr="00463949">
        <w:rPr>
          <w:rFonts w:ascii="Times New Roman" w:hAnsi="Times New Roman" w:cs="Times New Roman"/>
          <w:sz w:val="24"/>
          <w:szCs w:val="24"/>
        </w:rPr>
        <w:t xml:space="preserve">en te </w:t>
      </w:r>
      <w:r w:rsidRPr="00463949" w:rsidR="00E518D2">
        <w:rPr>
          <w:rFonts w:ascii="Times New Roman" w:hAnsi="Times New Roman" w:cs="Times New Roman"/>
          <w:sz w:val="24"/>
          <w:szCs w:val="24"/>
        </w:rPr>
        <w:t xml:space="preserve">wijten is aan a) een bijbehorende dienst, b) software, met inbegrip van software-updates of </w:t>
      </w:r>
      <w:r w:rsidRPr="00463949" w:rsidR="00E518D2">
        <w:rPr>
          <w:rFonts w:ascii="Times New Roman" w:hAnsi="Times New Roman" w:cs="Times New Roman"/>
          <w:sz w:val="24"/>
          <w:szCs w:val="24"/>
        </w:rPr>
        <w:noBreakHyphen/>
        <w:t xml:space="preserve">upgrades, c) een ontbreken van software-updates of -upgrades die nodig zijn om de veiligheid te handhaven of d) een ingrijpende wijziging van het product. </w:t>
      </w:r>
      <w:r w:rsidRPr="00463949" w:rsidR="00433E3A">
        <w:rPr>
          <w:rFonts w:ascii="Times New Roman" w:hAnsi="Times New Roman" w:cs="Times New Roman"/>
          <w:sz w:val="24"/>
          <w:szCs w:val="24"/>
        </w:rPr>
        <w:t>Dit onder de voorwaarde dat de marktdeelnemer</w:t>
      </w:r>
      <w:r w:rsidRPr="00463949" w:rsidR="00E518D2">
        <w:rPr>
          <w:rFonts w:ascii="Times New Roman" w:hAnsi="Times New Roman" w:cs="Times New Roman"/>
          <w:sz w:val="24"/>
          <w:szCs w:val="24"/>
        </w:rPr>
        <w:t xml:space="preserve"> over </w:t>
      </w:r>
      <w:r w:rsidRPr="00463949" w:rsidR="00433E3A">
        <w:rPr>
          <w:rFonts w:ascii="Times New Roman" w:hAnsi="Times New Roman" w:cs="Times New Roman"/>
          <w:sz w:val="24"/>
          <w:szCs w:val="24"/>
        </w:rPr>
        <w:t>de omstandigheden in a)</w:t>
      </w:r>
      <w:r w:rsidRPr="00463949">
        <w:rPr>
          <w:rFonts w:ascii="Times New Roman" w:hAnsi="Times New Roman" w:cs="Times New Roman"/>
          <w:sz w:val="24"/>
          <w:szCs w:val="24"/>
        </w:rPr>
        <w:t xml:space="preserve"> </w:t>
      </w:r>
      <w:r w:rsidRPr="00463949" w:rsidR="00433E3A">
        <w:rPr>
          <w:rFonts w:ascii="Times New Roman" w:hAnsi="Times New Roman" w:cs="Times New Roman"/>
          <w:sz w:val="24"/>
          <w:szCs w:val="24"/>
        </w:rPr>
        <w:t xml:space="preserve">tot en met d) </w:t>
      </w:r>
      <w:r w:rsidRPr="00463949" w:rsidR="00E518D2">
        <w:rPr>
          <w:rFonts w:ascii="Times New Roman" w:hAnsi="Times New Roman" w:cs="Times New Roman"/>
          <w:sz w:val="24"/>
          <w:szCs w:val="24"/>
        </w:rPr>
        <w:t xml:space="preserve">zeggenschap heeft. </w:t>
      </w:r>
      <w:r w:rsidRPr="00463949" w:rsidR="00433E3A">
        <w:rPr>
          <w:rFonts w:ascii="Times New Roman" w:hAnsi="Times New Roman" w:cs="Times New Roman"/>
          <w:sz w:val="24"/>
          <w:szCs w:val="24"/>
        </w:rPr>
        <w:t xml:space="preserve">Deze uitbreiding van de productaansprakelijkheid (zie toelichting bij Onderdeel </w:t>
      </w:r>
      <w:r w:rsidRPr="00463949" w:rsidR="006E18D5">
        <w:rPr>
          <w:rFonts w:ascii="Times New Roman" w:hAnsi="Times New Roman" w:cs="Times New Roman"/>
          <w:sz w:val="24"/>
          <w:szCs w:val="24"/>
        </w:rPr>
        <w:t xml:space="preserve">D, tweede </w:t>
      </w:r>
      <w:r w:rsidRPr="00463949" w:rsidR="00A53F9B">
        <w:rPr>
          <w:rFonts w:ascii="Times New Roman" w:hAnsi="Times New Roman" w:cs="Times New Roman"/>
          <w:sz w:val="24"/>
          <w:szCs w:val="24"/>
        </w:rPr>
        <w:t>lid</w:t>
      </w:r>
      <w:r w:rsidRPr="00463949" w:rsidR="00433E3A">
        <w:rPr>
          <w:rFonts w:ascii="Times New Roman" w:hAnsi="Times New Roman" w:cs="Times New Roman"/>
          <w:sz w:val="24"/>
          <w:szCs w:val="24"/>
        </w:rPr>
        <w:t>), leidt tot een</w:t>
      </w:r>
      <w:r w:rsidRPr="00463949">
        <w:rPr>
          <w:rFonts w:ascii="Times New Roman" w:hAnsi="Times New Roman" w:cs="Times New Roman"/>
          <w:sz w:val="24"/>
          <w:szCs w:val="24"/>
        </w:rPr>
        <w:t xml:space="preserve"> </w:t>
      </w:r>
      <w:r w:rsidRPr="00463949" w:rsidR="008A4803">
        <w:rPr>
          <w:rFonts w:ascii="Times New Roman" w:hAnsi="Times New Roman" w:cs="Times New Roman"/>
          <w:sz w:val="24"/>
          <w:szCs w:val="24"/>
        </w:rPr>
        <w:t xml:space="preserve">omgekeerd evenredige beperking van de </w:t>
      </w:r>
      <w:r w:rsidRPr="00463949" w:rsidR="00E518D2">
        <w:rPr>
          <w:rFonts w:ascii="Times New Roman" w:hAnsi="Times New Roman" w:cs="Times New Roman"/>
          <w:sz w:val="24"/>
          <w:szCs w:val="24"/>
        </w:rPr>
        <w:t>bezitter</w:t>
      </w:r>
      <w:r w:rsidRPr="00463949" w:rsidR="00433E3A">
        <w:rPr>
          <w:rFonts w:ascii="Times New Roman" w:hAnsi="Times New Roman" w:cs="Times New Roman"/>
          <w:sz w:val="24"/>
          <w:szCs w:val="24"/>
        </w:rPr>
        <w:t xml:space="preserve">saansprakelijkheid ex artikel 6:173 BW. </w:t>
      </w:r>
    </w:p>
    <w:p w:rsidRPr="00463949" w:rsidR="00276A66" w:rsidP="00E518D2" w:rsidRDefault="00276A66" w14:paraId="6299316A" w14:textId="77777777">
      <w:pPr>
        <w:spacing w:after="0" w:line="276" w:lineRule="auto"/>
        <w:rPr>
          <w:rFonts w:ascii="Times New Roman" w:hAnsi="Times New Roman" w:cs="Times New Roman"/>
          <w:sz w:val="24"/>
          <w:szCs w:val="24"/>
        </w:rPr>
      </w:pPr>
    </w:p>
    <w:p w:rsidRPr="00463949" w:rsidR="00E518D2" w:rsidP="00E518D2" w:rsidRDefault="00E518D2" w14:paraId="7AFCCC2D" w14:textId="2CE75AF6">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Tot slot komt de uitzondering in het huidige onderdeel b te vervallen. Dit houdt verband met het vervallen van de franchise voor zaakschade.</w:t>
      </w:r>
      <w:r w:rsidRPr="00463949">
        <w:rPr>
          <w:rFonts w:ascii="Times New Roman" w:hAnsi="Times New Roman" w:cs="Times New Roman"/>
          <w:sz w:val="24"/>
          <w:szCs w:val="24"/>
          <w:vertAlign w:val="superscript"/>
        </w:rPr>
        <w:footnoteReference w:id="65"/>
      </w:r>
      <w:r w:rsidRPr="00463949">
        <w:rPr>
          <w:rFonts w:ascii="Times New Roman" w:hAnsi="Times New Roman" w:cs="Times New Roman"/>
          <w:sz w:val="24"/>
          <w:szCs w:val="24"/>
        </w:rPr>
        <w:t xml:space="preserve"> Nu de markdeelnemer op grond van de Richtlijn aansprakelijk is voor zaakschade onder de € 500,-, ligt het voor de hand om de aansprakelijkheid voortaan ook in die gevallen naar de marktdeelnemer te kanaliseren.</w:t>
      </w:r>
    </w:p>
    <w:p w:rsidRPr="00463949" w:rsidR="00FD16DD" w:rsidP="00D045E0" w:rsidRDefault="00FD16DD" w14:paraId="51F03AAC" w14:textId="77777777">
      <w:pPr>
        <w:spacing w:after="0" w:line="276" w:lineRule="auto"/>
        <w:rPr>
          <w:rFonts w:ascii="Times New Roman" w:hAnsi="Times New Roman" w:cs="Times New Roman"/>
          <w:sz w:val="24"/>
          <w:szCs w:val="24"/>
        </w:rPr>
      </w:pPr>
    </w:p>
    <w:p w:rsidRPr="00463949" w:rsidR="0070131B" w:rsidP="00D045E0" w:rsidRDefault="0070131B" w14:paraId="2FB8D61E" w14:textId="5820FEDC">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Onderdeel B, vervanging “Produktenaansprakelijkheid” door “Productaansprakelijkheid” </w:t>
      </w:r>
    </w:p>
    <w:p w:rsidRPr="00463949" w:rsidR="0070131B" w:rsidP="00D045E0" w:rsidRDefault="0070131B" w14:paraId="1505FC77" w14:textId="77777777">
      <w:pPr>
        <w:spacing w:after="0" w:line="276" w:lineRule="auto"/>
        <w:rPr>
          <w:rFonts w:ascii="Times New Roman" w:hAnsi="Times New Roman" w:cs="Times New Roman"/>
          <w:sz w:val="24"/>
          <w:szCs w:val="24"/>
        </w:rPr>
      </w:pPr>
    </w:p>
    <w:p w:rsidRPr="00463949" w:rsidR="0070131B" w:rsidP="00D045E0" w:rsidRDefault="00D15459" w14:paraId="6F678754" w14:textId="57BD2D5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V</w:t>
      </w:r>
      <w:r w:rsidRPr="00463949" w:rsidR="00F47B24">
        <w:rPr>
          <w:rFonts w:ascii="Times New Roman" w:hAnsi="Times New Roman" w:cs="Times New Roman"/>
          <w:sz w:val="24"/>
          <w:szCs w:val="24"/>
        </w:rPr>
        <w:t>an de gelegenheid</w:t>
      </w:r>
      <w:r w:rsidRPr="00463949">
        <w:rPr>
          <w:rFonts w:ascii="Times New Roman" w:hAnsi="Times New Roman" w:cs="Times New Roman"/>
          <w:sz w:val="24"/>
          <w:szCs w:val="24"/>
        </w:rPr>
        <w:t xml:space="preserve"> is</w:t>
      </w:r>
      <w:r w:rsidRPr="00463949" w:rsidR="00F47B24">
        <w:rPr>
          <w:rFonts w:ascii="Times New Roman" w:hAnsi="Times New Roman" w:cs="Times New Roman"/>
          <w:sz w:val="24"/>
          <w:szCs w:val="24"/>
        </w:rPr>
        <w:t xml:space="preserve"> gebruik gemaakt </w:t>
      </w:r>
      <w:r w:rsidRPr="00463949" w:rsidR="0070131B">
        <w:rPr>
          <w:rFonts w:ascii="Times New Roman" w:hAnsi="Times New Roman" w:cs="Times New Roman"/>
          <w:sz w:val="24"/>
          <w:szCs w:val="24"/>
        </w:rPr>
        <w:t xml:space="preserve">om </w:t>
      </w:r>
      <w:r w:rsidRPr="00463949" w:rsidR="00F47B24">
        <w:rPr>
          <w:rFonts w:ascii="Times New Roman" w:hAnsi="Times New Roman" w:cs="Times New Roman"/>
          <w:sz w:val="24"/>
          <w:szCs w:val="24"/>
        </w:rPr>
        <w:t xml:space="preserve">de </w:t>
      </w:r>
      <w:r w:rsidRPr="00463949" w:rsidR="0070131B">
        <w:rPr>
          <w:rFonts w:ascii="Times New Roman" w:hAnsi="Times New Roman" w:cs="Times New Roman"/>
          <w:sz w:val="24"/>
          <w:szCs w:val="24"/>
        </w:rPr>
        <w:t>ouderwets</w:t>
      </w:r>
      <w:r w:rsidRPr="00463949" w:rsidR="004033DD">
        <w:rPr>
          <w:rFonts w:ascii="Times New Roman" w:hAnsi="Times New Roman" w:cs="Times New Roman"/>
          <w:sz w:val="24"/>
          <w:szCs w:val="24"/>
        </w:rPr>
        <w:t>e spelling</w:t>
      </w:r>
      <w:r w:rsidRPr="00463949" w:rsidR="00533674">
        <w:rPr>
          <w:rFonts w:ascii="Times New Roman" w:hAnsi="Times New Roman" w:cs="Times New Roman"/>
          <w:sz w:val="24"/>
          <w:szCs w:val="24"/>
        </w:rPr>
        <w:t>swijze</w:t>
      </w:r>
      <w:r w:rsidRPr="00463949" w:rsidR="0070131B">
        <w:rPr>
          <w:rFonts w:ascii="Times New Roman" w:hAnsi="Times New Roman" w:cs="Times New Roman"/>
          <w:sz w:val="24"/>
          <w:szCs w:val="24"/>
        </w:rPr>
        <w:t xml:space="preserve"> in het opschrift van afdeling </w:t>
      </w:r>
      <w:r w:rsidRPr="00463949" w:rsidR="00614957">
        <w:rPr>
          <w:rFonts w:ascii="Times New Roman" w:hAnsi="Times New Roman" w:cs="Times New Roman"/>
          <w:sz w:val="24"/>
          <w:szCs w:val="24"/>
        </w:rPr>
        <w:t xml:space="preserve">6.3.3 </w:t>
      </w:r>
      <w:r w:rsidRPr="00463949" w:rsidR="0070131B">
        <w:rPr>
          <w:rFonts w:ascii="Times New Roman" w:hAnsi="Times New Roman" w:cs="Times New Roman"/>
          <w:sz w:val="24"/>
          <w:szCs w:val="24"/>
        </w:rPr>
        <w:t>BW</w:t>
      </w:r>
      <w:r w:rsidRPr="00463949" w:rsidR="00F47B24">
        <w:rPr>
          <w:rFonts w:ascii="Times New Roman" w:hAnsi="Times New Roman" w:cs="Times New Roman"/>
          <w:sz w:val="24"/>
          <w:szCs w:val="24"/>
        </w:rPr>
        <w:t xml:space="preserve"> te vervangen.</w:t>
      </w:r>
    </w:p>
    <w:p w:rsidRPr="00463949" w:rsidR="00C935B0" w:rsidP="00D045E0" w:rsidRDefault="00C935B0" w14:paraId="2FF26A50" w14:textId="77777777">
      <w:pPr>
        <w:spacing w:after="0" w:line="276" w:lineRule="auto"/>
        <w:rPr>
          <w:rFonts w:ascii="Times New Roman" w:hAnsi="Times New Roman" w:cs="Times New Roman"/>
          <w:sz w:val="24"/>
          <w:szCs w:val="24"/>
        </w:rPr>
      </w:pPr>
    </w:p>
    <w:p w:rsidRPr="00463949" w:rsidR="00704AB0" w:rsidP="00D045E0" w:rsidRDefault="00704AB0" w14:paraId="48037510" w14:textId="26F4FF77">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Onderdeel </w:t>
      </w:r>
      <w:r w:rsidRPr="00463949" w:rsidR="00C935B0">
        <w:rPr>
          <w:rFonts w:ascii="Times New Roman" w:hAnsi="Times New Roman" w:cs="Times New Roman"/>
          <w:i/>
          <w:iCs/>
          <w:sz w:val="24"/>
          <w:szCs w:val="24"/>
        </w:rPr>
        <w:t>C</w:t>
      </w:r>
      <w:r w:rsidRPr="00463949">
        <w:rPr>
          <w:rFonts w:ascii="Times New Roman" w:hAnsi="Times New Roman" w:cs="Times New Roman"/>
          <w:i/>
          <w:iCs/>
          <w:sz w:val="24"/>
          <w:szCs w:val="24"/>
        </w:rPr>
        <w:t>, invoeging artikel 18</w:t>
      </w:r>
      <w:r w:rsidRPr="00463949" w:rsidR="00725BE2">
        <w:rPr>
          <w:rFonts w:ascii="Times New Roman" w:hAnsi="Times New Roman" w:cs="Times New Roman"/>
          <w:i/>
          <w:iCs/>
          <w:sz w:val="24"/>
          <w:szCs w:val="24"/>
        </w:rPr>
        <w:t>4a</w:t>
      </w:r>
      <w:r w:rsidRPr="00463949" w:rsidR="0099476D">
        <w:rPr>
          <w:rFonts w:ascii="Times New Roman" w:hAnsi="Times New Roman" w:cs="Times New Roman"/>
          <w:i/>
          <w:iCs/>
          <w:sz w:val="24"/>
          <w:szCs w:val="24"/>
        </w:rPr>
        <w:t xml:space="preserve"> (definitiebepalingen en toepassingsbereik)</w:t>
      </w:r>
    </w:p>
    <w:p w:rsidRPr="00463949" w:rsidR="00704AB0" w:rsidP="00D045E0" w:rsidRDefault="00704AB0" w14:paraId="14D712AE" w14:textId="77777777">
      <w:pPr>
        <w:spacing w:after="0" w:line="276" w:lineRule="auto"/>
        <w:rPr>
          <w:rFonts w:ascii="Times New Roman" w:hAnsi="Times New Roman" w:cs="Times New Roman"/>
          <w:sz w:val="24"/>
          <w:szCs w:val="24"/>
        </w:rPr>
      </w:pPr>
    </w:p>
    <w:p w:rsidRPr="00463949" w:rsidR="000D7A5C" w:rsidP="00D045E0" w:rsidRDefault="003B1FF9" w14:paraId="6A034460" w14:textId="2747B49C">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w:t>
      </w:r>
      <w:r w:rsidRPr="00463949" w:rsidR="0041020B">
        <w:rPr>
          <w:rFonts w:ascii="Times New Roman" w:hAnsi="Times New Roman" w:cs="Times New Roman"/>
          <w:i/>
          <w:iCs/>
          <w:sz w:val="24"/>
          <w:szCs w:val="24"/>
        </w:rPr>
        <w:t>e</w:t>
      </w:r>
      <w:r w:rsidRPr="00463949">
        <w:rPr>
          <w:rFonts w:ascii="Times New Roman" w:hAnsi="Times New Roman" w:cs="Times New Roman"/>
          <w:i/>
          <w:iCs/>
          <w:sz w:val="24"/>
          <w:szCs w:val="24"/>
        </w:rPr>
        <w:t>d</w:t>
      </w:r>
      <w:r w:rsidRPr="00463949" w:rsidR="0041020B">
        <w:rPr>
          <w:rFonts w:ascii="Times New Roman" w:hAnsi="Times New Roman" w:cs="Times New Roman"/>
          <w:i/>
          <w:iCs/>
          <w:sz w:val="24"/>
          <w:szCs w:val="24"/>
        </w:rPr>
        <w:t>en</w:t>
      </w:r>
      <w:r w:rsidRPr="00463949">
        <w:rPr>
          <w:rFonts w:ascii="Times New Roman" w:hAnsi="Times New Roman" w:cs="Times New Roman"/>
          <w:i/>
          <w:iCs/>
          <w:sz w:val="24"/>
          <w:szCs w:val="24"/>
        </w:rPr>
        <w:t xml:space="preserve"> 1</w:t>
      </w:r>
      <w:r w:rsidRPr="00463949" w:rsidR="0041020B">
        <w:rPr>
          <w:rFonts w:ascii="Times New Roman" w:hAnsi="Times New Roman" w:cs="Times New Roman"/>
          <w:i/>
          <w:iCs/>
          <w:sz w:val="24"/>
          <w:szCs w:val="24"/>
        </w:rPr>
        <w:t xml:space="preserve"> en 2</w:t>
      </w:r>
      <w:r w:rsidRPr="00463949">
        <w:rPr>
          <w:rFonts w:ascii="Times New Roman" w:hAnsi="Times New Roman" w:cs="Times New Roman"/>
          <w:i/>
          <w:iCs/>
          <w:sz w:val="24"/>
          <w:szCs w:val="24"/>
        </w:rPr>
        <w:t xml:space="preserve">; </w:t>
      </w:r>
      <w:r w:rsidRPr="00463949" w:rsidR="003F2B2E">
        <w:rPr>
          <w:rFonts w:ascii="Times New Roman" w:hAnsi="Times New Roman" w:cs="Times New Roman"/>
          <w:i/>
          <w:iCs/>
          <w:sz w:val="24"/>
          <w:szCs w:val="24"/>
        </w:rPr>
        <w:t>definitie</w:t>
      </w:r>
      <w:r w:rsidRPr="00463949">
        <w:rPr>
          <w:rFonts w:ascii="Times New Roman" w:hAnsi="Times New Roman" w:cs="Times New Roman"/>
          <w:i/>
          <w:iCs/>
          <w:sz w:val="24"/>
          <w:szCs w:val="24"/>
        </w:rPr>
        <w:t>bepalingen</w:t>
      </w:r>
    </w:p>
    <w:p w:rsidRPr="00463949" w:rsidR="003B1FF9" w:rsidP="00D045E0" w:rsidRDefault="003B1FF9" w14:paraId="6F033586" w14:textId="77777777">
      <w:pPr>
        <w:spacing w:after="0" w:line="276" w:lineRule="auto"/>
        <w:rPr>
          <w:rFonts w:ascii="Times New Roman" w:hAnsi="Times New Roman" w:cs="Times New Roman"/>
          <w:sz w:val="24"/>
          <w:szCs w:val="24"/>
        </w:rPr>
      </w:pPr>
    </w:p>
    <w:p w:rsidRPr="00463949" w:rsidR="00010B12" w:rsidP="0032172A" w:rsidRDefault="004A7AF9" w14:paraId="13E0991C" w14:textId="7DA45F7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w:t>
      </w:r>
      <w:r w:rsidRPr="00463949" w:rsidR="0041020B">
        <w:rPr>
          <w:rFonts w:ascii="Times New Roman" w:hAnsi="Times New Roman" w:cs="Times New Roman"/>
          <w:sz w:val="24"/>
          <w:szCs w:val="24"/>
        </w:rPr>
        <w:t xml:space="preserve">de leden </w:t>
      </w:r>
      <w:r w:rsidRPr="00463949">
        <w:rPr>
          <w:rFonts w:ascii="Times New Roman" w:hAnsi="Times New Roman" w:cs="Times New Roman"/>
          <w:sz w:val="24"/>
          <w:szCs w:val="24"/>
        </w:rPr>
        <w:t>1</w:t>
      </w:r>
      <w:r w:rsidRPr="00463949" w:rsidR="0041020B">
        <w:rPr>
          <w:rFonts w:ascii="Times New Roman" w:hAnsi="Times New Roman" w:cs="Times New Roman"/>
          <w:sz w:val="24"/>
          <w:szCs w:val="24"/>
        </w:rPr>
        <w:t xml:space="preserve"> en 2</w:t>
      </w:r>
      <w:r w:rsidRPr="00463949">
        <w:rPr>
          <w:rFonts w:ascii="Times New Roman" w:hAnsi="Times New Roman" w:cs="Times New Roman"/>
          <w:sz w:val="24"/>
          <w:szCs w:val="24"/>
        </w:rPr>
        <w:t xml:space="preserve"> zijn definitiebepalingen opgenomen van begrippen die in afdeling </w:t>
      </w:r>
      <w:r w:rsidRPr="00463949" w:rsidR="00614957">
        <w:rPr>
          <w:rFonts w:ascii="Times New Roman" w:hAnsi="Times New Roman" w:cs="Times New Roman"/>
          <w:sz w:val="24"/>
          <w:szCs w:val="24"/>
        </w:rPr>
        <w:t xml:space="preserve">6.3.3 </w:t>
      </w:r>
      <w:r w:rsidRPr="00463949">
        <w:rPr>
          <w:rFonts w:ascii="Times New Roman" w:hAnsi="Times New Roman" w:cs="Times New Roman"/>
          <w:sz w:val="24"/>
          <w:szCs w:val="24"/>
        </w:rPr>
        <w:t>BW voorkomen of hiervoor relevant zijn. De definitiebepalingen zijn</w:t>
      </w:r>
      <w:r w:rsidRPr="00463949" w:rsidR="00431AA8">
        <w:rPr>
          <w:rFonts w:ascii="Times New Roman" w:hAnsi="Times New Roman" w:cs="Times New Roman"/>
          <w:sz w:val="24"/>
          <w:szCs w:val="24"/>
        </w:rPr>
        <w:t xml:space="preserve"> </w:t>
      </w:r>
      <w:r w:rsidRPr="00463949" w:rsidR="00010B12">
        <w:rPr>
          <w:rFonts w:ascii="Times New Roman" w:hAnsi="Times New Roman" w:cs="Times New Roman"/>
          <w:sz w:val="24"/>
          <w:szCs w:val="24"/>
        </w:rPr>
        <w:t>woordelijk overgenomen uit artikel 4</w:t>
      </w:r>
      <w:r w:rsidRPr="00463949" w:rsidR="002F0BD4">
        <w:rPr>
          <w:rFonts w:ascii="Times New Roman" w:hAnsi="Times New Roman" w:cs="Times New Roman"/>
          <w:sz w:val="24"/>
          <w:szCs w:val="24"/>
        </w:rPr>
        <w:t>, onder 1-</w:t>
      </w:r>
      <w:r w:rsidRPr="00463949" w:rsidR="00572E7E">
        <w:rPr>
          <w:rFonts w:ascii="Times New Roman" w:hAnsi="Times New Roman" w:cs="Times New Roman"/>
          <w:sz w:val="24"/>
          <w:szCs w:val="24"/>
        </w:rPr>
        <w:t xml:space="preserve">16 en </w:t>
      </w:r>
      <w:r w:rsidRPr="00463949" w:rsidR="002F0BD4">
        <w:rPr>
          <w:rFonts w:ascii="Times New Roman" w:hAnsi="Times New Roman" w:cs="Times New Roman"/>
          <w:sz w:val="24"/>
          <w:szCs w:val="24"/>
        </w:rPr>
        <w:t>18,</w:t>
      </w:r>
      <w:r w:rsidRPr="00463949" w:rsidR="00010B12">
        <w:rPr>
          <w:rFonts w:ascii="Times New Roman" w:hAnsi="Times New Roman" w:cs="Times New Roman"/>
          <w:sz w:val="24"/>
          <w:szCs w:val="24"/>
        </w:rPr>
        <w:t xml:space="preserve"> Richtlijn en</w:t>
      </w:r>
      <w:r w:rsidRPr="00463949">
        <w:rPr>
          <w:rFonts w:ascii="Times New Roman" w:hAnsi="Times New Roman" w:cs="Times New Roman"/>
          <w:sz w:val="24"/>
          <w:szCs w:val="24"/>
        </w:rPr>
        <w:t xml:space="preserve"> alleen van toepassing </w:t>
      </w:r>
      <w:r w:rsidRPr="00463949" w:rsidR="0032172A">
        <w:rPr>
          <w:rFonts w:ascii="Times New Roman" w:hAnsi="Times New Roman" w:cs="Times New Roman"/>
          <w:sz w:val="24"/>
          <w:szCs w:val="24"/>
        </w:rPr>
        <w:t xml:space="preserve">op </w:t>
      </w:r>
      <w:r w:rsidRPr="00463949">
        <w:rPr>
          <w:rFonts w:ascii="Times New Roman" w:hAnsi="Times New Roman" w:cs="Times New Roman"/>
          <w:sz w:val="24"/>
          <w:szCs w:val="24"/>
        </w:rPr>
        <w:t xml:space="preserve">afdeling </w:t>
      </w:r>
      <w:r w:rsidRPr="00463949" w:rsidR="00614957">
        <w:rPr>
          <w:rFonts w:ascii="Times New Roman" w:hAnsi="Times New Roman" w:cs="Times New Roman"/>
          <w:sz w:val="24"/>
          <w:szCs w:val="24"/>
        </w:rPr>
        <w:t xml:space="preserve">6.3.3 </w:t>
      </w:r>
      <w:r w:rsidRPr="00463949">
        <w:rPr>
          <w:rFonts w:ascii="Times New Roman" w:hAnsi="Times New Roman" w:cs="Times New Roman"/>
          <w:sz w:val="24"/>
          <w:szCs w:val="24"/>
        </w:rPr>
        <w:t xml:space="preserve">BW. </w:t>
      </w:r>
      <w:r w:rsidRPr="00463949" w:rsidR="00EF0B4D">
        <w:rPr>
          <w:rFonts w:ascii="Times New Roman" w:hAnsi="Times New Roman" w:cs="Times New Roman"/>
          <w:sz w:val="24"/>
          <w:szCs w:val="24"/>
        </w:rPr>
        <w:t xml:space="preserve">Hierna wordt </w:t>
      </w:r>
      <w:r w:rsidRPr="00463949" w:rsidR="0032172A">
        <w:rPr>
          <w:rFonts w:ascii="Times New Roman" w:hAnsi="Times New Roman" w:cs="Times New Roman"/>
          <w:sz w:val="24"/>
          <w:szCs w:val="24"/>
        </w:rPr>
        <w:t xml:space="preserve">ingegaan op </w:t>
      </w:r>
      <w:r w:rsidRPr="00463949" w:rsidR="0041020B">
        <w:rPr>
          <w:rFonts w:ascii="Times New Roman" w:hAnsi="Times New Roman" w:cs="Times New Roman"/>
          <w:sz w:val="24"/>
          <w:szCs w:val="24"/>
        </w:rPr>
        <w:t>lid 1,</w:t>
      </w:r>
      <w:r w:rsidRPr="00463949" w:rsidR="00374DB2">
        <w:rPr>
          <w:rFonts w:ascii="Times New Roman" w:hAnsi="Times New Roman" w:cs="Times New Roman"/>
          <w:sz w:val="24"/>
          <w:szCs w:val="24"/>
        </w:rPr>
        <w:t xml:space="preserve"> </w:t>
      </w:r>
      <w:r w:rsidRPr="00463949" w:rsidR="0032172A">
        <w:rPr>
          <w:rFonts w:ascii="Times New Roman" w:hAnsi="Times New Roman" w:cs="Times New Roman"/>
          <w:i/>
          <w:iCs/>
          <w:sz w:val="24"/>
          <w:szCs w:val="24"/>
        </w:rPr>
        <w:t xml:space="preserve">onderdelen </w:t>
      </w:r>
      <w:r w:rsidRPr="00463949" w:rsidR="0086129F">
        <w:rPr>
          <w:rFonts w:ascii="Times New Roman" w:hAnsi="Times New Roman" w:cs="Times New Roman"/>
          <w:i/>
          <w:iCs/>
          <w:sz w:val="24"/>
          <w:szCs w:val="24"/>
        </w:rPr>
        <w:t>a</w:t>
      </w:r>
      <w:r w:rsidRPr="00463949" w:rsidR="00431AA8">
        <w:rPr>
          <w:rFonts w:ascii="Times New Roman" w:hAnsi="Times New Roman" w:cs="Times New Roman"/>
          <w:i/>
          <w:iCs/>
          <w:sz w:val="24"/>
          <w:szCs w:val="24"/>
        </w:rPr>
        <w:t xml:space="preserve"> </w:t>
      </w:r>
      <w:r w:rsidRPr="00463949" w:rsidR="000D6D8D">
        <w:rPr>
          <w:rFonts w:ascii="Times New Roman" w:hAnsi="Times New Roman" w:cs="Times New Roman"/>
          <w:i/>
          <w:iCs/>
          <w:sz w:val="24"/>
          <w:szCs w:val="24"/>
        </w:rPr>
        <w:t>tot en met</w:t>
      </w:r>
      <w:r w:rsidRPr="00463949" w:rsidR="00431AA8">
        <w:rPr>
          <w:rFonts w:ascii="Times New Roman" w:hAnsi="Times New Roman" w:cs="Times New Roman"/>
          <w:i/>
          <w:iCs/>
          <w:sz w:val="24"/>
          <w:szCs w:val="24"/>
        </w:rPr>
        <w:t xml:space="preserve"> </w:t>
      </w:r>
      <w:r w:rsidRPr="00463949" w:rsidR="0086129F">
        <w:rPr>
          <w:rFonts w:ascii="Times New Roman" w:hAnsi="Times New Roman" w:cs="Times New Roman"/>
          <w:i/>
          <w:iCs/>
          <w:sz w:val="24"/>
          <w:szCs w:val="24"/>
        </w:rPr>
        <w:t xml:space="preserve">e, </w:t>
      </w:r>
      <w:r w:rsidRPr="00463949" w:rsidR="0041020B">
        <w:rPr>
          <w:rFonts w:ascii="Times New Roman" w:hAnsi="Times New Roman" w:cs="Times New Roman"/>
          <w:i/>
          <w:iCs/>
          <w:sz w:val="24"/>
          <w:szCs w:val="24"/>
        </w:rPr>
        <w:t xml:space="preserve">h, k </w:t>
      </w:r>
      <w:r w:rsidRPr="00463949" w:rsidR="00431AA8">
        <w:rPr>
          <w:rFonts w:ascii="Times New Roman" w:hAnsi="Times New Roman" w:cs="Times New Roman"/>
          <w:i/>
          <w:iCs/>
          <w:sz w:val="24"/>
          <w:szCs w:val="24"/>
        </w:rPr>
        <w:t>t</w:t>
      </w:r>
      <w:r w:rsidRPr="00463949" w:rsidR="000D6D8D">
        <w:rPr>
          <w:rFonts w:ascii="Times New Roman" w:hAnsi="Times New Roman" w:cs="Times New Roman"/>
          <w:i/>
          <w:iCs/>
          <w:sz w:val="24"/>
          <w:szCs w:val="24"/>
        </w:rPr>
        <w:t>ot en met</w:t>
      </w:r>
      <w:r w:rsidRPr="00463949" w:rsidR="00431AA8">
        <w:rPr>
          <w:rFonts w:ascii="Times New Roman" w:hAnsi="Times New Roman" w:cs="Times New Roman"/>
          <w:i/>
          <w:iCs/>
          <w:sz w:val="24"/>
          <w:szCs w:val="24"/>
        </w:rPr>
        <w:t xml:space="preserve"> </w:t>
      </w:r>
      <w:r w:rsidRPr="00463949" w:rsidR="0086129F">
        <w:rPr>
          <w:rFonts w:ascii="Times New Roman" w:hAnsi="Times New Roman" w:cs="Times New Roman"/>
          <w:i/>
          <w:iCs/>
          <w:sz w:val="24"/>
          <w:szCs w:val="24"/>
        </w:rPr>
        <w:t>r</w:t>
      </w:r>
      <w:r w:rsidRPr="00463949" w:rsidR="0041020B">
        <w:rPr>
          <w:rFonts w:ascii="Times New Roman" w:hAnsi="Times New Roman" w:cs="Times New Roman"/>
          <w:sz w:val="24"/>
          <w:szCs w:val="24"/>
        </w:rPr>
        <w:t>, en lid 2</w:t>
      </w:r>
      <w:r w:rsidRPr="00463949" w:rsidR="0086129F">
        <w:rPr>
          <w:rFonts w:ascii="Times New Roman" w:hAnsi="Times New Roman" w:cs="Times New Roman"/>
          <w:sz w:val="24"/>
          <w:szCs w:val="24"/>
        </w:rPr>
        <w:t xml:space="preserve"> </w:t>
      </w:r>
      <w:r w:rsidRPr="00463949" w:rsidR="0032172A">
        <w:rPr>
          <w:rFonts w:ascii="Times New Roman" w:hAnsi="Times New Roman" w:cs="Times New Roman"/>
          <w:sz w:val="24"/>
          <w:szCs w:val="24"/>
        </w:rPr>
        <w:t xml:space="preserve">waarin de begrippen </w:t>
      </w:r>
      <w:r w:rsidRPr="00463949" w:rsidR="0041020B">
        <w:rPr>
          <w:rFonts w:ascii="Times New Roman" w:hAnsi="Times New Roman" w:cs="Times New Roman"/>
          <w:sz w:val="24"/>
          <w:szCs w:val="24"/>
        </w:rPr>
        <w:t xml:space="preserve">“digitaal fabricagedossier”, </w:t>
      </w:r>
      <w:r w:rsidRPr="00463949" w:rsidR="0032172A">
        <w:rPr>
          <w:rFonts w:ascii="Times New Roman" w:hAnsi="Times New Roman" w:cs="Times New Roman"/>
          <w:sz w:val="24"/>
          <w:szCs w:val="24"/>
        </w:rPr>
        <w:t xml:space="preserve">“product”, “bijbehorende dienst”, “component”, </w:t>
      </w:r>
      <w:r w:rsidRPr="00463949" w:rsidR="0041020B">
        <w:rPr>
          <w:rFonts w:ascii="Times New Roman" w:hAnsi="Times New Roman" w:cs="Times New Roman"/>
          <w:sz w:val="24"/>
          <w:szCs w:val="24"/>
        </w:rPr>
        <w:t xml:space="preserve">“fabrikant”, “fulfilmentdienstverlener”, “gemachtigde”, “op de markt aanbieden”, “in de handel brengen”, “in gebruik stellen”, “importeur”, “distributeur”, “ingrijpende wijziging”, “marktdeelnemer” en </w:t>
      </w:r>
      <w:r w:rsidRPr="00463949" w:rsidR="0032172A">
        <w:rPr>
          <w:rFonts w:ascii="Times New Roman" w:hAnsi="Times New Roman" w:cs="Times New Roman"/>
          <w:sz w:val="24"/>
          <w:szCs w:val="24"/>
        </w:rPr>
        <w:t>“zeggenschap van de fabrikant” worden gedefinieerd.</w:t>
      </w:r>
      <w:r w:rsidRPr="00463949" w:rsidR="00F57CB1">
        <w:rPr>
          <w:rFonts w:ascii="Times New Roman" w:hAnsi="Times New Roman" w:cs="Times New Roman"/>
          <w:sz w:val="24"/>
          <w:szCs w:val="24"/>
        </w:rPr>
        <w:t xml:space="preserve"> De </w:t>
      </w:r>
      <w:r w:rsidRPr="00463949" w:rsidR="00F57CB1">
        <w:rPr>
          <w:rFonts w:ascii="Times New Roman" w:hAnsi="Times New Roman" w:cs="Times New Roman"/>
          <w:i/>
          <w:iCs/>
          <w:sz w:val="24"/>
          <w:szCs w:val="24"/>
        </w:rPr>
        <w:t xml:space="preserve">onderdelen </w:t>
      </w:r>
      <w:r w:rsidRPr="00463949" w:rsidR="0041020B">
        <w:rPr>
          <w:rFonts w:ascii="Times New Roman" w:hAnsi="Times New Roman" w:cs="Times New Roman"/>
          <w:i/>
          <w:iCs/>
          <w:sz w:val="24"/>
          <w:szCs w:val="24"/>
        </w:rPr>
        <w:t>j</w:t>
      </w:r>
      <w:r w:rsidRPr="00463949" w:rsidR="00572E7E">
        <w:rPr>
          <w:rFonts w:ascii="Times New Roman" w:hAnsi="Times New Roman" w:cs="Times New Roman"/>
          <w:i/>
          <w:iCs/>
          <w:sz w:val="24"/>
          <w:szCs w:val="24"/>
        </w:rPr>
        <w:t xml:space="preserve"> en</w:t>
      </w:r>
      <w:r w:rsidRPr="00463949" w:rsidR="00F57CB1">
        <w:rPr>
          <w:rFonts w:ascii="Times New Roman" w:hAnsi="Times New Roman" w:cs="Times New Roman"/>
          <w:i/>
          <w:iCs/>
          <w:sz w:val="24"/>
          <w:szCs w:val="24"/>
        </w:rPr>
        <w:t xml:space="preserve"> </w:t>
      </w:r>
      <w:r w:rsidRPr="00463949" w:rsidR="0041020B">
        <w:rPr>
          <w:rFonts w:ascii="Times New Roman" w:hAnsi="Times New Roman" w:cs="Times New Roman"/>
          <w:i/>
          <w:iCs/>
          <w:sz w:val="24"/>
          <w:szCs w:val="24"/>
        </w:rPr>
        <w:t>t</w:t>
      </w:r>
      <w:r w:rsidRPr="00463949" w:rsidR="00F57CB1">
        <w:rPr>
          <w:rFonts w:ascii="Times New Roman" w:hAnsi="Times New Roman" w:cs="Times New Roman"/>
          <w:i/>
          <w:iCs/>
          <w:sz w:val="24"/>
          <w:szCs w:val="24"/>
        </w:rPr>
        <w:t xml:space="preserve"> </w:t>
      </w:r>
      <w:r w:rsidRPr="00463949" w:rsidR="00F57CB1">
        <w:rPr>
          <w:rFonts w:ascii="Times New Roman" w:hAnsi="Times New Roman" w:cs="Times New Roman"/>
          <w:sz w:val="24"/>
          <w:szCs w:val="24"/>
        </w:rPr>
        <w:t xml:space="preserve">behoeven geen afzonderlijke toelichting, omdat </w:t>
      </w:r>
      <w:r w:rsidRPr="00463949" w:rsidR="00813D7A">
        <w:rPr>
          <w:rFonts w:ascii="Times New Roman" w:hAnsi="Times New Roman" w:cs="Times New Roman"/>
          <w:sz w:val="24"/>
          <w:szCs w:val="24"/>
        </w:rPr>
        <w:t xml:space="preserve">zij </w:t>
      </w:r>
      <w:r w:rsidRPr="00463949" w:rsidR="00F57CB1">
        <w:rPr>
          <w:rFonts w:ascii="Times New Roman" w:hAnsi="Times New Roman" w:cs="Times New Roman"/>
          <w:sz w:val="24"/>
          <w:szCs w:val="24"/>
        </w:rPr>
        <w:t>voor de definitie van “gegevens”</w:t>
      </w:r>
      <w:r w:rsidRPr="00463949" w:rsidR="00572E7E">
        <w:rPr>
          <w:rFonts w:ascii="Times New Roman" w:hAnsi="Times New Roman" w:cs="Times New Roman"/>
          <w:sz w:val="24"/>
          <w:szCs w:val="24"/>
        </w:rPr>
        <w:t xml:space="preserve"> en</w:t>
      </w:r>
      <w:r w:rsidRPr="00463949" w:rsidR="00F57CB1">
        <w:rPr>
          <w:rFonts w:ascii="Times New Roman" w:hAnsi="Times New Roman" w:cs="Times New Roman"/>
          <w:sz w:val="24"/>
          <w:szCs w:val="24"/>
        </w:rPr>
        <w:t xml:space="preserve"> “onlineplatform” </w:t>
      </w:r>
      <w:r w:rsidRPr="00463949" w:rsidR="003C0462">
        <w:rPr>
          <w:rFonts w:ascii="Times New Roman" w:hAnsi="Times New Roman" w:cs="Times New Roman"/>
          <w:sz w:val="24"/>
          <w:szCs w:val="24"/>
        </w:rPr>
        <w:t xml:space="preserve">enkel </w:t>
      </w:r>
      <w:r w:rsidRPr="00463949" w:rsidR="00813D7A">
        <w:rPr>
          <w:rFonts w:ascii="Times New Roman" w:hAnsi="Times New Roman" w:cs="Times New Roman"/>
          <w:sz w:val="24"/>
          <w:szCs w:val="24"/>
        </w:rPr>
        <w:t xml:space="preserve">verwijzen </w:t>
      </w:r>
      <w:r w:rsidRPr="00463949" w:rsidR="00B821D5">
        <w:rPr>
          <w:rFonts w:ascii="Times New Roman" w:hAnsi="Times New Roman" w:cs="Times New Roman"/>
          <w:sz w:val="24"/>
          <w:szCs w:val="24"/>
        </w:rPr>
        <w:t xml:space="preserve">naar definities in andere </w:t>
      </w:r>
      <w:r w:rsidRPr="00463949" w:rsidR="00F57CB1">
        <w:rPr>
          <w:rFonts w:ascii="Times New Roman" w:hAnsi="Times New Roman" w:cs="Times New Roman"/>
          <w:sz w:val="24"/>
          <w:szCs w:val="24"/>
        </w:rPr>
        <w:t xml:space="preserve">Uniewetgeving. </w:t>
      </w:r>
      <w:r w:rsidRPr="00463949" w:rsidR="00010B12">
        <w:rPr>
          <w:rFonts w:ascii="Times New Roman" w:hAnsi="Times New Roman" w:cs="Times New Roman"/>
          <w:sz w:val="24"/>
          <w:szCs w:val="24"/>
        </w:rPr>
        <w:t xml:space="preserve">De </w:t>
      </w:r>
      <w:r w:rsidRPr="00463949" w:rsidR="00431AA8">
        <w:rPr>
          <w:rFonts w:ascii="Times New Roman" w:hAnsi="Times New Roman" w:cs="Times New Roman"/>
          <w:sz w:val="24"/>
          <w:szCs w:val="24"/>
        </w:rPr>
        <w:t>definities</w:t>
      </w:r>
      <w:r w:rsidRPr="00463949" w:rsidR="00B821D5">
        <w:rPr>
          <w:rFonts w:ascii="Times New Roman" w:hAnsi="Times New Roman" w:cs="Times New Roman"/>
          <w:sz w:val="24"/>
          <w:szCs w:val="24"/>
        </w:rPr>
        <w:t xml:space="preserve"> van de EU-verordeningen en -richtlijnen</w:t>
      </w:r>
      <w:r w:rsidRPr="00463949" w:rsidR="00431AA8">
        <w:rPr>
          <w:rFonts w:ascii="Times New Roman" w:hAnsi="Times New Roman" w:cs="Times New Roman"/>
          <w:sz w:val="24"/>
          <w:szCs w:val="24"/>
        </w:rPr>
        <w:t xml:space="preserve"> </w:t>
      </w:r>
      <w:r w:rsidRPr="00463949" w:rsidR="00010B12">
        <w:rPr>
          <w:rFonts w:ascii="Times New Roman" w:hAnsi="Times New Roman" w:cs="Times New Roman"/>
          <w:sz w:val="24"/>
          <w:szCs w:val="24"/>
        </w:rPr>
        <w:t xml:space="preserve">in de </w:t>
      </w:r>
      <w:r w:rsidRPr="00463949" w:rsidR="00010B12">
        <w:rPr>
          <w:rFonts w:ascii="Times New Roman" w:hAnsi="Times New Roman" w:cs="Times New Roman"/>
          <w:i/>
          <w:iCs/>
          <w:sz w:val="24"/>
          <w:szCs w:val="24"/>
        </w:rPr>
        <w:t xml:space="preserve">onderdelen </w:t>
      </w:r>
      <w:r w:rsidRPr="00463949" w:rsidR="0041020B">
        <w:rPr>
          <w:rFonts w:ascii="Times New Roman" w:hAnsi="Times New Roman" w:cs="Times New Roman"/>
          <w:i/>
          <w:iCs/>
          <w:sz w:val="24"/>
          <w:szCs w:val="24"/>
        </w:rPr>
        <w:t xml:space="preserve">f, g, i en s </w:t>
      </w:r>
      <w:r w:rsidRPr="00463949" w:rsidR="00010B12">
        <w:rPr>
          <w:rFonts w:ascii="Times New Roman" w:hAnsi="Times New Roman" w:cs="Times New Roman"/>
          <w:color w:val="211D1F"/>
          <w:sz w:val="24"/>
          <w:szCs w:val="24"/>
        </w:rPr>
        <w:t xml:space="preserve">zijn </w:t>
      </w:r>
      <w:r w:rsidRPr="00463949" w:rsidR="00CA56AD">
        <w:rPr>
          <w:rFonts w:ascii="Times New Roman" w:hAnsi="Times New Roman" w:cs="Times New Roman"/>
          <w:color w:val="211D1F"/>
          <w:sz w:val="24"/>
          <w:szCs w:val="24"/>
        </w:rPr>
        <w:t xml:space="preserve">uitsluitend </w:t>
      </w:r>
      <w:r w:rsidRPr="00463949" w:rsidR="00010B12">
        <w:rPr>
          <w:rFonts w:ascii="Times New Roman" w:hAnsi="Times New Roman" w:cs="Times New Roman"/>
          <w:color w:val="211D1F"/>
          <w:sz w:val="24"/>
          <w:szCs w:val="24"/>
        </w:rPr>
        <w:t>opgenomen</w:t>
      </w:r>
      <w:r w:rsidRPr="00463949" w:rsidR="00813D7A">
        <w:rPr>
          <w:rFonts w:ascii="Times New Roman" w:hAnsi="Times New Roman" w:cs="Times New Roman"/>
          <w:color w:val="211D1F"/>
          <w:sz w:val="24"/>
          <w:szCs w:val="24"/>
        </w:rPr>
        <w:t xml:space="preserve"> om </w:t>
      </w:r>
      <w:r w:rsidRPr="00463949" w:rsidR="00B821D5">
        <w:rPr>
          <w:rFonts w:ascii="Times New Roman" w:hAnsi="Times New Roman" w:cs="Times New Roman"/>
          <w:color w:val="211D1F"/>
          <w:sz w:val="24"/>
          <w:szCs w:val="24"/>
        </w:rPr>
        <w:t xml:space="preserve">daar in </w:t>
      </w:r>
      <w:r w:rsidRPr="00463949" w:rsidR="00431AA8">
        <w:rPr>
          <w:rFonts w:ascii="Times New Roman" w:hAnsi="Times New Roman" w:cs="Times New Roman"/>
          <w:color w:val="211D1F"/>
          <w:sz w:val="24"/>
          <w:szCs w:val="24"/>
        </w:rPr>
        <w:t>de andere definitiebepalingen</w:t>
      </w:r>
      <w:r w:rsidRPr="00463949" w:rsidR="00B821D5">
        <w:rPr>
          <w:rFonts w:ascii="Times New Roman" w:hAnsi="Times New Roman" w:cs="Times New Roman"/>
          <w:color w:val="211D1F"/>
          <w:sz w:val="24"/>
          <w:szCs w:val="24"/>
        </w:rPr>
        <w:t xml:space="preserve"> </w:t>
      </w:r>
      <w:r w:rsidRPr="00463949" w:rsidR="00533674">
        <w:rPr>
          <w:rFonts w:ascii="Times New Roman" w:hAnsi="Times New Roman" w:cs="Times New Roman"/>
          <w:color w:val="211D1F"/>
          <w:sz w:val="24"/>
          <w:szCs w:val="24"/>
        </w:rPr>
        <w:t xml:space="preserve">kortheidshalve </w:t>
      </w:r>
      <w:r w:rsidRPr="00463949" w:rsidR="00B821D5">
        <w:rPr>
          <w:rFonts w:ascii="Times New Roman" w:hAnsi="Times New Roman" w:cs="Times New Roman"/>
          <w:color w:val="211D1F"/>
          <w:sz w:val="24"/>
          <w:szCs w:val="24"/>
        </w:rPr>
        <w:t>naar</w:t>
      </w:r>
      <w:r w:rsidRPr="00463949" w:rsidR="00813D7A">
        <w:rPr>
          <w:rFonts w:ascii="Times New Roman" w:hAnsi="Times New Roman" w:cs="Times New Roman"/>
          <w:color w:val="211D1F"/>
          <w:sz w:val="24"/>
          <w:szCs w:val="24"/>
        </w:rPr>
        <w:t xml:space="preserve"> te kunnen verwijzen</w:t>
      </w:r>
      <w:r w:rsidRPr="00463949" w:rsidR="00010B12">
        <w:rPr>
          <w:rFonts w:ascii="Times New Roman" w:hAnsi="Times New Roman" w:cs="Times New Roman"/>
          <w:color w:val="211D1F"/>
          <w:sz w:val="24"/>
          <w:szCs w:val="24"/>
        </w:rPr>
        <w:t>.</w:t>
      </w:r>
      <w:r w:rsidRPr="00463949" w:rsidR="00431AA8">
        <w:rPr>
          <w:rFonts w:ascii="Times New Roman" w:hAnsi="Times New Roman" w:cs="Times New Roman"/>
          <w:color w:val="211D1F"/>
          <w:sz w:val="24"/>
          <w:szCs w:val="24"/>
        </w:rPr>
        <w:t xml:space="preserve"> </w:t>
      </w:r>
      <w:r w:rsidRPr="00463949" w:rsidR="00010B12">
        <w:rPr>
          <w:rFonts w:ascii="Times New Roman" w:hAnsi="Times New Roman" w:cs="Times New Roman"/>
          <w:color w:val="211D1F"/>
          <w:sz w:val="24"/>
          <w:szCs w:val="24"/>
        </w:rPr>
        <w:t>Ook deze onderdelen behoeven daarom geen nadere toelichting.</w:t>
      </w:r>
    </w:p>
    <w:p w:rsidRPr="00463949" w:rsidR="00977842" w:rsidP="00977842" w:rsidRDefault="00977842" w14:paraId="2F432756" w14:textId="77777777">
      <w:pPr>
        <w:spacing w:after="0" w:line="276" w:lineRule="auto"/>
        <w:rPr>
          <w:rFonts w:ascii="Times New Roman" w:hAnsi="Times New Roman" w:cs="Times New Roman"/>
          <w:sz w:val="24"/>
          <w:szCs w:val="24"/>
        </w:rPr>
      </w:pPr>
    </w:p>
    <w:p w:rsidRPr="00463949" w:rsidR="00977842" w:rsidP="00977842" w:rsidRDefault="00977842" w14:paraId="3C71147F" w14:textId="3EF1A4AD">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 onderdeel a (digitaal fabricagedossier)</w:t>
      </w:r>
    </w:p>
    <w:p w:rsidRPr="00463949" w:rsidR="00977842" w:rsidP="00977842" w:rsidRDefault="00977842" w14:paraId="592C17AA" w14:textId="09E1AA32">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Onder het begrip “digitaal fabricagedossier” wordt verstaan: een digitale versie van of een digitale template voor een roerende zaak die de functionele informatie bevat die nodig is om een tastbaar voorwerp te produceren door de geautomatiseerde besturing van machines of gereedschappen mogelijk te maken, zoals boormachines, draaibanken, molens en 3D-printers (zie overweging 16). Digitale fabricagedossiers worden voor de toepassing van afdeling 6.3.3 BW als “product” beschouwd (zie toelichting bij lid 1, onderdeel b). Dit betekent bijvoorbeeld dat een gebrekkig computerondersteund ontwerpbestand dat in het kader van een handelsactiviteit is ontwikkeld of geleverd, tot aansprakelijkheid op grond van deze afdeling kan leiden. Bijvoorbeeld als dit bestand is gebruikt voor het maken van een 3D-geprint voorwerp</w:t>
      </w:r>
      <w:r w:rsidRPr="00463949" w:rsidR="00E65C76">
        <w:rPr>
          <w:rFonts w:ascii="Times New Roman" w:hAnsi="Times New Roman" w:cs="Times New Roman"/>
          <w:sz w:val="24"/>
          <w:szCs w:val="24"/>
        </w:rPr>
        <w:t xml:space="preserve"> </w:t>
      </w:r>
      <w:r w:rsidRPr="00463949">
        <w:rPr>
          <w:rFonts w:ascii="Times New Roman" w:hAnsi="Times New Roman" w:cs="Times New Roman"/>
          <w:sz w:val="24"/>
          <w:szCs w:val="24"/>
        </w:rPr>
        <w:t>dat door</w:t>
      </w:r>
      <w:r w:rsidRPr="00463949" w:rsidR="00E6421B">
        <w:rPr>
          <w:rFonts w:ascii="Times New Roman" w:hAnsi="Times New Roman" w:cs="Times New Roman"/>
          <w:sz w:val="24"/>
          <w:szCs w:val="24"/>
        </w:rPr>
        <w:t xml:space="preserve"> </w:t>
      </w:r>
      <w:r w:rsidRPr="00463949" w:rsidR="00E65C76">
        <w:rPr>
          <w:rFonts w:ascii="Times New Roman" w:hAnsi="Times New Roman" w:cs="Times New Roman"/>
          <w:sz w:val="24"/>
          <w:szCs w:val="24"/>
        </w:rPr>
        <w:t xml:space="preserve">de </w:t>
      </w:r>
      <w:r w:rsidRPr="00463949" w:rsidR="00E6421B">
        <w:rPr>
          <w:rFonts w:ascii="Times New Roman" w:hAnsi="Times New Roman" w:cs="Times New Roman"/>
          <w:sz w:val="24"/>
          <w:szCs w:val="24"/>
        </w:rPr>
        <w:t>gebrekkigheid</w:t>
      </w:r>
      <w:r w:rsidRPr="00463949">
        <w:rPr>
          <w:rFonts w:ascii="Times New Roman" w:hAnsi="Times New Roman" w:cs="Times New Roman"/>
          <w:sz w:val="24"/>
          <w:szCs w:val="24"/>
        </w:rPr>
        <w:t xml:space="preserve"> </w:t>
      </w:r>
      <w:r w:rsidRPr="00463949" w:rsidR="00E65C76">
        <w:rPr>
          <w:rFonts w:ascii="Times New Roman" w:hAnsi="Times New Roman" w:cs="Times New Roman"/>
          <w:sz w:val="24"/>
          <w:szCs w:val="24"/>
        </w:rPr>
        <w:t xml:space="preserve">van het bestand </w:t>
      </w:r>
      <w:r w:rsidRPr="00463949">
        <w:rPr>
          <w:rFonts w:ascii="Times New Roman" w:hAnsi="Times New Roman" w:cs="Times New Roman"/>
          <w:sz w:val="24"/>
          <w:szCs w:val="24"/>
        </w:rPr>
        <w:t>schade veroorzaakt (zie overweging 16).</w:t>
      </w:r>
    </w:p>
    <w:p w:rsidRPr="00463949" w:rsidR="0032172A" w:rsidP="0032172A" w:rsidRDefault="0032172A" w14:paraId="16095FB2" w14:textId="77777777">
      <w:pPr>
        <w:spacing w:after="0" w:line="276" w:lineRule="auto"/>
        <w:rPr>
          <w:rFonts w:ascii="Times New Roman" w:hAnsi="Times New Roman" w:cs="Times New Roman"/>
          <w:sz w:val="24"/>
          <w:szCs w:val="24"/>
        </w:rPr>
      </w:pPr>
    </w:p>
    <w:p w:rsidRPr="00463949" w:rsidR="0032172A" w:rsidP="0032172A" w:rsidRDefault="00977842" w14:paraId="6DF2E1A6" w14:textId="5D2EB800">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 o</w:t>
      </w:r>
      <w:r w:rsidRPr="00463949" w:rsidR="0032172A">
        <w:rPr>
          <w:rFonts w:ascii="Times New Roman" w:hAnsi="Times New Roman" w:cs="Times New Roman"/>
          <w:i/>
          <w:iCs/>
          <w:sz w:val="24"/>
          <w:szCs w:val="24"/>
        </w:rPr>
        <w:t xml:space="preserve">nderdeel </w:t>
      </w:r>
      <w:r w:rsidRPr="00463949">
        <w:rPr>
          <w:rFonts w:ascii="Times New Roman" w:hAnsi="Times New Roman" w:cs="Times New Roman"/>
          <w:i/>
          <w:iCs/>
          <w:sz w:val="24"/>
          <w:szCs w:val="24"/>
        </w:rPr>
        <w:t>b</w:t>
      </w:r>
      <w:r w:rsidRPr="00463949" w:rsidR="0032172A">
        <w:rPr>
          <w:rFonts w:ascii="Times New Roman" w:hAnsi="Times New Roman" w:cs="Times New Roman"/>
          <w:i/>
          <w:iCs/>
          <w:sz w:val="24"/>
          <w:szCs w:val="24"/>
        </w:rPr>
        <w:t xml:space="preserve"> (product)</w:t>
      </w:r>
    </w:p>
    <w:p w:rsidRPr="00463949" w:rsidR="0032172A" w:rsidP="0032172A" w:rsidRDefault="0032172A" w14:paraId="424F80A1" w14:textId="22193DED">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Onder het begrip “product” vallen </w:t>
      </w:r>
      <w:r w:rsidRPr="00463949" w:rsidR="00E2367B">
        <w:rPr>
          <w:rFonts w:ascii="Times New Roman" w:hAnsi="Times New Roman" w:cs="Times New Roman"/>
          <w:sz w:val="24"/>
          <w:szCs w:val="24"/>
        </w:rPr>
        <w:t>alle roerende zaken, ook nadat deze zijn geïntegreerd in of onderling zijn verbonden met een andere roerende of onroerende zaak.</w:t>
      </w:r>
      <w:r w:rsidRPr="00463949" w:rsidR="00F56C08">
        <w:rPr>
          <w:rFonts w:ascii="Times New Roman" w:hAnsi="Times New Roman" w:cs="Times New Roman"/>
          <w:sz w:val="24"/>
          <w:szCs w:val="24"/>
        </w:rPr>
        <w:t xml:space="preserve"> </w:t>
      </w:r>
      <w:r w:rsidRPr="00463949" w:rsidR="002F0BD4">
        <w:rPr>
          <w:rFonts w:ascii="Times New Roman" w:hAnsi="Times New Roman" w:cs="Times New Roman"/>
          <w:sz w:val="24"/>
          <w:szCs w:val="24"/>
        </w:rPr>
        <w:t>O</w:t>
      </w:r>
      <w:r w:rsidRPr="00463949" w:rsidR="00EC176A">
        <w:rPr>
          <w:rFonts w:ascii="Times New Roman" w:hAnsi="Times New Roman" w:cs="Times New Roman"/>
          <w:sz w:val="24"/>
          <w:szCs w:val="24"/>
        </w:rPr>
        <w:t xml:space="preserve">ok </w:t>
      </w:r>
      <w:r w:rsidRPr="00463949" w:rsidR="00CA56AD">
        <w:rPr>
          <w:rFonts w:ascii="Times New Roman" w:hAnsi="Times New Roman" w:cs="Times New Roman"/>
          <w:sz w:val="24"/>
          <w:szCs w:val="24"/>
        </w:rPr>
        <w:t xml:space="preserve">elektriciteit en </w:t>
      </w:r>
      <w:r w:rsidRPr="00463949" w:rsidR="00F56C08">
        <w:rPr>
          <w:rFonts w:ascii="Times New Roman" w:hAnsi="Times New Roman" w:cs="Times New Roman"/>
          <w:sz w:val="24"/>
          <w:szCs w:val="24"/>
        </w:rPr>
        <w:t>grondstoffen, zoals gas en water,</w:t>
      </w:r>
      <w:r w:rsidRPr="00463949" w:rsidR="002F0BD4">
        <w:rPr>
          <w:rFonts w:ascii="Times New Roman" w:hAnsi="Times New Roman" w:cs="Times New Roman"/>
          <w:sz w:val="24"/>
          <w:szCs w:val="24"/>
        </w:rPr>
        <w:t xml:space="preserve"> zijn producten</w:t>
      </w:r>
      <w:r w:rsidRPr="00463949" w:rsidR="00F56C08">
        <w:rPr>
          <w:rFonts w:ascii="Times New Roman" w:hAnsi="Times New Roman" w:cs="Times New Roman"/>
          <w:sz w:val="24"/>
          <w:szCs w:val="24"/>
        </w:rPr>
        <w:t>.</w:t>
      </w:r>
      <w:r w:rsidRPr="00463949" w:rsidR="00E2367B">
        <w:rPr>
          <w:rFonts w:ascii="Times New Roman" w:hAnsi="Times New Roman" w:cs="Times New Roman"/>
          <w:sz w:val="24"/>
          <w:szCs w:val="24"/>
        </w:rPr>
        <w:t xml:space="preserve"> </w:t>
      </w:r>
      <w:r w:rsidRPr="00463949" w:rsidR="002F0BD4">
        <w:rPr>
          <w:rFonts w:ascii="Times New Roman" w:hAnsi="Times New Roman" w:cs="Times New Roman"/>
          <w:sz w:val="24"/>
          <w:szCs w:val="24"/>
        </w:rPr>
        <w:t>D</w:t>
      </w:r>
      <w:r w:rsidRPr="00463949" w:rsidR="00EC176A">
        <w:rPr>
          <w:rFonts w:ascii="Times New Roman" w:hAnsi="Times New Roman" w:cs="Times New Roman"/>
          <w:sz w:val="24"/>
          <w:szCs w:val="24"/>
        </w:rPr>
        <w:t xml:space="preserve">aarnaast </w:t>
      </w:r>
      <w:r w:rsidRPr="00463949" w:rsidR="002F0BD4">
        <w:rPr>
          <w:rFonts w:ascii="Times New Roman" w:hAnsi="Times New Roman" w:cs="Times New Roman"/>
          <w:sz w:val="24"/>
          <w:szCs w:val="24"/>
        </w:rPr>
        <w:t xml:space="preserve">is </w:t>
      </w:r>
      <w:r w:rsidRPr="00463949" w:rsidR="00E2367B">
        <w:rPr>
          <w:rFonts w:ascii="Times New Roman" w:hAnsi="Times New Roman" w:cs="Times New Roman"/>
          <w:sz w:val="24"/>
          <w:szCs w:val="24"/>
        </w:rPr>
        <w:t>bepaald dat</w:t>
      </w:r>
      <w:r w:rsidRPr="00463949" w:rsidR="002F0BD4">
        <w:rPr>
          <w:rFonts w:ascii="Times New Roman" w:hAnsi="Times New Roman" w:cs="Times New Roman"/>
          <w:sz w:val="24"/>
          <w:szCs w:val="24"/>
        </w:rPr>
        <w:t xml:space="preserve"> software en</w:t>
      </w:r>
      <w:r w:rsidRPr="00463949" w:rsidR="00E2367B">
        <w:rPr>
          <w:rFonts w:ascii="Times New Roman" w:hAnsi="Times New Roman" w:cs="Times New Roman"/>
          <w:sz w:val="24"/>
          <w:szCs w:val="24"/>
        </w:rPr>
        <w:t xml:space="preserve"> digitale fabricagedossiers</w:t>
      </w:r>
      <w:r w:rsidRPr="00463949" w:rsidR="006D3994">
        <w:rPr>
          <w:rFonts w:ascii="Times New Roman" w:hAnsi="Times New Roman" w:cs="Times New Roman"/>
          <w:sz w:val="24"/>
          <w:szCs w:val="24"/>
        </w:rPr>
        <w:t xml:space="preserve"> </w:t>
      </w:r>
      <w:r w:rsidRPr="00463949" w:rsidR="00F56C08">
        <w:rPr>
          <w:rFonts w:ascii="Times New Roman" w:hAnsi="Times New Roman" w:cs="Times New Roman"/>
          <w:sz w:val="24"/>
          <w:szCs w:val="24"/>
        </w:rPr>
        <w:t xml:space="preserve">als “product” </w:t>
      </w:r>
      <w:r w:rsidRPr="00463949" w:rsidR="00EC176A">
        <w:rPr>
          <w:rFonts w:ascii="Times New Roman" w:hAnsi="Times New Roman" w:cs="Times New Roman"/>
          <w:sz w:val="24"/>
          <w:szCs w:val="24"/>
        </w:rPr>
        <w:t xml:space="preserve">moeten </w:t>
      </w:r>
      <w:r w:rsidRPr="00463949" w:rsidR="00F56C08">
        <w:rPr>
          <w:rFonts w:ascii="Times New Roman" w:hAnsi="Times New Roman" w:cs="Times New Roman"/>
          <w:sz w:val="24"/>
          <w:szCs w:val="24"/>
        </w:rPr>
        <w:t>worden beschouwd</w:t>
      </w:r>
      <w:r w:rsidRPr="00463949" w:rsidR="00E2367B">
        <w:rPr>
          <w:rFonts w:ascii="Times New Roman" w:hAnsi="Times New Roman" w:cs="Times New Roman"/>
          <w:sz w:val="24"/>
          <w:szCs w:val="24"/>
        </w:rPr>
        <w:t xml:space="preserve">. </w:t>
      </w:r>
      <w:r w:rsidRPr="00463949" w:rsidR="003C0462">
        <w:rPr>
          <w:rFonts w:ascii="Times New Roman" w:hAnsi="Times New Roman" w:cs="Times New Roman"/>
          <w:sz w:val="24"/>
          <w:szCs w:val="24"/>
        </w:rPr>
        <w:t xml:space="preserve">Het </w:t>
      </w:r>
      <w:r w:rsidRPr="00463949" w:rsidR="00CA56AD">
        <w:rPr>
          <w:rFonts w:ascii="Times New Roman" w:hAnsi="Times New Roman" w:cs="Times New Roman"/>
          <w:sz w:val="24"/>
          <w:szCs w:val="24"/>
        </w:rPr>
        <w:t>begrip software moet</w:t>
      </w:r>
      <w:r w:rsidRPr="00463949" w:rsidR="003C0462">
        <w:rPr>
          <w:rFonts w:ascii="Times New Roman" w:hAnsi="Times New Roman" w:cs="Times New Roman"/>
          <w:sz w:val="24"/>
          <w:szCs w:val="24"/>
        </w:rPr>
        <w:t xml:space="preserve"> ruim</w:t>
      </w:r>
      <w:r w:rsidRPr="00463949" w:rsidR="00CA56AD">
        <w:rPr>
          <w:rFonts w:ascii="Times New Roman" w:hAnsi="Times New Roman" w:cs="Times New Roman"/>
          <w:sz w:val="24"/>
          <w:szCs w:val="24"/>
        </w:rPr>
        <w:t xml:space="preserve"> worden uitgelegd. Hieronder </w:t>
      </w:r>
      <w:r w:rsidRPr="00463949" w:rsidR="00EC176A">
        <w:rPr>
          <w:rFonts w:ascii="Times New Roman" w:hAnsi="Times New Roman" w:cs="Times New Roman"/>
          <w:sz w:val="24"/>
          <w:szCs w:val="24"/>
        </w:rPr>
        <w:t xml:space="preserve">vallen </w:t>
      </w:r>
      <w:r w:rsidRPr="00463949" w:rsidR="00CA56AD">
        <w:rPr>
          <w:rFonts w:ascii="Times New Roman" w:hAnsi="Times New Roman" w:cs="Times New Roman"/>
          <w:sz w:val="24"/>
          <w:szCs w:val="24"/>
        </w:rPr>
        <w:t xml:space="preserve">onder meer besturingssystemen, firmware, computerprogramma’s, applicaties </w:t>
      </w:r>
      <w:r w:rsidRPr="00463949" w:rsidR="0037021E">
        <w:rPr>
          <w:rFonts w:ascii="Times New Roman" w:hAnsi="Times New Roman" w:cs="Times New Roman"/>
          <w:sz w:val="24"/>
          <w:szCs w:val="24"/>
        </w:rPr>
        <w:t>en</w:t>
      </w:r>
      <w:r w:rsidRPr="00463949" w:rsidR="00CA56AD">
        <w:rPr>
          <w:rFonts w:ascii="Times New Roman" w:hAnsi="Times New Roman" w:cs="Times New Roman"/>
          <w:sz w:val="24"/>
          <w:szCs w:val="24"/>
        </w:rPr>
        <w:t xml:space="preserve"> AI-systemen</w:t>
      </w:r>
      <w:r w:rsidRPr="00463949" w:rsidR="00E2367B">
        <w:rPr>
          <w:rFonts w:ascii="Times New Roman" w:hAnsi="Times New Roman" w:cs="Times New Roman"/>
          <w:sz w:val="24"/>
          <w:szCs w:val="24"/>
        </w:rPr>
        <w:t xml:space="preserve">, ongeacht de wijze van levering of gebruik. Het maakt </w:t>
      </w:r>
      <w:r w:rsidRPr="00463949" w:rsidR="00CA56AD">
        <w:rPr>
          <w:rFonts w:ascii="Times New Roman" w:hAnsi="Times New Roman" w:cs="Times New Roman"/>
          <w:sz w:val="24"/>
          <w:szCs w:val="24"/>
        </w:rPr>
        <w:t xml:space="preserve">dus </w:t>
      </w:r>
      <w:r w:rsidRPr="00463949" w:rsidR="00E2367B">
        <w:rPr>
          <w:rFonts w:ascii="Times New Roman" w:hAnsi="Times New Roman" w:cs="Times New Roman"/>
          <w:sz w:val="24"/>
          <w:szCs w:val="24"/>
        </w:rPr>
        <w:t>niet uit of de software op een apparaat is opgeslagen, via een communicatienetwerk of cloudtechnologieën toegankelijk is, of wordt geleverd via een software-als-service-model</w:t>
      </w:r>
      <w:r w:rsidRPr="00463949" w:rsidR="003C0462">
        <w:rPr>
          <w:rFonts w:ascii="Times New Roman" w:hAnsi="Times New Roman" w:cs="Times New Roman"/>
          <w:sz w:val="24"/>
          <w:szCs w:val="24"/>
        </w:rPr>
        <w:t xml:space="preserve"> (zie overweging 13)</w:t>
      </w:r>
      <w:r w:rsidRPr="00463949" w:rsidR="00E2367B">
        <w:rPr>
          <w:rFonts w:ascii="Times New Roman" w:hAnsi="Times New Roman" w:cs="Times New Roman"/>
          <w:sz w:val="24"/>
          <w:szCs w:val="24"/>
        </w:rPr>
        <w:t xml:space="preserve">. </w:t>
      </w:r>
      <w:r w:rsidRPr="00463949" w:rsidR="003C0462">
        <w:rPr>
          <w:rFonts w:ascii="Times New Roman" w:hAnsi="Times New Roman" w:cs="Times New Roman"/>
          <w:sz w:val="24"/>
          <w:szCs w:val="24"/>
        </w:rPr>
        <w:t>I</w:t>
      </w:r>
      <w:r w:rsidRPr="00463949" w:rsidR="00CA56AD">
        <w:rPr>
          <w:rFonts w:ascii="Times New Roman" w:hAnsi="Times New Roman" w:cs="Times New Roman"/>
          <w:sz w:val="24"/>
          <w:szCs w:val="24"/>
        </w:rPr>
        <w:t>nformatie</w:t>
      </w:r>
      <w:r w:rsidRPr="00463949" w:rsidR="003C0462">
        <w:rPr>
          <w:rFonts w:ascii="Times New Roman" w:hAnsi="Times New Roman" w:cs="Times New Roman"/>
          <w:sz w:val="24"/>
          <w:szCs w:val="24"/>
        </w:rPr>
        <w:t xml:space="preserve"> mag echter</w:t>
      </w:r>
      <w:r w:rsidRPr="00463949" w:rsidR="00CA56AD">
        <w:rPr>
          <w:rFonts w:ascii="Times New Roman" w:hAnsi="Times New Roman" w:cs="Times New Roman"/>
          <w:sz w:val="24"/>
          <w:szCs w:val="24"/>
        </w:rPr>
        <w:t xml:space="preserve"> </w:t>
      </w:r>
      <w:r w:rsidRPr="00463949" w:rsidR="00E2367B">
        <w:rPr>
          <w:rFonts w:ascii="Times New Roman" w:hAnsi="Times New Roman" w:cs="Times New Roman"/>
          <w:sz w:val="24"/>
          <w:szCs w:val="24"/>
        </w:rPr>
        <w:t>niet als een product worden beschouwd</w:t>
      </w:r>
      <w:r w:rsidRPr="00463949" w:rsidR="00CA56AD">
        <w:rPr>
          <w:rFonts w:ascii="Times New Roman" w:hAnsi="Times New Roman" w:cs="Times New Roman"/>
          <w:sz w:val="24"/>
          <w:szCs w:val="24"/>
        </w:rPr>
        <w:t>.</w:t>
      </w:r>
      <w:r w:rsidRPr="00463949" w:rsidR="006E76B3">
        <w:rPr>
          <w:rStyle w:val="Voetnootmarkering"/>
          <w:rFonts w:ascii="Times New Roman" w:hAnsi="Times New Roman" w:cs="Times New Roman"/>
          <w:sz w:val="24"/>
          <w:szCs w:val="24"/>
        </w:rPr>
        <w:footnoteReference w:id="66"/>
      </w:r>
      <w:r w:rsidRPr="00463949" w:rsidR="00E2367B">
        <w:rPr>
          <w:rFonts w:ascii="Times New Roman" w:hAnsi="Times New Roman" w:cs="Times New Roman"/>
          <w:sz w:val="24"/>
          <w:szCs w:val="24"/>
        </w:rPr>
        <w:t xml:space="preserve"> De productaansprakelijkheidsregels </w:t>
      </w:r>
      <w:r w:rsidRPr="00463949" w:rsidR="002F0BD4">
        <w:rPr>
          <w:rFonts w:ascii="Times New Roman" w:hAnsi="Times New Roman" w:cs="Times New Roman"/>
          <w:sz w:val="24"/>
          <w:szCs w:val="24"/>
        </w:rPr>
        <w:t xml:space="preserve">in afdeling 6.3.3 BW </w:t>
      </w:r>
      <w:r w:rsidRPr="00463949" w:rsidR="00E2367B">
        <w:rPr>
          <w:rFonts w:ascii="Times New Roman" w:hAnsi="Times New Roman" w:cs="Times New Roman"/>
          <w:sz w:val="24"/>
          <w:szCs w:val="24"/>
        </w:rPr>
        <w:t xml:space="preserve">zijn daarom niet van toepassing op de inhoud van digitale bestanden, zoals mediabestanden of e-boeken of de </w:t>
      </w:r>
      <w:r w:rsidRPr="00463949" w:rsidR="00C70C2A">
        <w:rPr>
          <w:rFonts w:ascii="Times New Roman" w:hAnsi="Times New Roman" w:cs="Times New Roman"/>
          <w:sz w:val="24"/>
          <w:szCs w:val="24"/>
        </w:rPr>
        <w:t xml:space="preserve">enkele </w:t>
      </w:r>
      <w:r w:rsidRPr="00463949" w:rsidR="00E2367B">
        <w:rPr>
          <w:rFonts w:ascii="Times New Roman" w:hAnsi="Times New Roman" w:cs="Times New Roman"/>
          <w:sz w:val="24"/>
          <w:szCs w:val="24"/>
        </w:rPr>
        <w:t xml:space="preserve">broncode van </w:t>
      </w:r>
      <w:r w:rsidRPr="00463949" w:rsidR="006D3994">
        <w:rPr>
          <w:rFonts w:ascii="Times New Roman" w:hAnsi="Times New Roman" w:cs="Times New Roman"/>
          <w:sz w:val="24"/>
          <w:szCs w:val="24"/>
        </w:rPr>
        <w:t>software</w:t>
      </w:r>
      <w:r w:rsidRPr="00463949" w:rsidR="003C0462">
        <w:rPr>
          <w:rFonts w:ascii="Times New Roman" w:hAnsi="Times New Roman" w:cs="Times New Roman"/>
          <w:sz w:val="24"/>
          <w:szCs w:val="24"/>
        </w:rPr>
        <w:t xml:space="preserve"> (zie overweging 13)</w:t>
      </w:r>
      <w:r w:rsidRPr="00463949" w:rsidR="006D3994">
        <w:rPr>
          <w:rFonts w:ascii="Times New Roman" w:hAnsi="Times New Roman" w:cs="Times New Roman"/>
          <w:sz w:val="24"/>
          <w:szCs w:val="24"/>
        </w:rPr>
        <w:t>.</w:t>
      </w:r>
    </w:p>
    <w:p w:rsidRPr="00463949" w:rsidR="00F56C08" w:rsidP="0032172A" w:rsidRDefault="00F56C08" w14:paraId="2BAEF360" w14:textId="77777777">
      <w:pPr>
        <w:spacing w:after="0" w:line="276" w:lineRule="auto"/>
        <w:rPr>
          <w:rFonts w:ascii="Times New Roman" w:hAnsi="Times New Roman" w:cs="Times New Roman"/>
          <w:sz w:val="24"/>
          <w:szCs w:val="24"/>
        </w:rPr>
      </w:pPr>
    </w:p>
    <w:p w:rsidRPr="00463949" w:rsidR="00F56C08" w:rsidP="0032172A" w:rsidRDefault="00977842" w14:paraId="3EB957AF" w14:textId="126D7A05">
      <w:pPr>
        <w:spacing w:after="0" w:line="276" w:lineRule="auto"/>
        <w:rPr>
          <w:rFonts w:ascii="Times New Roman" w:hAnsi="Times New Roman" w:cs="Times New Roman"/>
          <w:sz w:val="24"/>
          <w:szCs w:val="24"/>
        </w:rPr>
      </w:pPr>
      <w:r w:rsidRPr="00463949">
        <w:rPr>
          <w:rFonts w:ascii="Times New Roman" w:hAnsi="Times New Roman" w:cs="Times New Roman"/>
          <w:i/>
          <w:iCs/>
          <w:sz w:val="24"/>
          <w:szCs w:val="24"/>
        </w:rPr>
        <w:t>Lid 1, o</w:t>
      </w:r>
      <w:r w:rsidRPr="00463949" w:rsidR="00F56C08">
        <w:rPr>
          <w:rFonts w:ascii="Times New Roman" w:hAnsi="Times New Roman" w:cs="Times New Roman"/>
          <w:i/>
          <w:iCs/>
          <w:sz w:val="24"/>
          <w:szCs w:val="24"/>
        </w:rPr>
        <w:t>nderdeel c (bijbehorende dienst)</w:t>
      </w:r>
    </w:p>
    <w:p w:rsidRPr="00463949" w:rsidR="00701F84" w:rsidP="0032172A" w:rsidRDefault="00701F84" w14:paraId="3DEFD302" w14:textId="15F6309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Onder het begrip “bijbehorende dienst” vallen digitale diensten die zodanig in een product zijn geïntegreerd of daarmee onderling zijn verbonden dat het product zonder die dienst een of meer van zijn functies niet zou kunnen vervullen. </w:t>
      </w:r>
      <w:r w:rsidRPr="00463949" w:rsidR="00F60F99">
        <w:rPr>
          <w:rFonts w:ascii="Times New Roman" w:hAnsi="Times New Roman" w:cs="Times New Roman"/>
          <w:sz w:val="24"/>
          <w:szCs w:val="24"/>
        </w:rPr>
        <w:t xml:space="preserve">Voor voorbeelden wordt verwezen naar </w:t>
      </w:r>
      <w:r w:rsidRPr="00463949" w:rsidR="002F0BD4">
        <w:rPr>
          <w:rFonts w:ascii="Times New Roman" w:hAnsi="Times New Roman" w:cs="Times New Roman"/>
          <w:sz w:val="24"/>
          <w:szCs w:val="24"/>
        </w:rPr>
        <w:t xml:space="preserve">paragraaf 2.4 van </w:t>
      </w:r>
      <w:r w:rsidRPr="00463949" w:rsidR="00F60F99">
        <w:rPr>
          <w:rFonts w:ascii="Times New Roman" w:hAnsi="Times New Roman" w:cs="Times New Roman"/>
          <w:sz w:val="24"/>
          <w:szCs w:val="24"/>
        </w:rPr>
        <w:t xml:space="preserve">het algemeen deel van deze memorie van toelichting. </w:t>
      </w:r>
      <w:r w:rsidRPr="00463949" w:rsidR="007D2DAB">
        <w:rPr>
          <w:rFonts w:ascii="Times New Roman" w:hAnsi="Times New Roman" w:cs="Times New Roman"/>
          <w:sz w:val="24"/>
          <w:szCs w:val="24"/>
        </w:rPr>
        <w:t>B</w:t>
      </w:r>
      <w:r w:rsidRPr="00463949" w:rsidR="00F40AA8">
        <w:rPr>
          <w:rFonts w:ascii="Times New Roman" w:hAnsi="Times New Roman" w:cs="Times New Roman"/>
          <w:sz w:val="24"/>
          <w:szCs w:val="24"/>
        </w:rPr>
        <w:t xml:space="preserve">ijbehorende diensten moeten worden beschouwd als </w:t>
      </w:r>
      <w:r w:rsidRPr="00463949">
        <w:rPr>
          <w:rFonts w:ascii="Times New Roman" w:hAnsi="Times New Roman" w:cs="Times New Roman"/>
          <w:sz w:val="24"/>
          <w:szCs w:val="24"/>
        </w:rPr>
        <w:t>componenten van het product waarin zij zijn geïntegreerd of waarmee zij onderling zijn verbonden wanneer zij onder zeggenschap van de fabrikant van dat product staan</w:t>
      </w:r>
      <w:r w:rsidRPr="00463949" w:rsidR="007D2DAB">
        <w:rPr>
          <w:rFonts w:ascii="Times New Roman" w:hAnsi="Times New Roman" w:cs="Times New Roman"/>
          <w:sz w:val="24"/>
          <w:szCs w:val="24"/>
        </w:rPr>
        <w:t xml:space="preserve"> (zie overweging 17)</w:t>
      </w:r>
      <w:r w:rsidRPr="00463949" w:rsidR="00F60F99">
        <w:rPr>
          <w:rFonts w:ascii="Times New Roman" w:hAnsi="Times New Roman" w:cs="Times New Roman"/>
          <w:sz w:val="24"/>
          <w:szCs w:val="24"/>
        </w:rPr>
        <w:t>. Z</w:t>
      </w:r>
      <w:r w:rsidRPr="00463949">
        <w:rPr>
          <w:rFonts w:ascii="Times New Roman" w:hAnsi="Times New Roman" w:cs="Times New Roman"/>
          <w:sz w:val="24"/>
          <w:szCs w:val="24"/>
        </w:rPr>
        <w:t xml:space="preserve">ie </w:t>
      </w:r>
      <w:r w:rsidRPr="00463949" w:rsidR="00F40AA8">
        <w:rPr>
          <w:rFonts w:ascii="Times New Roman" w:hAnsi="Times New Roman" w:cs="Times New Roman"/>
          <w:sz w:val="24"/>
          <w:szCs w:val="24"/>
        </w:rPr>
        <w:t xml:space="preserve">over de begrippen “component” en “zeggenschap van de fabrikant” de toelichting bij </w:t>
      </w:r>
      <w:r w:rsidRPr="00463949" w:rsidR="00977842">
        <w:rPr>
          <w:rFonts w:ascii="Times New Roman" w:hAnsi="Times New Roman" w:cs="Times New Roman"/>
          <w:sz w:val="24"/>
          <w:szCs w:val="24"/>
        </w:rPr>
        <w:t xml:space="preserve">lid 1, onderdeel </w:t>
      </w:r>
      <w:r w:rsidRPr="00463949" w:rsidR="00F40AA8">
        <w:rPr>
          <w:rFonts w:ascii="Times New Roman" w:hAnsi="Times New Roman" w:cs="Times New Roman"/>
          <w:sz w:val="24"/>
          <w:szCs w:val="24"/>
        </w:rPr>
        <w:t xml:space="preserve">d en </w:t>
      </w:r>
      <w:r w:rsidRPr="00463949" w:rsidR="00977842">
        <w:rPr>
          <w:rFonts w:ascii="Times New Roman" w:hAnsi="Times New Roman" w:cs="Times New Roman"/>
          <w:sz w:val="24"/>
          <w:szCs w:val="24"/>
        </w:rPr>
        <w:t>lid 2</w:t>
      </w:r>
      <w:r w:rsidRPr="00463949">
        <w:rPr>
          <w:rFonts w:ascii="Times New Roman" w:hAnsi="Times New Roman" w:cs="Times New Roman"/>
          <w:sz w:val="24"/>
          <w:szCs w:val="24"/>
        </w:rPr>
        <w:t xml:space="preserve">. </w:t>
      </w:r>
      <w:r w:rsidRPr="00463949" w:rsidR="007D2DAB">
        <w:rPr>
          <w:rFonts w:ascii="Times New Roman" w:hAnsi="Times New Roman" w:cs="Times New Roman"/>
          <w:sz w:val="24"/>
          <w:szCs w:val="24"/>
        </w:rPr>
        <w:t>I</w:t>
      </w:r>
      <w:r w:rsidRPr="00463949">
        <w:rPr>
          <w:rFonts w:ascii="Times New Roman" w:hAnsi="Times New Roman" w:cs="Times New Roman"/>
          <w:sz w:val="24"/>
          <w:szCs w:val="24"/>
        </w:rPr>
        <w:t xml:space="preserve">nternettoegangsdiensten </w:t>
      </w:r>
      <w:r w:rsidRPr="00463949" w:rsidR="007D2DAB">
        <w:rPr>
          <w:rFonts w:ascii="Times New Roman" w:hAnsi="Times New Roman" w:cs="Times New Roman"/>
          <w:sz w:val="24"/>
          <w:szCs w:val="24"/>
        </w:rPr>
        <w:t xml:space="preserve">mogen niet worden </w:t>
      </w:r>
      <w:r w:rsidRPr="00463949">
        <w:rPr>
          <w:rFonts w:ascii="Times New Roman" w:hAnsi="Times New Roman" w:cs="Times New Roman"/>
          <w:sz w:val="24"/>
          <w:szCs w:val="24"/>
        </w:rPr>
        <w:t xml:space="preserve">aangemerkt als </w:t>
      </w:r>
      <w:r w:rsidRPr="00463949" w:rsidR="00B310A9">
        <w:rPr>
          <w:rFonts w:ascii="Times New Roman" w:hAnsi="Times New Roman" w:cs="Times New Roman"/>
          <w:sz w:val="24"/>
          <w:szCs w:val="24"/>
        </w:rPr>
        <w:t>“</w:t>
      </w:r>
      <w:r w:rsidRPr="00463949">
        <w:rPr>
          <w:rFonts w:ascii="Times New Roman" w:hAnsi="Times New Roman" w:cs="Times New Roman"/>
          <w:sz w:val="24"/>
          <w:szCs w:val="24"/>
        </w:rPr>
        <w:t>bijbehorende diensten</w:t>
      </w:r>
      <w:r w:rsidRPr="00463949" w:rsidR="00B310A9">
        <w:rPr>
          <w:rFonts w:ascii="Times New Roman" w:hAnsi="Times New Roman" w:cs="Times New Roman"/>
          <w:sz w:val="24"/>
          <w:szCs w:val="24"/>
        </w:rPr>
        <w:t>”</w:t>
      </w:r>
      <w:r w:rsidRPr="00463949" w:rsidR="00F60F99">
        <w:rPr>
          <w:rFonts w:ascii="Times New Roman" w:hAnsi="Times New Roman" w:cs="Times New Roman"/>
          <w:sz w:val="24"/>
          <w:szCs w:val="24"/>
        </w:rPr>
        <w:t xml:space="preserve">. Die diensten kunnen niet </w:t>
      </w:r>
      <w:r w:rsidRPr="00463949" w:rsidR="007D2DAB">
        <w:rPr>
          <w:rFonts w:ascii="Times New Roman" w:hAnsi="Times New Roman" w:cs="Times New Roman"/>
          <w:sz w:val="24"/>
          <w:szCs w:val="24"/>
        </w:rPr>
        <w:t>worden beschouwd als onderdeel van een product waarover de fabrikant zeggenschap heeft</w:t>
      </w:r>
      <w:r w:rsidRPr="00463949" w:rsidR="00053B60">
        <w:rPr>
          <w:rFonts w:ascii="Times New Roman" w:hAnsi="Times New Roman" w:cs="Times New Roman"/>
          <w:sz w:val="24"/>
          <w:szCs w:val="24"/>
        </w:rPr>
        <w:t xml:space="preserve">. Het </w:t>
      </w:r>
      <w:r w:rsidRPr="00463949" w:rsidR="00F60F99">
        <w:rPr>
          <w:rFonts w:ascii="Times New Roman" w:hAnsi="Times New Roman" w:cs="Times New Roman"/>
          <w:sz w:val="24"/>
          <w:szCs w:val="24"/>
        </w:rPr>
        <w:t>zou</w:t>
      </w:r>
      <w:r w:rsidRPr="00463949" w:rsidR="00053B60">
        <w:rPr>
          <w:rFonts w:ascii="Times New Roman" w:hAnsi="Times New Roman" w:cs="Times New Roman"/>
          <w:sz w:val="24"/>
          <w:szCs w:val="24"/>
        </w:rPr>
        <w:t xml:space="preserve"> daarom</w:t>
      </w:r>
      <w:r w:rsidRPr="00463949" w:rsidR="00F60F99">
        <w:rPr>
          <w:rFonts w:ascii="Times New Roman" w:hAnsi="Times New Roman" w:cs="Times New Roman"/>
          <w:sz w:val="24"/>
          <w:szCs w:val="24"/>
        </w:rPr>
        <w:t xml:space="preserve"> </w:t>
      </w:r>
      <w:r w:rsidRPr="00463949" w:rsidR="007D2DAB">
        <w:rPr>
          <w:rFonts w:ascii="Times New Roman" w:hAnsi="Times New Roman" w:cs="Times New Roman"/>
          <w:sz w:val="24"/>
          <w:szCs w:val="24"/>
        </w:rPr>
        <w:t>onredelijk zijn om fabrikanten aansprakelijk te stellen voor schade die word</w:t>
      </w:r>
      <w:r w:rsidRPr="00463949" w:rsidR="00053B60">
        <w:rPr>
          <w:rFonts w:ascii="Times New Roman" w:hAnsi="Times New Roman" w:cs="Times New Roman"/>
          <w:sz w:val="24"/>
          <w:szCs w:val="24"/>
        </w:rPr>
        <w:t>t</w:t>
      </w:r>
      <w:r w:rsidRPr="00463949" w:rsidR="007D2DAB">
        <w:rPr>
          <w:rFonts w:ascii="Times New Roman" w:hAnsi="Times New Roman" w:cs="Times New Roman"/>
          <w:sz w:val="24"/>
          <w:szCs w:val="24"/>
        </w:rPr>
        <w:t xml:space="preserve"> veroorzaakt door tekortkomingen in internettoegangsdiensten.</w:t>
      </w:r>
      <w:r w:rsidRPr="00463949" w:rsidR="005B4025">
        <w:rPr>
          <w:rFonts w:ascii="Times New Roman" w:hAnsi="Times New Roman" w:cs="Times New Roman"/>
          <w:sz w:val="24"/>
          <w:szCs w:val="24"/>
        </w:rPr>
        <w:t xml:space="preserve"> Dit </w:t>
      </w:r>
      <w:r w:rsidRPr="00463949" w:rsidR="005B4025">
        <w:rPr>
          <w:rFonts w:ascii="Times New Roman" w:hAnsi="Times New Roman" w:cs="Times New Roman"/>
          <w:sz w:val="24"/>
          <w:szCs w:val="24"/>
        </w:rPr>
        <w:lastRenderedPageBreak/>
        <w:t xml:space="preserve">neemt echter niet </w:t>
      </w:r>
      <w:r w:rsidRPr="00463949" w:rsidR="00F40AA8">
        <w:rPr>
          <w:rFonts w:ascii="Times New Roman" w:hAnsi="Times New Roman" w:cs="Times New Roman"/>
          <w:sz w:val="24"/>
          <w:szCs w:val="24"/>
        </w:rPr>
        <w:t>weg</w:t>
      </w:r>
      <w:r w:rsidRPr="00463949" w:rsidR="005B4025">
        <w:rPr>
          <w:rFonts w:ascii="Times New Roman" w:hAnsi="Times New Roman" w:cs="Times New Roman"/>
          <w:sz w:val="24"/>
          <w:szCs w:val="24"/>
        </w:rPr>
        <w:t xml:space="preserve"> </w:t>
      </w:r>
      <w:r w:rsidRPr="00463949" w:rsidR="00F40AA8">
        <w:rPr>
          <w:rFonts w:ascii="Times New Roman" w:hAnsi="Times New Roman" w:cs="Times New Roman"/>
          <w:sz w:val="24"/>
          <w:szCs w:val="24"/>
        </w:rPr>
        <w:t xml:space="preserve">dat een product dat afhankelijk is van internettoegangsdiensten </w:t>
      </w:r>
      <w:r w:rsidRPr="00463949" w:rsidR="00B310A9">
        <w:rPr>
          <w:rFonts w:ascii="Times New Roman" w:hAnsi="Times New Roman" w:cs="Times New Roman"/>
          <w:sz w:val="24"/>
          <w:szCs w:val="24"/>
        </w:rPr>
        <w:t xml:space="preserve">en er niet in slaagt de veiligheid te handhaven als de internetverbinding wegvalt als “gebrekkig” kan worden beschouwd </w:t>
      </w:r>
      <w:r w:rsidRPr="00463949" w:rsidR="00053B60">
        <w:rPr>
          <w:rFonts w:ascii="Times New Roman" w:hAnsi="Times New Roman" w:cs="Times New Roman"/>
          <w:sz w:val="24"/>
          <w:szCs w:val="24"/>
        </w:rPr>
        <w:t xml:space="preserve">in de zin van afdeling 6.3.3 BW </w:t>
      </w:r>
      <w:r w:rsidRPr="00463949" w:rsidR="007D2DAB">
        <w:rPr>
          <w:rFonts w:ascii="Times New Roman" w:hAnsi="Times New Roman" w:cs="Times New Roman"/>
          <w:sz w:val="24"/>
          <w:szCs w:val="24"/>
        </w:rPr>
        <w:t>(zie overweging 17)</w:t>
      </w:r>
      <w:r w:rsidRPr="00463949" w:rsidR="00B310A9">
        <w:rPr>
          <w:rFonts w:ascii="Times New Roman" w:hAnsi="Times New Roman" w:cs="Times New Roman"/>
          <w:sz w:val="24"/>
          <w:szCs w:val="24"/>
        </w:rPr>
        <w:t>.</w:t>
      </w:r>
    </w:p>
    <w:p w:rsidRPr="00463949" w:rsidR="00064AA0" w:rsidP="0032172A" w:rsidRDefault="00064AA0" w14:paraId="0C5BBA42" w14:textId="77777777">
      <w:pPr>
        <w:spacing w:after="0" w:line="276" w:lineRule="auto"/>
        <w:rPr>
          <w:rFonts w:ascii="Times New Roman" w:hAnsi="Times New Roman" w:cs="Times New Roman"/>
          <w:sz w:val="24"/>
          <w:szCs w:val="24"/>
        </w:rPr>
      </w:pPr>
    </w:p>
    <w:p w:rsidRPr="00463949" w:rsidR="00064AA0" w:rsidP="0032172A" w:rsidRDefault="00977842" w14:paraId="00EB839B" w14:textId="50258E03">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 o</w:t>
      </w:r>
      <w:r w:rsidRPr="00463949" w:rsidR="00064AA0">
        <w:rPr>
          <w:rFonts w:ascii="Times New Roman" w:hAnsi="Times New Roman" w:cs="Times New Roman"/>
          <w:i/>
          <w:iCs/>
          <w:sz w:val="24"/>
          <w:szCs w:val="24"/>
        </w:rPr>
        <w:t>nderdeel d (component)</w:t>
      </w:r>
    </w:p>
    <w:p w:rsidRPr="00463949" w:rsidR="00DB5303" w:rsidP="0032172A" w:rsidRDefault="00064AA0" w14:paraId="42E45AD3" w14:textId="59150ED4">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Onder het begrip “component” </w:t>
      </w:r>
      <w:r w:rsidRPr="00463949" w:rsidR="00B310A9">
        <w:rPr>
          <w:rFonts w:ascii="Times New Roman" w:hAnsi="Times New Roman" w:cs="Times New Roman"/>
          <w:sz w:val="24"/>
          <w:szCs w:val="24"/>
        </w:rPr>
        <w:t xml:space="preserve">wordt verstaan: </w:t>
      </w:r>
      <w:r w:rsidRPr="00463949">
        <w:rPr>
          <w:rFonts w:ascii="Times New Roman" w:hAnsi="Times New Roman" w:cs="Times New Roman"/>
          <w:sz w:val="24"/>
          <w:szCs w:val="24"/>
        </w:rPr>
        <w:t xml:space="preserve">elk materieel of immaterieel voorwerp </w:t>
      </w:r>
      <w:r w:rsidRPr="00463949" w:rsidR="00053B60">
        <w:rPr>
          <w:rFonts w:ascii="Times New Roman" w:hAnsi="Times New Roman" w:cs="Times New Roman"/>
          <w:sz w:val="24"/>
          <w:szCs w:val="24"/>
        </w:rPr>
        <w:t>(“</w:t>
      </w:r>
      <w:r w:rsidRPr="00463949" w:rsidR="00053B60">
        <w:rPr>
          <w:rFonts w:ascii="Times New Roman" w:hAnsi="Times New Roman" w:cs="Times New Roman"/>
          <w:i/>
          <w:iCs/>
          <w:sz w:val="24"/>
          <w:szCs w:val="24"/>
        </w:rPr>
        <w:t>intangible item</w:t>
      </w:r>
      <w:r w:rsidRPr="00463949" w:rsidR="00053B60">
        <w:rPr>
          <w:rFonts w:ascii="Times New Roman" w:hAnsi="Times New Roman" w:cs="Times New Roman"/>
          <w:sz w:val="24"/>
          <w:szCs w:val="24"/>
        </w:rPr>
        <w:t xml:space="preserve">”) </w:t>
      </w:r>
      <w:r w:rsidRPr="00463949">
        <w:rPr>
          <w:rFonts w:ascii="Times New Roman" w:hAnsi="Times New Roman" w:cs="Times New Roman"/>
          <w:sz w:val="24"/>
          <w:szCs w:val="24"/>
        </w:rPr>
        <w:t xml:space="preserve">dat, of elke grondstof of bijbehorende dienst die in een product is geïntegreerd of daarmee onderling is verbonden. </w:t>
      </w:r>
      <w:r w:rsidRPr="00463949" w:rsidR="00FB2FDC">
        <w:rPr>
          <w:rFonts w:ascii="Times New Roman" w:hAnsi="Times New Roman" w:cs="Times New Roman"/>
          <w:sz w:val="24"/>
          <w:szCs w:val="24"/>
        </w:rPr>
        <w:t>Bij “immaterieel voorwerp” kan bijvoorbeeld worden gedacht aan software.</w:t>
      </w:r>
    </w:p>
    <w:p w:rsidRPr="00463949" w:rsidR="0066615E" w:rsidP="0066615E" w:rsidRDefault="0066615E" w14:paraId="1FDD4FCD" w14:textId="77777777">
      <w:pPr>
        <w:spacing w:after="0" w:line="276" w:lineRule="auto"/>
        <w:rPr>
          <w:rFonts w:ascii="Times New Roman" w:hAnsi="Times New Roman" w:cs="Times New Roman"/>
          <w:i/>
          <w:iCs/>
          <w:sz w:val="24"/>
          <w:szCs w:val="24"/>
        </w:rPr>
      </w:pPr>
    </w:p>
    <w:p w:rsidRPr="00463949" w:rsidR="0066615E" w:rsidP="0066615E" w:rsidRDefault="0066615E" w14:paraId="6BC94653" w14:textId="253FE913">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 onderdeel e (fabrikant)</w:t>
      </w:r>
    </w:p>
    <w:p w:rsidRPr="00463949" w:rsidR="0066615E" w:rsidP="0066615E" w:rsidRDefault="0066615E" w14:paraId="239BDBF6" w14:textId="5C96BCE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bescherming van natuurlijke personen vereist dat elke fabrikant die bij het productieproces betrokken is, aansprakelijk kan worden gesteld als een product of een door die fabrikant geleverde component gebrekkig is (zie overweging 36). Artikel 4, onder 10, Richtlijn kent dan ook een ruime definitie van “fabrikant”. Die definitie is overgenomen in lid 1, onderdeel e. Onder “fabrikant” wordt in de eerste plaats verstaan een natuurlijke persoon of rechtspersoon die een product ontwikkelt, vervaardigt of produceert (subonderdeel 1). In de tweede plaats wordt als fabrikant aangemerkt degene die het product heeft ontworpen of vervaardigd, of die zich, door zijn of haar naam, handelsmerk of andere onderscheidende kenmerken op dat product aan te brengen presenteert als de fabrikant ervan (subonderdeel 2). Uit rechtspraak van het Hof van Justitie van de EU (HvJEU)</w:t>
      </w:r>
      <w:r w:rsidRPr="00463949">
        <w:rPr>
          <w:rStyle w:val="Voetnootmarkering"/>
          <w:rFonts w:ascii="Times New Roman" w:hAnsi="Times New Roman" w:cs="Times New Roman"/>
          <w:sz w:val="24"/>
          <w:szCs w:val="24"/>
        </w:rPr>
        <w:footnoteReference w:id="67"/>
      </w:r>
      <w:r w:rsidRPr="00463949">
        <w:rPr>
          <w:rFonts w:ascii="Times New Roman" w:hAnsi="Times New Roman" w:cs="Times New Roman"/>
          <w:sz w:val="24"/>
          <w:szCs w:val="24"/>
        </w:rPr>
        <w:t xml:space="preserve"> blijkt dat dit criterium met het oog op de bescherming van natuurlijke personen ruim moet worden uitgelegd. Tot slot wordt ook degene die een product voor eigen gebruik ontwikkelt, vervaardigt of produceert beschouwd als fabrikant (subonderdeel 3).</w:t>
      </w:r>
    </w:p>
    <w:p w:rsidRPr="00463949" w:rsidR="0066615E" w:rsidP="0066615E" w:rsidRDefault="0066615E" w14:paraId="30D0072E" w14:textId="77777777">
      <w:pPr>
        <w:spacing w:after="0" w:line="276" w:lineRule="auto"/>
        <w:rPr>
          <w:rFonts w:ascii="Times New Roman" w:hAnsi="Times New Roman" w:cs="Times New Roman"/>
          <w:i/>
          <w:iCs/>
          <w:sz w:val="24"/>
          <w:szCs w:val="24"/>
        </w:rPr>
      </w:pPr>
    </w:p>
    <w:p w:rsidRPr="00463949" w:rsidR="0066615E" w:rsidP="0066615E" w:rsidRDefault="0066615E" w14:paraId="03BCB89C" w14:textId="33D6A6EC">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 onderdeel h (fulfilmentdienstverlener)</w:t>
      </w:r>
    </w:p>
    <w:p w:rsidRPr="00463949" w:rsidR="0066615E" w:rsidP="0066615E" w:rsidRDefault="0066615E" w14:paraId="7A02E806" w14:textId="5A56CC8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Het begrip “fulfilmentdienstverlener” is overgenomen uit artikel 4, onder 13, Richtlijn. Hierin is het gedefinieerd als een natuurlijke persoon of rechtspersoon die in het kader van een handelsactiviteit ten minste twee van de volgende diensten aanbiedt: opslag, verpakking, adressering en verzending van een product, zonder eigenaar van dat product te zijn. Hierop geldt een uitzondering voor postdiensten zoals gedefinieerd in artikel 2, punt 1, van Richtlijn 97/67/EG, pakketbezorgdiensten zoals gedefinieerd in artikel 2, punt 2, van Verordening (EU) 2018/644 en alle andere postdiensten of vrachtvervoersdiensten. Deze definitie sluit aan bij de definitie van fulfilmentdienstverlener in de Uniewetgeving inzake productveiligheid en markttoezicht.</w:t>
      </w:r>
      <w:r w:rsidRPr="00463949">
        <w:rPr>
          <w:rStyle w:val="Voetnootmarkering"/>
          <w:rFonts w:ascii="Times New Roman" w:hAnsi="Times New Roman" w:cs="Times New Roman"/>
          <w:sz w:val="24"/>
          <w:szCs w:val="24"/>
        </w:rPr>
        <w:footnoteReference w:id="68"/>
      </w:r>
      <w:r w:rsidRPr="00463949">
        <w:rPr>
          <w:rFonts w:ascii="Times New Roman" w:hAnsi="Times New Roman" w:cs="Times New Roman"/>
          <w:sz w:val="24"/>
          <w:szCs w:val="24"/>
        </w:rPr>
        <w:t xml:space="preserve"> Omwille van de leesbaarheid is in lid 1, onderdeel h een verkorte verwijzing naar de relevante EU-regelgeving opgenomen. </w:t>
      </w:r>
    </w:p>
    <w:p w:rsidRPr="00463949" w:rsidR="0066615E" w:rsidP="0066615E" w:rsidRDefault="0066615E" w14:paraId="1F912EF5" w14:textId="77777777">
      <w:pPr>
        <w:spacing w:after="0" w:line="276" w:lineRule="auto"/>
        <w:rPr>
          <w:rFonts w:ascii="Times New Roman" w:hAnsi="Times New Roman" w:cs="Times New Roman"/>
          <w:i/>
          <w:iCs/>
          <w:sz w:val="24"/>
          <w:szCs w:val="24"/>
        </w:rPr>
      </w:pPr>
    </w:p>
    <w:p w:rsidRPr="00463949" w:rsidR="0066615E" w:rsidP="0066615E" w:rsidRDefault="0066615E" w14:paraId="1FF5923B" w14:textId="641002C4">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lastRenderedPageBreak/>
        <w:t>Lid 1, onderdeel k  (gemachtigde)</w:t>
      </w:r>
    </w:p>
    <w:p w:rsidRPr="00463949" w:rsidR="00FB2FDC" w:rsidP="0066615E" w:rsidRDefault="0066615E" w14:paraId="57C931B4" w14:textId="58C8503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In lid 1, onderdeel k, is de begripsbeschrijving van “gemachtigde” overgenomen uit artikel 4, onder 11, Richtlijn. Onder “gemachtigde” wordt verstaan een in de EU gevestigde natuurlijke persoon of rechtspersoon die schriftelijk door een fabrikant is gemachtigd om namens die fabrikant specifieke taken te vervullen. Hierbij gaat het om het uitvoeren van bepaalde taken uit hoofde van Uniewetgeving, bijvoorbeeld op grond van de wetgeving inzake productveiligheid</w:t>
      </w:r>
      <w:r w:rsidRPr="00463949">
        <w:rPr>
          <w:rStyle w:val="Voetnootmarkering"/>
          <w:rFonts w:ascii="Times New Roman" w:hAnsi="Times New Roman" w:cs="Times New Roman"/>
          <w:sz w:val="24"/>
          <w:szCs w:val="24"/>
        </w:rPr>
        <w:footnoteReference w:id="69"/>
      </w:r>
      <w:r w:rsidRPr="00463949">
        <w:rPr>
          <w:rFonts w:ascii="Times New Roman" w:hAnsi="Times New Roman" w:cs="Times New Roman"/>
          <w:sz w:val="24"/>
          <w:szCs w:val="24"/>
        </w:rPr>
        <w:t xml:space="preserve"> en markttoezicht</w:t>
      </w:r>
      <w:r w:rsidRPr="00463949">
        <w:rPr>
          <w:rStyle w:val="Voetnootmarkering"/>
          <w:rFonts w:ascii="Times New Roman" w:hAnsi="Times New Roman" w:cs="Times New Roman"/>
          <w:sz w:val="24"/>
          <w:szCs w:val="24"/>
        </w:rPr>
        <w:footnoteReference w:id="70"/>
      </w:r>
      <w:r w:rsidRPr="00463949">
        <w:rPr>
          <w:rFonts w:ascii="Times New Roman" w:hAnsi="Times New Roman" w:cs="Times New Roman"/>
          <w:sz w:val="24"/>
          <w:szCs w:val="24"/>
        </w:rPr>
        <w:t xml:space="preserve"> (zie overweging 37).</w:t>
      </w:r>
    </w:p>
    <w:p w:rsidRPr="00463949" w:rsidR="0066615E" w:rsidP="0066615E" w:rsidRDefault="0066615E" w14:paraId="4C6C5FAC" w14:textId="77777777">
      <w:pPr>
        <w:spacing w:after="0" w:line="276" w:lineRule="auto"/>
        <w:rPr>
          <w:rFonts w:ascii="Times New Roman" w:hAnsi="Times New Roman" w:cs="Times New Roman"/>
          <w:sz w:val="24"/>
          <w:szCs w:val="24"/>
        </w:rPr>
      </w:pPr>
    </w:p>
    <w:p w:rsidRPr="00463949" w:rsidR="00FB2FDC" w:rsidP="0032172A" w:rsidRDefault="0066615E" w14:paraId="6B7A65BC" w14:textId="764A83B8">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 o</w:t>
      </w:r>
      <w:r w:rsidRPr="00463949" w:rsidR="00FB2FDC">
        <w:rPr>
          <w:rFonts w:ascii="Times New Roman" w:hAnsi="Times New Roman" w:cs="Times New Roman"/>
          <w:i/>
          <w:iCs/>
          <w:sz w:val="24"/>
          <w:szCs w:val="24"/>
        </w:rPr>
        <w:t xml:space="preserve">nderdelen </w:t>
      </w:r>
      <w:r w:rsidRPr="00463949">
        <w:rPr>
          <w:rFonts w:ascii="Times New Roman" w:hAnsi="Times New Roman" w:cs="Times New Roman"/>
          <w:i/>
          <w:iCs/>
          <w:sz w:val="24"/>
          <w:szCs w:val="24"/>
        </w:rPr>
        <w:t xml:space="preserve">l, m </w:t>
      </w:r>
      <w:r w:rsidRPr="00463949" w:rsidR="00FB2FDC">
        <w:rPr>
          <w:rFonts w:ascii="Times New Roman" w:hAnsi="Times New Roman" w:cs="Times New Roman"/>
          <w:i/>
          <w:iCs/>
          <w:sz w:val="24"/>
          <w:szCs w:val="24"/>
        </w:rPr>
        <w:t xml:space="preserve">en </w:t>
      </w:r>
      <w:r w:rsidRPr="00463949">
        <w:rPr>
          <w:rFonts w:ascii="Times New Roman" w:hAnsi="Times New Roman" w:cs="Times New Roman"/>
          <w:i/>
          <w:iCs/>
          <w:sz w:val="24"/>
          <w:szCs w:val="24"/>
        </w:rPr>
        <w:t>n</w:t>
      </w:r>
      <w:r w:rsidRPr="00463949" w:rsidR="00FB2FDC">
        <w:rPr>
          <w:rFonts w:ascii="Times New Roman" w:hAnsi="Times New Roman" w:cs="Times New Roman"/>
          <w:i/>
          <w:iCs/>
          <w:sz w:val="24"/>
          <w:szCs w:val="24"/>
        </w:rPr>
        <w:t xml:space="preserve"> (op de markt aanbieden, in de handel brengen en in gebruik stellen)</w:t>
      </w:r>
    </w:p>
    <w:p w:rsidRPr="00463949" w:rsidR="00FB2FDC" w:rsidP="0032172A" w:rsidRDefault="00666C88" w14:paraId="258F18BA" w14:textId="48269CD2">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In deze onderdelen</w:t>
      </w:r>
      <w:r w:rsidRPr="00463949" w:rsidR="00A61421">
        <w:rPr>
          <w:rFonts w:ascii="Times New Roman" w:hAnsi="Times New Roman" w:cs="Times New Roman"/>
          <w:sz w:val="24"/>
          <w:szCs w:val="24"/>
        </w:rPr>
        <w:t xml:space="preserve"> van lid 1</w:t>
      </w:r>
      <w:r w:rsidRPr="00463949">
        <w:rPr>
          <w:rFonts w:ascii="Times New Roman" w:hAnsi="Times New Roman" w:cs="Times New Roman"/>
          <w:sz w:val="24"/>
          <w:szCs w:val="24"/>
        </w:rPr>
        <w:t xml:space="preserve"> </w:t>
      </w:r>
      <w:r w:rsidRPr="00463949" w:rsidR="00D301EC">
        <w:rPr>
          <w:rFonts w:ascii="Times New Roman" w:hAnsi="Times New Roman" w:cs="Times New Roman"/>
          <w:sz w:val="24"/>
          <w:szCs w:val="24"/>
        </w:rPr>
        <w:t xml:space="preserve">worden </w:t>
      </w:r>
      <w:r w:rsidRPr="00463949">
        <w:rPr>
          <w:rFonts w:ascii="Times New Roman" w:hAnsi="Times New Roman" w:cs="Times New Roman"/>
          <w:sz w:val="24"/>
          <w:szCs w:val="24"/>
        </w:rPr>
        <w:t xml:space="preserve">de begrippen “op de markt aanbieden”, “in de handel brengen” en “in gebruik stellen” </w:t>
      </w:r>
      <w:r w:rsidRPr="00463949" w:rsidR="00D301EC">
        <w:rPr>
          <w:rFonts w:ascii="Times New Roman" w:hAnsi="Times New Roman" w:cs="Times New Roman"/>
          <w:sz w:val="24"/>
          <w:szCs w:val="24"/>
        </w:rPr>
        <w:t xml:space="preserve">gedefinieerd. Deze bepalingen zijn </w:t>
      </w:r>
      <w:r w:rsidRPr="00463949">
        <w:rPr>
          <w:rFonts w:ascii="Times New Roman" w:hAnsi="Times New Roman" w:cs="Times New Roman"/>
          <w:sz w:val="24"/>
          <w:szCs w:val="24"/>
        </w:rPr>
        <w:t>overgenomen uit artikel 4</w:t>
      </w:r>
      <w:r w:rsidRPr="00463949" w:rsidR="003D409A">
        <w:rPr>
          <w:rFonts w:ascii="Times New Roman" w:hAnsi="Times New Roman" w:cs="Times New Roman"/>
          <w:sz w:val="24"/>
          <w:szCs w:val="24"/>
        </w:rPr>
        <w:t>,</w:t>
      </w:r>
      <w:r w:rsidRPr="00463949">
        <w:rPr>
          <w:rFonts w:ascii="Times New Roman" w:hAnsi="Times New Roman" w:cs="Times New Roman"/>
          <w:sz w:val="24"/>
          <w:szCs w:val="24"/>
        </w:rPr>
        <w:t xml:space="preserve"> onder 7-9</w:t>
      </w:r>
      <w:r w:rsidRPr="00463949" w:rsidR="003D409A">
        <w:rPr>
          <w:rFonts w:ascii="Times New Roman" w:hAnsi="Times New Roman" w:cs="Times New Roman"/>
          <w:sz w:val="24"/>
          <w:szCs w:val="24"/>
        </w:rPr>
        <w:t>,</w:t>
      </w:r>
      <w:r w:rsidRPr="00463949">
        <w:rPr>
          <w:rFonts w:ascii="Times New Roman" w:hAnsi="Times New Roman" w:cs="Times New Roman"/>
          <w:sz w:val="24"/>
          <w:szCs w:val="24"/>
        </w:rPr>
        <w:t xml:space="preserve"> Richtlijn. </w:t>
      </w:r>
      <w:r w:rsidRPr="00463949" w:rsidR="00FB2FDC">
        <w:rPr>
          <w:rFonts w:ascii="Times New Roman" w:hAnsi="Times New Roman" w:cs="Times New Roman"/>
          <w:sz w:val="24"/>
          <w:szCs w:val="24"/>
        </w:rPr>
        <w:t xml:space="preserve">Onder </w:t>
      </w:r>
      <w:r w:rsidRPr="00463949" w:rsidR="00F91773">
        <w:rPr>
          <w:rFonts w:ascii="Times New Roman" w:hAnsi="Times New Roman" w:cs="Times New Roman"/>
          <w:sz w:val="24"/>
          <w:szCs w:val="24"/>
        </w:rPr>
        <w:t>het</w:t>
      </w:r>
      <w:r w:rsidRPr="00463949" w:rsidR="000A73F1">
        <w:rPr>
          <w:rFonts w:ascii="Times New Roman" w:hAnsi="Times New Roman" w:cs="Times New Roman"/>
          <w:sz w:val="24"/>
          <w:szCs w:val="24"/>
        </w:rPr>
        <w:t xml:space="preserve"> begrip</w:t>
      </w:r>
      <w:r w:rsidRPr="00463949" w:rsidR="00F91773">
        <w:rPr>
          <w:rFonts w:ascii="Times New Roman" w:hAnsi="Times New Roman" w:cs="Times New Roman"/>
          <w:sz w:val="24"/>
          <w:szCs w:val="24"/>
        </w:rPr>
        <w:t xml:space="preserve"> </w:t>
      </w:r>
      <w:r w:rsidRPr="00463949" w:rsidR="00FB2FDC">
        <w:rPr>
          <w:rFonts w:ascii="Times New Roman" w:hAnsi="Times New Roman" w:cs="Times New Roman"/>
          <w:sz w:val="24"/>
          <w:szCs w:val="24"/>
        </w:rPr>
        <w:t>“op de markt aanbieden”</w:t>
      </w:r>
      <w:r w:rsidRPr="00463949">
        <w:rPr>
          <w:rFonts w:ascii="Times New Roman" w:hAnsi="Times New Roman" w:cs="Times New Roman"/>
          <w:sz w:val="24"/>
          <w:szCs w:val="24"/>
        </w:rPr>
        <w:t xml:space="preserve"> wordt verstaan het in het kader van een handelsactiviteit al dan niet tegen betaling verstrekken van een product met het oog op distributie, consumptie of gebruik op de markt van de EU (</w:t>
      </w:r>
      <w:r w:rsidRPr="00463949" w:rsidR="0066615E">
        <w:rPr>
          <w:rFonts w:ascii="Times New Roman" w:hAnsi="Times New Roman" w:cs="Times New Roman"/>
          <w:sz w:val="24"/>
          <w:szCs w:val="24"/>
        </w:rPr>
        <w:t xml:space="preserve">lid 1, </w:t>
      </w:r>
      <w:r w:rsidRPr="00463949">
        <w:rPr>
          <w:rFonts w:ascii="Times New Roman" w:hAnsi="Times New Roman" w:cs="Times New Roman"/>
          <w:sz w:val="24"/>
          <w:szCs w:val="24"/>
        </w:rPr>
        <w:t xml:space="preserve">onderdeel </w:t>
      </w:r>
      <w:r w:rsidRPr="00463949" w:rsidR="0066615E">
        <w:rPr>
          <w:rFonts w:ascii="Times New Roman" w:hAnsi="Times New Roman" w:cs="Times New Roman"/>
          <w:sz w:val="24"/>
          <w:szCs w:val="24"/>
        </w:rPr>
        <w:t>l</w:t>
      </w:r>
      <w:r w:rsidRPr="00463949">
        <w:rPr>
          <w:rFonts w:ascii="Times New Roman" w:hAnsi="Times New Roman" w:cs="Times New Roman"/>
          <w:sz w:val="24"/>
          <w:szCs w:val="24"/>
        </w:rPr>
        <w:t>).</w:t>
      </w:r>
      <w:r w:rsidRPr="00463949" w:rsidR="00F91773">
        <w:rPr>
          <w:rFonts w:ascii="Times New Roman" w:hAnsi="Times New Roman" w:cs="Times New Roman"/>
          <w:sz w:val="24"/>
          <w:szCs w:val="24"/>
        </w:rPr>
        <w:t xml:space="preserve"> </w:t>
      </w:r>
      <w:r w:rsidRPr="00463949" w:rsidR="00F02983">
        <w:rPr>
          <w:rFonts w:ascii="Times New Roman" w:hAnsi="Times New Roman" w:cs="Times New Roman"/>
          <w:sz w:val="24"/>
          <w:szCs w:val="24"/>
        </w:rPr>
        <w:t xml:space="preserve">Hieronder vallen bijvoorbeeld </w:t>
      </w:r>
      <w:r w:rsidRPr="00463949" w:rsidR="000A73F1">
        <w:rPr>
          <w:rFonts w:ascii="Times New Roman" w:hAnsi="Times New Roman" w:cs="Times New Roman"/>
          <w:sz w:val="24"/>
          <w:szCs w:val="24"/>
        </w:rPr>
        <w:t xml:space="preserve">ook producten </w:t>
      </w:r>
      <w:r w:rsidRPr="00463949" w:rsidR="000B121E">
        <w:rPr>
          <w:rFonts w:ascii="Times New Roman" w:hAnsi="Times New Roman" w:cs="Times New Roman"/>
          <w:sz w:val="24"/>
          <w:szCs w:val="24"/>
        </w:rPr>
        <w:t>die worden geleverd in het kader van een sponsoringscampagne of producten die worden vervaardigd voor de met overheidsmiddelen gefinancierde dienstverlening, aangezien die vorm van levering hoe dan ook een economisch of commercieel karakter heeft</w:t>
      </w:r>
      <w:r w:rsidRPr="00463949" w:rsidR="00F02983">
        <w:rPr>
          <w:rFonts w:ascii="Times New Roman" w:hAnsi="Times New Roman" w:cs="Times New Roman"/>
          <w:sz w:val="24"/>
          <w:szCs w:val="24"/>
        </w:rPr>
        <w:t xml:space="preserve"> (zie overweging 26)</w:t>
      </w:r>
      <w:r w:rsidRPr="00463949" w:rsidR="000B121E">
        <w:rPr>
          <w:rFonts w:ascii="Times New Roman" w:hAnsi="Times New Roman" w:cs="Times New Roman"/>
          <w:sz w:val="24"/>
          <w:szCs w:val="24"/>
        </w:rPr>
        <w:t xml:space="preserve">. </w:t>
      </w:r>
      <w:r w:rsidRPr="00463949" w:rsidR="000A73F1">
        <w:rPr>
          <w:rFonts w:ascii="Times New Roman" w:hAnsi="Times New Roman" w:cs="Times New Roman"/>
          <w:sz w:val="24"/>
          <w:szCs w:val="24"/>
        </w:rPr>
        <w:t xml:space="preserve">Onder het begrip </w:t>
      </w:r>
      <w:r w:rsidRPr="00463949">
        <w:rPr>
          <w:rFonts w:ascii="Times New Roman" w:hAnsi="Times New Roman" w:cs="Times New Roman"/>
          <w:sz w:val="24"/>
          <w:szCs w:val="24"/>
        </w:rPr>
        <w:t>“</w:t>
      </w:r>
      <w:r w:rsidRPr="00463949" w:rsidR="000B121E">
        <w:rPr>
          <w:rFonts w:ascii="Times New Roman" w:hAnsi="Times New Roman" w:cs="Times New Roman"/>
          <w:sz w:val="24"/>
          <w:szCs w:val="24"/>
        </w:rPr>
        <w:t>i</w:t>
      </w:r>
      <w:r w:rsidRPr="00463949">
        <w:rPr>
          <w:rFonts w:ascii="Times New Roman" w:hAnsi="Times New Roman" w:cs="Times New Roman"/>
          <w:sz w:val="24"/>
          <w:szCs w:val="24"/>
        </w:rPr>
        <w:t xml:space="preserve">n de handel brengen” </w:t>
      </w:r>
      <w:r w:rsidRPr="00463949" w:rsidR="000A73F1">
        <w:rPr>
          <w:rFonts w:ascii="Times New Roman" w:hAnsi="Times New Roman" w:cs="Times New Roman"/>
          <w:sz w:val="24"/>
          <w:szCs w:val="24"/>
        </w:rPr>
        <w:t xml:space="preserve">wordt verstaan </w:t>
      </w:r>
      <w:r w:rsidRPr="00463949">
        <w:rPr>
          <w:rFonts w:ascii="Times New Roman" w:hAnsi="Times New Roman" w:cs="Times New Roman"/>
          <w:sz w:val="24"/>
          <w:szCs w:val="24"/>
        </w:rPr>
        <w:t>het</w:t>
      </w:r>
      <w:r w:rsidRPr="00463949" w:rsidR="000B121E">
        <w:rPr>
          <w:rFonts w:ascii="Times New Roman" w:hAnsi="Times New Roman" w:cs="Times New Roman"/>
          <w:sz w:val="24"/>
          <w:szCs w:val="24"/>
        </w:rPr>
        <w:t xml:space="preserve"> voor het</w:t>
      </w:r>
      <w:r w:rsidRPr="00463949">
        <w:rPr>
          <w:rFonts w:ascii="Times New Roman" w:hAnsi="Times New Roman" w:cs="Times New Roman"/>
          <w:sz w:val="24"/>
          <w:szCs w:val="24"/>
        </w:rPr>
        <w:t xml:space="preserve"> eerst in de EU op de markt aanbieden van een product (</w:t>
      </w:r>
      <w:r w:rsidRPr="00463949" w:rsidR="0066615E">
        <w:rPr>
          <w:rFonts w:ascii="Times New Roman" w:hAnsi="Times New Roman" w:cs="Times New Roman"/>
          <w:sz w:val="24"/>
          <w:szCs w:val="24"/>
        </w:rPr>
        <w:t xml:space="preserve">lid 1, </w:t>
      </w:r>
      <w:r w:rsidRPr="00463949">
        <w:rPr>
          <w:rFonts w:ascii="Times New Roman" w:hAnsi="Times New Roman" w:cs="Times New Roman"/>
          <w:sz w:val="24"/>
          <w:szCs w:val="24"/>
        </w:rPr>
        <w:t xml:space="preserve">onderdeel </w:t>
      </w:r>
      <w:r w:rsidRPr="00463949" w:rsidR="0066615E">
        <w:rPr>
          <w:rFonts w:ascii="Times New Roman" w:hAnsi="Times New Roman" w:cs="Times New Roman"/>
          <w:sz w:val="24"/>
          <w:szCs w:val="24"/>
        </w:rPr>
        <w:t>m</w:t>
      </w:r>
      <w:r w:rsidRPr="00463949">
        <w:rPr>
          <w:rFonts w:ascii="Times New Roman" w:hAnsi="Times New Roman" w:cs="Times New Roman"/>
          <w:sz w:val="24"/>
          <w:szCs w:val="24"/>
        </w:rPr>
        <w:t xml:space="preserve">). </w:t>
      </w:r>
      <w:r w:rsidRPr="00463949" w:rsidR="000B121E">
        <w:rPr>
          <w:rFonts w:ascii="Times New Roman" w:hAnsi="Times New Roman" w:cs="Times New Roman"/>
          <w:sz w:val="24"/>
          <w:szCs w:val="24"/>
        </w:rPr>
        <w:t>Het</w:t>
      </w:r>
      <w:r w:rsidRPr="00463949" w:rsidR="000A73F1">
        <w:rPr>
          <w:rFonts w:ascii="Times New Roman" w:hAnsi="Times New Roman" w:cs="Times New Roman"/>
          <w:sz w:val="24"/>
          <w:szCs w:val="24"/>
        </w:rPr>
        <w:t xml:space="preserve"> begrip</w:t>
      </w:r>
      <w:r w:rsidRPr="00463949" w:rsidR="000B121E">
        <w:rPr>
          <w:rFonts w:ascii="Times New Roman" w:hAnsi="Times New Roman" w:cs="Times New Roman"/>
          <w:sz w:val="24"/>
          <w:szCs w:val="24"/>
        </w:rPr>
        <w:t xml:space="preserve"> </w:t>
      </w:r>
      <w:r w:rsidRPr="00463949">
        <w:rPr>
          <w:rFonts w:ascii="Times New Roman" w:hAnsi="Times New Roman" w:cs="Times New Roman"/>
          <w:sz w:val="24"/>
          <w:szCs w:val="24"/>
        </w:rPr>
        <w:t xml:space="preserve">“in gebruik stellen” </w:t>
      </w:r>
      <w:r w:rsidRPr="00463949" w:rsidR="000B121E">
        <w:rPr>
          <w:rFonts w:ascii="Times New Roman" w:hAnsi="Times New Roman" w:cs="Times New Roman"/>
          <w:sz w:val="24"/>
          <w:szCs w:val="24"/>
        </w:rPr>
        <w:t xml:space="preserve">is gedefinieerd als </w:t>
      </w:r>
      <w:r w:rsidRPr="00463949">
        <w:rPr>
          <w:rFonts w:ascii="Times New Roman" w:hAnsi="Times New Roman" w:cs="Times New Roman"/>
          <w:sz w:val="24"/>
          <w:szCs w:val="24"/>
        </w:rPr>
        <w:t>het al dan niet tegen betaling voor het eerst gebruiken van een product in de EU in het kader van een handelsactiviteit, wanneer dat product vóór het eerste gebruik ervan niet in de handel is gebracht (</w:t>
      </w:r>
      <w:r w:rsidRPr="00463949" w:rsidR="0066615E">
        <w:rPr>
          <w:rFonts w:ascii="Times New Roman" w:hAnsi="Times New Roman" w:cs="Times New Roman"/>
          <w:sz w:val="24"/>
          <w:szCs w:val="24"/>
        </w:rPr>
        <w:t xml:space="preserve">lid 1, </w:t>
      </w:r>
      <w:r w:rsidRPr="00463949">
        <w:rPr>
          <w:rFonts w:ascii="Times New Roman" w:hAnsi="Times New Roman" w:cs="Times New Roman"/>
          <w:sz w:val="24"/>
          <w:szCs w:val="24"/>
        </w:rPr>
        <w:t xml:space="preserve">onderdeel </w:t>
      </w:r>
      <w:r w:rsidRPr="00463949" w:rsidR="0066615E">
        <w:rPr>
          <w:rFonts w:ascii="Times New Roman" w:hAnsi="Times New Roman" w:cs="Times New Roman"/>
          <w:sz w:val="24"/>
          <w:szCs w:val="24"/>
        </w:rPr>
        <w:t>n</w:t>
      </w:r>
      <w:r w:rsidRPr="00463949">
        <w:rPr>
          <w:rFonts w:ascii="Times New Roman" w:hAnsi="Times New Roman" w:cs="Times New Roman"/>
          <w:sz w:val="24"/>
          <w:szCs w:val="24"/>
        </w:rPr>
        <w:t xml:space="preserve">). </w:t>
      </w:r>
      <w:r w:rsidRPr="00463949" w:rsidR="00F02983">
        <w:rPr>
          <w:rFonts w:ascii="Times New Roman" w:hAnsi="Times New Roman" w:cs="Times New Roman"/>
          <w:sz w:val="24"/>
          <w:szCs w:val="24"/>
        </w:rPr>
        <w:t xml:space="preserve">Dit </w:t>
      </w:r>
      <w:r w:rsidRPr="00463949">
        <w:rPr>
          <w:rFonts w:ascii="Times New Roman" w:hAnsi="Times New Roman" w:cs="Times New Roman"/>
          <w:sz w:val="24"/>
          <w:szCs w:val="24"/>
        </w:rPr>
        <w:t>begrip</w:t>
      </w:r>
      <w:r w:rsidRPr="00463949" w:rsidR="00F02983">
        <w:rPr>
          <w:rFonts w:ascii="Times New Roman" w:hAnsi="Times New Roman" w:cs="Times New Roman"/>
          <w:sz w:val="24"/>
          <w:szCs w:val="24"/>
        </w:rPr>
        <w:t xml:space="preserve"> is </w:t>
      </w:r>
      <w:r w:rsidRPr="00463949">
        <w:rPr>
          <w:rFonts w:ascii="Times New Roman" w:hAnsi="Times New Roman" w:cs="Times New Roman"/>
          <w:sz w:val="24"/>
          <w:szCs w:val="24"/>
        </w:rPr>
        <w:t>relevant voor producten die niet vóór hun eerste gebruik in de handel worden gebracht, zoals het geval kan zijn bij liften, machines of medische hulpmiddelen</w:t>
      </w:r>
      <w:r w:rsidRPr="00463949" w:rsidR="00F02983">
        <w:rPr>
          <w:rFonts w:ascii="Times New Roman" w:hAnsi="Times New Roman" w:cs="Times New Roman"/>
          <w:sz w:val="24"/>
          <w:szCs w:val="24"/>
        </w:rPr>
        <w:t xml:space="preserve"> (zie overweging 26)</w:t>
      </w:r>
      <w:r w:rsidRPr="00463949">
        <w:rPr>
          <w:rFonts w:ascii="Times New Roman" w:hAnsi="Times New Roman" w:cs="Times New Roman"/>
          <w:sz w:val="24"/>
          <w:szCs w:val="24"/>
        </w:rPr>
        <w:t>.</w:t>
      </w:r>
    </w:p>
    <w:p w:rsidRPr="00463949" w:rsidR="0066615E" w:rsidP="0032172A" w:rsidRDefault="0066615E" w14:paraId="1D8F102D" w14:textId="77777777">
      <w:pPr>
        <w:spacing w:after="0" w:line="276" w:lineRule="auto"/>
        <w:rPr>
          <w:rFonts w:ascii="Times New Roman" w:hAnsi="Times New Roman" w:cs="Times New Roman"/>
          <w:i/>
          <w:iCs/>
          <w:color w:val="000000"/>
          <w:kern w:val="0"/>
          <w:sz w:val="24"/>
          <w:szCs w:val="24"/>
        </w:rPr>
      </w:pPr>
    </w:p>
    <w:p w:rsidRPr="00463949" w:rsidR="0066615E" w:rsidP="0032172A" w:rsidRDefault="0066615E" w14:paraId="363D8D27" w14:textId="687C2E2F">
      <w:pPr>
        <w:spacing w:after="0" w:line="276" w:lineRule="auto"/>
        <w:rPr>
          <w:rFonts w:ascii="Times New Roman" w:hAnsi="Times New Roman" w:cs="Times New Roman"/>
          <w:i/>
          <w:iCs/>
          <w:color w:val="000000"/>
          <w:kern w:val="0"/>
          <w:sz w:val="24"/>
          <w:szCs w:val="24"/>
        </w:rPr>
      </w:pPr>
      <w:r w:rsidRPr="00463949">
        <w:rPr>
          <w:rFonts w:ascii="Times New Roman" w:hAnsi="Times New Roman" w:cs="Times New Roman"/>
          <w:i/>
          <w:iCs/>
          <w:color w:val="000000"/>
          <w:kern w:val="0"/>
          <w:sz w:val="24"/>
          <w:szCs w:val="24"/>
        </w:rPr>
        <w:t>Lid 1, onderdelen o en p (importeur en distributeur)</w:t>
      </w:r>
    </w:p>
    <w:p w:rsidRPr="00463949" w:rsidR="007121A9" w:rsidP="0032172A" w:rsidRDefault="0066615E" w14:paraId="7460E74E" w14:textId="36AF3832">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begrippen “importeur” en “distributeur” zijn overgenomen uit artikel 4, onder </w:t>
      </w:r>
      <w:r w:rsidRPr="00463949" w:rsidR="00A61421">
        <w:rPr>
          <w:rFonts w:ascii="Times New Roman" w:hAnsi="Times New Roman" w:cs="Times New Roman"/>
          <w:sz w:val="24"/>
          <w:szCs w:val="24"/>
        </w:rPr>
        <w:t xml:space="preserve">12 en 14, Richtlijn. </w:t>
      </w:r>
      <w:r w:rsidRPr="00463949" w:rsidR="00BA3A9A">
        <w:rPr>
          <w:rFonts w:ascii="Times New Roman" w:hAnsi="Times New Roman" w:cs="Times New Roman"/>
          <w:sz w:val="24"/>
          <w:szCs w:val="24"/>
        </w:rPr>
        <w:t xml:space="preserve">Een “importeur” </w:t>
      </w:r>
      <w:r w:rsidRPr="00463949" w:rsidR="00A14F7C">
        <w:rPr>
          <w:rFonts w:ascii="Times New Roman" w:hAnsi="Times New Roman" w:cs="Times New Roman"/>
          <w:sz w:val="24"/>
          <w:szCs w:val="24"/>
        </w:rPr>
        <w:t>is een natuurlijke persoon of rechtspersoon die een product uit een derde land in de EU in de handel brengt.</w:t>
      </w:r>
      <w:r w:rsidRPr="00463949" w:rsidR="007121A9">
        <w:rPr>
          <w:rFonts w:ascii="Times New Roman" w:hAnsi="Times New Roman" w:cs="Times New Roman"/>
          <w:sz w:val="24"/>
          <w:szCs w:val="24"/>
        </w:rPr>
        <w:t xml:space="preserve"> </w:t>
      </w:r>
      <w:r w:rsidRPr="00463949" w:rsidR="00936EB9">
        <w:rPr>
          <w:rFonts w:ascii="Times New Roman" w:hAnsi="Times New Roman" w:cs="Times New Roman"/>
          <w:sz w:val="24"/>
          <w:szCs w:val="24"/>
        </w:rPr>
        <w:t xml:space="preserve">Deze definitie sluit aan bij de definitie van importeur in </w:t>
      </w:r>
      <w:r w:rsidRPr="00463949" w:rsidR="007121A9">
        <w:rPr>
          <w:rFonts w:ascii="Times New Roman" w:hAnsi="Times New Roman" w:cs="Times New Roman"/>
          <w:sz w:val="24"/>
          <w:szCs w:val="24"/>
        </w:rPr>
        <w:t>de Uniewetgeving inzake productveiligheid en markttoezicht.</w:t>
      </w:r>
      <w:r w:rsidRPr="00463949" w:rsidR="003233C4">
        <w:rPr>
          <w:rStyle w:val="Voetnootmarkering"/>
          <w:rFonts w:ascii="Times New Roman" w:hAnsi="Times New Roman" w:cs="Times New Roman"/>
          <w:sz w:val="24"/>
          <w:szCs w:val="24"/>
        </w:rPr>
        <w:footnoteReference w:id="71"/>
      </w:r>
      <w:r w:rsidRPr="00463949" w:rsidR="00A61421">
        <w:rPr>
          <w:rFonts w:ascii="Times New Roman" w:hAnsi="Times New Roman" w:cs="Times New Roman"/>
          <w:sz w:val="24"/>
          <w:szCs w:val="24"/>
        </w:rPr>
        <w:t xml:space="preserve"> Onder “distributeur” </w:t>
      </w:r>
      <w:r w:rsidRPr="00463949" w:rsidR="00E7634A">
        <w:rPr>
          <w:rFonts w:ascii="Times New Roman" w:hAnsi="Times New Roman" w:cs="Times New Roman"/>
          <w:sz w:val="24"/>
          <w:szCs w:val="24"/>
        </w:rPr>
        <w:t xml:space="preserve">wordt verstaan </w:t>
      </w:r>
      <w:r w:rsidRPr="00463949" w:rsidR="007121A9">
        <w:rPr>
          <w:rFonts w:ascii="Times New Roman" w:hAnsi="Times New Roman" w:cs="Times New Roman"/>
          <w:sz w:val="24"/>
          <w:szCs w:val="24"/>
        </w:rPr>
        <w:t>een andere natuurlijke persoon of rechtspersoon in de toeleveringsketen dan de fabrikant of de importeur die een product op de markt aanbiedt</w:t>
      </w:r>
      <w:r w:rsidRPr="00463949" w:rsidR="00E7634A">
        <w:rPr>
          <w:rFonts w:ascii="Times New Roman" w:hAnsi="Times New Roman" w:cs="Times New Roman"/>
          <w:sz w:val="24"/>
          <w:szCs w:val="24"/>
        </w:rPr>
        <w:t xml:space="preserve">. </w:t>
      </w:r>
      <w:r w:rsidRPr="00463949" w:rsidR="005711E0">
        <w:rPr>
          <w:rFonts w:ascii="Times New Roman" w:hAnsi="Times New Roman" w:cs="Times New Roman"/>
          <w:sz w:val="24"/>
          <w:szCs w:val="24"/>
        </w:rPr>
        <w:lastRenderedPageBreak/>
        <w:t xml:space="preserve">Deze </w:t>
      </w:r>
      <w:r w:rsidRPr="00463949" w:rsidR="00E7634A">
        <w:rPr>
          <w:rFonts w:ascii="Times New Roman" w:hAnsi="Times New Roman" w:cs="Times New Roman"/>
          <w:sz w:val="24"/>
          <w:szCs w:val="24"/>
        </w:rPr>
        <w:t>definitie</w:t>
      </w:r>
      <w:r w:rsidRPr="00463949" w:rsidR="005711E0">
        <w:rPr>
          <w:rFonts w:ascii="Times New Roman" w:hAnsi="Times New Roman" w:cs="Times New Roman"/>
          <w:sz w:val="24"/>
          <w:szCs w:val="24"/>
        </w:rPr>
        <w:t xml:space="preserve"> sluit </w:t>
      </w:r>
      <w:r w:rsidRPr="00463949" w:rsidR="00E7634A">
        <w:rPr>
          <w:rFonts w:ascii="Times New Roman" w:hAnsi="Times New Roman" w:cs="Times New Roman"/>
          <w:sz w:val="24"/>
          <w:szCs w:val="24"/>
        </w:rPr>
        <w:t xml:space="preserve">aan </w:t>
      </w:r>
      <w:r w:rsidRPr="00463949" w:rsidR="005711E0">
        <w:rPr>
          <w:rFonts w:ascii="Times New Roman" w:hAnsi="Times New Roman" w:cs="Times New Roman"/>
          <w:sz w:val="24"/>
          <w:szCs w:val="24"/>
        </w:rPr>
        <w:t xml:space="preserve">bij </w:t>
      </w:r>
      <w:r w:rsidRPr="00463949" w:rsidR="00E7634A">
        <w:rPr>
          <w:rFonts w:ascii="Times New Roman" w:hAnsi="Times New Roman" w:cs="Times New Roman"/>
          <w:sz w:val="24"/>
          <w:szCs w:val="24"/>
        </w:rPr>
        <w:t>de</w:t>
      </w:r>
      <w:r w:rsidRPr="00463949" w:rsidR="005711E0">
        <w:rPr>
          <w:rFonts w:ascii="Times New Roman" w:hAnsi="Times New Roman" w:cs="Times New Roman"/>
          <w:sz w:val="24"/>
          <w:szCs w:val="24"/>
        </w:rPr>
        <w:t xml:space="preserve"> definitie van distributeur in de</w:t>
      </w:r>
      <w:r w:rsidRPr="00463949" w:rsidR="00E7634A">
        <w:rPr>
          <w:rFonts w:ascii="Times New Roman" w:hAnsi="Times New Roman" w:cs="Times New Roman"/>
          <w:sz w:val="24"/>
          <w:szCs w:val="24"/>
        </w:rPr>
        <w:t xml:space="preserve"> Uniewetgeving inzake productveiligheid en markttoezicht.</w:t>
      </w:r>
      <w:r w:rsidRPr="00463949" w:rsidR="00E7634A">
        <w:rPr>
          <w:rStyle w:val="Voetnootmarkering"/>
          <w:rFonts w:ascii="Times New Roman" w:hAnsi="Times New Roman" w:cs="Times New Roman"/>
          <w:sz w:val="24"/>
          <w:szCs w:val="24"/>
        </w:rPr>
        <w:footnoteReference w:id="72"/>
      </w:r>
    </w:p>
    <w:p w:rsidRPr="00463949" w:rsidR="00E7634A" w:rsidP="0032172A" w:rsidRDefault="00E7634A" w14:paraId="717E8E50" w14:textId="77777777">
      <w:pPr>
        <w:spacing w:after="0" w:line="276" w:lineRule="auto"/>
        <w:rPr>
          <w:rFonts w:ascii="Times New Roman" w:hAnsi="Times New Roman" w:cs="Times New Roman"/>
          <w:sz w:val="24"/>
          <w:szCs w:val="24"/>
        </w:rPr>
      </w:pPr>
    </w:p>
    <w:p w:rsidRPr="00463949" w:rsidR="00A61421" w:rsidP="00A61421" w:rsidRDefault="00A61421" w14:paraId="0B72A5BD" w14:textId="69418B7B">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 onderdeel q (ingrijpende wijziging)</w:t>
      </w:r>
    </w:p>
    <w:p w:rsidRPr="00463949" w:rsidR="00A61421" w:rsidP="00A61421" w:rsidRDefault="00A61421" w14:paraId="34C0E6EC" w14:textId="2B8040C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Dit onderdeel van lid 1 bevat een begripsomschrijving van “ingrijpende wijziging”. Deze bepaling is overgenomen uit artikel 4, onder 18, Richtlijn. Of een wijziging van een product, nadat het in de handel is gebracht of in gebruik is gesteld, ingrijpend is, moet worden bepaald aan de hand van criteria die zijn vastgesteld in de toepasselijke Unie- of nationaalrechtelijke regels inzake productveiligheid</w:t>
      </w:r>
      <w:r w:rsidRPr="00463949">
        <w:rPr>
          <w:rStyle w:val="Voetnootmarkering"/>
          <w:rFonts w:ascii="Times New Roman" w:hAnsi="Times New Roman" w:cs="Times New Roman"/>
          <w:sz w:val="24"/>
          <w:szCs w:val="24"/>
        </w:rPr>
        <w:footnoteReference w:id="73"/>
      </w:r>
      <w:r w:rsidRPr="00463949">
        <w:rPr>
          <w:rFonts w:ascii="Times New Roman" w:hAnsi="Times New Roman" w:cs="Times New Roman"/>
          <w:sz w:val="24"/>
          <w:szCs w:val="24"/>
        </w:rPr>
        <w:t xml:space="preserve"> (subonderdeel 1). Indien dergelijke criteria voor het betrokken product niet zijn vastgesteld, moet als ingrijpend worden beschouwd een wijziging (i) die de oorspronkelijke prestaties, het doel of het type van het product verandert zonder dat dit was voorzien in de oorspronkelijke risicobeoordeling van de fabrikant én (ii) die de aard van het gevaar verandert, een nieuw gevaar creëert of het risiconiveau verhoogt (subonderdeel 2). Voor wijzigingen door middel van een software-update of upgrade gelden dezelfde uitgangspunten als voor wijzigingen die op andere manieren worden aangebracht. Wanneer een ingrijpende wijziging wordt aangebracht door middel van een software-update of upgrade, of als gevolg van het voortdurende leren van een AI-systeem, moet het ingrijpend gewijzigde product worden geacht op de markt te zijn aangeboden of in gebruik te zijn gesteld op het moment dat die wijziging daadwerkelijk wordt doorgevoerd (zie overweging 40). </w:t>
      </w:r>
    </w:p>
    <w:p w:rsidRPr="00463949" w:rsidR="00A61421" w:rsidP="00A61421" w:rsidRDefault="00A61421" w14:paraId="54616796" w14:textId="77777777">
      <w:pPr>
        <w:spacing w:after="0" w:line="276" w:lineRule="auto"/>
        <w:rPr>
          <w:rFonts w:ascii="Times New Roman" w:hAnsi="Times New Roman" w:cs="Times New Roman"/>
          <w:sz w:val="24"/>
          <w:szCs w:val="24"/>
        </w:rPr>
      </w:pPr>
    </w:p>
    <w:p w:rsidRPr="00463949" w:rsidR="00E7634A" w:rsidP="00A61421" w:rsidRDefault="00A61421" w14:paraId="22885082" w14:textId="62066160">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 o</w:t>
      </w:r>
      <w:r w:rsidRPr="00463949" w:rsidR="0020026E">
        <w:rPr>
          <w:rFonts w:ascii="Times New Roman" w:hAnsi="Times New Roman" w:cs="Times New Roman"/>
          <w:i/>
          <w:iCs/>
          <w:sz w:val="24"/>
          <w:szCs w:val="24"/>
        </w:rPr>
        <w:t xml:space="preserve">nderdeel </w:t>
      </w:r>
      <w:r w:rsidRPr="00463949">
        <w:rPr>
          <w:rFonts w:ascii="Times New Roman" w:hAnsi="Times New Roman" w:cs="Times New Roman"/>
          <w:i/>
          <w:iCs/>
          <w:sz w:val="24"/>
          <w:szCs w:val="24"/>
        </w:rPr>
        <w:t>r</w:t>
      </w:r>
      <w:r w:rsidRPr="00463949" w:rsidR="0020026E">
        <w:rPr>
          <w:rFonts w:ascii="Times New Roman" w:hAnsi="Times New Roman" w:cs="Times New Roman"/>
          <w:i/>
          <w:iCs/>
          <w:sz w:val="24"/>
          <w:szCs w:val="24"/>
        </w:rPr>
        <w:t xml:space="preserve"> (marktdeelnemer)</w:t>
      </w:r>
    </w:p>
    <w:p w:rsidRPr="00463949" w:rsidR="0020026E" w:rsidP="0032172A" w:rsidRDefault="0020026E" w14:paraId="7D7AE841" w14:textId="7D4F6DE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Het begrip “mark</w:t>
      </w:r>
      <w:r w:rsidRPr="00463949" w:rsidR="005711E0">
        <w:rPr>
          <w:rFonts w:ascii="Times New Roman" w:hAnsi="Times New Roman" w:cs="Times New Roman"/>
          <w:sz w:val="24"/>
          <w:szCs w:val="24"/>
        </w:rPr>
        <w:t>t</w:t>
      </w:r>
      <w:r w:rsidRPr="00463949">
        <w:rPr>
          <w:rFonts w:ascii="Times New Roman" w:hAnsi="Times New Roman" w:cs="Times New Roman"/>
          <w:sz w:val="24"/>
          <w:szCs w:val="24"/>
        </w:rPr>
        <w:t xml:space="preserve">deelnemer” </w:t>
      </w:r>
      <w:r w:rsidRPr="00463949" w:rsidR="00936EB9">
        <w:rPr>
          <w:rFonts w:ascii="Times New Roman" w:hAnsi="Times New Roman" w:cs="Times New Roman"/>
          <w:sz w:val="24"/>
          <w:szCs w:val="24"/>
        </w:rPr>
        <w:t xml:space="preserve">is overgenomen </w:t>
      </w:r>
      <w:r w:rsidRPr="00463949" w:rsidR="00494BD6">
        <w:rPr>
          <w:rFonts w:ascii="Times New Roman" w:hAnsi="Times New Roman" w:cs="Times New Roman"/>
          <w:sz w:val="24"/>
          <w:szCs w:val="24"/>
        </w:rPr>
        <w:t xml:space="preserve">uit artikel 4, onder 15, Richtlijn en </w:t>
      </w:r>
      <w:r w:rsidRPr="00463949">
        <w:rPr>
          <w:rFonts w:ascii="Times New Roman" w:hAnsi="Times New Roman" w:cs="Times New Roman"/>
          <w:sz w:val="24"/>
          <w:szCs w:val="24"/>
        </w:rPr>
        <w:t>omvat personen die op grond van de Richtlijn aansprakelijk kunnen worden gesteld voor de</w:t>
      </w:r>
      <w:r w:rsidRPr="00463949" w:rsidR="005711E0">
        <w:rPr>
          <w:rFonts w:ascii="Times New Roman" w:hAnsi="Times New Roman" w:cs="Times New Roman"/>
          <w:sz w:val="24"/>
          <w:szCs w:val="24"/>
        </w:rPr>
        <w:t xml:space="preserve"> door een gebrekkig product veroorzaakte</w:t>
      </w:r>
      <w:r w:rsidRPr="00463949">
        <w:rPr>
          <w:rFonts w:ascii="Times New Roman" w:hAnsi="Times New Roman" w:cs="Times New Roman"/>
          <w:sz w:val="24"/>
          <w:szCs w:val="24"/>
        </w:rPr>
        <w:t xml:space="preserve"> schade. Onder dit overkoepelende begrip vallen: een fabrikant van een product of een component, een aanbiede</w:t>
      </w:r>
      <w:r w:rsidRPr="00463949" w:rsidR="001B75A8">
        <w:rPr>
          <w:rFonts w:ascii="Times New Roman" w:hAnsi="Times New Roman" w:cs="Times New Roman"/>
          <w:sz w:val="24"/>
          <w:szCs w:val="24"/>
        </w:rPr>
        <w:t>r</w:t>
      </w:r>
      <w:r w:rsidRPr="00463949">
        <w:rPr>
          <w:rFonts w:ascii="Times New Roman" w:hAnsi="Times New Roman" w:cs="Times New Roman"/>
          <w:sz w:val="24"/>
          <w:szCs w:val="24"/>
        </w:rPr>
        <w:t xml:space="preserve"> van een bijbehorende dienst, een gemachtigde, een importeur, een fulfilmentdienstverlener en een distributeur. </w:t>
      </w:r>
      <w:r w:rsidRPr="00463949" w:rsidR="005711E0">
        <w:rPr>
          <w:rFonts w:ascii="Times New Roman" w:hAnsi="Times New Roman" w:cs="Times New Roman"/>
          <w:sz w:val="24"/>
          <w:szCs w:val="24"/>
        </w:rPr>
        <w:t>Deze begrippen zijn hiervoor al toegelicht.</w:t>
      </w:r>
    </w:p>
    <w:p w:rsidRPr="00463949" w:rsidR="00815C66" w:rsidP="00D045E0" w:rsidRDefault="00815C66" w14:paraId="6B2AB9FE" w14:textId="77777777">
      <w:pPr>
        <w:spacing w:after="0" w:line="276" w:lineRule="auto"/>
        <w:rPr>
          <w:rFonts w:ascii="Times New Roman" w:hAnsi="Times New Roman" w:cs="Times New Roman"/>
          <w:sz w:val="24"/>
          <w:szCs w:val="24"/>
        </w:rPr>
      </w:pPr>
    </w:p>
    <w:p w:rsidRPr="00463949" w:rsidR="00977842" w:rsidP="00977842" w:rsidRDefault="00977842" w14:paraId="7C1C36A6" w14:textId="77777777">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2 (zeggenschap van de fabrikant)</w:t>
      </w:r>
    </w:p>
    <w:p w:rsidRPr="00463949" w:rsidR="00977842" w:rsidP="00977842" w:rsidRDefault="00977842" w14:paraId="61698493" w14:textId="54B4C3B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Het begrip “zeggenschap van de fabrikant” correspondeert met artikel 4, onder 5, Richtlijn en is om redactionele redenen opgenomen in het voorgestelde lid 2. Zeggenschap van de fabrikant omvat verschillende situaties. In de eerste plaats is sprake van zeggenschap van de fabrikant als de fabrikant zelf een component, waaronder begrepen software-updates of -upgrades, integreert in of onderling verbindt met een product, of als hij deze zelf levert. Er is eveneens sprake van zeggenschap van de fabrikant als hij toestemming geeft voor of instemt met de integratie, onderlinge verbinding of levering van een component door een derde (zie onderdeel </w:t>
      </w:r>
      <w:r w:rsidRPr="00463949" w:rsidR="00032C75">
        <w:rPr>
          <w:rFonts w:ascii="Times New Roman" w:hAnsi="Times New Roman" w:cs="Times New Roman"/>
          <w:sz w:val="24"/>
          <w:szCs w:val="24"/>
        </w:rPr>
        <w:t>a</w:t>
      </w:r>
      <w:r w:rsidRPr="00463949">
        <w:rPr>
          <w:rFonts w:ascii="Times New Roman" w:hAnsi="Times New Roman" w:cs="Times New Roman"/>
          <w:sz w:val="24"/>
          <w:szCs w:val="24"/>
        </w:rPr>
        <w:t xml:space="preserve">, aanhef en onder </w:t>
      </w:r>
      <w:r w:rsidRPr="00463949" w:rsidR="00DC3344">
        <w:rPr>
          <w:rFonts w:ascii="Times New Roman" w:hAnsi="Times New Roman" w:cs="Times New Roman"/>
          <w:sz w:val="24"/>
          <w:szCs w:val="24"/>
        </w:rPr>
        <w:t>1°</w:t>
      </w:r>
      <w:r w:rsidRPr="00463949">
        <w:rPr>
          <w:rFonts w:ascii="Times New Roman" w:hAnsi="Times New Roman" w:cs="Times New Roman"/>
          <w:sz w:val="24"/>
          <w:szCs w:val="24"/>
        </w:rPr>
        <w:t xml:space="preserve">). Hiervan is bijvoorbeeld sprake als de fabrikant van een slim huishoudelijk apparaat ermee instemt dat software-updates voor het apparaat van de fabrikant door een derde worden geleverd (zie overweging 18). Een fabrikant mag echter niet worden geacht te hebben ingestemd met integratie of onderlinge verbinding om de enkele reden dat </w:t>
      </w:r>
      <w:r w:rsidRPr="00463949">
        <w:rPr>
          <w:rFonts w:ascii="Times New Roman" w:hAnsi="Times New Roman" w:cs="Times New Roman"/>
          <w:sz w:val="24"/>
          <w:szCs w:val="24"/>
        </w:rPr>
        <w:lastRenderedPageBreak/>
        <w:t xml:space="preserve">hij de technische mogelijkheid tot integratie of onderlinge verbinding verschaft, bepaalde merken aanbeveelt of doordat hij potentiële bijbehorende diensten of componenten niet verbiedt (zie overweging 18). In de tweede plaats is sprake “zeggenschap van de fabrikant” als de fabrikant het product zelf wijzigt, waaronder begrepen ingrijpende wijzigingen (zie over het begrip “ingrijpende wijziging” de toelichting bij lid 1, onderdeel </w:t>
      </w:r>
      <w:r w:rsidRPr="00463949" w:rsidR="0066615E">
        <w:rPr>
          <w:rFonts w:ascii="Times New Roman" w:hAnsi="Times New Roman" w:cs="Times New Roman"/>
          <w:sz w:val="24"/>
          <w:szCs w:val="24"/>
        </w:rPr>
        <w:t>q</w:t>
      </w:r>
      <w:r w:rsidRPr="00463949">
        <w:rPr>
          <w:rFonts w:ascii="Times New Roman" w:hAnsi="Times New Roman" w:cs="Times New Roman"/>
          <w:sz w:val="24"/>
          <w:szCs w:val="24"/>
        </w:rPr>
        <w:t xml:space="preserve">) of als hij toestemming geeft voor of instemt met wijziging van het product door een derde (zie onderdeel </w:t>
      </w:r>
      <w:r w:rsidRPr="00463949" w:rsidR="00DC3344">
        <w:rPr>
          <w:rFonts w:ascii="Times New Roman" w:hAnsi="Times New Roman" w:cs="Times New Roman"/>
          <w:sz w:val="24"/>
          <w:szCs w:val="24"/>
        </w:rPr>
        <w:t>a</w:t>
      </w:r>
      <w:r w:rsidRPr="00463949">
        <w:rPr>
          <w:rFonts w:ascii="Times New Roman" w:hAnsi="Times New Roman" w:cs="Times New Roman"/>
          <w:sz w:val="24"/>
          <w:szCs w:val="24"/>
        </w:rPr>
        <w:t>, aanhef en onder</w:t>
      </w:r>
      <w:r w:rsidRPr="00463949" w:rsidR="00374DB2">
        <w:rPr>
          <w:rFonts w:ascii="Times New Roman" w:hAnsi="Times New Roman" w:cs="Times New Roman"/>
          <w:sz w:val="24"/>
          <w:szCs w:val="24"/>
        </w:rPr>
        <w:t xml:space="preserve"> </w:t>
      </w:r>
      <w:r w:rsidRPr="00463949" w:rsidR="00DC3344">
        <w:rPr>
          <w:rFonts w:ascii="Times New Roman" w:hAnsi="Times New Roman" w:cs="Times New Roman"/>
          <w:sz w:val="24"/>
          <w:szCs w:val="24"/>
        </w:rPr>
        <w:t>2°</w:t>
      </w:r>
      <w:r w:rsidRPr="00463949">
        <w:rPr>
          <w:rFonts w:ascii="Times New Roman" w:hAnsi="Times New Roman" w:cs="Times New Roman"/>
          <w:sz w:val="24"/>
          <w:szCs w:val="24"/>
        </w:rPr>
        <w:t xml:space="preserve">). Tot slot, en in de derde plaats, moet zeggenschap van de fabrikant worden aangenomen als hij zelf of via een derde software-updates of </w:t>
      </w:r>
      <w:r w:rsidRPr="00463949">
        <w:rPr>
          <w:rFonts w:ascii="Times New Roman" w:hAnsi="Times New Roman" w:cs="Times New Roman"/>
          <w:sz w:val="24"/>
          <w:szCs w:val="24"/>
        </w:rPr>
        <w:noBreakHyphen/>
        <w:t xml:space="preserve">upgrades kan leveren (zie onderdeel </w:t>
      </w:r>
      <w:r w:rsidRPr="00463949" w:rsidR="00DC3344">
        <w:rPr>
          <w:rFonts w:ascii="Times New Roman" w:hAnsi="Times New Roman" w:cs="Times New Roman"/>
          <w:sz w:val="24"/>
          <w:szCs w:val="24"/>
        </w:rPr>
        <w:t>b</w:t>
      </w:r>
      <w:r w:rsidRPr="00463949">
        <w:rPr>
          <w:rFonts w:ascii="Times New Roman" w:hAnsi="Times New Roman" w:cs="Times New Roman"/>
          <w:sz w:val="24"/>
          <w:szCs w:val="24"/>
        </w:rPr>
        <w:t>).</w:t>
      </w:r>
    </w:p>
    <w:p w:rsidRPr="00463949" w:rsidR="00977842" w:rsidP="00977842" w:rsidRDefault="00977842" w14:paraId="3E962512" w14:textId="77777777">
      <w:pPr>
        <w:spacing w:after="0" w:line="276" w:lineRule="auto"/>
        <w:rPr>
          <w:rFonts w:ascii="Times New Roman" w:hAnsi="Times New Roman" w:cs="Times New Roman"/>
          <w:sz w:val="24"/>
          <w:szCs w:val="24"/>
        </w:rPr>
      </w:pPr>
    </w:p>
    <w:p w:rsidRPr="00463949" w:rsidR="001822A8" w:rsidP="0012288C" w:rsidRDefault="003B1FF9" w14:paraId="4A8066AE" w14:textId="35C4E978">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 xml:space="preserve">Lid </w:t>
      </w:r>
      <w:r w:rsidRPr="00463949" w:rsidR="00977842">
        <w:rPr>
          <w:rFonts w:ascii="Times New Roman" w:hAnsi="Times New Roman" w:cs="Times New Roman"/>
          <w:i/>
          <w:iCs/>
          <w:sz w:val="24"/>
          <w:szCs w:val="24"/>
        </w:rPr>
        <w:t>3</w:t>
      </w:r>
      <w:r w:rsidRPr="00463949" w:rsidR="00A61632">
        <w:rPr>
          <w:rFonts w:ascii="Times New Roman" w:hAnsi="Times New Roman" w:cs="Times New Roman"/>
          <w:i/>
          <w:iCs/>
          <w:sz w:val="24"/>
          <w:szCs w:val="24"/>
        </w:rPr>
        <w:t>;</w:t>
      </w:r>
      <w:r w:rsidRPr="00463949">
        <w:rPr>
          <w:rFonts w:ascii="Times New Roman" w:hAnsi="Times New Roman" w:cs="Times New Roman"/>
          <w:i/>
          <w:iCs/>
          <w:sz w:val="24"/>
          <w:szCs w:val="24"/>
        </w:rPr>
        <w:t xml:space="preserve"> </w:t>
      </w:r>
      <w:r w:rsidRPr="00463949" w:rsidR="00725BE2">
        <w:rPr>
          <w:rFonts w:ascii="Times New Roman" w:hAnsi="Times New Roman" w:cs="Times New Roman"/>
          <w:i/>
          <w:iCs/>
          <w:sz w:val="24"/>
          <w:szCs w:val="24"/>
        </w:rPr>
        <w:t>uitzondering</w:t>
      </w:r>
      <w:r w:rsidRPr="00463949" w:rsidR="00A61632">
        <w:rPr>
          <w:rFonts w:ascii="Times New Roman" w:hAnsi="Times New Roman" w:cs="Times New Roman"/>
          <w:i/>
          <w:iCs/>
          <w:sz w:val="24"/>
          <w:szCs w:val="24"/>
        </w:rPr>
        <w:t>en</w:t>
      </w:r>
      <w:r w:rsidRPr="00463949" w:rsidR="00725BE2">
        <w:rPr>
          <w:rFonts w:ascii="Times New Roman" w:hAnsi="Times New Roman" w:cs="Times New Roman"/>
          <w:i/>
          <w:iCs/>
          <w:sz w:val="24"/>
          <w:szCs w:val="24"/>
        </w:rPr>
        <w:t xml:space="preserve"> op </w:t>
      </w:r>
      <w:r w:rsidRPr="00463949">
        <w:rPr>
          <w:rFonts w:ascii="Times New Roman" w:hAnsi="Times New Roman" w:cs="Times New Roman"/>
          <w:i/>
          <w:iCs/>
          <w:sz w:val="24"/>
          <w:szCs w:val="24"/>
        </w:rPr>
        <w:t>toepassingsbereik</w:t>
      </w:r>
    </w:p>
    <w:p w:rsidRPr="00463949" w:rsidR="003B1FF9" w:rsidP="0012288C" w:rsidRDefault="003B1FF9" w14:paraId="35AD7FD3" w14:textId="77777777">
      <w:pPr>
        <w:spacing w:after="0" w:line="276" w:lineRule="auto"/>
        <w:rPr>
          <w:rFonts w:ascii="Times New Roman" w:hAnsi="Times New Roman" w:cs="Times New Roman"/>
          <w:sz w:val="24"/>
          <w:szCs w:val="24"/>
        </w:rPr>
      </w:pPr>
    </w:p>
    <w:p w:rsidRPr="00463949" w:rsidR="00F47B24" w:rsidP="0012288C" w:rsidRDefault="00DA5A57" w14:paraId="6890D14A" w14:textId="0836A59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w:t>
      </w:r>
      <w:r w:rsidRPr="00463949" w:rsidR="00977842">
        <w:rPr>
          <w:rFonts w:ascii="Times New Roman" w:hAnsi="Times New Roman" w:cs="Times New Roman"/>
          <w:sz w:val="24"/>
          <w:szCs w:val="24"/>
        </w:rPr>
        <w:t>3</w:t>
      </w:r>
      <w:r w:rsidRPr="00463949">
        <w:rPr>
          <w:rFonts w:ascii="Times New Roman" w:hAnsi="Times New Roman" w:cs="Times New Roman"/>
          <w:sz w:val="24"/>
          <w:szCs w:val="24"/>
        </w:rPr>
        <w:t xml:space="preserve"> geeft de uitzo</w:t>
      </w:r>
      <w:r w:rsidRPr="00463949" w:rsidR="00F47B24">
        <w:rPr>
          <w:rFonts w:ascii="Times New Roman" w:hAnsi="Times New Roman" w:cs="Times New Roman"/>
          <w:sz w:val="24"/>
          <w:szCs w:val="24"/>
        </w:rPr>
        <w:t>n</w:t>
      </w:r>
      <w:r w:rsidRPr="00463949">
        <w:rPr>
          <w:rFonts w:ascii="Times New Roman" w:hAnsi="Times New Roman" w:cs="Times New Roman"/>
          <w:sz w:val="24"/>
          <w:szCs w:val="24"/>
        </w:rPr>
        <w:t xml:space="preserve">deringen op het toepassingsbereik van afdeling </w:t>
      </w:r>
      <w:r w:rsidRPr="00463949" w:rsidR="000B5EE2">
        <w:rPr>
          <w:rFonts w:ascii="Times New Roman" w:hAnsi="Times New Roman" w:cs="Times New Roman"/>
          <w:sz w:val="24"/>
          <w:szCs w:val="24"/>
        </w:rPr>
        <w:t>6.3.3</w:t>
      </w:r>
      <w:r w:rsidRPr="00463949">
        <w:rPr>
          <w:rFonts w:ascii="Times New Roman" w:hAnsi="Times New Roman" w:cs="Times New Roman"/>
          <w:sz w:val="24"/>
          <w:szCs w:val="24"/>
        </w:rPr>
        <w:t xml:space="preserve"> BW.</w:t>
      </w:r>
      <w:r w:rsidRPr="00463949" w:rsidR="00F47B24">
        <w:rPr>
          <w:rFonts w:ascii="Times New Roman" w:hAnsi="Times New Roman" w:cs="Times New Roman"/>
          <w:sz w:val="24"/>
          <w:szCs w:val="24"/>
        </w:rPr>
        <w:t xml:space="preserve"> Deze uitzonderingen corresponderen met de uitzonderingen op het toepassingsbereik van de Richtlijn</w:t>
      </w:r>
      <w:r w:rsidRPr="00463949" w:rsidR="009D2356">
        <w:rPr>
          <w:rFonts w:ascii="Times New Roman" w:hAnsi="Times New Roman" w:cs="Times New Roman"/>
          <w:sz w:val="24"/>
          <w:szCs w:val="24"/>
        </w:rPr>
        <w:t xml:space="preserve"> (artikel 2 leden 2 en 3 Richtlijn)</w:t>
      </w:r>
      <w:r w:rsidRPr="00463949" w:rsidR="00F47B24">
        <w:rPr>
          <w:rFonts w:ascii="Times New Roman" w:hAnsi="Times New Roman" w:cs="Times New Roman"/>
          <w:sz w:val="24"/>
          <w:szCs w:val="24"/>
        </w:rPr>
        <w:t>.</w:t>
      </w:r>
    </w:p>
    <w:p w:rsidRPr="00463949" w:rsidR="00F47B24" w:rsidP="0012288C" w:rsidRDefault="00F47B24" w14:paraId="78279E14" w14:textId="77777777">
      <w:pPr>
        <w:spacing w:after="0" w:line="276" w:lineRule="auto"/>
        <w:rPr>
          <w:rFonts w:ascii="Times New Roman" w:hAnsi="Times New Roman" w:cs="Times New Roman"/>
          <w:sz w:val="24"/>
          <w:szCs w:val="24"/>
        </w:rPr>
      </w:pPr>
    </w:p>
    <w:p w:rsidRPr="00463949" w:rsidR="000B75E0" w:rsidP="0012288C" w:rsidRDefault="003B1FF9" w14:paraId="30D64875" w14:textId="21089C7A">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w:t>
      </w:r>
      <w:r w:rsidRPr="00463949" w:rsidR="00977842">
        <w:rPr>
          <w:rFonts w:ascii="Times New Roman" w:hAnsi="Times New Roman" w:cs="Times New Roman"/>
          <w:sz w:val="24"/>
          <w:szCs w:val="24"/>
        </w:rPr>
        <w:t>3</w:t>
      </w:r>
      <w:r w:rsidRPr="00463949">
        <w:rPr>
          <w:rFonts w:ascii="Times New Roman" w:hAnsi="Times New Roman" w:cs="Times New Roman"/>
          <w:sz w:val="24"/>
          <w:szCs w:val="24"/>
        </w:rPr>
        <w:t xml:space="preserve">, onderdeel a, </w:t>
      </w:r>
      <w:r w:rsidRPr="00463949" w:rsidR="0066385C">
        <w:rPr>
          <w:rFonts w:ascii="Times New Roman" w:hAnsi="Times New Roman" w:cs="Times New Roman"/>
          <w:sz w:val="24"/>
          <w:szCs w:val="24"/>
        </w:rPr>
        <w:t>geeft uitvoering aan</w:t>
      </w:r>
      <w:r w:rsidRPr="00463949">
        <w:rPr>
          <w:rFonts w:ascii="Times New Roman" w:hAnsi="Times New Roman" w:cs="Times New Roman"/>
          <w:sz w:val="24"/>
          <w:szCs w:val="24"/>
        </w:rPr>
        <w:t xml:space="preserve"> artikel 2 lid 2 Richtlijn</w:t>
      </w:r>
      <w:r w:rsidRPr="00463949" w:rsidR="00725BE2">
        <w:rPr>
          <w:rFonts w:ascii="Times New Roman" w:hAnsi="Times New Roman" w:cs="Times New Roman"/>
          <w:sz w:val="24"/>
          <w:szCs w:val="24"/>
        </w:rPr>
        <w:t>. Dit</w:t>
      </w:r>
      <w:r w:rsidRPr="00463949" w:rsidR="00474FE0">
        <w:rPr>
          <w:rFonts w:ascii="Times New Roman" w:hAnsi="Times New Roman" w:cs="Times New Roman"/>
          <w:sz w:val="24"/>
          <w:szCs w:val="24"/>
        </w:rPr>
        <w:t xml:space="preserve"> bepaalt dat de Richtlijn niet van toepassing is op gratis en opensourcesoftware die buiten het kader van een handelsactiviteit wordt ontwikkeld en geleverd.</w:t>
      </w:r>
      <w:r w:rsidRPr="00463949" w:rsidR="00331A20">
        <w:rPr>
          <w:rFonts w:ascii="Times New Roman" w:hAnsi="Times New Roman" w:cs="Times New Roman"/>
          <w:sz w:val="24"/>
          <w:szCs w:val="24"/>
        </w:rPr>
        <w:t xml:space="preserve"> </w:t>
      </w:r>
      <w:r w:rsidRPr="00463949" w:rsidR="009D2356">
        <w:rPr>
          <w:rFonts w:ascii="Times New Roman" w:hAnsi="Times New Roman" w:cs="Times New Roman"/>
          <w:sz w:val="24"/>
          <w:szCs w:val="24"/>
        </w:rPr>
        <w:t>Hetzelfde moet daarom gelden voor afdeling 6.3.3 BW. Bij gratis en opensourcesoftware wordt de broncode openlijk gedeeld en hebben gebruikers onbelemmerd toegang tot de software of gewijzigde versies daarvan en kunnen zij deze gebruiken, wijzigen en herverdelen. G</w:t>
      </w:r>
      <w:r w:rsidRPr="00463949" w:rsidR="006D3994">
        <w:rPr>
          <w:rFonts w:ascii="Times New Roman" w:hAnsi="Times New Roman" w:cs="Times New Roman"/>
          <w:sz w:val="24"/>
          <w:szCs w:val="24"/>
        </w:rPr>
        <w:t>ratis</w:t>
      </w:r>
      <w:r w:rsidRPr="00463949" w:rsidR="009D2356">
        <w:rPr>
          <w:rFonts w:ascii="Times New Roman" w:hAnsi="Times New Roman" w:cs="Times New Roman"/>
          <w:sz w:val="24"/>
          <w:szCs w:val="24"/>
        </w:rPr>
        <w:t xml:space="preserve"> </w:t>
      </w:r>
      <w:r w:rsidRPr="00463949" w:rsidR="006D3994">
        <w:rPr>
          <w:rFonts w:ascii="Times New Roman" w:hAnsi="Times New Roman" w:cs="Times New Roman"/>
          <w:sz w:val="24"/>
          <w:szCs w:val="24"/>
        </w:rPr>
        <w:t>en opensourcesoftware kan bijdragen tot onderzoek en innovatie op de interne markt.</w:t>
      </w:r>
      <w:r w:rsidRPr="00463949" w:rsidR="009D2356">
        <w:rPr>
          <w:rFonts w:ascii="Times New Roman" w:hAnsi="Times New Roman" w:cs="Times New Roman"/>
          <w:sz w:val="24"/>
          <w:szCs w:val="24"/>
        </w:rPr>
        <w:t xml:space="preserve"> </w:t>
      </w:r>
      <w:r w:rsidRPr="00463949" w:rsidR="006D3994">
        <w:rPr>
          <w:rFonts w:ascii="Times New Roman" w:hAnsi="Times New Roman" w:cs="Times New Roman"/>
          <w:sz w:val="24"/>
          <w:szCs w:val="24"/>
        </w:rPr>
        <w:t xml:space="preserve">Voor dergelijke software gelden licenties die iedereen de vrijheid </w:t>
      </w:r>
      <w:r w:rsidRPr="00463949" w:rsidR="000B75E0">
        <w:rPr>
          <w:rFonts w:ascii="Times New Roman" w:hAnsi="Times New Roman" w:cs="Times New Roman"/>
          <w:sz w:val="24"/>
          <w:szCs w:val="24"/>
        </w:rPr>
        <w:t xml:space="preserve">geeft </w:t>
      </w:r>
      <w:r w:rsidRPr="00463949" w:rsidR="006D3994">
        <w:rPr>
          <w:rFonts w:ascii="Times New Roman" w:hAnsi="Times New Roman" w:cs="Times New Roman"/>
          <w:sz w:val="24"/>
          <w:szCs w:val="24"/>
        </w:rPr>
        <w:t xml:space="preserve">om de software te gebruiken, te kopiëren, te verspreiden, te bestuderen, te wijzigen en te verbeteren. </w:t>
      </w:r>
      <w:r w:rsidRPr="00463949" w:rsidR="009D2356">
        <w:rPr>
          <w:rFonts w:ascii="Times New Roman" w:hAnsi="Times New Roman" w:cs="Times New Roman"/>
          <w:sz w:val="24"/>
          <w:szCs w:val="24"/>
        </w:rPr>
        <w:t>Als de Richtlijn van toepassing zou zijn op gratis en opensourcesoftware</w:t>
      </w:r>
      <w:r w:rsidRPr="00463949" w:rsidR="000B75E0">
        <w:rPr>
          <w:rFonts w:ascii="Times New Roman" w:hAnsi="Times New Roman" w:cs="Times New Roman"/>
          <w:sz w:val="24"/>
          <w:szCs w:val="24"/>
        </w:rPr>
        <w:t xml:space="preserve"> die buiten het kader van een handelsactiviteit wordt geleverd</w:t>
      </w:r>
      <w:r w:rsidRPr="00463949" w:rsidR="009D2356">
        <w:rPr>
          <w:rFonts w:ascii="Times New Roman" w:hAnsi="Times New Roman" w:cs="Times New Roman"/>
          <w:sz w:val="24"/>
          <w:szCs w:val="24"/>
        </w:rPr>
        <w:t>, zou dat innovatie en onderzoek belemmeren (zie overweging 14)</w:t>
      </w:r>
      <w:r w:rsidRPr="00463949" w:rsidR="003A7F2C">
        <w:rPr>
          <w:rFonts w:ascii="Times New Roman" w:hAnsi="Times New Roman" w:cs="Times New Roman"/>
          <w:sz w:val="24"/>
          <w:szCs w:val="24"/>
        </w:rPr>
        <w:t>.</w:t>
      </w:r>
      <w:r w:rsidRPr="00463949" w:rsidR="009D2356">
        <w:rPr>
          <w:rFonts w:ascii="Times New Roman" w:hAnsi="Times New Roman" w:cs="Times New Roman"/>
          <w:sz w:val="24"/>
          <w:szCs w:val="24"/>
        </w:rPr>
        <w:t xml:space="preserve"> </w:t>
      </w:r>
      <w:r w:rsidRPr="00463949" w:rsidR="000B75E0">
        <w:rPr>
          <w:rFonts w:ascii="Times New Roman" w:hAnsi="Times New Roman" w:cs="Times New Roman"/>
          <w:sz w:val="24"/>
          <w:szCs w:val="24"/>
        </w:rPr>
        <w:t>De Richtlijn</w:t>
      </w:r>
      <w:r w:rsidRPr="00463949" w:rsidR="00EA32FA">
        <w:rPr>
          <w:rFonts w:ascii="Times New Roman" w:hAnsi="Times New Roman" w:cs="Times New Roman"/>
          <w:sz w:val="24"/>
          <w:szCs w:val="24"/>
        </w:rPr>
        <w:t xml:space="preserve"> (en daarmee afdeling 6.3.3 BW)</w:t>
      </w:r>
      <w:r w:rsidRPr="00463949" w:rsidR="000B75E0">
        <w:rPr>
          <w:rFonts w:ascii="Times New Roman" w:hAnsi="Times New Roman" w:cs="Times New Roman"/>
          <w:sz w:val="24"/>
          <w:szCs w:val="24"/>
        </w:rPr>
        <w:t xml:space="preserve"> is wel van toepassing op opensourcesoftware die </w:t>
      </w:r>
      <w:r w:rsidRPr="00463949" w:rsidR="007C5F95">
        <w:rPr>
          <w:rFonts w:ascii="Times New Roman" w:hAnsi="Times New Roman" w:cs="Times New Roman"/>
          <w:sz w:val="24"/>
          <w:szCs w:val="24"/>
        </w:rPr>
        <w:t xml:space="preserve">in het kader van een handelsactiviteit </w:t>
      </w:r>
      <w:r w:rsidRPr="00463949" w:rsidR="000B75E0">
        <w:rPr>
          <w:rFonts w:ascii="Times New Roman" w:hAnsi="Times New Roman" w:cs="Times New Roman"/>
          <w:sz w:val="24"/>
          <w:szCs w:val="24"/>
        </w:rPr>
        <w:t>wordt geleverd</w:t>
      </w:r>
      <w:r w:rsidRPr="00463949" w:rsidR="00F942C8">
        <w:rPr>
          <w:rFonts w:ascii="Times New Roman" w:hAnsi="Times New Roman" w:cs="Times New Roman"/>
          <w:sz w:val="24"/>
          <w:szCs w:val="24"/>
        </w:rPr>
        <w:t>. Hiervan is sprake als die software wordt geleverd</w:t>
      </w:r>
      <w:r w:rsidRPr="00463949" w:rsidR="000B75E0">
        <w:rPr>
          <w:rFonts w:ascii="Times New Roman" w:hAnsi="Times New Roman" w:cs="Times New Roman"/>
          <w:sz w:val="24"/>
          <w:szCs w:val="24"/>
        </w:rPr>
        <w:t xml:space="preserve"> in ruil voor een prijs of voor persoonsgegevens die niet uitsluitend worden gebruikt om de beveiliging, comptabiliteit of interoperabiliteit van de software te verbeteren (zie overweging 14). </w:t>
      </w:r>
      <w:r w:rsidRPr="00463949" w:rsidR="007C5F95">
        <w:rPr>
          <w:rFonts w:ascii="Times New Roman" w:hAnsi="Times New Roman" w:cs="Times New Roman"/>
          <w:sz w:val="24"/>
          <w:szCs w:val="24"/>
        </w:rPr>
        <w:t xml:space="preserve">De Richtlijn is ook van toepassing als </w:t>
      </w:r>
      <w:r w:rsidRPr="00463949" w:rsidR="00A71025">
        <w:rPr>
          <w:rFonts w:ascii="Times New Roman" w:hAnsi="Times New Roman" w:cs="Times New Roman"/>
          <w:sz w:val="24"/>
          <w:szCs w:val="24"/>
        </w:rPr>
        <w:t xml:space="preserve">gratis en opensourcesoftware die buiten het kader van handelsactiviteit wordt geleverd gebrekkig is en tot schade leidt, nadat </w:t>
      </w:r>
      <w:r w:rsidRPr="00463949" w:rsidR="007C5F95">
        <w:rPr>
          <w:rFonts w:ascii="Times New Roman" w:hAnsi="Times New Roman" w:cs="Times New Roman"/>
          <w:sz w:val="24"/>
          <w:szCs w:val="24"/>
        </w:rPr>
        <w:t>e</w:t>
      </w:r>
      <w:r w:rsidRPr="00463949" w:rsidR="000B75E0">
        <w:rPr>
          <w:rFonts w:ascii="Times New Roman" w:hAnsi="Times New Roman" w:cs="Times New Roman"/>
          <w:sz w:val="24"/>
          <w:szCs w:val="24"/>
        </w:rPr>
        <w:t xml:space="preserve">en </w:t>
      </w:r>
      <w:r w:rsidRPr="00463949" w:rsidR="00E72858">
        <w:rPr>
          <w:rFonts w:ascii="Times New Roman" w:hAnsi="Times New Roman" w:cs="Times New Roman"/>
          <w:sz w:val="24"/>
          <w:szCs w:val="24"/>
        </w:rPr>
        <w:t xml:space="preserve">fabrikant die </w:t>
      </w:r>
      <w:r w:rsidRPr="00463949" w:rsidR="00A71025">
        <w:rPr>
          <w:rFonts w:ascii="Times New Roman" w:hAnsi="Times New Roman" w:cs="Times New Roman"/>
          <w:sz w:val="24"/>
          <w:szCs w:val="24"/>
        </w:rPr>
        <w:t xml:space="preserve">software </w:t>
      </w:r>
      <w:r w:rsidRPr="00463949" w:rsidR="00E72858">
        <w:rPr>
          <w:rFonts w:ascii="Times New Roman" w:hAnsi="Times New Roman" w:cs="Times New Roman"/>
          <w:sz w:val="24"/>
          <w:szCs w:val="24"/>
        </w:rPr>
        <w:t xml:space="preserve">als component </w:t>
      </w:r>
      <w:r w:rsidRPr="00463949" w:rsidR="00A71025">
        <w:rPr>
          <w:rFonts w:ascii="Times New Roman" w:hAnsi="Times New Roman" w:cs="Times New Roman"/>
          <w:sz w:val="24"/>
          <w:szCs w:val="24"/>
        </w:rPr>
        <w:t>heeft geï</w:t>
      </w:r>
      <w:r w:rsidRPr="00463949" w:rsidR="00E72858">
        <w:rPr>
          <w:rFonts w:ascii="Times New Roman" w:hAnsi="Times New Roman" w:cs="Times New Roman"/>
          <w:sz w:val="24"/>
          <w:szCs w:val="24"/>
        </w:rPr>
        <w:t>ntegreer</w:t>
      </w:r>
      <w:r w:rsidRPr="00463949" w:rsidR="00A71025">
        <w:rPr>
          <w:rFonts w:ascii="Times New Roman" w:hAnsi="Times New Roman" w:cs="Times New Roman"/>
          <w:sz w:val="24"/>
          <w:szCs w:val="24"/>
        </w:rPr>
        <w:t>d</w:t>
      </w:r>
      <w:r w:rsidRPr="00463949" w:rsidR="00E72858">
        <w:rPr>
          <w:rFonts w:ascii="Times New Roman" w:hAnsi="Times New Roman" w:cs="Times New Roman"/>
          <w:sz w:val="24"/>
          <w:szCs w:val="24"/>
        </w:rPr>
        <w:t xml:space="preserve"> in een product in het kader van een handelsactiviteit.</w:t>
      </w:r>
      <w:r w:rsidRPr="00463949" w:rsidR="00F942C8">
        <w:rPr>
          <w:rFonts w:ascii="Times New Roman" w:hAnsi="Times New Roman" w:cs="Times New Roman"/>
          <w:sz w:val="24"/>
          <w:szCs w:val="24"/>
        </w:rPr>
        <w:t xml:space="preserve"> In dat geval is d</w:t>
      </w:r>
      <w:r w:rsidRPr="00463949" w:rsidR="00EF44A1">
        <w:rPr>
          <w:rFonts w:ascii="Times New Roman" w:hAnsi="Times New Roman" w:cs="Times New Roman"/>
          <w:sz w:val="24"/>
          <w:szCs w:val="24"/>
        </w:rPr>
        <w:t>i</w:t>
      </w:r>
      <w:r w:rsidRPr="00463949" w:rsidR="00F942C8">
        <w:rPr>
          <w:rFonts w:ascii="Times New Roman" w:hAnsi="Times New Roman" w:cs="Times New Roman"/>
          <w:sz w:val="24"/>
          <w:szCs w:val="24"/>
        </w:rPr>
        <w:t xml:space="preserve">e fabrikant aansprakelijk voor de schade als gevolg van de gebrekkige software. </w:t>
      </w:r>
      <w:r w:rsidRPr="00463949" w:rsidR="000B75E0">
        <w:rPr>
          <w:rFonts w:ascii="Times New Roman" w:hAnsi="Times New Roman" w:cs="Times New Roman"/>
          <w:sz w:val="24"/>
          <w:szCs w:val="24"/>
        </w:rPr>
        <w:t xml:space="preserve">De softwarefabrikant is in dat geval niet aansprakelijk op grond van </w:t>
      </w:r>
      <w:r w:rsidRPr="00463949" w:rsidR="0005617B">
        <w:rPr>
          <w:rFonts w:ascii="Times New Roman" w:hAnsi="Times New Roman" w:cs="Times New Roman"/>
          <w:sz w:val="24"/>
          <w:szCs w:val="24"/>
        </w:rPr>
        <w:t xml:space="preserve">afdeling 6.3.3 BW </w:t>
      </w:r>
      <w:r w:rsidRPr="00463949" w:rsidR="000B75E0">
        <w:rPr>
          <w:rFonts w:ascii="Times New Roman" w:hAnsi="Times New Roman" w:cs="Times New Roman"/>
          <w:sz w:val="24"/>
          <w:szCs w:val="24"/>
        </w:rPr>
        <w:t>(zie overweging 15</w:t>
      </w:r>
      <w:r w:rsidRPr="00463949" w:rsidR="009753D9">
        <w:rPr>
          <w:rFonts w:ascii="Times New Roman" w:hAnsi="Times New Roman" w:cs="Times New Roman"/>
          <w:sz w:val="24"/>
          <w:szCs w:val="24"/>
        </w:rPr>
        <w:t>)</w:t>
      </w:r>
      <w:r w:rsidRPr="00463949" w:rsidR="000B75E0">
        <w:rPr>
          <w:rFonts w:ascii="Times New Roman" w:hAnsi="Times New Roman" w:cs="Times New Roman"/>
          <w:sz w:val="24"/>
          <w:szCs w:val="24"/>
        </w:rPr>
        <w:t>.</w:t>
      </w:r>
    </w:p>
    <w:p w:rsidRPr="00463949" w:rsidR="000B75E0" w:rsidP="0012288C" w:rsidRDefault="000B75E0" w14:paraId="51512FE9" w14:textId="7EB63313">
      <w:pPr>
        <w:spacing w:after="0" w:line="276" w:lineRule="auto"/>
        <w:rPr>
          <w:rFonts w:ascii="Times New Roman" w:hAnsi="Times New Roman" w:cs="Times New Roman"/>
          <w:sz w:val="24"/>
          <w:szCs w:val="24"/>
        </w:rPr>
      </w:pPr>
    </w:p>
    <w:p w:rsidRPr="00463949" w:rsidR="00232A17" w:rsidP="00232A17" w:rsidRDefault="00232A17" w14:paraId="260DCB9B" w14:textId="5F4A8B72">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w:t>
      </w:r>
      <w:r w:rsidRPr="00463949" w:rsidR="00977842">
        <w:rPr>
          <w:rFonts w:ascii="Times New Roman" w:hAnsi="Times New Roman" w:cs="Times New Roman"/>
          <w:sz w:val="24"/>
          <w:szCs w:val="24"/>
        </w:rPr>
        <w:t>3</w:t>
      </w:r>
      <w:r w:rsidRPr="00463949">
        <w:rPr>
          <w:rFonts w:ascii="Times New Roman" w:hAnsi="Times New Roman" w:cs="Times New Roman"/>
          <w:sz w:val="24"/>
          <w:szCs w:val="24"/>
        </w:rPr>
        <w:t>, onderdeel b, implementeert artikel 2 lid 3 Richtlijn</w:t>
      </w:r>
      <w:r w:rsidRPr="00463949" w:rsidR="00725BE2">
        <w:rPr>
          <w:rFonts w:ascii="Times New Roman" w:hAnsi="Times New Roman" w:cs="Times New Roman"/>
          <w:sz w:val="24"/>
          <w:szCs w:val="24"/>
        </w:rPr>
        <w:t xml:space="preserve">. Dit </w:t>
      </w:r>
      <w:r w:rsidRPr="00463949">
        <w:rPr>
          <w:rFonts w:ascii="Times New Roman" w:hAnsi="Times New Roman" w:cs="Times New Roman"/>
          <w:sz w:val="24"/>
          <w:szCs w:val="24"/>
        </w:rPr>
        <w:t>bepaalt dat de Richtlijn niet van toepassing is op schade ten gevolge van nucleaire ongevallen, voor zover de aansprakelijkheid voor dergelijke schade op grond van door de lidstaten geratificeerde internationale verdragen wordt gedekt. De verdragen waar het voor Nederland om gaat, zijn:</w:t>
      </w:r>
    </w:p>
    <w:p w:rsidRPr="00463949" w:rsidR="00232A17" w:rsidP="00232A17" w:rsidRDefault="00232A17" w14:paraId="7A48BE3D" w14:textId="77777777">
      <w:pPr>
        <w:pStyle w:val="Lijstalinea"/>
        <w:numPr>
          <w:ilvl w:val="0"/>
          <w:numId w:val="8"/>
        </w:num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het op 29 juli 1960 te Parijs tot stand gekomen Verdrag inzake wettelijke aansprakelijkheid op het gebied van de kernenergie (</w:t>
      </w:r>
      <w:r w:rsidRPr="00463949">
        <w:rPr>
          <w:rFonts w:ascii="Times New Roman" w:hAnsi="Times New Roman" w:cs="Times New Roman"/>
          <w:i/>
          <w:iCs/>
          <w:sz w:val="24"/>
          <w:szCs w:val="24"/>
        </w:rPr>
        <w:t>Trb.</w:t>
      </w:r>
      <w:r w:rsidRPr="00463949">
        <w:rPr>
          <w:rFonts w:ascii="Times New Roman" w:hAnsi="Times New Roman" w:cs="Times New Roman"/>
          <w:sz w:val="24"/>
          <w:szCs w:val="24"/>
        </w:rPr>
        <w:t xml:space="preserve"> 1961, 27; 1962, 64), zoals </w:t>
      </w:r>
      <w:r w:rsidRPr="00463949">
        <w:rPr>
          <w:rFonts w:ascii="Times New Roman" w:hAnsi="Times New Roman" w:cs="Times New Roman"/>
          <w:sz w:val="24"/>
          <w:szCs w:val="24"/>
        </w:rPr>
        <w:lastRenderedPageBreak/>
        <w:t>gewijzigd bij het op 28 januari 1964 te Parijs gesloten Aanvullend Protocol bij dit Verdrag (</w:t>
      </w:r>
      <w:r w:rsidRPr="00463949">
        <w:rPr>
          <w:rFonts w:ascii="Times New Roman" w:hAnsi="Times New Roman" w:cs="Times New Roman"/>
          <w:i/>
          <w:iCs/>
          <w:sz w:val="24"/>
          <w:szCs w:val="24"/>
        </w:rPr>
        <w:t>Trb.</w:t>
      </w:r>
      <w:r w:rsidRPr="00463949">
        <w:rPr>
          <w:rFonts w:ascii="Times New Roman" w:hAnsi="Times New Roman" w:cs="Times New Roman"/>
          <w:sz w:val="24"/>
          <w:szCs w:val="24"/>
        </w:rPr>
        <w:t xml:space="preserve"> 1964, 178), bij het op 16 november 1982 te Parijs gesloten Protocol bij dit Verdrag (</w:t>
      </w:r>
      <w:r w:rsidRPr="00463949">
        <w:rPr>
          <w:rFonts w:ascii="Times New Roman" w:hAnsi="Times New Roman" w:cs="Times New Roman"/>
          <w:i/>
          <w:iCs/>
          <w:sz w:val="24"/>
          <w:szCs w:val="24"/>
        </w:rPr>
        <w:t>Trb.</w:t>
      </w:r>
      <w:r w:rsidRPr="00463949">
        <w:rPr>
          <w:rFonts w:ascii="Times New Roman" w:hAnsi="Times New Roman" w:cs="Times New Roman"/>
          <w:sz w:val="24"/>
          <w:szCs w:val="24"/>
        </w:rPr>
        <w:t xml:space="preserve"> 1983, 80) en bij het op 12 februari 2004 te Parijs gesloten Protocol bij dit Verdrag (</w:t>
      </w:r>
      <w:r w:rsidRPr="00463949">
        <w:rPr>
          <w:rFonts w:ascii="Times New Roman" w:hAnsi="Times New Roman" w:cs="Times New Roman"/>
          <w:i/>
          <w:iCs/>
          <w:sz w:val="24"/>
          <w:szCs w:val="24"/>
        </w:rPr>
        <w:t>Trb.</w:t>
      </w:r>
      <w:r w:rsidRPr="00463949">
        <w:rPr>
          <w:rFonts w:ascii="Times New Roman" w:hAnsi="Times New Roman" w:cs="Times New Roman"/>
          <w:sz w:val="24"/>
          <w:szCs w:val="24"/>
        </w:rPr>
        <w:t xml:space="preserve"> 2005, 89); </w:t>
      </w:r>
    </w:p>
    <w:p w:rsidRPr="00463949" w:rsidR="00232A17" w:rsidP="00232A17" w:rsidRDefault="00232A17" w14:paraId="53B72E8F" w14:textId="77777777">
      <w:pPr>
        <w:pStyle w:val="Lijstalinea"/>
        <w:numPr>
          <w:ilvl w:val="0"/>
          <w:numId w:val="8"/>
        </w:num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het op 31 januari 1963 te Brussel tot stand gekomen Verdrag tot aanvulling van het Verdrag van Parijs van 29 juli 1960 inzake wettelijke aansprakelijkheid op het gebied van de kernenergie (</w:t>
      </w:r>
      <w:r w:rsidRPr="00463949">
        <w:rPr>
          <w:rFonts w:ascii="Times New Roman" w:hAnsi="Times New Roman" w:cs="Times New Roman"/>
          <w:i/>
          <w:iCs/>
          <w:sz w:val="24"/>
          <w:szCs w:val="24"/>
        </w:rPr>
        <w:t>Trb.</w:t>
      </w:r>
      <w:r w:rsidRPr="00463949">
        <w:rPr>
          <w:rFonts w:ascii="Times New Roman" w:hAnsi="Times New Roman" w:cs="Times New Roman"/>
          <w:sz w:val="24"/>
          <w:szCs w:val="24"/>
        </w:rPr>
        <w:t xml:space="preserve"> 1963, 171), zoals gewijzigd bij het op 28 januari 1964 te Parijs gesloten Aanvullend Protocol bij dit Verdrag (</w:t>
      </w:r>
      <w:r w:rsidRPr="00463949">
        <w:rPr>
          <w:rFonts w:ascii="Times New Roman" w:hAnsi="Times New Roman" w:cs="Times New Roman"/>
          <w:i/>
          <w:iCs/>
          <w:sz w:val="24"/>
          <w:szCs w:val="24"/>
        </w:rPr>
        <w:t>Trb.</w:t>
      </w:r>
      <w:r w:rsidRPr="00463949">
        <w:rPr>
          <w:rFonts w:ascii="Times New Roman" w:hAnsi="Times New Roman" w:cs="Times New Roman"/>
          <w:sz w:val="24"/>
          <w:szCs w:val="24"/>
        </w:rPr>
        <w:t xml:space="preserve"> 1964, 179), bij het op 16 november 1982 te Parijs gesloten Protocol bij dit Verdrag (</w:t>
      </w:r>
      <w:r w:rsidRPr="00463949">
        <w:rPr>
          <w:rFonts w:ascii="Times New Roman" w:hAnsi="Times New Roman" w:cs="Times New Roman"/>
          <w:i/>
          <w:iCs/>
          <w:sz w:val="24"/>
          <w:szCs w:val="24"/>
        </w:rPr>
        <w:t>Trb.</w:t>
      </w:r>
      <w:r w:rsidRPr="00463949">
        <w:rPr>
          <w:rFonts w:ascii="Times New Roman" w:hAnsi="Times New Roman" w:cs="Times New Roman"/>
          <w:sz w:val="24"/>
          <w:szCs w:val="24"/>
        </w:rPr>
        <w:t xml:space="preserve"> 1983, 81) en bij het op 12 februari 2004 te Parijs gesloten Protocol bij dit Verdrag (</w:t>
      </w:r>
      <w:r w:rsidRPr="00463949">
        <w:rPr>
          <w:rFonts w:ascii="Times New Roman" w:hAnsi="Times New Roman" w:cs="Times New Roman"/>
          <w:i/>
          <w:iCs/>
          <w:sz w:val="24"/>
          <w:szCs w:val="24"/>
        </w:rPr>
        <w:t>Trb.</w:t>
      </w:r>
      <w:r w:rsidRPr="00463949">
        <w:rPr>
          <w:rFonts w:ascii="Times New Roman" w:hAnsi="Times New Roman" w:cs="Times New Roman"/>
          <w:sz w:val="24"/>
          <w:szCs w:val="24"/>
        </w:rPr>
        <w:t xml:space="preserve"> 2005, 90); en </w:t>
      </w:r>
    </w:p>
    <w:p w:rsidRPr="00463949" w:rsidR="00232A17" w:rsidP="00232A17" w:rsidRDefault="00232A17" w14:paraId="3581FC4A" w14:textId="77777777">
      <w:pPr>
        <w:pStyle w:val="Lijstalinea"/>
        <w:numPr>
          <w:ilvl w:val="0"/>
          <w:numId w:val="8"/>
        </w:num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het op 25 mei 1962 te Brussel tot stand gekomen Verdrag inzake de aansprakelijkheid van exploitanten van nucleaire schepen, met Aanvullend Protocol (</w:t>
      </w:r>
      <w:r w:rsidRPr="00463949">
        <w:rPr>
          <w:rFonts w:ascii="Times New Roman" w:hAnsi="Times New Roman" w:cs="Times New Roman"/>
          <w:i/>
          <w:iCs/>
          <w:sz w:val="24"/>
          <w:szCs w:val="24"/>
        </w:rPr>
        <w:t>Trb.</w:t>
      </w:r>
      <w:r w:rsidRPr="00463949">
        <w:rPr>
          <w:rFonts w:ascii="Times New Roman" w:hAnsi="Times New Roman" w:cs="Times New Roman"/>
          <w:sz w:val="24"/>
          <w:szCs w:val="24"/>
        </w:rPr>
        <w:t xml:space="preserve"> 1968, 90).</w:t>
      </w:r>
    </w:p>
    <w:p w:rsidRPr="00463949" w:rsidR="00232A17" w:rsidP="00232A17" w:rsidRDefault="00232A17" w14:paraId="56B882A4" w14:textId="6B83062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Het laatstgenoemde verdrag is op 20 maart 1974 door het Koninkrijk der Nederlanden voor Nederland geratificeerd, maar (nog) niet in werking getreden. In lid </w:t>
      </w:r>
      <w:r w:rsidRPr="00463949" w:rsidR="00032C75">
        <w:rPr>
          <w:rFonts w:ascii="Times New Roman" w:hAnsi="Times New Roman" w:cs="Times New Roman"/>
          <w:sz w:val="24"/>
          <w:szCs w:val="24"/>
        </w:rPr>
        <w:t>3</w:t>
      </w:r>
      <w:r w:rsidRPr="00463949">
        <w:rPr>
          <w:rFonts w:ascii="Times New Roman" w:hAnsi="Times New Roman" w:cs="Times New Roman"/>
          <w:sz w:val="24"/>
          <w:szCs w:val="24"/>
        </w:rPr>
        <w:t>, onderdeel b, subonderdeel 3°, wordt dit verdrag daarom alleen genoemd voor het geval dat nog gebeurt.</w:t>
      </w:r>
    </w:p>
    <w:p w:rsidRPr="00463949" w:rsidR="00ED1BBD" w:rsidP="00D045E0" w:rsidRDefault="00ED1BBD" w14:paraId="7FD11EBB" w14:textId="77777777">
      <w:pPr>
        <w:spacing w:after="0" w:line="276" w:lineRule="auto"/>
        <w:rPr>
          <w:rFonts w:ascii="Times New Roman" w:hAnsi="Times New Roman" w:cs="Times New Roman"/>
          <w:sz w:val="24"/>
          <w:szCs w:val="24"/>
        </w:rPr>
      </w:pPr>
    </w:p>
    <w:p w:rsidRPr="00463949" w:rsidR="00232A17" w:rsidP="00D045E0" w:rsidRDefault="00232A17" w14:paraId="1D799FA4" w14:textId="129D6D99">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D</w:t>
      </w:r>
      <w:r w:rsidRPr="00463949" w:rsidR="00317B0D">
        <w:rPr>
          <w:rFonts w:ascii="Times New Roman" w:hAnsi="Times New Roman" w:cs="Times New Roman"/>
          <w:i/>
          <w:iCs/>
          <w:sz w:val="24"/>
          <w:szCs w:val="24"/>
        </w:rPr>
        <w:t xml:space="preserve">, </w:t>
      </w:r>
      <w:r w:rsidRPr="00463949" w:rsidR="00725BE2">
        <w:rPr>
          <w:rFonts w:ascii="Times New Roman" w:hAnsi="Times New Roman" w:cs="Times New Roman"/>
          <w:i/>
          <w:iCs/>
          <w:sz w:val="24"/>
          <w:szCs w:val="24"/>
        </w:rPr>
        <w:t>wijziging artikel 185</w:t>
      </w:r>
      <w:r w:rsidRPr="00463949" w:rsidR="00D1462B">
        <w:rPr>
          <w:rFonts w:ascii="Times New Roman" w:hAnsi="Times New Roman" w:cs="Times New Roman"/>
          <w:i/>
          <w:iCs/>
          <w:sz w:val="24"/>
          <w:szCs w:val="24"/>
        </w:rPr>
        <w:t xml:space="preserve"> (aansprakelijkheid, vrijstelling en vermindering van aansprakelijkheid)</w:t>
      </w:r>
    </w:p>
    <w:p w:rsidRPr="00463949" w:rsidR="00232A17" w:rsidP="00D045E0" w:rsidRDefault="00232A17" w14:paraId="105AC8E2" w14:textId="77777777">
      <w:pPr>
        <w:spacing w:after="0" w:line="276" w:lineRule="auto"/>
        <w:rPr>
          <w:rFonts w:ascii="Times New Roman" w:hAnsi="Times New Roman" w:cs="Times New Roman"/>
          <w:sz w:val="24"/>
          <w:szCs w:val="24"/>
        </w:rPr>
      </w:pPr>
    </w:p>
    <w:p w:rsidRPr="00463949" w:rsidR="00A53F9B" w:rsidP="00D045E0" w:rsidRDefault="00A53F9B" w14:paraId="4DFE1B3A" w14:textId="7AFA1842">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w:t>
      </w:r>
      <w:r w:rsidRPr="00463949" w:rsidR="00F579DF">
        <w:rPr>
          <w:rFonts w:ascii="Times New Roman" w:hAnsi="Times New Roman" w:cs="Times New Roman"/>
          <w:i/>
          <w:iCs/>
          <w:sz w:val="24"/>
          <w:szCs w:val="24"/>
        </w:rPr>
        <w:t>; aansprakelijkheid en vrijstellingsgronden</w:t>
      </w:r>
      <w:r w:rsidRPr="00463949">
        <w:rPr>
          <w:rFonts w:ascii="Times New Roman" w:hAnsi="Times New Roman" w:cs="Times New Roman"/>
          <w:i/>
          <w:iCs/>
          <w:sz w:val="24"/>
          <w:szCs w:val="24"/>
        </w:rPr>
        <w:t xml:space="preserve"> </w:t>
      </w:r>
    </w:p>
    <w:p w:rsidRPr="00463949" w:rsidR="00A53F9B" w:rsidP="00D045E0" w:rsidRDefault="00A53F9B" w14:paraId="3BA42ABF" w14:textId="77777777">
      <w:pPr>
        <w:spacing w:after="0" w:line="276" w:lineRule="auto"/>
        <w:rPr>
          <w:rFonts w:ascii="Times New Roman" w:hAnsi="Times New Roman" w:cs="Times New Roman"/>
          <w:sz w:val="24"/>
          <w:szCs w:val="24"/>
        </w:rPr>
      </w:pPr>
    </w:p>
    <w:p w:rsidRPr="00463949" w:rsidR="009E4C48" w:rsidP="00D045E0" w:rsidRDefault="00E01C86" w14:paraId="2750CE69" w14:textId="15927426">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Het voorgestelde </w:t>
      </w:r>
      <w:r w:rsidRPr="00463949" w:rsidR="009E4C48">
        <w:rPr>
          <w:rFonts w:ascii="Times New Roman" w:hAnsi="Times New Roman" w:cs="Times New Roman"/>
          <w:sz w:val="24"/>
          <w:szCs w:val="24"/>
        </w:rPr>
        <w:t>artikel 6:185 BW sluit qua opzet aan bij het huidige artikel 6:185 BW.</w:t>
      </w:r>
    </w:p>
    <w:p w:rsidRPr="00463949" w:rsidR="00F04201" w:rsidP="00D045E0" w:rsidRDefault="009E4C48" w14:paraId="412CD264" w14:textId="0F007B0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lid 1 wordt </w:t>
      </w:r>
      <w:r w:rsidRPr="00463949" w:rsidR="001B75A8">
        <w:rPr>
          <w:rFonts w:ascii="Times New Roman" w:hAnsi="Times New Roman" w:cs="Times New Roman"/>
          <w:sz w:val="24"/>
          <w:szCs w:val="24"/>
        </w:rPr>
        <w:t>voorop</w:t>
      </w:r>
      <w:r w:rsidRPr="00463949">
        <w:rPr>
          <w:rFonts w:ascii="Times New Roman" w:hAnsi="Times New Roman" w:cs="Times New Roman"/>
          <w:sz w:val="24"/>
          <w:szCs w:val="24"/>
        </w:rPr>
        <w:t>gesteld</w:t>
      </w:r>
      <w:r w:rsidRPr="00463949" w:rsidR="001B75A8">
        <w:rPr>
          <w:rFonts w:ascii="Times New Roman" w:hAnsi="Times New Roman" w:cs="Times New Roman"/>
          <w:sz w:val="24"/>
          <w:szCs w:val="24"/>
        </w:rPr>
        <w:t xml:space="preserve"> </w:t>
      </w:r>
      <w:r w:rsidRPr="00463949" w:rsidR="00AB3D12">
        <w:rPr>
          <w:rFonts w:ascii="Times New Roman" w:hAnsi="Times New Roman" w:cs="Times New Roman"/>
          <w:sz w:val="24"/>
          <w:szCs w:val="24"/>
        </w:rPr>
        <w:t xml:space="preserve">dat de marktdeelnemer aansprakelijk </w:t>
      </w:r>
      <w:r w:rsidRPr="00463949" w:rsidR="00BC321C">
        <w:rPr>
          <w:rFonts w:ascii="Times New Roman" w:hAnsi="Times New Roman" w:cs="Times New Roman"/>
          <w:sz w:val="24"/>
          <w:szCs w:val="24"/>
        </w:rPr>
        <w:t xml:space="preserve">is </w:t>
      </w:r>
      <w:r w:rsidRPr="00463949" w:rsidR="00AB3D12">
        <w:rPr>
          <w:rFonts w:ascii="Times New Roman" w:hAnsi="Times New Roman" w:cs="Times New Roman"/>
          <w:sz w:val="24"/>
          <w:szCs w:val="24"/>
        </w:rPr>
        <w:t>voor de schade van natuurlijke personen veroorzaakt door een gebrekkig product</w:t>
      </w:r>
      <w:r w:rsidRPr="00463949" w:rsidR="00C53A32">
        <w:rPr>
          <w:rFonts w:ascii="Times New Roman" w:hAnsi="Times New Roman" w:cs="Times New Roman"/>
          <w:sz w:val="24"/>
          <w:szCs w:val="24"/>
        </w:rPr>
        <w:t xml:space="preserve"> (vgl. artikel 1 Richtlijn)</w:t>
      </w:r>
      <w:r w:rsidRPr="00463949" w:rsidR="00AB3D12">
        <w:rPr>
          <w:rFonts w:ascii="Times New Roman" w:hAnsi="Times New Roman" w:cs="Times New Roman"/>
          <w:sz w:val="24"/>
          <w:szCs w:val="24"/>
        </w:rPr>
        <w:t xml:space="preserve">. </w:t>
      </w:r>
      <w:r w:rsidRPr="00463949" w:rsidR="00F04201">
        <w:rPr>
          <w:rFonts w:ascii="Times New Roman" w:hAnsi="Times New Roman" w:cs="Times New Roman"/>
          <w:sz w:val="24"/>
          <w:szCs w:val="24"/>
        </w:rPr>
        <w:t xml:space="preserve">Vervolgens wordt hierop </w:t>
      </w:r>
      <w:r w:rsidRPr="00463949" w:rsidR="001B75A8">
        <w:rPr>
          <w:rFonts w:ascii="Times New Roman" w:hAnsi="Times New Roman" w:cs="Times New Roman"/>
          <w:sz w:val="24"/>
          <w:szCs w:val="24"/>
        </w:rPr>
        <w:t xml:space="preserve">een uitzondering </w:t>
      </w:r>
      <w:r w:rsidRPr="00463949" w:rsidR="00266AE9">
        <w:rPr>
          <w:rFonts w:ascii="Times New Roman" w:hAnsi="Times New Roman" w:cs="Times New Roman"/>
          <w:sz w:val="24"/>
          <w:szCs w:val="24"/>
        </w:rPr>
        <w:t>g</w:t>
      </w:r>
      <w:r w:rsidRPr="00463949" w:rsidR="00F04201">
        <w:rPr>
          <w:rFonts w:ascii="Times New Roman" w:hAnsi="Times New Roman" w:cs="Times New Roman"/>
          <w:sz w:val="24"/>
          <w:szCs w:val="24"/>
        </w:rPr>
        <w:t>emaakt</w:t>
      </w:r>
      <w:r w:rsidRPr="00463949" w:rsidR="00266AE9">
        <w:rPr>
          <w:rFonts w:ascii="Times New Roman" w:hAnsi="Times New Roman" w:cs="Times New Roman"/>
          <w:sz w:val="24"/>
          <w:szCs w:val="24"/>
        </w:rPr>
        <w:t xml:space="preserve"> (de “tenzij-clausule”). De</w:t>
      </w:r>
      <w:r w:rsidRPr="00463949" w:rsidR="00AB3D12">
        <w:rPr>
          <w:rFonts w:ascii="Times New Roman" w:hAnsi="Times New Roman" w:cs="Times New Roman"/>
          <w:sz w:val="24"/>
          <w:szCs w:val="24"/>
        </w:rPr>
        <w:t xml:space="preserve"> marktdeelnemer is vrijgesteld van aansprakelijkheid als</w:t>
      </w:r>
      <w:r w:rsidRPr="00463949" w:rsidR="00266AE9">
        <w:rPr>
          <w:rFonts w:ascii="Times New Roman" w:hAnsi="Times New Roman" w:cs="Times New Roman"/>
          <w:sz w:val="24"/>
          <w:szCs w:val="24"/>
        </w:rPr>
        <w:t xml:space="preserve"> hij </w:t>
      </w:r>
      <w:r w:rsidRPr="00463949" w:rsidR="0005617B">
        <w:rPr>
          <w:rFonts w:ascii="Times New Roman" w:hAnsi="Times New Roman" w:cs="Times New Roman"/>
          <w:sz w:val="24"/>
          <w:szCs w:val="24"/>
        </w:rPr>
        <w:t xml:space="preserve">aannemelijk maakt en, indien nodig, </w:t>
      </w:r>
      <w:r w:rsidRPr="00463949" w:rsidR="00885DB8">
        <w:rPr>
          <w:rFonts w:ascii="Times New Roman" w:hAnsi="Times New Roman" w:cs="Times New Roman"/>
          <w:sz w:val="24"/>
          <w:szCs w:val="24"/>
        </w:rPr>
        <w:t xml:space="preserve">bewijst dat er sprake is van </w:t>
      </w:r>
      <w:r w:rsidRPr="00463949" w:rsidR="00266AE9">
        <w:rPr>
          <w:rFonts w:ascii="Times New Roman" w:hAnsi="Times New Roman" w:cs="Times New Roman"/>
          <w:sz w:val="24"/>
          <w:szCs w:val="24"/>
        </w:rPr>
        <w:t xml:space="preserve">één van de </w:t>
      </w:r>
      <w:r w:rsidRPr="00463949" w:rsidR="00BC321C">
        <w:rPr>
          <w:rFonts w:ascii="Times New Roman" w:hAnsi="Times New Roman" w:cs="Times New Roman"/>
          <w:sz w:val="24"/>
          <w:szCs w:val="24"/>
        </w:rPr>
        <w:t xml:space="preserve">in de onderdelen a t/m g genoemde </w:t>
      </w:r>
      <w:r w:rsidRPr="00463949" w:rsidR="00266AE9">
        <w:rPr>
          <w:rFonts w:ascii="Times New Roman" w:hAnsi="Times New Roman" w:cs="Times New Roman"/>
          <w:sz w:val="24"/>
          <w:szCs w:val="24"/>
        </w:rPr>
        <w:t>omstandigheden.</w:t>
      </w:r>
      <w:r w:rsidRPr="00463949" w:rsidR="00AB3D12">
        <w:rPr>
          <w:rFonts w:ascii="Times New Roman" w:hAnsi="Times New Roman" w:cs="Times New Roman"/>
          <w:sz w:val="24"/>
          <w:szCs w:val="24"/>
        </w:rPr>
        <w:t xml:space="preserve"> Dit betreft de implementatie van </w:t>
      </w:r>
      <w:r w:rsidRPr="00463949" w:rsidR="001B75A8">
        <w:rPr>
          <w:rFonts w:ascii="Times New Roman" w:hAnsi="Times New Roman" w:cs="Times New Roman"/>
          <w:sz w:val="24"/>
          <w:szCs w:val="24"/>
        </w:rPr>
        <w:t xml:space="preserve">de vrijstellingsgronden in </w:t>
      </w:r>
      <w:r w:rsidRPr="00463949" w:rsidR="00AB3D12">
        <w:rPr>
          <w:rFonts w:ascii="Times New Roman" w:hAnsi="Times New Roman" w:cs="Times New Roman"/>
          <w:sz w:val="24"/>
          <w:szCs w:val="24"/>
        </w:rPr>
        <w:t>artikel 11 lid 1, onderdelen a t/m g, Richtlijn</w:t>
      </w:r>
      <w:r w:rsidRPr="00463949" w:rsidR="00C53A32">
        <w:rPr>
          <w:rFonts w:ascii="Times New Roman" w:hAnsi="Times New Roman" w:cs="Times New Roman"/>
          <w:sz w:val="24"/>
          <w:szCs w:val="24"/>
        </w:rPr>
        <w:t>.</w:t>
      </w:r>
      <w:r w:rsidRPr="00463949" w:rsidR="00E01C86">
        <w:rPr>
          <w:rStyle w:val="Voetnootmarkering"/>
          <w:rFonts w:ascii="Times New Roman" w:hAnsi="Times New Roman" w:cs="Times New Roman"/>
          <w:sz w:val="24"/>
          <w:szCs w:val="24"/>
        </w:rPr>
        <w:footnoteReference w:id="74"/>
      </w:r>
    </w:p>
    <w:p w:rsidRPr="00463949" w:rsidR="009E2945" w:rsidP="00D045E0" w:rsidRDefault="009E2945" w14:paraId="415CE17C" w14:textId="77777777">
      <w:pPr>
        <w:spacing w:after="0" w:line="276" w:lineRule="auto"/>
        <w:rPr>
          <w:rFonts w:ascii="Times New Roman" w:hAnsi="Times New Roman" w:cs="Times New Roman"/>
          <w:sz w:val="24"/>
          <w:szCs w:val="24"/>
        </w:rPr>
      </w:pPr>
    </w:p>
    <w:p w:rsidRPr="00463949" w:rsidR="009E4C48" w:rsidP="00D045E0" w:rsidRDefault="009753D9" w14:paraId="165E7F16" w14:textId="317C3A56">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M</w:t>
      </w:r>
      <w:r w:rsidRPr="00463949" w:rsidR="00885DB8">
        <w:rPr>
          <w:rFonts w:ascii="Times New Roman" w:hAnsi="Times New Roman" w:cs="Times New Roman"/>
          <w:sz w:val="24"/>
          <w:szCs w:val="24"/>
        </w:rPr>
        <w:t>et het oog op een eerlijke risicoverdeling,</w:t>
      </w:r>
      <w:r w:rsidRPr="00463949">
        <w:rPr>
          <w:rFonts w:ascii="Times New Roman" w:hAnsi="Times New Roman" w:cs="Times New Roman"/>
          <w:sz w:val="24"/>
          <w:szCs w:val="24"/>
        </w:rPr>
        <w:t xml:space="preserve"> moeten</w:t>
      </w:r>
      <w:r w:rsidRPr="00463949" w:rsidR="009101FA">
        <w:rPr>
          <w:rFonts w:ascii="Times New Roman" w:hAnsi="Times New Roman" w:cs="Times New Roman"/>
          <w:sz w:val="24"/>
          <w:szCs w:val="24"/>
        </w:rPr>
        <w:t xml:space="preserve"> </w:t>
      </w:r>
      <w:r w:rsidRPr="00463949">
        <w:rPr>
          <w:rFonts w:ascii="Times New Roman" w:hAnsi="Times New Roman" w:cs="Times New Roman"/>
          <w:sz w:val="24"/>
          <w:szCs w:val="24"/>
        </w:rPr>
        <w:t xml:space="preserve">marktdeelnemers </w:t>
      </w:r>
      <w:r w:rsidRPr="00463949" w:rsidR="00266AE9">
        <w:rPr>
          <w:rFonts w:ascii="Times New Roman" w:hAnsi="Times New Roman" w:cs="Times New Roman"/>
          <w:sz w:val="24"/>
          <w:szCs w:val="24"/>
        </w:rPr>
        <w:t>van hun aansprakelijkheid worden vrijgesteld als zij kunnen bewijzen dat er sprake is van specifieke ontlastende omstandigheden</w:t>
      </w:r>
      <w:r w:rsidRPr="00463949">
        <w:rPr>
          <w:rFonts w:ascii="Times New Roman" w:hAnsi="Times New Roman" w:cs="Times New Roman"/>
          <w:sz w:val="24"/>
          <w:szCs w:val="24"/>
        </w:rPr>
        <w:t xml:space="preserve"> (zie overweging 49)</w:t>
      </w:r>
      <w:r w:rsidRPr="00463949" w:rsidR="00266AE9">
        <w:rPr>
          <w:rFonts w:ascii="Times New Roman" w:hAnsi="Times New Roman" w:cs="Times New Roman"/>
          <w:sz w:val="24"/>
          <w:szCs w:val="24"/>
        </w:rPr>
        <w:t xml:space="preserve">. Zo mogen </w:t>
      </w:r>
      <w:r w:rsidRPr="00463949" w:rsidR="009301CD">
        <w:rPr>
          <w:rFonts w:ascii="Times New Roman" w:hAnsi="Times New Roman" w:cs="Times New Roman"/>
          <w:sz w:val="24"/>
          <w:szCs w:val="24"/>
        </w:rPr>
        <w:t>markdeelnemers</w:t>
      </w:r>
      <w:r w:rsidRPr="00463949" w:rsidR="00266AE9">
        <w:rPr>
          <w:rFonts w:ascii="Times New Roman" w:hAnsi="Times New Roman" w:cs="Times New Roman"/>
          <w:sz w:val="24"/>
          <w:szCs w:val="24"/>
        </w:rPr>
        <w:t xml:space="preserve"> niet aansprakelijk worden gesteld als zij kunnen bewijzen dat een ander dan zijzelf het product tegen hun wil uit het vervaardigingsproces heeft gehaald </w:t>
      </w:r>
      <w:r w:rsidRPr="00463949" w:rsidR="00C20896">
        <w:rPr>
          <w:rFonts w:ascii="Times New Roman" w:hAnsi="Times New Roman" w:cs="Times New Roman"/>
          <w:sz w:val="24"/>
          <w:szCs w:val="24"/>
        </w:rPr>
        <w:t xml:space="preserve">(onderdelen a en b) </w:t>
      </w:r>
      <w:r w:rsidRPr="00463949" w:rsidR="00266AE9">
        <w:rPr>
          <w:rFonts w:ascii="Times New Roman" w:hAnsi="Times New Roman" w:cs="Times New Roman"/>
          <w:sz w:val="24"/>
          <w:szCs w:val="24"/>
        </w:rPr>
        <w:t xml:space="preserve">of dat </w:t>
      </w:r>
      <w:r w:rsidRPr="00463949" w:rsidR="0000662C">
        <w:rPr>
          <w:rFonts w:ascii="Times New Roman" w:hAnsi="Times New Roman" w:cs="Times New Roman"/>
          <w:sz w:val="24"/>
          <w:szCs w:val="24"/>
        </w:rPr>
        <w:t xml:space="preserve">het gebrek </w:t>
      </w:r>
      <w:r w:rsidRPr="00463949" w:rsidR="00266AE9">
        <w:rPr>
          <w:rFonts w:ascii="Times New Roman" w:hAnsi="Times New Roman" w:cs="Times New Roman"/>
          <w:sz w:val="24"/>
          <w:szCs w:val="24"/>
        </w:rPr>
        <w:t>van het product te wijten is aan de naleving van wettelijke vereisten (onderde</w:t>
      </w:r>
      <w:r w:rsidRPr="00463949" w:rsidR="00C20896">
        <w:rPr>
          <w:rFonts w:ascii="Times New Roman" w:hAnsi="Times New Roman" w:cs="Times New Roman"/>
          <w:sz w:val="24"/>
          <w:szCs w:val="24"/>
        </w:rPr>
        <w:t xml:space="preserve">el d). </w:t>
      </w:r>
      <w:r w:rsidRPr="00463949" w:rsidR="00DE1E28">
        <w:rPr>
          <w:rFonts w:ascii="Times New Roman" w:hAnsi="Times New Roman" w:cs="Times New Roman"/>
          <w:sz w:val="24"/>
          <w:szCs w:val="24"/>
        </w:rPr>
        <w:t xml:space="preserve">Marktdeelnemers </w:t>
      </w:r>
      <w:r w:rsidRPr="00463949" w:rsidR="00885DB8">
        <w:rPr>
          <w:rFonts w:ascii="Times New Roman" w:hAnsi="Times New Roman" w:cs="Times New Roman"/>
          <w:sz w:val="24"/>
          <w:szCs w:val="24"/>
        </w:rPr>
        <w:t xml:space="preserve">worden </w:t>
      </w:r>
      <w:r w:rsidRPr="00463949" w:rsidR="009101FA">
        <w:rPr>
          <w:rFonts w:ascii="Times New Roman" w:hAnsi="Times New Roman" w:cs="Times New Roman"/>
          <w:sz w:val="24"/>
          <w:szCs w:val="24"/>
        </w:rPr>
        <w:t xml:space="preserve">eveneens van hun aansprakelijkheid vrijgesteld </w:t>
      </w:r>
      <w:r w:rsidRPr="00463949" w:rsidR="009301CD">
        <w:rPr>
          <w:rFonts w:ascii="Times New Roman" w:hAnsi="Times New Roman" w:cs="Times New Roman"/>
          <w:sz w:val="24"/>
          <w:szCs w:val="24"/>
        </w:rPr>
        <w:t xml:space="preserve">als </w:t>
      </w:r>
      <w:r w:rsidRPr="00463949" w:rsidR="009101FA">
        <w:rPr>
          <w:rFonts w:ascii="Times New Roman" w:hAnsi="Times New Roman" w:cs="Times New Roman"/>
          <w:sz w:val="24"/>
          <w:szCs w:val="24"/>
        </w:rPr>
        <w:t xml:space="preserve">zij bewijzen dat het niet mogelijk was om </w:t>
      </w:r>
      <w:r w:rsidRPr="00463949" w:rsidR="00515470">
        <w:rPr>
          <w:rFonts w:ascii="Times New Roman" w:hAnsi="Times New Roman" w:cs="Times New Roman"/>
          <w:sz w:val="24"/>
          <w:szCs w:val="24"/>
        </w:rPr>
        <w:t xml:space="preserve">het gebrek </w:t>
      </w:r>
      <w:r w:rsidRPr="00463949" w:rsidR="009101FA">
        <w:rPr>
          <w:rFonts w:ascii="Times New Roman" w:hAnsi="Times New Roman" w:cs="Times New Roman"/>
          <w:sz w:val="24"/>
          <w:szCs w:val="24"/>
        </w:rPr>
        <w:t>te ontdekken op grond van de stand van de wetenschappelijke en technische kennis op het tijdstip waarop het product in de handel werd gebracht of in gebruik werd gesteld dan wel gedurende de periode waarin de fabrikant de zeggenschap over het product had</w:t>
      </w:r>
      <w:r w:rsidRPr="00463949" w:rsidR="00DE1E28">
        <w:rPr>
          <w:rFonts w:ascii="Times New Roman" w:hAnsi="Times New Roman" w:cs="Times New Roman"/>
          <w:sz w:val="24"/>
          <w:szCs w:val="24"/>
        </w:rPr>
        <w:t xml:space="preserve"> (onderdeel e).</w:t>
      </w:r>
      <w:r w:rsidRPr="00463949" w:rsidR="00885DB8">
        <w:rPr>
          <w:rFonts w:ascii="Times New Roman" w:hAnsi="Times New Roman" w:cs="Times New Roman"/>
          <w:sz w:val="24"/>
          <w:szCs w:val="24"/>
        </w:rPr>
        <w:t xml:space="preserve"> </w:t>
      </w:r>
      <w:r w:rsidRPr="00463949" w:rsidR="00BC321C">
        <w:rPr>
          <w:rFonts w:ascii="Times New Roman" w:hAnsi="Times New Roman" w:cs="Times New Roman"/>
          <w:sz w:val="24"/>
          <w:szCs w:val="24"/>
        </w:rPr>
        <w:t xml:space="preserve">Dit wordt </w:t>
      </w:r>
      <w:r w:rsidRPr="00463949" w:rsidR="00885DB8">
        <w:rPr>
          <w:rFonts w:ascii="Times New Roman" w:hAnsi="Times New Roman" w:cs="Times New Roman"/>
          <w:sz w:val="24"/>
          <w:szCs w:val="24"/>
        </w:rPr>
        <w:t xml:space="preserve">ook wel het </w:t>
      </w:r>
      <w:r w:rsidRPr="00463949" w:rsidR="00885DB8">
        <w:rPr>
          <w:rFonts w:ascii="Times New Roman" w:hAnsi="Times New Roman" w:cs="Times New Roman"/>
          <w:sz w:val="24"/>
          <w:szCs w:val="24"/>
        </w:rPr>
        <w:lastRenderedPageBreak/>
        <w:t>“ontwikkelingsrisicoverweer”</w:t>
      </w:r>
      <w:r w:rsidRPr="00463949" w:rsidR="003E2179">
        <w:rPr>
          <w:rFonts w:ascii="Times New Roman" w:hAnsi="Times New Roman" w:cs="Times New Roman"/>
          <w:sz w:val="24"/>
          <w:szCs w:val="24"/>
        </w:rPr>
        <w:t xml:space="preserve"> genoemd</w:t>
      </w:r>
      <w:r w:rsidRPr="00463949" w:rsidR="00DE1E28">
        <w:rPr>
          <w:rFonts w:ascii="Times New Roman" w:hAnsi="Times New Roman" w:cs="Times New Roman"/>
          <w:sz w:val="24"/>
          <w:szCs w:val="24"/>
        </w:rPr>
        <w:t xml:space="preserve">. </w:t>
      </w:r>
      <w:r w:rsidRPr="00463949">
        <w:rPr>
          <w:rFonts w:ascii="Times New Roman" w:hAnsi="Times New Roman" w:cs="Times New Roman"/>
          <w:sz w:val="24"/>
          <w:szCs w:val="24"/>
        </w:rPr>
        <w:t xml:space="preserve">De </w:t>
      </w:r>
      <w:r w:rsidRPr="00463949" w:rsidR="00DE1E28">
        <w:rPr>
          <w:rFonts w:ascii="Times New Roman" w:hAnsi="Times New Roman" w:cs="Times New Roman"/>
          <w:sz w:val="24"/>
          <w:szCs w:val="24"/>
        </w:rPr>
        <w:t xml:space="preserve">“stand van de wetenschappelijke en technische kennis” </w:t>
      </w:r>
      <w:r w:rsidRPr="00463949" w:rsidR="003E2179">
        <w:rPr>
          <w:rFonts w:ascii="Times New Roman" w:hAnsi="Times New Roman" w:cs="Times New Roman"/>
          <w:sz w:val="24"/>
          <w:szCs w:val="24"/>
        </w:rPr>
        <w:t xml:space="preserve">moet worden </w:t>
      </w:r>
      <w:r w:rsidRPr="00463949" w:rsidR="00DE1E28">
        <w:rPr>
          <w:rFonts w:ascii="Times New Roman" w:hAnsi="Times New Roman" w:cs="Times New Roman"/>
          <w:sz w:val="24"/>
          <w:szCs w:val="24"/>
        </w:rPr>
        <w:t>bepaald aan de hand van het meest geavanceerde niveau van toegankelijke objectieve kennis gedurende de periode waarin de fabrikant zeggenschap over het product had</w:t>
      </w:r>
      <w:r w:rsidRPr="00463949">
        <w:rPr>
          <w:rFonts w:ascii="Times New Roman" w:hAnsi="Times New Roman" w:cs="Times New Roman"/>
          <w:sz w:val="24"/>
          <w:szCs w:val="24"/>
        </w:rPr>
        <w:t xml:space="preserve"> (zie overweging 52)</w:t>
      </w:r>
      <w:r w:rsidRPr="00463949" w:rsidR="00DE1E28">
        <w:rPr>
          <w:rFonts w:ascii="Times New Roman" w:hAnsi="Times New Roman" w:cs="Times New Roman"/>
          <w:sz w:val="24"/>
          <w:szCs w:val="24"/>
        </w:rPr>
        <w:t xml:space="preserve">. </w:t>
      </w:r>
      <w:r w:rsidRPr="00463949" w:rsidR="009E4C48">
        <w:rPr>
          <w:rFonts w:ascii="Times New Roman" w:hAnsi="Times New Roman" w:cs="Times New Roman"/>
          <w:sz w:val="24"/>
          <w:szCs w:val="24"/>
        </w:rPr>
        <w:t xml:space="preserve">Het gaat hierbij dus niet om de </w:t>
      </w:r>
      <w:r w:rsidRPr="00463949" w:rsidR="00DE1E28">
        <w:rPr>
          <w:rFonts w:ascii="Times New Roman" w:hAnsi="Times New Roman" w:cs="Times New Roman"/>
          <w:sz w:val="24"/>
          <w:szCs w:val="24"/>
        </w:rPr>
        <w:t xml:space="preserve">feitelijke (subjectieve) kennis </w:t>
      </w:r>
      <w:r w:rsidRPr="00463949" w:rsidR="009E4C48">
        <w:rPr>
          <w:rFonts w:ascii="Times New Roman" w:hAnsi="Times New Roman" w:cs="Times New Roman"/>
          <w:sz w:val="24"/>
          <w:szCs w:val="24"/>
        </w:rPr>
        <w:t xml:space="preserve">die </w:t>
      </w:r>
      <w:r w:rsidRPr="00463949" w:rsidR="00DE1E28">
        <w:rPr>
          <w:rFonts w:ascii="Times New Roman" w:hAnsi="Times New Roman" w:cs="Times New Roman"/>
          <w:sz w:val="24"/>
          <w:szCs w:val="24"/>
        </w:rPr>
        <w:t>de betrokken markdeelnemer</w:t>
      </w:r>
      <w:r w:rsidRPr="00463949" w:rsidR="009E4C48">
        <w:rPr>
          <w:rFonts w:ascii="Times New Roman" w:hAnsi="Times New Roman" w:cs="Times New Roman"/>
          <w:sz w:val="24"/>
          <w:szCs w:val="24"/>
        </w:rPr>
        <w:t xml:space="preserve"> op het genoemde tijdstip had</w:t>
      </w:r>
      <w:r w:rsidRPr="00463949" w:rsidR="00DE1E28">
        <w:rPr>
          <w:rFonts w:ascii="Times New Roman" w:hAnsi="Times New Roman" w:cs="Times New Roman"/>
          <w:sz w:val="24"/>
          <w:szCs w:val="24"/>
        </w:rPr>
        <w:t xml:space="preserve">. </w:t>
      </w:r>
      <w:r w:rsidRPr="00463949" w:rsidR="009E4C48">
        <w:rPr>
          <w:rFonts w:ascii="Times New Roman" w:hAnsi="Times New Roman" w:cs="Times New Roman"/>
          <w:sz w:val="24"/>
          <w:szCs w:val="24"/>
        </w:rPr>
        <w:t xml:space="preserve">Voor de mogelijkheid tot afwijking van het ontwikkelingsverweer wordt verwezen naar </w:t>
      </w:r>
      <w:r w:rsidRPr="00463949" w:rsidR="0005617B">
        <w:rPr>
          <w:rFonts w:ascii="Times New Roman" w:hAnsi="Times New Roman" w:cs="Times New Roman"/>
          <w:sz w:val="24"/>
          <w:szCs w:val="24"/>
        </w:rPr>
        <w:t xml:space="preserve">paragraaf 3.1.1 van </w:t>
      </w:r>
      <w:r w:rsidRPr="00463949" w:rsidR="009E4C48">
        <w:rPr>
          <w:rFonts w:ascii="Times New Roman" w:hAnsi="Times New Roman" w:cs="Times New Roman"/>
          <w:sz w:val="24"/>
          <w:szCs w:val="24"/>
        </w:rPr>
        <w:t>het algemeen deel van deze memorie van toelichting.</w:t>
      </w:r>
    </w:p>
    <w:p w:rsidRPr="00463949" w:rsidR="009E4C48" w:rsidP="00D045E0" w:rsidRDefault="009E4C48" w14:paraId="647DEA1C" w14:textId="77777777">
      <w:pPr>
        <w:spacing w:after="0" w:line="276" w:lineRule="auto"/>
        <w:rPr>
          <w:rFonts w:ascii="Times New Roman" w:hAnsi="Times New Roman" w:cs="Times New Roman"/>
          <w:sz w:val="24"/>
          <w:szCs w:val="24"/>
        </w:rPr>
      </w:pPr>
    </w:p>
    <w:p w:rsidRPr="00463949" w:rsidR="00C53A32" w:rsidP="00D045E0" w:rsidRDefault="00AE0677" w14:paraId="1F749D1A" w14:textId="799C0DE9">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Specifiek voor de </w:t>
      </w:r>
      <w:r w:rsidRPr="00463949" w:rsidR="009E2945">
        <w:rPr>
          <w:rFonts w:ascii="Times New Roman" w:hAnsi="Times New Roman" w:cs="Times New Roman"/>
          <w:sz w:val="24"/>
          <w:szCs w:val="24"/>
        </w:rPr>
        <w:t>fabrikant van een gebrekkige component</w:t>
      </w:r>
      <w:r w:rsidRPr="00463949">
        <w:rPr>
          <w:rFonts w:ascii="Times New Roman" w:hAnsi="Times New Roman" w:cs="Times New Roman"/>
          <w:sz w:val="24"/>
          <w:szCs w:val="24"/>
        </w:rPr>
        <w:t xml:space="preserve"> geldt</w:t>
      </w:r>
      <w:r w:rsidRPr="00463949" w:rsidR="0048733E">
        <w:rPr>
          <w:rFonts w:ascii="Times New Roman" w:hAnsi="Times New Roman" w:cs="Times New Roman"/>
          <w:sz w:val="24"/>
          <w:szCs w:val="24"/>
        </w:rPr>
        <w:t>,</w:t>
      </w:r>
      <w:r w:rsidRPr="00463949">
        <w:rPr>
          <w:rFonts w:ascii="Times New Roman" w:hAnsi="Times New Roman" w:cs="Times New Roman"/>
          <w:sz w:val="24"/>
          <w:szCs w:val="24"/>
        </w:rPr>
        <w:t xml:space="preserve"> dat hij</w:t>
      </w:r>
      <w:r w:rsidRPr="00463949" w:rsidR="009E2945">
        <w:rPr>
          <w:rFonts w:ascii="Times New Roman" w:hAnsi="Times New Roman" w:cs="Times New Roman"/>
          <w:sz w:val="24"/>
          <w:szCs w:val="24"/>
        </w:rPr>
        <w:t xml:space="preserve"> </w:t>
      </w:r>
      <w:r w:rsidRPr="00463949" w:rsidR="003E2179">
        <w:rPr>
          <w:rFonts w:ascii="Times New Roman" w:hAnsi="Times New Roman" w:cs="Times New Roman"/>
          <w:sz w:val="24"/>
          <w:szCs w:val="24"/>
        </w:rPr>
        <w:t>wordt</w:t>
      </w:r>
      <w:r w:rsidRPr="00463949">
        <w:rPr>
          <w:rFonts w:ascii="Times New Roman" w:hAnsi="Times New Roman" w:cs="Times New Roman"/>
          <w:sz w:val="24"/>
          <w:szCs w:val="24"/>
        </w:rPr>
        <w:t xml:space="preserve"> </w:t>
      </w:r>
      <w:r w:rsidRPr="00463949" w:rsidR="00B1544F">
        <w:rPr>
          <w:rFonts w:ascii="Times New Roman" w:hAnsi="Times New Roman" w:cs="Times New Roman"/>
          <w:sz w:val="24"/>
          <w:szCs w:val="24"/>
        </w:rPr>
        <w:t xml:space="preserve">vrijgesteld van aansprakelijkheid als hij bewijst dat </w:t>
      </w:r>
      <w:r w:rsidRPr="00463949" w:rsidR="0000662C">
        <w:rPr>
          <w:rFonts w:ascii="Times New Roman" w:hAnsi="Times New Roman" w:cs="Times New Roman"/>
          <w:sz w:val="24"/>
          <w:szCs w:val="24"/>
        </w:rPr>
        <w:t xml:space="preserve">het gebrek </w:t>
      </w:r>
      <w:r w:rsidRPr="00463949" w:rsidR="00B1544F">
        <w:rPr>
          <w:rFonts w:ascii="Times New Roman" w:hAnsi="Times New Roman" w:cs="Times New Roman"/>
          <w:sz w:val="24"/>
          <w:szCs w:val="24"/>
        </w:rPr>
        <w:t xml:space="preserve">van het product waarin die component is geïntegreerd is toe te schrijven aan het ontwerp van dat product of aan de instructies die de fabrikant van dat product </w:t>
      </w:r>
      <w:r w:rsidRPr="00463949">
        <w:rPr>
          <w:rFonts w:ascii="Times New Roman" w:hAnsi="Times New Roman" w:cs="Times New Roman"/>
          <w:sz w:val="24"/>
          <w:szCs w:val="24"/>
        </w:rPr>
        <w:t xml:space="preserve">aan hem </w:t>
      </w:r>
      <w:r w:rsidRPr="00463949" w:rsidR="00B1544F">
        <w:rPr>
          <w:rFonts w:ascii="Times New Roman" w:hAnsi="Times New Roman" w:cs="Times New Roman"/>
          <w:sz w:val="24"/>
          <w:szCs w:val="24"/>
        </w:rPr>
        <w:t xml:space="preserve">heeft verstrekt (onderdeel f). Nieuw vergeleken met </w:t>
      </w:r>
      <w:r w:rsidRPr="00463949" w:rsidR="00B14E70">
        <w:rPr>
          <w:rFonts w:ascii="Times New Roman" w:hAnsi="Times New Roman" w:cs="Times New Roman"/>
          <w:sz w:val="24"/>
          <w:szCs w:val="24"/>
        </w:rPr>
        <w:t xml:space="preserve">Richtlijn 85/374 </w:t>
      </w:r>
      <w:r w:rsidRPr="00463949" w:rsidR="00B1544F">
        <w:rPr>
          <w:rFonts w:ascii="Times New Roman" w:hAnsi="Times New Roman" w:cs="Times New Roman"/>
          <w:sz w:val="24"/>
          <w:szCs w:val="24"/>
        </w:rPr>
        <w:t>(en het huidige artikel 6:185 lid 1 BW)</w:t>
      </w:r>
      <w:r w:rsidRPr="00463949" w:rsidR="00E01C86">
        <w:rPr>
          <w:rFonts w:ascii="Times New Roman" w:hAnsi="Times New Roman" w:cs="Times New Roman"/>
          <w:sz w:val="24"/>
          <w:szCs w:val="24"/>
        </w:rPr>
        <w:t>,</w:t>
      </w:r>
      <w:r w:rsidRPr="00463949" w:rsidR="00B1544F">
        <w:rPr>
          <w:rFonts w:ascii="Times New Roman" w:hAnsi="Times New Roman" w:cs="Times New Roman"/>
          <w:sz w:val="24"/>
          <w:szCs w:val="24"/>
        </w:rPr>
        <w:t xml:space="preserve"> is dat een persoon die het product ingrijpend wijzigt als bedoeld in artikel 6:187 lid 2 BW wordt vrijgesteld van aansprakelijkheid als hij bewijst dat </w:t>
      </w:r>
      <w:r w:rsidRPr="00463949" w:rsidR="000852D7">
        <w:rPr>
          <w:rFonts w:ascii="Times New Roman" w:hAnsi="Times New Roman" w:cs="Times New Roman"/>
          <w:sz w:val="24"/>
          <w:szCs w:val="24"/>
        </w:rPr>
        <w:t xml:space="preserve">het gebrek dat </w:t>
      </w:r>
      <w:r w:rsidRPr="00463949" w:rsidR="00B1544F">
        <w:rPr>
          <w:rFonts w:ascii="Times New Roman" w:hAnsi="Times New Roman" w:cs="Times New Roman"/>
          <w:sz w:val="24"/>
          <w:szCs w:val="24"/>
        </w:rPr>
        <w:t>die de schade heeft veroorzaakt, verband houdt met een onderdeel van het product waarop de wijziging geen betrekking heeft (onderdeel g).</w:t>
      </w:r>
    </w:p>
    <w:p w:rsidRPr="00463949" w:rsidR="00C53A32" w:rsidP="00D045E0" w:rsidRDefault="00C53A32" w14:paraId="58EE567A" w14:textId="77777777">
      <w:pPr>
        <w:spacing w:after="0" w:line="276" w:lineRule="auto"/>
        <w:rPr>
          <w:rFonts w:ascii="Times New Roman" w:hAnsi="Times New Roman" w:cs="Times New Roman"/>
          <w:sz w:val="24"/>
          <w:szCs w:val="24"/>
        </w:rPr>
      </w:pPr>
    </w:p>
    <w:p w:rsidRPr="00463949" w:rsidR="00900149" w:rsidP="00556855" w:rsidRDefault="00AE0677" w14:paraId="470392DC" w14:textId="3BEF2A58">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Tot slot worden marktdeelnemers in beginsel </w:t>
      </w:r>
      <w:r w:rsidRPr="00463949" w:rsidR="00885DB8">
        <w:rPr>
          <w:rFonts w:ascii="Times New Roman" w:hAnsi="Times New Roman" w:cs="Times New Roman"/>
          <w:sz w:val="24"/>
          <w:szCs w:val="24"/>
        </w:rPr>
        <w:t xml:space="preserve">vrijgesteld </w:t>
      </w:r>
      <w:r w:rsidRPr="00463949" w:rsidR="00093A8C">
        <w:rPr>
          <w:rFonts w:ascii="Times New Roman" w:hAnsi="Times New Roman" w:cs="Times New Roman"/>
          <w:sz w:val="24"/>
          <w:szCs w:val="24"/>
        </w:rPr>
        <w:t xml:space="preserve">van aansprakelijkheid </w:t>
      </w:r>
      <w:r w:rsidRPr="00463949" w:rsidR="00885DB8">
        <w:rPr>
          <w:rFonts w:ascii="Times New Roman" w:hAnsi="Times New Roman" w:cs="Times New Roman"/>
          <w:sz w:val="24"/>
          <w:szCs w:val="24"/>
        </w:rPr>
        <w:t xml:space="preserve">als zij bewijzen dat het aannemelijk is dat </w:t>
      </w:r>
      <w:r w:rsidRPr="00463949" w:rsidR="000852D7">
        <w:rPr>
          <w:rFonts w:ascii="Times New Roman" w:hAnsi="Times New Roman" w:cs="Times New Roman"/>
          <w:sz w:val="24"/>
          <w:szCs w:val="24"/>
        </w:rPr>
        <w:t xml:space="preserve">het gebrek dat </w:t>
      </w:r>
      <w:r w:rsidRPr="00463949" w:rsidR="00885DB8">
        <w:rPr>
          <w:rFonts w:ascii="Times New Roman" w:hAnsi="Times New Roman" w:cs="Times New Roman"/>
          <w:sz w:val="24"/>
          <w:szCs w:val="24"/>
        </w:rPr>
        <w:t xml:space="preserve">de schade heeft veroorzaakt, niet bestond op het tijdstip waarop zij het product in de handel brachten of in gebruik stelden, of dat </w:t>
      </w:r>
      <w:r w:rsidRPr="00463949" w:rsidR="000852D7">
        <w:rPr>
          <w:rFonts w:ascii="Times New Roman" w:hAnsi="Times New Roman" w:cs="Times New Roman"/>
          <w:sz w:val="24"/>
          <w:szCs w:val="24"/>
        </w:rPr>
        <w:t xml:space="preserve">dit gebrek </w:t>
      </w:r>
      <w:r w:rsidRPr="00463949" w:rsidR="00885DB8">
        <w:rPr>
          <w:rFonts w:ascii="Times New Roman" w:hAnsi="Times New Roman" w:cs="Times New Roman"/>
          <w:sz w:val="24"/>
          <w:szCs w:val="24"/>
        </w:rPr>
        <w:t xml:space="preserve">na dat tijdstip is ontstaan (onderdeel c). </w:t>
      </w:r>
      <w:r w:rsidRPr="00463949" w:rsidR="009753D9">
        <w:rPr>
          <w:rFonts w:ascii="Times New Roman" w:hAnsi="Times New Roman" w:cs="Times New Roman"/>
          <w:sz w:val="24"/>
          <w:szCs w:val="24"/>
        </w:rPr>
        <w:t xml:space="preserve">Het </w:t>
      </w:r>
      <w:r w:rsidRPr="00463949" w:rsidR="00885DB8">
        <w:rPr>
          <w:rFonts w:ascii="Times New Roman" w:hAnsi="Times New Roman" w:cs="Times New Roman"/>
          <w:sz w:val="24"/>
          <w:szCs w:val="24"/>
        </w:rPr>
        <w:t xml:space="preserve">tijdstip waarop een product in de handel wordt gebracht of in gebruik wordt gesteld </w:t>
      </w:r>
      <w:r w:rsidRPr="00463949" w:rsidR="009753D9">
        <w:rPr>
          <w:rFonts w:ascii="Times New Roman" w:hAnsi="Times New Roman" w:cs="Times New Roman"/>
          <w:sz w:val="24"/>
          <w:szCs w:val="24"/>
        </w:rPr>
        <w:t xml:space="preserve">is </w:t>
      </w:r>
      <w:r w:rsidRPr="00463949" w:rsidR="00885DB8">
        <w:rPr>
          <w:rFonts w:ascii="Times New Roman" w:hAnsi="Times New Roman" w:cs="Times New Roman"/>
          <w:sz w:val="24"/>
          <w:szCs w:val="24"/>
        </w:rPr>
        <w:t>doorgaans het tijdstip waarop de fabrikant niet langer de zeggenschap over het product heeft, terwijl het voor distributeurs het tijdstip is waarop zij het product op de markt aanbieden</w:t>
      </w:r>
      <w:r w:rsidRPr="00463949" w:rsidR="009753D9">
        <w:rPr>
          <w:rFonts w:ascii="Times New Roman" w:hAnsi="Times New Roman" w:cs="Times New Roman"/>
          <w:sz w:val="24"/>
          <w:szCs w:val="24"/>
        </w:rPr>
        <w:t xml:space="preserve"> (zie overweging 50)</w:t>
      </w:r>
      <w:r w:rsidRPr="00463949" w:rsidR="00885DB8">
        <w:rPr>
          <w:rFonts w:ascii="Times New Roman" w:hAnsi="Times New Roman" w:cs="Times New Roman"/>
          <w:sz w:val="24"/>
          <w:szCs w:val="24"/>
        </w:rPr>
        <w:t xml:space="preserve">. </w:t>
      </w:r>
    </w:p>
    <w:p w:rsidRPr="00463949" w:rsidR="00900149" w:rsidP="00556855" w:rsidRDefault="00900149" w14:paraId="1B3E7013" w14:textId="77777777">
      <w:pPr>
        <w:spacing w:after="0" w:line="276" w:lineRule="auto"/>
        <w:rPr>
          <w:rFonts w:ascii="Times New Roman" w:hAnsi="Times New Roman" w:cs="Times New Roman"/>
          <w:sz w:val="24"/>
          <w:szCs w:val="24"/>
        </w:rPr>
      </w:pPr>
    </w:p>
    <w:p w:rsidRPr="00463949" w:rsidR="00A53F9B" w:rsidP="00556855" w:rsidRDefault="00A53F9B" w14:paraId="7314C239" w14:textId="7E264CB9">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2</w:t>
      </w:r>
      <w:r w:rsidRPr="00463949" w:rsidR="00F579DF">
        <w:rPr>
          <w:rFonts w:ascii="Times New Roman" w:hAnsi="Times New Roman" w:cs="Times New Roman"/>
          <w:i/>
          <w:iCs/>
          <w:sz w:val="24"/>
          <w:szCs w:val="24"/>
        </w:rPr>
        <w:t xml:space="preserve">; uitzondering op </w:t>
      </w:r>
      <w:r w:rsidRPr="00463949" w:rsidR="00301A0C">
        <w:rPr>
          <w:rFonts w:ascii="Times New Roman" w:hAnsi="Times New Roman" w:cs="Times New Roman"/>
          <w:i/>
          <w:iCs/>
          <w:sz w:val="24"/>
          <w:szCs w:val="24"/>
        </w:rPr>
        <w:t xml:space="preserve">de </w:t>
      </w:r>
      <w:r w:rsidRPr="00463949" w:rsidR="00F579DF">
        <w:rPr>
          <w:rFonts w:ascii="Times New Roman" w:hAnsi="Times New Roman" w:cs="Times New Roman"/>
          <w:i/>
          <w:iCs/>
          <w:sz w:val="24"/>
          <w:szCs w:val="24"/>
        </w:rPr>
        <w:t>vrijstellingsgrond in onderdeel c</w:t>
      </w:r>
    </w:p>
    <w:p w:rsidRPr="00463949" w:rsidR="00A53F9B" w:rsidP="00556855" w:rsidRDefault="00A53F9B" w14:paraId="567127B2" w14:textId="77777777">
      <w:pPr>
        <w:spacing w:after="0" w:line="276" w:lineRule="auto"/>
        <w:rPr>
          <w:rFonts w:ascii="Times New Roman" w:hAnsi="Times New Roman" w:cs="Times New Roman"/>
          <w:sz w:val="24"/>
          <w:szCs w:val="24"/>
        </w:rPr>
      </w:pPr>
    </w:p>
    <w:p w:rsidRPr="00463949" w:rsidR="0053286C" w:rsidP="00556855" w:rsidRDefault="00093A8C" w14:paraId="530D9869" w14:textId="74B77FA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2 </w:t>
      </w:r>
      <w:r w:rsidRPr="00463949" w:rsidR="002819D3">
        <w:rPr>
          <w:rFonts w:ascii="Times New Roman" w:hAnsi="Times New Roman" w:cs="Times New Roman"/>
          <w:sz w:val="24"/>
          <w:szCs w:val="24"/>
        </w:rPr>
        <w:t>implementeert</w:t>
      </w:r>
      <w:r w:rsidRPr="00463949">
        <w:rPr>
          <w:rFonts w:ascii="Times New Roman" w:hAnsi="Times New Roman" w:cs="Times New Roman"/>
          <w:sz w:val="24"/>
          <w:szCs w:val="24"/>
        </w:rPr>
        <w:t xml:space="preserve"> </w:t>
      </w:r>
      <w:r w:rsidRPr="00463949" w:rsidR="002819D3">
        <w:rPr>
          <w:rFonts w:ascii="Times New Roman" w:hAnsi="Times New Roman" w:cs="Times New Roman"/>
          <w:sz w:val="24"/>
          <w:szCs w:val="24"/>
        </w:rPr>
        <w:t>a</w:t>
      </w:r>
      <w:r w:rsidRPr="00463949" w:rsidR="004D0341">
        <w:rPr>
          <w:rFonts w:ascii="Times New Roman" w:hAnsi="Times New Roman" w:cs="Times New Roman"/>
          <w:sz w:val="24"/>
          <w:szCs w:val="24"/>
        </w:rPr>
        <w:t>rtikel 11 lid 2 Richtlijn</w:t>
      </w:r>
      <w:r w:rsidRPr="00463949" w:rsidR="00336F7F">
        <w:rPr>
          <w:rFonts w:ascii="Times New Roman" w:hAnsi="Times New Roman" w:cs="Times New Roman"/>
          <w:sz w:val="24"/>
          <w:szCs w:val="24"/>
        </w:rPr>
        <w:t xml:space="preserve">. </w:t>
      </w:r>
      <w:r w:rsidRPr="00463949" w:rsidR="00900149">
        <w:rPr>
          <w:rFonts w:ascii="Times New Roman" w:hAnsi="Times New Roman" w:cs="Times New Roman"/>
          <w:sz w:val="24"/>
          <w:szCs w:val="24"/>
        </w:rPr>
        <w:t xml:space="preserve">Hierin is een </w:t>
      </w:r>
      <w:r w:rsidRPr="00463949" w:rsidR="00336F7F">
        <w:rPr>
          <w:rFonts w:ascii="Times New Roman" w:hAnsi="Times New Roman" w:cs="Times New Roman"/>
          <w:sz w:val="24"/>
          <w:szCs w:val="24"/>
        </w:rPr>
        <w:t xml:space="preserve">uitzondering </w:t>
      </w:r>
      <w:r w:rsidRPr="00463949" w:rsidR="00900149">
        <w:rPr>
          <w:rFonts w:ascii="Times New Roman" w:hAnsi="Times New Roman" w:cs="Times New Roman"/>
          <w:sz w:val="24"/>
          <w:szCs w:val="24"/>
        </w:rPr>
        <w:t xml:space="preserve">opgenomen </w:t>
      </w:r>
      <w:r w:rsidRPr="00463949" w:rsidR="00336F7F">
        <w:rPr>
          <w:rFonts w:ascii="Times New Roman" w:hAnsi="Times New Roman" w:cs="Times New Roman"/>
          <w:sz w:val="24"/>
          <w:szCs w:val="24"/>
        </w:rPr>
        <w:t>op</w:t>
      </w:r>
      <w:r w:rsidRPr="00463949">
        <w:rPr>
          <w:rFonts w:ascii="Times New Roman" w:hAnsi="Times New Roman" w:cs="Times New Roman"/>
          <w:sz w:val="24"/>
          <w:szCs w:val="24"/>
        </w:rPr>
        <w:t xml:space="preserve"> de vrijstellingsgrond in artikel 11 lid 1, onderdeel c, Richtlijn. </w:t>
      </w:r>
      <w:r w:rsidRPr="00463949" w:rsidR="00336F7F">
        <w:rPr>
          <w:rFonts w:ascii="Times New Roman" w:hAnsi="Times New Roman" w:cs="Times New Roman"/>
          <w:sz w:val="24"/>
          <w:szCs w:val="24"/>
        </w:rPr>
        <w:t xml:space="preserve">Een </w:t>
      </w:r>
      <w:r w:rsidRPr="00463949">
        <w:rPr>
          <w:rFonts w:ascii="Times New Roman" w:hAnsi="Times New Roman" w:cs="Times New Roman"/>
          <w:sz w:val="24"/>
          <w:szCs w:val="24"/>
        </w:rPr>
        <w:t xml:space="preserve">marktdeelnemer </w:t>
      </w:r>
      <w:r w:rsidRPr="00463949" w:rsidR="00336F7F">
        <w:rPr>
          <w:rFonts w:ascii="Times New Roman" w:hAnsi="Times New Roman" w:cs="Times New Roman"/>
          <w:sz w:val="24"/>
          <w:szCs w:val="24"/>
        </w:rPr>
        <w:t xml:space="preserve">wordt </w:t>
      </w:r>
      <w:r w:rsidRPr="00463949">
        <w:rPr>
          <w:rFonts w:ascii="Times New Roman" w:hAnsi="Times New Roman" w:cs="Times New Roman"/>
          <w:sz w:val="24"/>
          <w:szCs w:val="24"/>
        </w:rPr>
        <w:t xml:space="preserve">niet vrijgesteld van aansprakelijkheid als </w:t>
      </w:r>
      <w:r w:rsidRPr="00463949" w:rsidR="000852D7">
        <w:rPr>
          <w:rFonts w:ascii="Times New Roman" w:hAnsi="Times New Roman" w:cs="Times New Roman"/>
          <w:sz w:val="24"/>
          <w:szCs w:val="24"/>
        </w:rPr>
        <w:t xml:space="preserve">het gebrek </w:t>
      </w:r>
      <w:r w:rsidRPr="00463949">
        <w:rPr>
          <w:rFonts w:ascii="Times New Roman" w:hAnsi="Times New Roman" w:cs="Times New Roman"/>
          <w:sz w:val="24"/>
          <w:szCs w:val="24"/>
        </w:rPr>
        <w:t>van het product te wijten is aan</w:t>
      </w:r>
      <w:r w:rsidRPr="00463949" w:rsidR="002C0800">
        <w:rPr>
          <w:rFonts w:ascii="Times New Roman" w:hAnsi="Times New Roman" w:cs="Times New Roman"/>
          <w:sz w:val="24"/>
          <w:szCs w:val="24"/>
        </w:rPr>
        <w:t>,</w:t>
      </w:r>
      <w:r w:rsidRPr="00463949" w:rsidR="00AE0677">
        <w:rPr>
          <w:rFonts w:ascii="Times New Roman" w:hAnsi="Times New Roman" w:cs="Times New Roman"/>
          <w:sz w:val="24"/>
          <w:szCs w:val="24"/>
        </w:rPr>
        <w:t xml:space="preserve"> </w:t>
      </w:r>
      <w:r w:rsidRPr="00463949">
        <w:rPr>
          <w:rFonts w:ascii="Times New Roman" w:hAnsi="Times New Roman" w:cs="Times New Roman"/>
          <w:sz w:val="24"/>
          <w:szCs w:val="24"/>
        </w:rPr>
        <w:t>en op voorwaarde dat de fabrikant daarover zeggenschap heeft</w:t>
      </w:r>
      <w:r w:rsidRPr="00463949" w:rsidR="00E01C86">
        <w:rPr>
          <w:rFonts w:ascii="Times New Roman" w:hAnsi="Times New Roman" w:cs="Times New Roman"/>
          <w:sz w:val="24"/>
          <w:szCs w:val="24"/>
        </w:rPr>
        <w:t>,</w:t>
      </w:r>
      <w:r w:rsidRPr="00463949" w:rsidR="00513E15">
        <w:rPr>
          <w:rFonts w:ascii="Times New Roman" w:hAnsi="Times New Roman" w:cs="Times New Roman"/>
          <w:sz w:val="24"/>
          <w:szCs w:val="24"/>
        </w:rPr>
        <w:t xml:space="preserve"> </w:t>
      </w:r>
      <w:r w:rsidRPr="00463949">
        <w:rPr>
          <w:rFonts w:ascii="Times New Roman" w:hAnsi="Times New Roman" w:cs="Times New Roman"/>
          <w:sz w:val="24"/>
          <w:szCs w:val="24"/>
        </w:rPr>
        <w:t xml:space="preserve">a) een bijbehorende dienst, </w:t>
      </w:r>
      <w:r w:rsidRPr="00463949" w:rsidR="00BA0A2B">
        <w:rPr>
          <w:rFonts w:ascii="Times New Roman" w:hAnsi="Times New Roman" w:cs="Times New Roman"/>
          <w:sz w:val="24"/>
          <w:szCs w:val="24"/>
        </w:rPr>
        <w:t xml:space="preserve">b) </w:t>
      </w:r>
      <w:r w:rsidRPr="00463949" w:rsidR="004D0341">
        <w:rPr>
          <w:rFonts w:ascii="Times New Roman" w:hAnsi="Times New Roman" w:cs="Times New Roman"/>
          <w:sz w:val="24"/>
          <w:szCs w:val="24"/>
        </w:rPr>
        <w:t xml:space="preserve">software, met inbegrip van updates of upgrades, </w:t>
      </w:r>
      <w:r w:rsidRPr="00463949" w:rsidR="00BA0A2B">
        <w:rPr>
          <w:rFonts w:ascii="Times New Roman" w:hAnsi="Times New Roman" w:cs="Times New Roman"/>
          <w:sz w:val="24"/>
          <w:szCs w:val="24"/>
        </w:rPr>
        <w:t xml:space="preserve">c) </w:t>
      </w:r>
      <w:r w:rsidRPr="00463949" w:rsidR="004D0341">
        <w:rPr>
          <w:rFonts w:ascii="Times New Roman" w:hAnsi="Times New Roman" w:cs="Times New Roman"/>
          <w:sz w:val="24"/>
          <w:szCs w:val="24"/>
        </w:rPr>
        <w:t xml:space="preserve">het ontbreken van </w:t>
      </w:r>
      <w:r w:rsidRPr="00463949">
        <w:rPr>
          <w:rFonts w:ascii="Times New Roman" w:hAnsi="Times New Roman" w:cs="Times New Roman"/>
          <w:sz w:val="24"/>
          <w:szCs w:val="24"/>
        </w:rPr>
        <w:t>software-</w:t>
      </w:r>
      <w:r w:rsidRPr="00463949" w:rsidR="004D0341">
        <w:rPr>
          <w:rFonts w:ascii="Times New Roman" w:hAnsi="Times New Roman" w:cs="Times New Roman"/>
          <w:sz w:val="24"/>
          <w:szCs w:val="24"/>
        </w:rPr>
        <w:t xml:space="preserve">updates of </w:t>
      </w:r>
      <w:r w:rsidRPr="00463949">
        <w:rPr>
          <w:rFonts w:ascii="Times New Roman" w:hAnsi="Times New Roman" w:cs="Times New Roman"/>
          <w:sz w:val="24"/>
          <w:szCs w:val="24"/>
        </w:rPr>
        <w:t>-</w:t>
      </w:r>
      <w:r w:rsidRPr="00463949" w:rsidR="004D0341">
        <w:rPr>
          <w:rFonts w:ascii="Times New Roman" w:hAnsi="Times New Roman" w:cs="Times New Roman"/>
          <w:sz w:val="24"/>
          <w:szCs w:val="24"/>
        </w:rPr>
        <w:t>upgrades die nodig zijn om de veiligheid te handhaven</w:t>
      </w:r>
      <w:r w:rsidRPr="00463949" w:rsidR="002C0800">
        <w:rPr>
          <w:rFonts w:ascii="Times New Roman" w:hAnsi="Times New Roman" w:cs="Times New Roman"/>
          <w:sz w:val="24"/>
          <w:szCs w:val="24"/>
        </w:rPr>
        <w:t>,</w:t>
      </w:r>
      <w:r w:rsidRPr="00463949" w:rsidR="004D0341">
        <w:rPr>
          <w:rFonts w:ascii="Times New Roman" w:hAnsi="Times New Roman" w:cs="Times New Roman"/>
          <w:sz w:val="24"/>
          <w:szCs w:val="24"/>
        </w:rPr>
        <w:t xml:space="preserve"> of </w:t>
      </w:r>
      <w:r w:rsidRPr="00463949" w:rsidR="00BA0A2B">
        <w:rPr>
          <w:rFonts w:ascii="Times New Roman" w:hAnsi="Times New Roman" w:cs="Times New Roman"/>
          <w:sz w:val="24"/>
          <w:szCs w:val="24"/>
        </w:rPr>
        <w:t xml:space="preserve">d) </w:t>
      </w:r>
      <w:r w:rsidRPr="00463949" w:rsidR="004D0341">
        <w:rPr>
          <w:rFonts w:ascii="Times New Roman" w:hAnsi="Times New Roman" w:cs="Times New Roman"/>
          <w:sz w:val="24"/>
          <w:szCs w:val="24"/>
        </w:rPr>
        <w:t>een ingrijpende wijziging van het product.</w:t>
      </w:r>
      <w:r w:rsidRPr="00463949" w:rsidR="00556855">
        <w:rPr>
          <w:rFonts w:ascii="Times New Roman" w:hAnsi="Times New Roman" w:cs="Times New Roman"/>
          <w:sz w:val="24"/>
          <w:szCs w:val="24"/>
        </w:rPr>
        <w:t xml:space="preserve"> In dat geval </w:t>
      </w:r>
      <w:r w:rsidRPr="00463949">
        <w:rPr>
          <w:rFonts w:ascii="Times New Roman" w:hAnsi="Times New Roman" w:cs="Times New Roman"/>
          <w:sz w:val="24"/>
          <w:szCs w:val="24"/>
        </w:rPr>
        <w:t xml:space="preserve">is </w:t>
      </w:r>
      <w:r w:rsidRPr="00463949" w:rsidR="00556855">
        <w:rPr>
          <w:rFonts w:ascii="Times New Roman" w:hAnsi="Times New Roman" w:cs="Times New Roman"/>
          <w:sz w:val="24"/>
          <w:szCs w:val="24"/>
        </w:rPr>
        <w:t xml:space="preserve">de </w:t>
      </w:r>
      <w:r w:rsidRPr="00463949" w:rsidR="005D55F7">
        <w:rPr>
          <w:rFonts w:ascii="Times New Roman" w:hAnsi="Times New Roman" w:cs="Times New Roman"/>
          <w:sz w:val="24"/>
          <w:szCs w:val="24"/>
        </w:rPr>
        <w:t>fabrikant</w:t>
      </w:r>
      <w:r w:rsidRPr="00463949">
        <w:rPr>
          <w:rFonts w:ascii="Times New Roman" w:hAnsi="Times New Roman" w:cs="Times New Roman"/>
          <w:sz w:val="24"/>
          <w:szCs w:val="24"/>
        </w:rPr>
        <w:t xml:space="preserve"> </w:t>
      </w:r>
      <w:r w:rsidRPr="00463949" w:rsidR="00336F7F">
        <w:rPr>
          <w:rFonts w:ascii="Times New Roman" w:hAnsi="Times New Roman" w:cs="Times New Roman"/>
          <w:sz w:val="24"/>
          <w:szCs w:val="24"/>
        </w:rPr>
        <w:t xml:space="preserve">dus </w:t>
      </w:r>
      <w:r w:rsidRPr="00463949" w:rsidR="002C0800">
        <w:rPr>
          <w:rFonts w:ascii="Times New Roman" w:hAnsi="Times New Roman" w:cs="Times New Roman"/>
          <w:sz w:val="24"/>
          <w:szCs w:val="24"/>
        </w:rPr>
        <w:t xml:space="preserve">(wel) </w:t>
      </w:r>
      <w:r w:rsidRPr="00463949">
        <w:rPr>
          <w:rFonts w:ascii="Times New Roman" w:hAnsi="Times New Roman" w:cs="Times New Roman"/>
          <w:sz w:val="24"/>
          <w:szCs w:val="24"/>
        </w:rPr>
        <w:t xml:space="preserve">aansprakelijk voor de schade veroorzaakt door een gebrekkig product, óók als </w:t>
      </w:r>
      <w:r w:rsidRPr="00463949" w:rsidR="000852D7">
        <w:rPr>
          <w:rFonts w:ascii="Times New Roman" w:hAnsi="Times New Roman" w:cs="Times New Roman"/>
          <w:sz w:val="24"/>
          <w:szCs w:val="24"/>
        </w:rPr>
        <w:t xml:space="preserve">dat gebrek </w:t>
      </w:r>
      <w:r w:rsidRPr="00463949">
        <w:rPr>
          <w:rFonts w:ascii="Times New Roman" w:hAnsi="Times New Roman" w:cs="Times New Roman"/>
          <w:sz w:val="24"/>
          <w:szCs w:val="24"/>
        </w:rPr>
        <w:t>nog niet bestond toen hij het product in de handel bracht of in gebruik stelde</w:t>
      </w:r>
      <w:r w:rsidRPr="00463949" w:rsidR="00556855">
        <w:rPr>
          <w:rFonts w:ascii="Times New Roman" w:hAnsi="Times New Roman" w:cs="Times New Roman"/>
          <w:sz w:val="24"/>
          <w:szCs w:val="24"/>
        </w:rPr>
        <w:t xml:space="preserve">. </w:t>
      </w:r>
      <w:r w:rsidRPr="00463949" w:rsidR="009753D9">
        <w:rPr>
          <w:rFonts w:ascii="Times New Roman" w:hAnsi="Times New Roman" w:cs="Times New Roman"/>
          <w:sz w:val="24"/>
          <w:szCs w:val="24"/>
        </w:rPr>
        <w:t xml:space="preserve">Indien bijvoorbeeld </w:t>
      </w:r>
      <w:r w:rsidRPr="00463949" w:rsidR="00556855">
        <w:rPr>
          <w:rFonts w:ascii="Times New Roman" w:hAnsi="Times New Roman" w:cs="Times New Roman"/>
          <w:sz w:val="24"/>
          <w:szCs w:val="24"/>
        </w:rPr>
        <w:t xml:space="preserve">een slimme televisie wordt aangeboden als een televisie voorzien van een videoapplicatie, maar de gebruiker de applicatie na de aankoop van de televisie moet downloaden van de website van een derde, moet de televisiefabrikant, naast de fabrikant van de videoapplicatie, aansprakelijk blijven voor schade die wordt veroorzaakt door </w:t>
      </w:r>
      <w:r w:rsidRPr="00463949" w:rsidR="000852D7">
        <w:rPr>
          <w:rFonts w:ascii="Times New Roman" w:hAnsi="Times New Roman" w:cs="Times New Roman"/>
          <w:sz w:val="24"/>
          <w:szCs w:val="24"/>
        </w:rPr>
        <w:t xml:space="preserve">het gebrek </w:t>
      </w:r>
      <w:r w:rsidRPr="00463949" w:rsidR="00556855">
        <w:rPr>
          <w:rFonts w:ascii="Times New Roman" w:hAnsi="Times New Roman" w:cs="Times New Roman"/>
          <w:sz w:val="24"/>
          <w:szCs w:val="24"/>
        </w:rPr>
        <w:t>van de videoapplicatie</w:t>
      </w:r>
      <w:r w:rsidRPr="00463949" w:rsidR="0048733E">
        <w:rPr>
          <w:rFonts w:ascii="Times New Roman" w:hAnsi="Times New Roman" w:cs="Times New Roman"/>
          <w:sz w:val="24"/>
          <w:szCs w:val="24"/>
        </w:rPr>
        <w:t>.</w:t>
      </w:r>
      <w:r w:rsidRPr="00463949" w:rsidR="00556855">
        <w:rPr>
          <w:rFonts w:ascii="Times New Roman" w:hAnsi="Times New Roman" w:cs="Times New Roman"/>
          <w:sz w:val="24"/>
          <w:szCs w:val="24"/>
        </w:rPr>
        <w:t xml:space="preserve"> </w:t>
      </w:r>
      <w:r w:rsidRPr="00463949" w:rsidR="0048733E">
        <w:rPr>
          <w:rFonts w:ascii="Times New Roman" w:hAnsi="Times New Roman" w:cs="Times New Roman"/>
          <w:sz w:val="24"/>
          <w:szCs w:val="24"/>
        </w:rPr>
        <w:t>O</w:t>
      </w:r>
      <w:r w:rsidRPr="00463949" w:rsidR="00556855">
        <w:rPr>
          <w:rFonts w:ascii="Times New Roman" w:hAnsi="Times New Roman" w:cs="Times New Roman"/>
          <w:sz w:val="24"/>
          <w:szCs w:val="24"/>
        </w:rPr>
        <w:t xml:space="preserve">ok al is </w:t>
      </w:r>
      <w:r w:rsidRPr="00463949" w:rsidR="000852D7">
        <w:rPr>
          <w:rFonts w:ascii="Times New Roman" w:hAnsi="Times New Roman" w:cs="Times New Roman"/>
          <w:sz w:val="24"/>
          <w:szCs w:val="24"/>
        </w:rPr>
        <w:t xml:space="preserve">dat gebrek </w:t>
      </w:r>
      <w:r w:rsidRPr="00463949" w:rsidR="00556855">
        <w:rPr>
          <w:rFonts w:ascii="Times New Roman" w:hAnsi="Times New Roman" w:cs="Times New Roman"/>
          <w:sz w:val="24"/>
          <w:szCs w:val="24"/>
        </w:rPr>
        <w:t>pas ontstaan</w:t>
      </w:r>
      <w:r w:rsidRPr="00463949" w:rsidR="0048733E">
        <w:rPr>
          <w:rFonts w:ascii="Times New Roman" w:hAnsi="Times New Roman" w:cs="Times New Roman"/>
          <w:sz w:val="24"/>
          <w:szCs w:val="24"/>
        </w:rPr>
        <w:t>,</w:t>
      </w:r>
      <w:r w:rsidRPr="00463949" w:rsidR="00556855">
        <w:rPr>
          <w:rFonts w:ascii="Times New Roman" w:hAnsi="Times New Roman" w:cs="Times New Roman"/>
          <w:sz w:val="24"/>
          <w:szCs w:val="24"/>
        </w:rPr>
        <w:t xml:space="preserve"> nadat de televisie in de handel is gebracht</w:t>
      </w:r>
      <w:r w:rsidRPr="00463949" w:rsidR="009753D9">
        <w:rPr>
          <w:rFonts w:ascii="Times New Roman" w:hAnsi="Times New Roman" w:cs="Times New Roman"/>
          <w:sz w:val="24"/>
          <w:szCs w:val="24"/>
        </w:rPr>
        <w:t xml:space="preserve"> (zie overweging 50).</w:t>
      </w:r>
    </w:p>
    <w:p w:rsidRPr="00463949" w:rsidR="00093A8C" w:rsidP="00093A8C" w:rsidRDefault="00093A8C" w14:paraId="2313C324" w14:textId="77777777">
      <w:pPr>
        <w:spacing w:after="0" w:line="276" w:lineRule="auto"/>
        <w:rPr>
          <w:rFonts w:ascii="Times New Roman" w:hAnsi="Times New Roman" w:cs="Times New Roman"/>
          <w:sz w:val="24"/>
          <w:szCs w:val="24"/>
          <w:highlight w:val="green"/>
        </w:rPr>
      </w:pPr>
    </w:p>
    <w:p w:rsidRPr="00463949" w:rsidR="00A53F9B" w:rsidP="00D045E0" w:rsidRDefault="00A53F9B" w14:paraId="5DC61C04" w14:textId="47E890E3">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Leden 3 en 4</w:t>
      </w:r>
      <w:r w:rsidRPr="00463949" w:rsidR="00F579DF">
        <w:rPr>
          <w:rFonts w:ascii="Times New Roman" w:hAnsi="Times New Roman" w:cs="Times New Roman"/>
          <w:i/>
          <w:iCs/>
          <w:sz w:val="24"/>
          <w:szCs w:val="24"/>
        </w:rPr>
        <w:t>; vermindering of opheffing van aansprakelijkheid</w:t>
      </w:r>
      <w:r w:rsidRPr="00463949">
        <w:rPr>
          <w:rFonts w:ascii="Times New Roman" w:hAnsi="Times New Roman" w:cs="Times New Roman"/>
          <w:i/>
          <w:iCs/>
          <w:sz w:val="24"/>
          <w:szCs w:val="24"/>
        </w:rPr>
        <w:t xml:space="preserve"> </w:t>
      </w:r>
    </w:p>
    <w:p w:rsidRPr="00463949" w:rsidR="00F579DF" w:rsidP="00D045E0" w:rsidRDefault="00F579DF" w14:paraId="7B317316" w14:textId="77777777">
      <w:pPr>
        <w:spacing w:after="0" w:line="276" w:lineRule="auto"/>
        <w:rPr>
          <w:rFonts w:ascii="Times New Roman" w:hAnsi="Times New Roman" w:cs="Times New Roman"/>
          <w:sz w:val="24"/>
          <w:szCs w:val="24"/>
        </w:rPr>
      </w:pPr>
    </w:p>
    <w:p w:rsidRPr="00463949" w:rsidR="00336F7F" w:rsidP="00D045E0" w:rsidRDefault="008B662A" w14:paraId="04E60709" w14:textId="4D004E63">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w:t>
      </w:r>
      <w:r w:rsidRPr="00463949" w:rsidR="00071FC2">
        <w:rPr>
          <w:rFonts w:ascii="Times New Roman" w:hAnsi="Times New Roman" w:cs="Times New Roman"/>
          <w:sz w:val="24"/>
          <w:szCs w:val="24"/>
        </w:rPr>
        <w:t xml:space="preserve"> </w:t>
      </w:r>
      <w:r w:rsidRPr="00463949" w:rsidR="002C0800">
        <w:rPr>
          <w:rFonts w:ascii="Times New Roman" w:hAnsi="Times New Roman" w:cs="Times New Roman"/>
          <w:sz w:val="24"/>
          <w:szCs w:val="24"/>
        </w:rPr>
        <w:t xml:space="preserve">voorgestelde </w:t>
      </w:r>
      <w:r w:rsidRPr="00463949" w:rsidR="00071FC2">
        <w:rPr>
          <w:rFonts w:ascii="Times New Roman" w:hAnsi="Times New Roman" w:cs="Times New Roman"/>
          <w:sz w:val="24"/>
          <w:szCs w:val="24"/>
        </w:rPr>
        <w:t>wijzigingen in de</w:t>
      </w:r>
      <w:r w:rsidRPr="00463949">
        <w:rPr>
          <w:rFonts w:ascii="Times New Roman" w:hAnsi="Times New Roman" w:cs="Times New Roman"/>
          <w:sz w:val="24"/>
          <w:szCs w:val="24"/>
        </w:rPr>
        <w:t xml:space="preserve"> </w:t>
      </w:r>
      <w:r w:rsidRPr="00463949" w:rsidR="00DE1E28">
        <w:rPr>
          <w:rFonts w:ascii="Times New Roman" w:hAnsi="Times New Roman" w:cs="Times New Roman"/>
          <w:sz w:val="24"/>
          <w:szCs w:val="24"/>
        </w:rPr>
        <w:t>(nieuwe)</w:t>
      </w:r>
      <w:r w:rsidRPr="00463949">
        <w:rPr>
          <w:rFonts w:ascii="Times New Roman" w:hAnsi="Times New Roman" w:cs="Times New Roman"/>
          <w:sz w:val="24"/>
          <w:szCs w:val="24"/>
        </w:rPr>
        <w:t xml:space="preserve"> leden 3 en 4</w:t>
      </w:r>
      <w:r w:rsidRPr="00463949" w:rsidR="00071FC2">
        <w:rPr>
          <w:rFonts w:ascii="Times New Roman" w:hAnsi="Times New Roman" w:cs="Times New Roman"/>
          <w:sz w:val="24"/>
          <w:szCs w:val="24"/>
        </w:rPr>
        <w:t xml:space="preserve"> zijn vooral redactioneel van aard. Voor het overige</w:t>
      </w:r>
      <w:r w:rsidRPr="00463949">
        <w:rPr>
          <w:rFonts w:ascii="Times New Roman" w:hAnsi="Times New Roman" w:cs="Times New Roman"/>
          <w:sz w:val="24"/>
          <w:szCs w:val="24"/>
        </w:rPr>
        <w:t xml:space="preserve"> </w:t>
      </w:r>
      <w:r w:rsidRPr="00463949" w:rsidR="00071FC2">
        <w:rPr>
          <w:rFonts w:ascii="Times New Roman" w:hAnsi="Times New Roman" w:cs="Times New Roman"/>
          <w:sz w:val="24"/>
          <w:szCs w:val="24"/>
        </w:rPr>
        <w:t xml:space="preserve">corresponderen deze leden </w:t>
      </w:r>
      <w:r w:rsidRPr="00463949" w:rsidR="00513E15">
        <w:rPr>
          <w:rFonts w:ascii="Times New Roman" w:hAnsi="Times New Roman" w:cs="Times New Roman"/>
          <w:sz w:val="24"/>
          <w:szCs w:val="24"/>
        </w:rPr>
        <w:t xml:space="preserve">nu </w:t>
      </w:r>
      <w:r w:rsidRPr="00463949" w:rsidR="002C0800">
        <w:rPr>
          <w:rFonts w:ascii="Times New Roman" w:hAnsi="Times New Roman" w:cs="Times New Roman"/>
          <w:sz w:val="24"/>
          <w:szCs w:val="24"/>
        </w:rPr>
        <w:t xml:space="preserve">al </w:t>
      </w:r>
      <w:r w:rsidRPr="00463949" w:rsidR="00071FC2">
        <w:rPr>
          <w:rFonts w:ascii="Times New Roman" w:hAnsi="Times New Roman" w:cs="Times New Roman"/>
          <w:sz w:val="24"/>
          <w:szCs w:val="24"/>
        </w:rPr>
        <w:t xml:space="preserve">met </w:t>
      </w:r>
      <w:r w:rsidRPr="00463949" w:rsidR="00415A2E">
        <w:rPr>
          <w:rFonts w:ascii="Times New Roman" w:hAnsi="Times New Roman" w:cs="Times New Roman"/>
          <w:sz w:val="24"/>
          <w:szCs w:val="24"/>
        </w:rPr>
        <w:t xml:space="preserve">artikel 13 </w:t>
      </w:r>
      <w:r w:rsidRPr="00463949" w:rsidR="00071FC2">
        <w:rPr>
          <w:rFonts w:ascii="Times New Roman" w:hAnsi="Times New Roman" w:cs="Times New Roman"/>
          <w:sz w:val="24"/>
          <w:szCs w:val="24"/>
        </w:rPr>
        <w:t xml:space="preserve">leden 2 respectievelijk 1 </w:t>
      </w:r>
      <w:r w:rsidRPr="00463949" w:rsidR="00415A2E">
        <w:rPr>
          <w:rFonts w:ascii="Times New Roman" w:hAnsi="Times New Roman" w:cs="Times New Roman"/>
          <w:sz w:val="24"/>
          <w:szCs w:val="24"/>
        </w:rPr>
        <w:t xml:space="preserve">Richtlijn. Artikel 13 lid 2 bepaalt, kort gezegd, dat de aansprakelijkheid van een marktdeelnemer kan worden verminderd of opgeheven wanneer de schade mede wordt veroorzaakt door eigen schuld van de benadeelde. </w:t>
      </w:r>
      <w:r w:rsidRPr="00463949" w:rsidR="003E4129">
        <w:rPr>
          <w:rFonts w:ascii="Times New Roman" w:hAnsi="Times New Roman" w:cs="Times New Roman"/>
          <w:sz w:val="24"/>
          <w:szCs w:val="24"/>
        </w:rPr>
        <w:t xml:space="preserve">Hiervan is bijvoorbeeld sprake als </w:t>
      </w:r>
      <w:r w:rsidRPr="00463949" w:rsidR="00415A2E">
        <w:rPr>
          <w:rFonts w:ascii="Times New Roman" w:hAnsi="Times New Roman" w:cs="Times New Roman"/>
          <w:sz w:val="24"/>
          <w:szCs w:val="24"/>
        </w:rPr>
        <w:t xml:space="preserve">de benadeelde uit nalatigheid heeft verzuimd </w:t>
      </w:r>
      <w:r w:rsidRPr="00463949" w:rsidR="000D39E7">
        <w:rPr>
          <w:rFonts w:ascii="Times New Roman" w:hAnsi="Times New Roman" w:cs="Times New Roman"/>
          <w:sz w:val="24"/>
          <w:szCs w:val="24"/>
        </w:rPr>
        <w:t xml:space="preserve">om </w:t>
      </w:r>
      <w:r w:rsidRPr="00463949" w:rsidR="00415A2E">
        <w:rPr>
          <w:rFonts w:ascii="Times New Roman" w:hAnsi="Times New Roman" w:cs="Times New Roman"/>
          <w:sz w:val="24"/>
          <w:szCs w:val="24"/>
        </w:rPr>
        <w:t>door de marktdeelnemer aangeboden updates of upgrades te installeren die de schade hadden kunnen beperken of voorkomen</w:t>
      </w:r>
      <w:r w:rsidRPr="00463949" w:rsidR="000D39E7">
        <w:rPr>
          <w:rFonts w:ascii="Times New Roman" w:hAnsi="Times New Roman" w:cs="Times New Roman"/>
          <w:sz w:val="24"/>
          <w:szCs w:val="24"/>
        </w:rPr>
        <w:t xml:space="preserve"> (zie overweging 55)</w:t>
      </w:r>
      <w:r w:rsidRPr="00463949" w:rsidR="00415A2E">
        <w:rPr>
          <w:rFonts w:ascii="Times New Roman" w:hAnsi="Times New Roman" w:cs="Times New Roman"/>
          <w:sz w:val="24"/>
          <w:szCs w:val="24"/>
        </w:rPr>
        <w:t xml:space="preserve">. </w:t>
      </w:r>
      <w:r w:rsidRPr="00463949" w:rsidR="00071FC2">
        <w:rPr>
          <w:rFonts w:ascii="Times New Roman" w:hAnsi="Times New Roman" w:cs="Times New Roman"/>
          <w:sz w:val="24"/>
          <w:szCs w:val="24"/>
        </w:rPr>
        <w:t xml:space="preserve">Artikel 13 lid 1 schrijft voor dat de aansprakelijkheid van een markdeelnemer </w:t>
      </w:r>
      <w:r w:rsidRPr="00463949" w:rsidR="00071FC2">
        <w:rPr>
          <w:rFonts w:ascii="Times New Roman" w:hAnsi="Times New Roman" w:cs="Times New Roman"/>
          <w:i/>
          <w:iCs/>
          <w:sz w:val="24"/>
          <w:szCs w:val="24"/>
        </w:rPr>
        <w:t>niet</w:t>
      </w:r>
      <w:r w:rsidRPr="00463949" w:rsidR="00071FC2">
        <w:rPr>
          <w:rFonts w:ascii="Times New Roman" w:hAnsi="Times New Roman" w:cs="Times New Roman"/>
          <w:sz w:val="24"/>
          <w:szCs w:val="24"/>
        </w:rPr>
        <w:t xml:space="preserve"> </w:t>
      </w:r>
      <w:r w:rsidRPr="00463949" w:rsidR="000D39E7">
        <w:rPr>
          <w:rFonts w:ascii="Times New Roman" w:hAnsi="Times New Roman" w:cs="Times New Roman"/>
          <w:sz w:val="24"/>
          <w:szCs w:val="24"/>
        </w:rPr>
        <w:t xml:space="preserve">mag worden </w:t>
      </w:r>
      <w:r w:rsidRPr="00463949" w:rsidR="00071FC2">
        <w:rPr>
          <w:rFonts w:ascii="Times New Roman" w:hAnsi="Times New Roman" w:cs="Times New Roman"/>
          <w:sz w:val="24"/>
          <w:szCs w:val="24"/>
        </w:rPr>
        <w:t xml:space="preserve">verminderd of opgeheven wanneer de schade zowel door </w:t>
      </w:r>
      <w:r w:rsidRPr="00463949" w:rsidR="000852D7">
        <w:rPr>
          <w:rFonts w:ascii="Times New Roman" w:hAnsi="Times New Roman" w:cs="Times New Roman"/>
          <w:sz w:val="24"/>
          <w:szCs w:val="24"/>
        </w:rPr>
        <w:t xml:space="preserve">het gebrek </w:t>
      </w:r>
      <w:r w:rsidRPr="00463949" w:rsidR="00071FC2">
        <w:rPr>
          <w:rFonts w:ascii="Times New Roman" w:hAnsi="Times New Roman" w:cs="Times New Roman"/>
          <w:sz w:val="24"/>
          <w:szCs w:val="24"/>
        </w:rPr>
        <w:t xml:space="preserve">van een product als door een handelen of nalaten van een derde wordt veroorzaakt. </w:t>
      </w:r>
      <w:r w:rsidRPr="00463949" w:rsidR="000D39E7">
        <w:rPr>
          <w:rFonts w:ascii="Times New Roman" w:hAnsi="Times New Roman" w:cs="Times New Roman"/>
          <w:sz w:val="24"/>
          <w:szCs w:val="24"/>
        </w:rPr>
        <w:t xml:space="preserve">Hierbij valt bijvoorbeeld te denken aan de situatie </w:t>
      </w:r>
      <w:r w:rsidRPr="00463949" w:rsidR="00071FC2">
        <w:rPr>
          <w:rFonts w:ascii="Times New Roman" w:hAnsi="Times New Roman" w:cs="Times New Roman"/>
          <w:sz w:val="24"/>
          <w:szCs w:val="24"/>
        </w:rPr>
        <w:t>dat een derde gebruikmaakt van een kwetsbaarheid van een product op het gebied van cyberbeveiliging en daardoor bijdraagt aan de oorzaak van de geleden schade</w:t>
      </w:r>
      <w:r w:rsidRPr="00463949" w:rsidR="000D39E7">
        <w:rPr>
          <w:rFonts w:ascii="Times New Roman" w:hAnsi="Times New Roman" w:cs="Times New Roman"/>
          <w:sz w:val="24"/>
          <w:szCs w:val="24"/>
        </w:rPr>
        <w:t xml:space="preserve"> (zie overweging 55)</w:t>
      </w:r>
      <w:r w:rsidRPr="00463949" w:rsidR="00071FC2">
        <w:rPr>
          <w:rFonts w:ascii="Times New Roman" w:hAnsi="Times New Roman" w:cs="Times New Roman"/>
          <w:sz w:val="24"/>
          <w:szCs w:val="24"/>
        </w:rPr>
        <w:t>. In dat geval mag de aansprakelijkheid van de marktdeelnemer jegens de benadeelde niet worden verminderd of opgeheven.</w:t>
      </w:r>
      <w:r w:rsidRPr="00463949" w:rsidR="00BF38C9">
        <w:rPr>
          <w:rFonts w:ascii="Times New Roman" w:hAnsi="Times New Roman" w:cs="Times New Roman"/>
          <w:sz w:val="24"/>
          <w:szCs w:val="24"/>
        </w:rPr>
        <w:t xml:space="preserve"> Wel zal </w:t>
      </w:r>
      <w:r w:rsidRPr="00463949" w:rsidR="003E4129">
        <w:rPr>
          <w:rFonts w:ascii="Times New Roman" w:hAnsi="Times New Roman" w:cs="Times New Roman"/>
          <w:sz w:val="24"/>
          <w:szCs w:val="24"/>
        </w:rPr>
        <w:t>die marktdeelnemer,</w:t>
      </w:r>
      <w:r w:rsidRPr="00463949" w:rsidR="00BF38C9">
        <w:rPr>
          <w:rFonts w:ascii="Times New Roman" w:hAnsi="Times New Roman" w:cs="Times New Roman"/>
          <w:sz w:val="24"/>
          <w:szCs w:val="24"/>
        </w:rPr>
        <w:t xml:space="preserve"> </w:t>
      </w:r>
      <w:r w:rsidRPr="00463949" w:rsidR="000D39E7">
        <w:rPr>
          <w:rFonts w:ascii="Times New Roman" w:hAnsi="Times New Roman" w:cs="Times New Roman"/>
          <w:sz w:val="24"/>
          <w:szCs w:val="24"/>
        </w:rPr>
        <w:t>overeenkomstig het nationale recht</w:t>
      </w:r>
      <w:r w:rsidRPr="00463949" w:rsidR="003E4129">
        <w:rPr>
          <w:rFonts w:ascii="Times New Roman" w:hAnsi="Times New Roman" w:cs="Times New Roman"/>
          <w:sz w:val="24"/>
          <w:szCs w:val="24"/>
        </w:rPr>
        <w:t xml:space="preserve">, </w:t>
      </w:r>
      <w:r w:rsidRPr="00463949" w:rsidR="000D39E7">
        <w:rPr>
          <w:rFonts w:ascii="Times New Roman" w:hAnsi="Times New Roman" w:cs="Times New Roman"/>
          <w:sz w:val="24"/>
          <w:szCs w:val="24"/>
        </w:rPr>
        <w:t>verhaal</w:t>
      </w:r>
      <w:r w:rsidRPr="00463949" w:rsidR="00BF38C9">
        <w:rPr>
          <w:rFonts w:ascii="Times New Roman" w:hAnsi="Times New Roman" w:cs="Times New Roman"/>
          <w:sz w:val="24"/>
          <w:szCs w:val="24"/>
        </w:rPr>
        <w:t xml:space="preserve"> kunnen nemen op die derde.</w:t>
      </w:r>
    </w:p>
    <w:p w:rsidRPr="00463949" w:rsidR="00920405" w:rsidP="00D045E0" w:rsidRDefault="00920405" w14:paraId="09906C5E" w14:textId="27732F87">
      <w:pPr>
        <w:spacing w:after="0" w:line="276" w:lineRule="auto"/>
        <w:rPr>
          <w:rFonts w:ascii="Times New Roman" w:hAnsi="Times New Roman" w:cs="Times New Roman"/>
          <w:sz w:val="24"/>
          <w:szCs w:val="24"/>
        </w:rPr>
      </w:pPr>
    </w:p>
    <w:p w:rsidRPr="00463949" w:rsidR="00920405" w:rsidP="00D045E0" w:rsidRDefault="00920405" w14:paraId="22CE28B2" w14:textId="1FCC0535">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E, wijziging artikel 186</w:t>
      </w:r>
      <w:r w:rsidRPr="00463949" w:rsidR="00D1462B">
        <w:rPr>
          <w:rFonts w:ascii="Times New Roman" w:hAnsi="Times New Roman" w:cs="Times New Roman"/>
          <w:i/>
          <w:iCs/>
          <w:sz w:val="24"/>
          <w:szCs w:val="24"/>
        </w:rPr>
        <w:t xml:space="preserve"> (gebrek)</w:t>
      </w:r>
      <w:r w:rsidRPr="00463949" w:rsidR="00CE42B1">
        <w:rPr>
          <w:rFonts w:ascii="Times New Roman" w:hAnsi="Times New Roman" w:cs="Times New Roman"/>
          <w:i/>
          <w:iCs/>
          <w:sz w:val="24"/>
          <w:szCs w:val="24"/>
        </w:rPr>
        <w:t xml:space="preserve"> </w:t>
      </w:r>
    </w:p>
    <w:p w:rsidRPr="00463949" w:rsidR="00920405" w:rsidP="00D045E0" w:rsidRDefault="00920405" w14:paraId="437149CF" w14:textId="77777777">
      <w:pPr>
        <w:spacing w:after="0" w:line="276" w:lineRule="auto"/>
        <w:rPr>
          <w:rFonts w:ascii="Times New Roman" w:hAnsi="Times New Roman" w:cs="Times New Roman"/>
          <w:sz w:val="24"/>
          <w:szCs w:val="24"/>
        </w:rPr>
      </w:pPr>
    </w:p>
    <w:p w:rsidRPr="00463949" w:rsidR="003640F2" w:rsidP="00D045E0" w:rsidRDefault="00D03C4C" w14:paraId="060A5BA3" w14:textId="3EEA563A">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w:t>
      </w:r>
      <w:r w:rsidRPr="00463949" w:rsidR="001E5F27">
        <w:rPr>
          <w:rFonts w:ascii="Times New Roman" w:hAnsi="Times New Roman" w:cs="Times New Roman"/>
          <w:i/>
          <w:iCs/>
          <w:sz w:val="24"/>
          <w:szCs w:val="24"/>
        </w:rPr>
        <w:t>, a</w:t>
      </w:r>
      <w:r w:rsidRPr="00463949" w:rsidR="003640F2">
        <w:rPr>
          <w:rFonts w:ascii="Times New Roman" w:hAnsi="Times New Roman" w:cs="Times New Roman"/>
          <w:i/>
          <w:iCs/>
          <w:sz w:val="24"/>
          <w:szCs w:val="24"/>
        </w:rPr>
        <w:t>anhef</w:t>
      </w:r>
      <w:r w:rsidRPr="00463949" w:rsidR="00A34021">
        <w:rPr>
          <w:rFonts w:ascii="Times New Roman" w:hAnsi="Times New Roman" w:cs="Times New Roman"/>
          <w:i/>
          <w:iCs/>
          <w:sz w:val="24"/>
          <w:szCs w:val="24"/>
        </w:rPr>
        <w:t>; algemene maa</w:t>
      </w:r>
      <w:r w:rsidRPr="00463949" w:rsidR="005A12E2">
        <w:rPr>
          <w:rFonts w:ascii="Times New Roman" w:hAnsi="Times New Roman" w:cs="Times New Roman"/>
          <w:i/>
          <w:iCs/>
          <w:sz w:val="24"/>
          <w:szCs w:val="24"/>
        </w:rPr>
        <w:t>tstaf; objectieve gebrekkigheidsbeoordeling</w:t>
      </w:r>
    </w:p>
    <w:p w:rsidRPr="00463949" w:rsidR="001E5F27" w:rsidP="00D045E0" w:rsidRDefault="001E5F27" w14:paraId="7A7A8861" w14:textId="77777777">
      <w:pPr>
        <w:spacing w:after="0" w:line="276" w:lineRule="auto"/>
        <w:rPr>
          <w:rFonts w:ascii="Times New Roman" w:hAnsi="Times New Roman" w:cs="Times New Roman"/>
          <w:sz w:val="24"/>
          <w:szCs w:val="24"/>
        </w:rPr>
      </w:pPr>
    </w:p>
    <w:p w:rsidRPr="00463949" w:rsidR="00416A9A" w:rsidP="00D045E0" w:rsidRDefault="00A81D4C" w14:paraId="4A68CBD9" w14:textId="5D79963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Het voorgestelde artikel 6:186 BW sluit qua opzet aan bij het huidige artikel 6:186 BW. </w:t>
      </w:r>
      <w:r w:rsidRPr="00463949" w:rsidR="00935BA1">
        <w:rPr>
          <w:rFonts w:ascii="Times New Roman" w:hAnsi="Times New Roman" w:cs="Times New Roman"/>
          <w:sz w:val="24"/>
          <w:szCs w:val="24"/>
        </w:rPr>
        <w:t>Lid 1 implementeert artikel 7 leden 1 en 2 Richtlijn</w:t>
      </w:r>
      <w:r w:rsidRPr="00463949" w:rsidR="006525E0">
        <w:rPr>
          <w:rFonts w:ascii="Times New Roman" w:hAnsi="Times New Roman" w:cs="Times New Roman"/>
          <w:sz w:val="24"/>
          <w:szCs w:val="24"/>
        </w:rPr>
        <w:t xml:space="preserve">. </w:t>
      </w:r>
      <w:r w:rsidRPr="00463949" w:rsidR="00C906F8">
        <w:rPr>
          <w:rFonts w:ascii="Times New Roman" w:hAnsi="Times New Roman" w:cs="Times New Roman"/>
          <w:sz w:val="24"/>
          <w:szCs w:val="24"/>
        </w:rPr>
        <w:t>D</w:t>
      </w:r>
      <w:r w:rsidRPr="00463949" w:rsidR="003640F2">
        <w:rPr>
          <w:rFonts w:ascii="Times New Roman" w:hAnsi="Times New Roman" w:cs="Times New Roman"/>
          <w:sz w:val="24"/>
          <w:szCs w:val="24"/>
        </w:rPr>
        <w:t>e</w:t>
      </w:r>
      <w:r w:rsidRPr="00463949" w:rsidR="00C906F8">
        <w:rPr>
          <w:rFonts w:ascii="Times New Roman" w:hAnsi="Times New Roman" w:cs="Times New Roman"/>
          <w:sz w:val="24"/>
          <w:szCs w:val="24"/>
        </w:rPr>
        <w:t xml:space="preserve"> </w:t>
      </w:r>
      <w:r w:rsidRPr="00463949" w:rsidR="003640F2">
        <w:rPr>
          <w:rFonts w:ascii="Times New Roman" w:hAnsi="Times New Roman" w:cs="Times New Roman"/>
          <w:sz w:val="24"/>
          <w:szCs w:val="24"/>
        </w:rPr>
        <w:t>aanhef betreft de algemene beoordelingsmaatstaf van de gebrekkigheid: Een product is gebrekkig indien het niet de veiligheid biedt die een persoon mag verwachten of die uit hoofde van het Unierecht of nationale recht is vereist, rekening houdend met alle omstandigheden van het geval</w:t>
      </w:r>
      <w:r w:rsidRPr="00463949" w:rsidR="00A43218">
        <w:rPr>
          <w:rFonts w:ascii="Times New Roman" w:hAnsi="Times New Roman" w:cs="Times New Roman"/>
          <w:sz w:val="24"/>
          <w:szCs w:val="24"/>
        </w:rPr>
        <w:t xml:space="preserve">. </w:t>
      </w:r>
      <w:r w:rsidRPr="00463949" w:rsidR="00416A9A">
        <w:rPr>
          <w:rFonts w:ascii="Times New Roman" w:hAnsi="Times New Roman" w:cs="Times New Roman"/>
          <w:sz w:val="24"/>
          <w:szCs w:val="24"/>
        </w:rPr>
        <w:t xml:space="preserve">In </w:t>
      </w:r>
      <w:r w:rsidRPr="00463949" w:rsidR="00B06B93">
        <w:rPr>
          <w:rFonts w:ascii="Times New Roman" w:hAnsi="Times New Roman" w:cs="Times New Roman"/>
          <w:sz w:val="24"/>
          <w:szCs w:val="24"/>
        </w:rPr>
        <w:t xml:space="preserve">de preambule </w:t>
      </w:r>
      <w:r w:rsidRPr="00463949" w:rsidR="003640F2">
        <w:rPr>
          <w:rFonts w:ascii="Times New Roman" w:hAnsi="Times New Roman" w:cs="Times New Roman"/>
          <w:sz w:val="24"/>
          <w:szCs w:val="24"/>
        </w:rPr>
        <w:t>wordt nadrukkelijk benoemd dat</w:t>
      </w:r>
      <w:r w:rsidRPr="00463949" w:rsidR="000D2AAB">
        <w:rPr>
          <w:rFonts w:ascii="Times New Roman" w:hAnsi="Times New Roman" w:cs="Times New Roman"/>
          <w:sz w:val="24"/>
          <w:szCs w:val="24"/>
        </w:rPr>
        <w:t xml:space="preserve"> </w:t>
      </w:r>
      <w:r w:rsidRPr="00463949" w:rsidR="003640F2">
        <w:rPr>
          <w:rFonts w:ascii="Times New Roman" w:hAnsi="Times New Roman" w:cs="Times New Roman"/>
          <w:sz w:val="24"/>
          <w:szCs w:val="24"/>
        </w:rPr>
        <w:t xml:space="preserve">deze </w:t>
      </w:r>
      <w:r w:rsidRPr="00463949" w:rsidR="000D2AAB">
        <w:rPr>
          <w:rFonts w:ascii="Times New Roman" w:hAnsi="Times New Roman" w:cs="Times New Roman"/>
          <w:sz w:val="24"/>
          <w:szCs w:val="24"/>
        </w:rPr>
        <w:t xml:space="preserve">gebrekkigheidsbeoordeling </w:t>
      </w:r>
      <w:r w:rsidRPr="00463949" w:rsidR="001B4BBF">
        <w:rPr>
          <w:rFonts w:ascii="Times New Roman" w:hAnsi="Times New Roman" w:cs="Times New Roman"/>
          <w:sz w:val="24"/>
          <w:szCs w:val="24"/>
        </w:rPr>
        <w:t xml:space="preserve">een </w:t>
      </w:r>
      <w:r w:rsidRPr="00463949" w:rsidR="00A43218">
        <w:rPr>
          <w:rFonts w:ascii="Times New Roman" w:hAnsi="Times New Roman" w:cs="Times New Roman"/>
          <w:sz w:val="24"/>
          <w:szCs w:val="24"/>
        </w:rPr>
        <w:t>objectieve analyse</w:t>
      </w:r>
      <w:r w:rsidRPr="00463949" w:rsidR="00ED01E8">
        <w:rPr>
          <w:rFonts w:ascii="Times New Roman" w:hAnsi="Times New Roman" w:cs="Times New Roman"/>
          <w:sz w:val="24"/>
          <w:szCs w:val="24"/>
        </w:rPr>
        <w:t xml:space="preserve"> </w:t>
      </w:r>
      <w:r w:rsidRPr="00463949" w:rsidR="003640F2">
        <w:rPr>
          <w:rFonts w:ascii="Times New Roman" w:hAnsi="Times New Roman" w:cs="Times New Roman"/>
          <w:sz w:val="24"/>
          <w:szCs w:val="24"/>
        </w:rPr>
        <w:t xml:space="preserve">moet </w:t>
      </w:r>
      <w:r w:rsidRPr="00463949" w:rsidR="000D2AAB">
        <w:rPr>
          <w:rFonts w:ascii="Times New Roman" w:hAnsi="Times New Roman" w:cs="Times New Roman"/>
          <w:sz w:val="24"/>
          <w:szCs w:val="24"/>
        </w:rPr>
        <w:t xml:space="preserve">omvatten </w:t>
      </w:r>
      <w:r w:rsidRPr="00463949" w:rsidR="00A43218">
        <w:rPr>
          <w:rFonts w:ascii="Times New Roman" w:hAnsi="Times New Roman" w:cs="Times New Roman"/>
          <w:sz w:val="24"/>
          <w:szCs w:val="24"/>
        </w:rPr>
        <w:t>van de veiligheid die het grote publiek mag verwachten</w:t>
      </w:r>
      <w:r w:rsidRPr="00463949" w:rsidR="00416A9A">
        <w:rPr>
          <w:rFonts w:ascii="Times New Roman" w:hAnsi="Times New Roman" w:cs="Times New Roman"/>
          <w:sz w:val="24"/>
          <w:szCs w:val="24"/>
        </w:rPr>
        <w:t xml:space="preserve"> en </w:t>
      </w:r>
      <w:r w:rsidRPr="00463949" w:rsidR="000D2AAB">
        <w:rPr>
          <w:rFonts w:ascii="Times New Roman" w:hAnsi="Times New Roman" w:cs="Times New Roman"/>
          <w:sz w:val="24"/>
          <w:szCs w:val="24"/>
        </w:rPr>
        <w:t xml:space="preserve">niet </w:t>
      </w:r>
      <w:r w:rsidRPr="00463949" w:rsidR="003640F2">
        <w:rPr>
          <w:rFonts w:ascii="Times New Roman" w:hAnsi="Times New Roman" w:cs="Times New Roman"/>
          <w:sz w:val="24"/>
          <w:szCs w:val="24"/>
        </w:rPr>
        <w:t xml:space="preserve">mag </w:t>
      </w:r>
      <w:r w:rsidRPr="00463949" w:rsidR="000D2AAB">
        <w:rPr>
          <w:rFonts w:ascii="Times New Roman" w:hAnsi="Times New Roman" w:cs="Times New Roman"/>
          <w:sz w:val="24"/>
          <w:szCs w:val="24"/>
        </w:rPr>
        <w:t>verwijzen naar de veiligheid die een bepaalde persoon mag verwachten</w:t>
      </w:r>
      <w:r w:rsidRPr="00463949" w:rsidR="00590C8C">
        <w:rPr>
          <w:rFonts w:ascii="Times New Roman" w:hAnsi="Times New Roman" w:cs="Times New Roman"/>
          <w:sz w:val="24"/>
          <w:szCs w:val="24"/>
        </w:rPr>
        <w:t xml:space="preserve"> (overweging 30)</w:t>
      </w:r>
      <w:r w:rsidRPr="00463949" w:rsidR="000D2AAB">
        <w:rPr>
          <w:rFonts w:ascii="Times New Roman" w:hAnsi="Times New Roman" w:cs="Times New Roman"/>
          <w:sz w:val="24"/>
          <w:szCs w:val="24"/>
        </w:rPr>
        <w:t>.</w:t>
      </w:r>
      <w:r w:rsidRPr="00463949" w:rsidR="00416A9A">
        <w:rPr>
          <w:rFonts w:ascii="Times New Roman" w:hAnsi="Times New Roman" w:cs="Times New Roman"/>
          <w:sz w:val="24"/>
          <w:szCs w:val="24"/>
        </w:rPr>
        <w:t xml:space="preserve"> </w:t>
      </w:r>
      <w:r w:rsidRPr="00463949" w:rsidR="004E3FB8">
        <w:rPr>
          <w:rFonts w:ascii="Times New Roman" w:hAnsi="Times New Roman" w:cs="Times New Roman"/>
          <w:sz w:val="24"/>
          <w:szCs w:val="24"/>
        </w:rPr>
        <w:t xml:space="preserve">Hieruit </w:t>
      </w:r>
      <w:r w:rsidRPr="00463949" w:rsidR="00416A9A">
        <w:rPr>
          <w:rFonts w:ascii="Times New Roman" w:hAnsi="Times New Roman" w:cs="Times New Roman"/>
          <w:sz w:val="24"/>
          <w:szCs w:val="24"/>
        </w:rPr>
        <w:t xml:space="preserve">volgt dat geen </w:t>
      </w:r>
      <w:r w:rsidRPr="00463949" w:rsidR="009E503E">
        <w:rPr>
          <w:rFonts w:ascii="Times New Roman" w:hAnsi="Times New Roman" w:cs="Times New Roman"/>
          <w:sz w:val="24"/>
          <w:szCs w:val="24"/>
        </w:rPr>
        <w:t xml:space="preserve">wezenlijke </w:t>
      </w:r>
      <w:r w:rsidRPr="00463949" w:rsidR="00416A9A">
        <w:rPr>
          <w:rFonts w:ascii="Times New Roman" w:hAnsi="Times New Roman" w:cs="Times New Roman"/>
          <w:sz w:val="24"/>
          <w:szCs w:val="24"/>
        </w:rPr>
        <w:t xml:space="preserve">afwijking is beoogd </w:t>
      </w:r>
      <w:r w:rsidRPr="00463949" w:rsidR="006525E0">
        <w:rPr>
          <w:rFonts w:ascii="Times New Roman" w:hAnsi="Times New Roman" w:cs="Times New Roman"/>
          <w:sz w:val="24"/>
          <w:szCs w:val="24"/>
        </w:rPr>
        <w:t xml:space="preserve">ten opzichte van </w:t>
      </w:r>
      <w:r w:rsidRPr="00463949" w:rsidR="00416A9A">
        <w:rPr>
          <w:rFonts w:ascii="Times New Roman" w:hAnsi="Times New Roman" w:cs="Times New Roman"/>
          <w:sz w:val="24"/>
          <w:szCs w:val="24"/>
        </w:rPr>
        <w:t>de huidige maatstaf voor de</w:t>
      </w:r>
      <w:r w:rsidRPr="00463949" w:rsidR="005909D7">
        <w:rPr>
          <w:rFonts w:ascii="Times New Roman" w:hAnsi="Times New Roman" w:cs="Times New Roman"/>
          <w:sz w:val="24"/>
          <w:szCs w:val="24"/>
        </w:rPr>
        <w:t xml:space="preserve"> </w:t>
      </w:r>
      <w:r w:rsidRPr="00463949" w:rsidR="00416A9A">
        <w:rPr>
          <w:rFonts w:ascii="Times New Roman" w:hAnsi="Times New Roman" w:cs="Times New Roman"/>
          <w:sz w:val="24"/>
          <w:szCs w:val="24"/>
        </w:rPr>
        <w:t>beoordeling</w:t>
      </w:r>
      <w:r w:rsidRPr="00463949" w:rsidR="005909D7">
        <w:rPr>
          <w:rFonts w:ascii="Times New Roman" w:hAnsi="Times New Roman" w:cs="Times New Roman"/>
          <w:sz w:val="24"/>
          <w:szCs w:val="24"/>
        </w:rPr>
        <w:t xml:space="preserve"> van de gebrekkigheid van een product</w:t>
      </w:r>
      <w:r w:rsidRPr="00463949" w:rsidR="00BF38C9">
        <w:rPr>
          <w:rFonts w:ascii="Times New Roman" w:hAnsi="Times New Roman" w:cs="Times New Roman"/>
          <w:sz w:val="24"/>
          <w:szCs w:val="24"/>
        </w:rPr>
        <w:t>,</w:t>
      </w:r>
      <w:r w:rsidRPr="00463949" w:rsidR="00C906F8">
        <w:rPr>
          <w:rFonts w:ascii="Times New Roman" w:hAnsi="Times New Roman" w:cs="Times New Roman"/>
          <w:sz w:val="24"/>
          <w:szCs w:val="24"/>
        </w:rPr>
        <w:t xml:space="preserve"> die eveneens uitgaat van een objectieve analyse.</w:t>
      </w:r>
      <w:r w:rsidRPr="00463949" w:rsidR="003E4129">
        <w:rPr>
          <w:rStyle w:val="Voetnootmarkering"/>
          <w:rFonts w:ascii="Times New Roman" w:hAnsi="Times New Roman" w:cs="Times New Roman"/>
          <w:sz w:val="24"/>
          <w:szCs w:val="24"/>
        </w:rPr>
        <w:footnoteReference w:id="75"/>
      </w:r>
      <w:r w:rsidRPr="00463949" w:rsidR="00C906F8">
        <w:rPr>
          <w:rFonts w:ascii="Times New Roman" w:hAnsi="Times New Roman" w:cs="Times New Roman"/>
          <w:sz w:val="24"/>
          <w:szCs w:val="24"/>
        </w:rPr>
        <w:t xml:space="preserve"> </w:t>
      </w:r>
      <w:r w:rsidRPr="00463949" w:rsidR="00590C8C">
        <w:rPr>
          <w:rFonts w:ascii="Times New Roman" w:hAnsi="Times New Roman" w:cs="Times New Roman"/>
          <w:sz w:val="24"/>
          <w:szCs w:val="24"/>
        </w:rPr>
        <w:t xml:space="preserve">Verder verduidelijkt de preambule </w:t>
      </w:r>
      <w:r w:rsidRPr="00463949" w:rsidR="000D39E7">
        <w:rPr>
          <w:rFonts w:ascii="Times New Roman" w:hAnsi="Times New Roman" w:cs="Times New Roman"/>
          <w:sz w:val="24"/>
          <w:szCs w:val="24"/>
        </w:rPr>
        <w:t xml:space="preserve">dat bij de beoordeling van de gebrekkigheid onder meer rekening moet worden gehouden met het beoogde doel, het redelijkerwijs te verwachten gebruik, de presentatie, de objectieve kenmerken en de eigenschappen van het betrokken product, waaronder de verwachte levensduur, en met de specifieke eisen van de groep gebruikers voor wie het product is bestemd. Tot slot </w:t>
      </w:r>
      <w:r w:rsidRPr="00463949" w:rsidR="005D5CBE">
        <w:rPr>
          <w:rFonts w:ascii="Times New Roman" w:hAnsi="Times New Roman" w:cs="Times New Roman"/>
          <w:sz w:val="24"/>
          <w:szCs w:val="24"/>
        </w:rPr>
        <w:t xml:space="preserve">bevestigt de preambule </w:t>
      </w:r>
      <w:r w:rsidRPr="00463949" w:rsidR="00B06B93">
        <w:rPr>
          <w:rFonts w:ascii="Times New Roman" w:hAnsi="Times New Roman" w:cs="Times New Roman"/>
          <w:sz w:val="24"/>
          <w:szCs w:val="24"/>
        </w:rPr>
        <w:t xml:space="preserve">de </w:t>
      </w:r>
      <w:r w:rsidRPr="00463949" w:rsidR="005D5CBE">
        <w:rPr>
          <w:rFonts w:ascii="Times New Roman" w:hAnsi="Times New Roman" w:cs="Times New Roman"/>
          <w:sz w:val="24"/>
          <w:szCs w:val="24"/>
        </w:rPr>
        <w:t xml:space="preserve">rechtspraak </w:t>
      </w:r>
      <w:r w:rsidRPr="00463949" w:rsidR="00B06B93">
        <w:rPr>
          <w:rFonts w:ascii="Times New Roman" w:hAnsi="Times New Roman" w:cs="Times New Roman"/>
          <w:sz w:val="24"/>
          <w:szCs w:val="24"/>
        </w:rPr>
        <w:t xml:space="preserve">van het Hof van Justitie </w:t>
      </w:r>
      <w:r w:rsidRPr="00463949" w:rsidR="00B32964">
        <w:rPr>
          <w:rFonts w:ascii="Times New Roman" w:hAnsi="Times New Roman" w:cs="Times New Roman"/>
          <w:sz w:val="24"/>
          <w:szCs w:val="24"/>
        </w:rPr>
        <w:t xml:space="preserve">van de EU </w:t>
      </w:r>
      <w:r w:rsidRPr="00463949" w:rsidR="000D39E7">
        <w:rPr>
          <w:rFonts w:ascii="Times New Roman" w:hAnsi="Times New Roman" w:cs="Times New Roman"/>
          <w:sz w:val="24"/>
          <w:szCs w:val="24"/>
        </w:rPr>
        <w:t>dat sommige product</w:t>
      </w:r>
      <w:r w:rsidRPr="00463949" w:rsidR="00F54C2B">
        <w:rPr>
          <w:rFonts w:ascii="Times New Roman" w:hAnsi="Times New Roman" w:cs="Times New Roman"/>
          <w:sz w:val="24"/>
          <w:szCs w:val="24"/>
        </w:rPr>
        <w:t>en</w:t>
      </w:r>
      <w:r w:rsidRPr="00463949" w:rsidR="000D39E7">
        <w:rPr>
          <w:rFonts w:ascii="Times New Roman" w:hAnsi="Times New Roman" w:cs="Times New Roman"/>
          <w:sz w:val="24"/>
          <w:szCs w:val="24"/>
        </w:rPr>
        <w:t xml:space="preserve">, zoals levensreddende medische hulpmiddelen, een bijzonder hoog risico op het veroorzaken van schade aan personen meebrengen en daarom aanleiding geven tot bijzonder hoge veiligheidsverwachtingen. Om met dergelijke verwachtingen rekening te houden, </w:t>
      </w:r>
      <w:r w:rsidRPr="00463949" w:rsidR="00B01EC0">
        <w:rPr>
          <w:rFonts w:ascii="Times New Roman" w:hAnsi="Times New Roman" w:cs="Times New Roman"/>
          <w:sz w:val="24"/>
          <w:szCs w:val="24"/>
        </w:rPr>
        <w:t xml:space="preserve">moet een </w:t>
      </w:r>
      <w:r w:rsidRPr="00463949" w:rsidR="00B01EC0">
        <w:rPr>
          <w:rFonts w:ascii="Times New Roman" w:hAnsi="Times New Roman" w:cs="Times New Roman"/>
          <w:sz w:val="24"/>
          <w:szCs w:val="24"/>
        </w:rPr>
        <w:lastRenderedPageBreak/>
        <w:t>rechter kunnen vaststellen dat een product gebrekkig is wanneer het tot dezelfde productieserie behoort als een product waarvan reeds is aangetoond dat het gebrekkig is</w:t>
      </w:r>
      <w:r w:rsidRPr="00463949" w:rsidR="00590C8C">
        <w:rPr>
          <w:rFonts w:ascii="Times New Roman" w:hAnsi="Times New Roman" w:cs="Times New Roman"/>
          <w:sz w:val="24"/>
          <w:szCs w:val="24"/>
        </w:rPr>
        <w:t xml:space="preserve"> (overweging 30)</w:t>
      </w:r>
      <w:r w:rsidRPr="00463949" w:rsidR="00942AAD">
        <w:rPr>
          <w:rFonts w:ascii="Times New Roman" w:hAnsi="Times New Roman" w:cs="Times New Roman"/>
          <w:sz w:val="24"/>
          <w:szCs w:val="24"/>
        </w:rPr>
        <w:t>.</w:t>
      </w:r>
      <w:r w:rsidRPr="00463949" w:rsidR="00B32964">
        <w:rPr>
          <w:rStyle w:val="Voetnootmarkering"/>
          <w:rFonts w:ascii="Times New Roman" w:hAnsi="Times New Roman" w:cs="Times New Roman"/>
          <w:sz w:val="24"/>
          <w:szCs w:val="24"/>
        </w:rPr>
        <w:footnoteReference w:id="76"/>
      </w:r>
    </w:p>
    <w:p w:rsidRPr="00463949" w:rsidR="000D2AAB" w:rsidP="00D045E0" w:rsidRDefault="000D2AAB" w14:paraId="1A0938BA" w14:textId="77777777">
      <w:pPr>
        <w:spacing w:after="0" w:line="276" w:lineRule="auto"/>
        <w:rPr>
          <w:rFonts w:ascii="Times New Roman" w:hAnsi="Times New Roman" w:cs="Times New Roman"/>
          <w:sz w:val="24"/>
          <w:szCs w:val="24"/>
        </w:rPr>
      </w:pPr>
    </w:p>
    <w:p w:rsidRPr="00463949" w:rsidR="00A34021" w:rsidP="00D045E0" w:rsidRDefault="00B32964" w14:paraId="3C3188D5" w14:textId="44493AAE">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 o</w:t>
      </w:r>
      <w:r w:rsidRPr="00463949" w:rsidR="00A34021">
        <w:rPr>
          <w:rFonts w:ascii="Times New Roman" w:hAnsi="Times New Roman" w:cs="Times New Roman"/>
          <w:i/>
          <w:iCs/>
          <w:sz w:val="24"/>
          <w:szCs w:val="24"/>
        </w:rPr>
        <w:t>nderdelen a tot en met i; relevante omstandigheden van het geval</w:t>
      </w:r>
    </w:p>
    <w:p w:rsidRPr="00463949" w:rsidR="00B32964" w:rsidP="00D045E0" w:rsidRDefault="00B32964" w14:paraId="630AFEA4" w14:textId="77777777">
      <w:pPr>
        <w:spacing w:after="0" w:line="276" w:lineRule="auto"/>
        <w:rPr>
          <w:rFonts w:ascii="Times New Roman" w:hAnsi="Times New Roman" w:cs="Times New Roman"/>
          <w:sz w:val="24"/>
          <w:szCs w:val="24"/>
        </w:rPr>
      </w:pPr>
    </w:p>
    <w:p w:rsidRPr="00463949" w:rsidR="00BA783E" w:rsidP="00D045E0" w:rsidRDefault="00416A9A" w14:paraId="02B0831D" w14:textId="78733D4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Net als onder het huidige recht, dient bij de </w:t>
      </w:r>
      <w:r w:rsidRPr="00463949" w:rsidR="00A43218">
        <w:rPr>
          <w:rFonts w:ascii="Times New Roman" w:hAnsi="Times New Roman" w:cs="Times New Roman"/>
          <w:sz w:val="24"/>
          <w:szCs w:val="24"/>
        </w:rPr>
        <w:t xml:space="preserve">beoordeling </w:t>
      </w:r>
      <w:r w:rsidRPr="00463949" w:rsidR="00BA783E">
        <w:rPr>
          <w:rFonts w:ascii="Times New Roman" w:hAnsi="Times New Roman" w:cs="Times New Roman"/>
          <w:sz w:val="24"/>
          <w:szCs w:val="24"/>
        </w:rPr>
        <w:t xml:space="preserve">van de gebrekkigheid van een product </w:t>
      </w:r>
      <w:r w:rsidRPr="00463949" w:rsidR="00A43218">
        <w:rPr>
          <w:rFonts w:ascii="Times New Roman" w:hAnsi="Times New Roman" w:cs="Times New Roman"/>
          <w:sz w:val="24"/>
          <w:szCs w:val="24"/>
        </w:rPr>
        <w:t xml:space="preserve">rekening </w:t>
      </w:r>
      <w:r w:rsidRPr="00463949" w:rsidR="00B73936">
        <w:rPr>
          <w:rFonts w:ascii="Times New Roman" w:hAnsi="Times New Roman" w:cs="Times New Roman"/>
          <w:sz w:val="24"/>
          <w:szCs w:val="24"/>
        </w:rPr>
        <w:t xml:space="preserve">te </w:t>
      </w:r>
      <w:r w:rsidRPr="00463949" w:rsidR="00A43218">
        <w:rPr>
          <w:rFonts w:ascii="Times New Roman" w:hAnsi="Times New Roman" w:cs="Times New Roman"/>
          <w:sz w:val="24"/>
          <w:szCs w:val="24"/>
        </w:rPr>
        <w:t xml:space="preserve">worden gehouden met </w:t>
      </w:r>
      <w:r w:rsidRPr="00463949" w:rsidR="005909D7">
        <w:rPr>
          <w:rFonts w:ascii="Times New Roman" w:hAnsi="Times New Roman" w:cs="Times New Roman"/>
          <w:sz w:val="24"/>
          <w:szCs w:val="24"/>
        </w:rPr>
        <w:t>alle</w:t>
      </w:r>
      <w:r w:rsidRPr="00463949" w:rsidR="009E503E">
        <w:rPr>
          <w:rFonts w:ascii="Times New Roman" w:hAnsi="Times New Roman" w:cs="Times New Roman"/>
          <w:sz w:val="24"/>
          <w:szCs w:val="24"/>
        </w:rPr>
        <w:t xml:space="preserve"> </w:t>
      </w:r>
      <w:r w:rsidRPr="00463949" w:rsidR="00BA783E">
        <w:rPr>
          <w:rFonts w:ascii="Times New Roman" w:hAnsi="Times New Roman" w:cs="Times New Roman"/>
          <w:sz w:val="24"/>
          <w:szCs w:val="24"/>
        </w:rPr>
        <w:t>omstandigheden van het geval</w:t>
      </w:r>
      <w:r w:rsidRPr="00463949" w:rsidR="002B17CF">
        <w:rPr>
          <w:rFonts w:ascii="Times New Roman" w:hAnsi="Times New Roman" w:cs="Times New Roman"/>
          <w:sz w:val="24"/>
          <w:szCs w:val="24"/>
        </w:rPr>
        <w:t>.</w:t>
      </w:r>
      <w:r w:rsidRPr="00463949" w:rsidR="00BA783E">
        <w:rPr>
          <w:rFonts w:ascii="Times New Roman" w:hAnsi="Times New Roman" w:cs="Times New Roman"/>
          <w:sz w:val="24"/>
          <w:szCs w:val="24"/>
        </w:rPr>
        <w:t xml:space="preserve"> Lid 1, onderdelen a tot en met </w:t>
      </w:r>
      <w:r w:rsidRPr="00463949" w:rsidR="002B17CF">
        <w:rPr>
          <w:rFonts w:ascii="Times New Roman" w:hAnsi="Times New Roman" w:cs="Times New Roman"/>
          <w:sz w:val="24"/>
          <w:szCs w:val="24"/>
        </w:rPr>
        <w:t>i</w:t>
      </w:r>
      <w:r w:rsidRPr="00463949" w:rsidR="00BA783E">
        <w:rPr>
          <w:rFonts w:ascii="Times New Roman" w:hAnsi="Times New Roman" w:cs="Times New Roman"/>
          <w:sz w:val="24"/>
          <w:szCs w:val="24"/>
        </w:rPr>
        <w:t xml:space="preserve">, bevat een </w:t>
      </w:r>
      <w:r w:rsidRPr="00463949" w:rsidR="005909D7">
        <w:rPr>
          <w:rFonts w:ascii="Times New Roman" w:hAnsi="Times New Roman" w:cs="Times New Roman"/>
          <w:sz w:val="24"/>
          <w:szCs w:val="24"/>
        </w:rPr>
        <w:t xml:space="preserve">opsomming van </w:t>
      </w:r>
      <w:r w:rsidRPr="00463949" w:rsidR="00BA783E">
        <w:rPr>
          <w:rFonts w:ascii="Times New Roman" w:hAnsi="Times New Roman" w:cs="Times New Roman"/>
          <w:sz w:val="24"/>
          <w:szCs w:val="24"/>
        </w:rPr>
        <w:t>omstandigheden waarmee in ieder geval rekening dient te</w:t>
      </w:r>
      <w:r w:rsidRPr="00463949" w:rsidR="00D73ECB">
        <w:rPr>
          <w:rFonts w:ascii="Times New Roman" w:hAnsi="Times New Roman" w:cs="Times New Roman"/>
          <w:sz w:val="24"/>
          <w:szCs w:val="24"/>
        </w:rPr>
        <w:t xml:space="preserve"> worden</w:t>
      </w:r>
      <w:r w:rsidRPr="00463949" w:rsidR="00BA783E">
        <w:rPr>
          <w:rFonts w:ascii="Times New Roman" w:hAnsi="Times New Roman" w:cs="Times New Roman"/>
          <w:sz w:val="24"/>
          <w:szCs w:val="24"/>
        </w:rPr>
        <w:t xml:space="preserve"> </w:t>
      </w:r>
      <w:r w:rsidRPr="00463949" w:rsidR="00D73ECB">
        <w:rPr>
          <w:rFonts w:ascii="Times New Roman" w:hAnsi="Times New Roman" w:cs="Times New Roman"/>
          <w:sz w:val="24"/>
          <w:szCs w:val="24"/>
        </w:rPr>
        <w:t>ge</w:t>
      </w:r>
      <w:r w:rsidRPr="00463949" w:rsidR="00BA783E">
        <w:rPr>
          <w:rFonts w:ascii="Times New Roman" w:hAnsi="Times New Roman" w:cs="Times New Roman"/>
          <w:sz w:val="24"/>
          <w:szCs w:val="24"/>
        </w:rPr>
        <w:t>houden. Deze</w:t>
      </w:r>
      <w:r w:rsidRPr="00463949" w:rsidR="004E3FB8">
        <w:rPr>
          <w:rFonts w:ascii="Times New Roman" w:hAnsi="Times New Roman" w:cs="Times New Roman"/>
          <w:sz w:val="24"/>
          <w:szCs w:val="24"/>
        </w:rPr>
        <w:t xml:space="preserve"> niet-uitputtende</w:t>
      </w:r>
      <w:r w:rsidRPr="00463949" w:rsidR="006525E0">
        <w:rPr>
          <w:rFonts w:ascii="Times New Roman" w:hAnsi="Times New Roman" w:cs="Times New Roman"/>
          <w:sz w:val="24"/>
          <w:szCs w:val="24"/>
        </w:rPr>
        <w:t xml:space="preserve"> </w:t>
      </w:r>
      <w:r w:rsidRPr="00463949" w:rsidR="00BA783E">
        <w:rPr>
          <w:rFonts w:ascii="Times New Roman" w:hAnsi="Times New Roman" w:cs="Times New Roman"/>
          <w:sz w:val="24"/>
          <w:szCs w:val="24"/>
        </w:rPr>
        <w:t>lijst correspondeert met de omstandigheden in artikel 7 lid 2, onder</w:t>
      </w:r>
      <w:r w:rsidRPr="00463949" w:rsidR="006525E0">
        <w:rPr>
          <w:rFonts w:ascii="Times New Roman" w:hAnsi="Times New Roman" w:cs="Times New Roman"/>
          <w:sz w:val="24"/>
          <w:szCs w:val="24"/>
        </w:rPr>
        <w:t>delen</w:t>
      </w:r>
      <w:r w:rsidRPr="00463949" w:rsidR="00BA783E">
        <w:rPr>
          <w:rFonts w:ascii="Times New Roman" w:hAnsi="Times New Roman" w:cs="Times New Roman"/>
          <w:sz w:val="24"/>
          <w:szCs w:val="24"/>
        </w:rPr>
        <w:t xml:space="preserve"> </w:t>
      </w:r>
      <w:r w:rsidRPr="00463949" w:rsidR="00161087">
        <w:rPr>
          <w:rFonts w:ascii="Times New Roman" w:hAnsi="Times New Roman" w:cs="Times New Roman"/>
          <w:sz w:val="24"/>
          <w:szCs w:val="24"/>
        </w:rPr>
        <w:t xml:space="preserve">a tot en met i, Richtlijn. </w:t>
      </w:r>
    </w:p>
    <w:p w:rsidRPr="00463949" w:rsidR="00BA783E" w:rsidP="00D045E0" w:rsidRDefault="00BA783E" w14:paraId="239F0CE5" w14:textId="77777777">
      <w:pPr>
        <w:spacing w:after="0" w:line="276" w:lineRule="auto"/>
        <w:rPr>
          <w:rFonts w:ascii="Times New Roman" w:hAnsi="Times New Roman" w:cs="Times New Roman"/>
          <w:sz w:val="24"/>
          <w:szCs w:val="24"/>
        </w:rPr>
      </w:pPr>
    </w:p>
    <w:p w:rsidRPr="00463949" w:rsidR="009E0A8E" w:rsidP="00D045E0" w:rsidRDefault="00161087" w14:paraId="75C6646E" w14:textId="7777777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w:t>
      </w:r>
      <w:r w:rsidRPr="00463949">
        <w:rPr>
          <w:rFonts w:ascii="Times New Roman" w:hAnsi="Times New Roman" w:cs="Times New Roman"/>
          <w:i/>
          <w:iCs/>
          <w:sz w:val="24"/>
          <w:szCs w:val="24"/>
        </w:rPr>
        <w:t>onderdelen a tot en met c</w:t>
      </w:r>
      <w:r w:rsidRPr="00463949">
        <w:rPr>
          <w:rFonts w:ascii="Times New Roman" w:hAnsi="Times New Roman" w:cs="Times New Roman"/>
          <w:sz w:val="24"/>
          <w:szCs w:val="24"/>
        </w:rPr>
        <w:t xml:space="preserve"> komen</w:t>
      </w:r>
      <w:r w:rsidRPr="00463949" w:rsidR="00D73ECB">
        <w:rPr>
          <w:rFonts w:ascii="Times New Roman" w:hAnsi="Times New Roman" w:cs="Times New Roman"/>
          <w:sz w:val="24"/>
          <w:szCs w:val="24"/>
        </w:rPr>
        <w:t xml:space="preserve"> in </w:t>
      </w:r>
      <w:r w:rsidRPr="00463949" w:rsidR="004E3FB8">
        <w:rPr>
          <w:rFonts w:ascii="Times New Roman" w:hAnsi="Times New Roman" w:cs="Times New Roman"/>
          <w:sz w:val="24"/>
          <w:szCs w:val="24"/>
        </w:rPr>
        <w:t xml:space="preserve">de kern </w:t>
      </w:r>
      <w:r w:rsidRPr="00463949">
        <w:rPr>
          <w:rFonts w:ascii="Times New Roman" w:hAnsi="Times New Roman" w:cs="Times New Roman"/>
          <w:sz w:val="24"/>
          <w:szCs w:val="24"/>
        </w:rPr>
        <w:t xml:space="preserve">overeen met </w:t>
      </w:r>
      <w:r w:rsidRPr="00463949" w:rsidR="004E3FB8">
        <w:rPr>
          <w:rFonts w:ascii="Times New Roman" w:hAnsi="Times New Roman" w:cs="Times New Roman"/>
          <w:sz w:val="24"/>
          <w:szCs w:val="24"/>
        </w:rPr>
        <w:t xml:space="preserve">het huidige artikel 6:186 lid 1, </w:t>
      </w:r>
      <w:r w:rsidRPr="00463949">
        <w:rPr>
          <w:rFonts w:ascii="Times New Roman" w:hAnsi="Times New Roman" w:cs="Times New Roman"/>
          <w:sz w:val="24"/>
          <w:szCs w:val="24"/>
        </w:rPr>
        <w:t>onderdelen a tot en met c</w:t>
      </w:r>
      <w:r w:rsidRPr="00463949" w:rsidR="004E3FB8">
        <w:rPr>
          <w:rFonts w:ascii="Times New Roman" w:hAnsi="Times New Roman" w:cs="Times New Roman"/>
          <w:sz w:val="24"/>
          <w:szCs w:val="24"/>
        </w:rPr>
        <w:t>, BW</w:t>
      </w:r>
      <w:r w:rsidRPr="00463949" w:rsidR="00F85B7E">
        <w:rPr>
          <w:rFonts w:ascii="Times New Roman" w:hAnsi="Times New Roman" w:cs="Times New Roman"/>
          <w:sz w:val="24"/>
          <w:szCs w:val="24"/>
        </w:rPr>
        <w:t xml:space="preserve"> en bevatten wijzigingen van meer terminologische en verduidelijkende aard</w:t>
      </w:r>
      <w:r w:rsidRPr="00463949">
        <w:rPr>
          <w:rFonts w:ascii="Times New Roman" w:hAnsi="Times New Roman" w:cs="Times New Roman"/>
          <w:sz w:val="24"/>
          <w:szCs w:val="24"/>
        </w:rPr>
        <w:t xml:space="preserve">. </w:t>
      </w:r>
    </w:p>
    <w:p w:rsidRPr="00463949" w:rsidR="0061145D" w:rsidP="00D045E0" w:rsidRDefault="00161087" w14:paraId="3C51D268" w14:textId="272C9E6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voorgestelde </w:t>
      </w:r>
      <w:r w:rsidRPr="00463949" w:rsidR="004E3FB8">
        <w:rPr>
          <w:rFonts w:ascii="Times New Roman" w:hAnsi="Times New Roman" w:cs="Times New Roman"/>
          <w:sz w:val="24"/>
          <w:szCs w:val="24"/>
        </w:rPr>
        <w:t xml:space="preserve">wijziging </w:t>
      </w:r>
      <w:r w:rsidRPr="00463949">
        <w:rPr>
          <w:rFonts w:ascii="Times New Roman" w:hAnsi="Times New Roman" w:cs="Times New Roman"/>
          <w:sz w:val="24"/>
          <w:szCs w:val="24"/>
        </w:rPr>
        <w:t xml:space="preserve">van </w:t>
      </w:r>
      <w:r w:rsidRPr="00463949">
        <w:rPr>
          <w:rFonts w:ascii="Times New Roman" w:hAnsi="Times New Roman" w:cs="Times New Roman"/>
          <w:i/>
          <w:iCs/>
          <w:sz w:val="24"/>
          <w:szCs w:val="24"/>
        </w:rPr>
        <w:t>onderdeel a</w:t>
      </w:r>
      <w:r w:rsidRPr="00463949">
        <w:rPr>
          <w:rFonts w:ascii="Times New Roman" w:hAnsi="Times New Roman" w:cs="Times New Roman"/>
          <w:sz w:val="24"/>
          <w:szCs w:val="24"/>
        </w:rPr>
        <w:t xml:space="preserve"> is erop gericht de bepaling beter te laten aansluiten bij de tekst van artikel 7 lid 2</w:t>
      </w:r>
      <w:r w:rsidRPr="00463949" w:rsidR="000257A8">
        <w:rPr>
          <w:rFonts w:ascii="Times New Roman" w:hAnsi="Times New Roman" w:cs="Times New Roman"/>
          <w:sz w:val="24"/>
          <w:szCs w:val="24"/>
        </w:rPr>
        <w:t>,</w:t>
      </w:r>
      <w:r w:rsidRPr="00463949">
        <w:rPr>
          <w:rFonts w:ascii="Times New Roman" w:hAnsi="Times New Roman" w:cs="Times New Roman"/>
          <w:sz w:val="24"/>
          <w:szCs w:val="24"/>
        </w:rPr>
        <w:t xml:space="preserve"> onder</w:t>
      </w:r>
      <w:r w:rsidRPr="00463949" w:rsidR="000257A8">
        <w:rPr>
          <w:rFonts w:ascii="Times New Roman" w:hAnsi="Times New Roman" w:cs="Times New Roman"/>
          <w:sz w:val="24"/>
          <w:szCs w:val="24"/>
        </w:rPr>
        <w:t>deel</w:t>
      </w:r>
      <w:r w:rsidRPr="00463949">
        <w:rPr>
          <w:rFonts w:ascii="Times New Roman" w:hAnsi="Times New Roman" w:cs="Times New Roman"/>
          <w:sz w:val="24"/>
          <w:szCs w:val="24"/>
        </w:rPr>
        <w:t xml:space="preserve"> a</w:t>
      </w:r>
      <w:r w:rsidRPr="00463949" w:rsidR="000257A8">
        <w:rPr>
          <w:rFonts w:ascii="Times New Roman" w:hAnsi="Times New Roman" w:cs="Times New Roman"/>
          <w:sz w:val="24"/>
          <w:szCs w:val="24"/>
        </w:rPr>
        <w:t xml:space="preserve">, </w:t>
      </w:r>
      <w:r w:rsidRPr="00463949">
        <w:rPr>
          <w:rFonts w:ascii="Times New Roman" w:hAnsi="Times New Roman" w:cs="Times New Roman"/>
          <w:sz w:val="24"/>
          <w:szCs w:val="24"/>
        </w:rPr>
        <w:t>Richtlijn. Zo is “</w:t>
      </w:r>
      <w:r w:rsidRPr="00463949" w:rsidR="0061145D">
        <w:rPr>
          <w:rFonts w:ascii="Times New Roman" w:hAnsi="Times New Roman" w:cs="Times New Roman"/>
          <w:sz w:val="24"/>
          <w:szCs w:val="24"/>
        </w:rPr>
        <w:t xml:space="preserve">de </w:t>
      </w:r>
      <w:r w:rsidRPr="00463949">
        <w:rPr>
          <w:rFonts w:ascii="Times New Roman" w:hAnsi="Times New Roman" w:cs="Times New Roman"/>
          <w:sz w:val="24"/>
          <w:szCs w:val="24"/>
        </w:rPr>
        <w:t>presentatie</w:t>
      </w:r>
      <w:r w:rsidRPr="00463949" w:rsidR="0061145D">
        <w:rPr>
          <w:rFonts w:ascii="Times New Roman" w:hAnsi="Times New Roman" w:cs="Times New Roman"/>
          <w:sz w:val="24"/>
          <w:szCs w:val="24"/>
        </w:rPr>
        <w:t xml:space="preserve"> van het produkt” vervangen door “de presentatie</w:t>
      </w:r>
      <w:r w:rsidRPr="00463949">
        <w:rPr>
          <w:rFonts w:ascii="Times New Roman" w:hAnsi="Times New Roman" w:cs="Times New Roman"/>
          <w:sz w:val="24"/>
          <w:szCs w:val="24"/>
        </w:rPr>
        <w:t xml:space="preserve"> en </w:t>
      </w:r>
      <w:r w:rsidRPr="00463949" w:rsidR="0061145D">
        <w:rPr>
          <w:rFonts w:ascii="Times New Roman" w:hAnsi="Times New Roman" w:cs="Times New Roman"/>
          <w:sz w:val="24"/>
          <w:szCs w:val="24"/>
        </w:rPr>
        <w:t xml:space="preserve">de </w:t>
      </w:r>
      <w:r w:rsidRPr="00463949">
        <w:rPr>
          <w:rFonts w:ascii="Times New Roman" w:hAnsi="Times New Roman" w:cs="Times New Roman"/>
          <w:sz w:val="24"/>
          <w:szCs w:val="24"/>
        </w:rPr>
        <w:t>kenmerken van het product”</w:t>
      </w:r>
      <w:r w:rsidRPr="00463949" w:rsidR="0061145D">
        <w:rPr>
          <w:rFonts w:ascii="Times New Roman" w:hAnsi="Times New Roman" w:cs="Times New Roman"/>
          <w:sz w:val="24"/>
          <w:szCs w:val="24"/>
        </w:rPr>
        <w:t xml:space="preserve">. Verder is verduidelijkt </w:t>
      </w:r>
      <w:r w:rsidRPr="00463949" w:rsidR="00F85B7E">
        <w:rPr>
          <w:rFonts w:ascii="Times New Roman" w:hAnsi="Times New Roman" w:cs="Times New Roman"/>
          <w:sz w:val="24"/>
          <w:szCs w:val="24"/>
        </w:rPr>
        <w:t xml:space="preserve">dat </w:t>
      </w:r>
      <w:r w:rsidRPr="00463949" w:rsidR="0061145D">
        <w:rPr>
          <w:rFonts w:ascii="Times New Roman" w:hAnsi="Times New Roman" w:cs="Times New Roman"/>
          <w:sz w:val="24"/>
          <w:szCs w:val="24"/>
        </w:rPr>
        <w:t xml:space="preserve">hieronder moet worden begrepen: </w:t>
      </w:r>
      <w:r w:rsidRPr="00463949">
        <w:rPr>
          <w:rFonts w:ascii="Times New Roman" w:hAnsi="Times New Roman" w:cs="Times New Roman"/>
          <w:sz w:val="24"/>
          <w:szCs w:val="24"/>
        </w:rPr>
        <w:t xml:space="preserve">de etikettering, het ontwerp, de technische kenmerken, de samenstelling en de verpakking </w:t>
      </w:r>
      <w:r w:rsidRPr="00463949" w:rsidR="002B17CF">
        <w:rPr>
          <w:rFonts w:ascii="Times New Roman" w:hAnsi="Times New Roman" w:cs="Times New Roman"/>
          <w:sz w:val="24"/>
          <w:szCs w:val="24"/>
        </w:rPr>
        <w:t>van het product</w:t>
      </w:r>
      <w:r w:rsidRPr="00463949" w:rsidR="0061145D">
        <w:rPr>
          <w:rFonts w:ascii="Times New Roman" w:hAnsi="Times New Roman" w:cs="Times New Roman"/>
          <w:sz w:val="24"/>
          <w:szCs w:val="24"/>
        </w:rPr>
        <w:t xml:space="preserve">, alsook </w:t>
      </w:r>
      <w:r w:rsidRPr="00463949">
        <w:rPr>
          <w:rFonts w:ascii="Times New Roman" w:hAnsi="Times New Roman" w:cs="Times New Roman"/>
          <w:sz w:val="24"/>
          <w:szCs w:val="24"/>
        </w:rPr>
        <w:t>de assemblage-, installatie-, gebruiks- en onderhoudsinstructies.</w:t>
      </w:r>
      <w:r w:rsidRPr="00463949" w:rsidR="00F4172F">
        <w:rPr>
          <w:rFonts w:ascii="Times New Roman" w:hAnsi="Times New Roman" w:cs="Times New Roman"/>
          <w:sz w:val="24"/>
          <w:szCs w:val="24"/>
        </w:rPr>
        <w:t xml:space="preserve"> </w:t>
      </w:r>
    </w:p>
    <w:p w:rsidRPr="00463949" w:rsidR="00F4172F" w:rsidP="00D045E0" w:rsidRDefault="0061145D" w14:paraId="781453B0" w14:textId="06DAC54C">
      <w:pPr>
        <w:spacing w:after="0" w:line="276" w:lineRule="auto"/>
        <w:rPr>
          <w:rFonts w:ascii="Times New Roman" w:hAnsi="Times New Roman" w:cs="Times New Roman"/>
          <w:sz w:val="24"/>
          <w:szCs w:val="24"/>
        </w:rPr>
      </w:pPr>
      <w:r w:rsidRPr="00463949">
        <w:rPr>
          <w:rFonts w:ascii="Times New Roman" w:hAnsi="Times New Roman" w:cs="Times New Roman"/>
          <w:i/>
          <w:iCs/>
          <w:sz w:val="24"/>
          <w:szCs w:val="24"/>
        </w:rPr>
        <w:t>O</w:t>
      </w:r>
      <w:r w:rsidRPr="00463949" w:rsidR="00F4172F">
        <w:rPr>
          <w:rFonts w:ascii="Times New Roman" w:hAnsi="Times New Roman" w:cs="Times New Roman"/>
          <w:i/>
          <w:iCs/>
          <w:sz w:val="24"/>
          <w:szCs w:val="24"/>
        </w:rPr>
        <w:t>nderdeel b</w:t>
      </w:r>
      <w:r w:rsidRPr="00463949">
        <w:rPr>
          <w:rFonts w:ascii="Times New Roman" w:hAnsi="Times New Roman" w:cs="Times New Roman"/>
          <w:sz w:val="24"/>
          <w:szCs w:val="24"/>
        </w:rPr>
        <w:t xml:space="preserve"> </w:t>
      </w:r>
      <w:r w:rsidRPr="00463949" w:rsidR="00BF38C9">
        <w:rPr>
          <w:rFonts w:ascii="Times New Roman" w:hAnsi="Times New Roman" w:cs="Times New Roman"/>
          <w:sz w:val="24"/>
          <w:szCs w:val="24"/>
        </w:rPr>
        <w:t>correspondeert</w:t>
      </w:r>
      <w:r w:rsidRPr="00463949">
        <w:rPr>
          <w:rFonts w:ascii="Times New Roman" w:hAnsi="Times New Roman" w:cs="Times New Roman"/>
          <w:sz w:val="24"/>
          <w:szCs w:val="24"/>
        </w:rPr>
        <w:t xml:space="preserve"> reeds</w:t>
      </w:r>
      <w:r w:rsidRPr="00463949" w:rsidR="00BF38C9">
        <w:rPr>
          <w:rFonts w:ascii="Times New Roman" w:hAnsi="Times New Roman" w:cs="Times New Roman"/>
          <w:sz w:val="24"/>
          <w:szCs w:val="24"/>
        </w:rPr>
        <w:t xml:space="preserve"> met artikel 7 lid 2, onderdeel b, Richtlijn</w:t>
      </w:r>
      <w:r w:rsidRPr="00463949" w:rsidR="00F4172F">
        <w:rPr>
          <w:rFonts w:ascii="Times New Roman" w:hAnsi="Times New Roman" w:cs="Times New Roman"/>
          <w:sz w:val="24"/>
          <w:szCs w:val="24"/>
        </w:rPr>
        <w:t xml:space="preserve"> (“het redelijkerwijs te verwachten gebruik”)</w:t>
      </w:r>
      <w:r w:rsidRPr="00463949">
        <w:rPr>
          <w:rFonts w:ascii="Times New Roman" w:hAnsi="Times New Roman" w:cs="Times New Roman"/>
          <w:sz w:val="24"/>
          <w:szCs w:val="24"/>
        </w:rPr>
        <w:t>. In dit onderdeel</w:t>
      </w:r>
      <w:r w:rsidRPr="00463949" w:rsidR="000257A8">
        <w:rPr>
          <w:rFonts w:ascii="Times New Roman" w:hAnsi="Times New Roman" w:cs="Times New Roman"/>
          <w:sz w:val="24"/>
          <w:szCs w:val="24"/>
        </w:rPr>
        <w:t xml:space="preserve"> is</w:t>
      </w:r>
      <w:r w:rsidRPr="00463949">
        <w:rPr>
          <w:rFonts w:ascii="Times New Roman" w:hAnsi="Times New Roman" w:cs="Times New Roman"/>
          <w:sz w:val="24"/>
          <w:szCs w:val="24"/>
        </w:rPr>
        <w:t xml:space="preserve"> daarom</w:t>
      </w:r>
      <w:r w:rsidRPr="00463949" w:rsidR="00F4172F">
        <w:rPr>
          <w:rFonts w:ascii="Times New Roman" w:hAnsi="Times New Roman" w:cs="Times New Roman"/>
          <w:sz w:val="24"/>
          <w:szCs w:val="24"/>
        </w:rPr>
        <w:t xml:space="preserve"> alleen ouderwets taalgebruik aangepast</w:t>
      </w:r>
      <w:r w:rsidRPr="00463949" w:rsidR="002B17CF">
        <w:rPr>
          <w:rFonts w:ascii="Times New Roman" w:hAnsi="Times New Roman" w:cs="Times New Roman"/>
          <w:sz w:val="24"/>
          <w:szCs w:val="24"/>
        </w:rPr>
        <w:t xml:space="preserve"> (“produkt” </w:t>
      </w:r>
      <w:r w:rsidRPr="00463949">
        <w:rPr>
          <w:rFonts w:ascii="Times New Roman" w:hAnsi="Times New Roman" w:cs="Times New Roman"/>
          <w:sz w:val="24"/>
          <w:szCs w:val="24"/>
        </w:rPr>
        <w:t xml:space="preserve">wordt </w:t>
      </w:r>
      <w:r w:rsidRPr="00463949" w:rsidR="002B17CF">
        <w:rPr>
          <w:rFonts w:ascii="Times New Roman" w:hAnsi="Times New Roman" w:cs="Times New Roman"/>
          <w:sz w:val="24"/>
          <w:szCs w:val="24"/>
        </w:rPr>
        <w:t>vervangen door “product”)</w:t>
      </w:r>
      <w:r w:rsidRPr="00463949" w:rsidR="00F4172F">
        <w:rPr>
          <w:rFonts w:ascii="Times New Roman" w:hAnsi="Times New Roman" w:cs="Times New Roman"/>
          <w:sz w:val="24"/>
          <w:szCs w:val="24"/>
        </w:rPr>
        <w:t xml:space="preserve">. </w:t>
      </w:r>
      <w:r w:rsidRPr="00463949" w:rsidR="006859A6">
        <w:rPr>
          <w:rFonts w:ascii="Times New Roman" w:hAnsi="Times New Roman" w:cs="Times New Roman"/>
          <w:sz w:val="24"/>
          <w:szCs w:val="24"/>
        </w:rPr>
        <w:t xml:space="preserve">De voorgestelde </w:t>
      </w:r>
      <w:r w:rsidRPr="00463949">
        <w:rPr>
          <w:rFonts w:ascii="Times New Roman" w:hAnsi="Times New Roman" w:cs="Times New Roman"/>
          <w:sz w:val="24"/>
          <w:szCs w:val="24"/>
        </w:rPr>
        <w:t xml:space="preserve">wijziging </w:t>
      </w:r>
      <w:r w:rsidRPr="00463949" w:rsidR="006859A6">
        <w:rPr>
          <w:rFonts w:ascii="Times New Roman" w:hAnsi="Times New Roman" w:cs="Times New Roman"/>
          <w:sz w:val="24"/>
          <w:szCs w:val="24"/>
        </w:rPr>
        <w:t xml:space="preserve">van </w:t>
      </w:r>
      <w:r w:rsidRPr="00463949" w:rsidR="006859A6">
        <w:rPr>
          <w:rFonts w:ascii="Times New Roman" w:hAnsi="Times New Roman" w:cs="Times New Roman"/>
          <w:i/>
          <w:iCs/>
          <w:sz w:val="24"/>
          <w:szCs w:val="24"/>
        </w:rPr>
        <w:t>o</w:t>
      </w:r>
      <w:r w:rsidRPr="00463949" w:rsidR="00F4172F">
        <w:rPr>
          <w:rFonts w:ascii="Times New Roman" w:hAnsi="Times New Roman" w:cs="Times New Roman"/>
          <w:i/>
          <w:iCs/>
          <w:sz w:val="24"/>
          <w:szCs w:val="24"/>
        </w:rPr>
        <w:t>nderdeel c</w:t>
      </w:r>
      <w:r w:rsidRPr="00463949" w:rsidR="00F4172F">
        <w:rPr>
          <w:rFonts w:ascii="Times New Roman" w:hAnsi="Times New Roman" w:cs="Times New Roman"/>
          <w:sz w:val="24"/>
          <w:szCs w:val="24"/>
        </w:rPr>
        <w:t xml:space="preserve"> </w:t>
      </w:r>
      <w:r w:rsidRPr="00463949" w:rsidR="006859A6">
        <w:rPr>
          <w:rFonts w:ascii="Times New Roman" w:hAnsi="Times New Roman" w:cs="Times New Roman"/>
          <w:sz w:val="24"/>
          <w:szCs w:val="24"/>
        </w:rPr>
        <w:t xml:space="preserve">is erop gericht </w:t>
      </w:r>
      <w:r w:rsidRPr="00463949" w:rsidR="00BF38C9">
        <w:rPr>
          <w:rFonts w:ascii="Times New Roman" w:hAnsi="Times New Roman" w:cs="Times New Roman"/>
          <w:sz w:val="24"/>
          <w:szCs w:val="24"/>
        </w:rPr>
        <w:t>d</w:t>
      </w:r>
      <w:r w:rsidRPr="00463949" w:rsidR="006859A6">
        <w:rPr>
          <w:rFonts w:ascii="Times New Roman" w:hAnsi="Times New Roman" w:cs="Times New Roman"/>
          <w:sz w:val="24"/>
          <w:szCs w:val="24"/>
        </w:rPr>
        <w:t>e bepaling</w:t>
      </w:r>
      <w:r w:rsidRPr="00463949" w:rsidR="00F307FB">
        <w:rPr>
          <w:rFonts w:ascii="Times New Roman" w:hAnsi="Times New Roman" w:cs="Times New Roman"/>
          <w:sz w:val="24"/>
          <w:szCs w:val="24"/>
        </w:rPr>
        <w:t xml:space="preserve"> beter</w:t>
      </w:r>
      <w:r w:rsidRPr="00463949" w:rsidR="006859A6">
        <w:rPr>
          <w:rFonts w:ascii="Times New Roman" w:hAnsi="Times New Roman" w:cs="Times New Roman"/>
          <w:sz w:val="24"/>
          <w:szCs w:val="24"/>
        </w:rPr>
        <w:t xml:space="preserve"> te laten </w:t>
      </w:r>
      <w:r w:rsidRPr="00463949" w:rsidR="00F4172F">
        <w:rPr>
          <w:rFonts w:ascii="Times New Roman" w:hAnsi="Times New Roman" w:cs="Times New Roman"/>
          <w:sz w:val="24"/>
          <w:szCs w:val="24"/>
        </w:rPr>
        <w:t>aan</w:t>
      </w:r>
      <w:r w:rsidRPr="00463949" w:rsidR="006859A6">
        <w:rPr>
          <w:rFonts w:ascii="Times New Roman" w:hAnsi="Times New Roman" w:cs="Times New Roman"/>
          <w:sz w:val="24"/>
          <w:szCs w:val="24"/>
        </w:rPr>
        <w:t>sluiten</w:t>
      </w:r>
      <w:r w:rsidRPr="00463949" w:rsidR="00F4172F">
        <w:rPr>
          <w:rFonts w:ascii="Times New Roman" w:hAnsi="Times New Roman" w:cs="Times New Roman"/>
          <w:sz w:val="24"/>
          <w:szCs w:val="24"/>
        </w:rPr>
        <w:t xml:space="preserve"> bij artikel 7 lid 2, onderdeel e, Richtlijn. </w:t>
      </w:r>
      <w:r w:rsidRPr="00463949" w:rsidR="000257A8">
        <w:rPr>
          <w:rFonts w:ascii="Times New Roman" w:hAnsi="Times New Roman" w:cs="Times New Roman"/>
          <w:sz w:val="24"/>
          <w:szCs w:val="24"/>
        </w:rPr>
        <w:t xml:space="preserve">Dit bepaalt </w:t>
      </w:r>
      <w:r w:rsidRPr="00463949" w:rsidR="006859A6">
        <w:rPr>
          <w:rFonts w:ascii="Times New Roman" w:hAnsi="Times New Roman" w:cs="Times New Roman"/>
          <w:sz w:val="24"/>
          <w:szCs w:val="24"/>
        </w:rPr>
        <w:t>dat b</w:t>
      </w:r>
      <w:r w:rsidRPr="00463949" w:rsidR="00F4172F">
        <w:rPr>
          <w:rFonts w:ascii="Times New Roman" w:hAnsi="Times New Roman" w:cs="Times New Roman"/>
          <w:sz w:val="24"/>
          <w:szCs w:val="24"/>
        </w:rPr>
        <w:t xml:space="preserve">ij beoordeling van de gebrekkigheid rekening </w:t>
      </w:r>
      <w:r w:rsidRPr="00463949" w:rsidR="006859A6">
        <w:rPr>
          <w:rFonts w:ascii="Times New Roman" w:hAnsi="Times New Roman" w:cs="Times New Roman"/>
          <w:sz w:val="24"/>
          <w:szCs w:val="24"/>
        </w:rPr>
        <w:t xml:space="preserve">moet </w:t>
      </w:r>
      <w:r w:rsidRPr="00463949" w:rsidR="00F4172F">
        <w:rPr>
          <w:rFonts w:ascii="Times New Roman" w:hAnsi="Times New Roman" w:cs="Times New Roman"/>
          <w:sz w:val="24"/>
          <w:szCs w:val="24"/>
        </w:rPr>
        <w:t xml:space="preserve">worden gehouden met het tijdstip waarop het product </w:t>
      </w:r>
      <w:r w:rsidRPr="00463949">
        <w:rPr>
          <w:rFonts w:ascii="Times New Roman" w:hAnsi="Times New Roman" w:cs="Times New Roman"/>
          <w:sz w:val="24"/>
          <w:szCs w:val="24"/>
        </w:rPr>
        <w:t>“</w:t>
      </w:r>
      <w:r w:rsidRPr="00463949" w:rsidR="00F4172F">
        <w:rPr>
          <w:rFonts w:ascii="Times New Roman" w:hAnsi="Times New Roman" w:cs="Times New Roman"/>
          <w:sz w:val="24"/>
          <w:szCs w:val="24"/>
        </w:rPr>
        <w:t>in de handel is gebracht of in gebruik is gesteld of, indien de fabrikant na dat tijdstip de zeggenschap over het product behoudt, het tijdstip met ingang waarvan de fabrikant niet langer de zeggenschap over het product heeft</w:t>
      </w:r>
      <w:r w:rsidRPr="00463949">
        <w:rPr>
          <w:rFonts w:ascii="Times New Roman" w:hAnsi="Times New Roman" w:cs="Times New Roman"/>
          <w:sz w:val="24"/>
          <w:szCs w:val="24"/>
        </w:rPr>
        <w:t>”</w:t>
      </w:r>
      <w:r w:rsidRPr="00463949" w:rsidR="00F4172F">
        <w:rPr>
          <w:rFonts w:ascii="Times New Roman" w:hAnsi="Times New Roman" w:cs="Times New Roman"/>
          <w:sz w:val="24"/>
          <w:szCs w:val="24"/>
        </w:rPr>
        <w:t xml:space="preserve">. </w:t>
      </w:r>
    </w:p>
    <w:p w:rsidRPr="00463949" w:rsidR="00F4172F" w:rsidP="00D045E0" w:rsidRDefault="00F4172F" w14:paraId="6AC07271" w14:textId="77777777">
      <w:pPr>
        <w:spacing w:after="0" w:line="276" w:lineRule="auto"/>
        <w:rPr>
          <w:rFonts w:ascii="Times New Roman" w:hAnsi="Times New Roman" w:cs="Times New Roman"/>
          <w:sz w:val="24"/>
          <w:szCs w:val="24"/>
        </w:rPr>
      </w:pPr>
    </w:p>
    <w:p w:rsidRPr="00463949" w:rsidR="000257A8" w:rsidP="00D045E0" w:rsidRDefault="002B17CF" w14:paraId="0667BD59" w14:textId="29CD71B9">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Nieuw vergeleken met </w:t>
      </w:r>
      <w:r w:rsidRPr="00463949" w:rsidR="00B14E70">
        <w:rPr>
          <w:rFonts w:ascii="Times New Roman" w:hAnsi="Times New Roman" w:cs="Times New Roman"/>
          <w:sz w:val="24"/>
          <w:szCs w:val="24"/>
        </w:rPr>
        <w:t xml:space="preserve">Richtlijn 85/374 </w:t>
      </w:r>
      <w:r w:rsidRPr="00463949">
        <w:rPr>
          <w:rFonts w:ascii="Times New Roman" w:hAnsi="Times New Roman" w:cs="Times New Roman"/>
          <w:sz w:val="24"/>
          <w:szCs w:val="24"/>
        </w:rPr>
        <w:t xml:space="preserve">(en vergeleken met het huidige artikel 6:186 lid 1 BW) zijn de onderdelen d tot en met i. </w:t>
      </w:r>
      <w:r w:rsidRPr="00463949" w:rsidR="000257A8">
        <w:rPr>
          <w:rFonts w:ascii="Times New Roman" w:hAnsi="Times New Roman" w:cs="Times New Roman"/>
          <w:sz w:val="24"/>
          <w:szCs w:val="24"/>
        </w:rPr>
        <w:t xml:space="preserve">Deze </w:t>
      </w:r>
      <w:r w:rsidRPr="00463949" w:rsidR="004E3FB8">
        <w:rPr>
          <w:rFonts w:ascii="Times New Roman" w:hAnsi="Times New Roman" w:cs="Times New Roman"/>
          <w:sz w:val="24"/>
          <w:szCs w:val="24"/>
        </w:rPr>
        <w:t xml:space="preserve">onderdelen </w:t>
      </w:r>
      <w:r w:rsidRPr="00463949" w:rsidR="000257A8">
        <w:rPr>
          <w:rFonts w:ascii="Times New Roman" w:hAnsi="Times New Roman" w:cs="Times New Roman"/>
          <w:sz w:val="24"/>
          <w:szCs w:val="24"/>
        </w:rPr>
        <w:t>worden hierna toegelicht.</w:t>
      </w:r>
    </w:p>
    <w:p w:rsidRPr="00463949" w:rsidR="00C906F8" w:rsidP="00D045E0" w:rsidRDefault="00C906F8" w14:paraId="1F0F4C58" w14:textId="77777777">
      <w:pPr>
        <w:spacing w:after="0" w:line="276" w:lineRule="auto"/>
        <w:rPr>
          <w:rFonts w:ascii="Times New Roman" w:hAnsi="Times New Roman" w:cs="Times New Roman"/>
          <w:sz w:val="24"/>
          <w:szCs w:val="24"/>
        </w:rPr>
      </w:pPr>
    </w:p>
    <w:p w:rsidRPr="00463949" w:rsidR="008D479B" w:rsidP="00D045E0" w:rsidRDefault="00D66449" w14:paraId="7CF0DAC8" w14:textId="5DDA523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w:t>
      </w:r>
      <w:r w:rsidRPr="00463949">
        <w:rPr>
          <w:rFonts w:ascii="Times New Roman" w:hAnsi="Times New Roman" w:cs="Times New Roman"/>
          <w:i/>
          <w:iCs/>
          <w:sz w:val="24"/>
          <w:szCs w:val="24"/>
        </w:rPr>
        <w:t xml:space="preserve"> onderdelen </w:t>
      </w:r>
      <w:r w:rsidRPr="00463949" w:rsidR="008D479B">
        <w:rPr>
          <w:rFonts w:ascii="Times New Roman" w:hAnsi="Times New Roman" w:cs="Times New Roman"/>
          <w:i/>
          <w:iCs/>
          <w:sz w:val="24"/>
          <w:szCs w:val="24"/>
        </w:rPr>
        <w:t xml:space="preserve">d </w:t>
      </w:r>
      <w:r w:rsidRPr="00463949" w:rsidR="006859A6">
        <w:rPr>
          <w:rFonts w:ascii="Times New Roman" w:hAnsi="Times New Roman" w:cs="Times New Roman"/>
          <w:i/>
          <w:iCs/>
          <w:sz w:val="24"/>
          <w:szCs w:val="24"/>
        </w:rPr>
        <w:t>en</w:t>
      </w:r>
      <w:r w:rsidRPr="00463949" w:rsidR="008D479B">
        <w:rPr>
          <w:rFonts w:ascii="Times New Roman" w:hAnsi="Times New Roman" w:cs="Times New Roman"/>
          <w:i/>
          <w:iCs/>
          <w:sz w:val="24"/>
          <w:szCs w:val="24"/>
        </w:rPr>
        <w:t xml:space="preserve"> e</w:t>
      </w:r>
      <w:r w:rsidRPr="00463949" w:rsidR="008D479B">
        <w:rPr>
          <w:rFonts w:ascii="Times New Roman" w:hAnsi="Times New Roman" w:cs="Times New Roman"/>
          <w:sz w:val="24"/>
          <w:szCs w:val="24"/>
        </w:rPr>
        <w:t xml:space="preserve"> corresponderen met artikel 7 lid 2, onder</w:t>
      </w:r>
      <w:r w:rsidRPr="00463949" w:rsidR="00665E2E">
        <w:rPr>
          <w:rFonts w:ascii="Times New Roman" w:hAnsi="Times New Roman" w:cs="Times New Roman"/>
          <w:sz w:val="24"/>
          <w:szCs w:val="24"/>
        </w:rPr>
        <w:t>delen</w:t>
      </w:r>
      <w:r w:rsidRPr="00463949" w:rsidR="008D479B">
        <w:rPr>
          <w:rFonts w:ascii="Times New Roman" w:hAnsi="Times New Roman" w:cs="Times New Roman"/>
          <w:sz w:val="24"/>
          <w:szCs w:val="24"/>
        </w:rPr>
        <w:t xml:space="preserve"> d respectievelijk c, Richtlijn</w:t>
      </w:r>
      <w:r w:rsidRPr="00463949" w:rsidR="00841ED1">
        <w:rPr>
          <w:rFonts w:ascii="Times New Roman" w:hAnsi="Times New Roman" w:cs="Times New Roman"/>
          <w:sz w:val="24"/>
          <w:szCs w:val="24"/>
        </w:rPr>
        <w:t>.</w:t>
      </w:r>
      <w:r w:rsidRPr="00463949" w:rsidR="00665E2E">
        <w:rPr>
          <w:rFonts w:ascii="Times New Roman" w:hAnsi="Times New Roman" w:cs="Times New Roman"/>
          <w:sz w:val="24"/>
          <w:szCs w:val="24"/>
        </w:rPr>
        <w:t xml:space="preserve"> </w:t>
      </w:r>
      <w:r w:rsidRPr="00463949" w:rsidR="00B01EC0">
        <w:rPr>
          <w:rFonts w:ascii="Times New Roman" w:hAnsi="Times New Roman" w:cs="Times New Roman"/>
          <w:sz w:val="24"/>
          <w:szCs w:val="24"/>
        </w:rPr>
        <w:t>O</w:t>
      </w:r>
      <w:r w:rsidRPr="00463949" w:rsidR="00665E2E">
        <w:rPr>
          <w:rFonts w:ascii="Times New Roman" w:hAnsi="Times New Roman" w:cs="Times New Roman"/>
          <w:sz w:val="24"/>
          <w:szCs w:val="24"/>
        </w:rPr>
        <w:t xml:space="preserve">nderdeel d </w:t>
      </w:r>
      <w:r w:rsidRPr="00463949" w:rsidR="00EF0702">
        <w:rPr>
          <w:rFonts w:ascii="Times New Roman" w:hAnsi="Times New Roman" w:cs="Times New Roman"/>
          <w:sz w:val="24"/>
          <w:szCs w:val="24"/>
        </w:rPr>
        <w:t xml:space="preserve">betreft het redelijkerwijs te verwachten effect </w:t>
      </w:r>
      <w:r w:rsidRPr="00463949" w:rsidR="00714173">
        <w:rPr>
          <w:rFonts w:ascii="Times New Roman" w:hAnsi="Times New Roman" w:cs="Times New Roman"/>
          <w:sz w:val="24"/>
          <w:szCs w:val="24"/>
        </w:rPr>
        <w:t xml:space="preserve">op </w:t>
      </w:r>
      <w:r w:rsidRPr="00463949" w:rsidR="00EF0702">
        <w:rPr>
          <w:rFonts w:ascii="Times New Roman" w:hAnsi="Times New Roman" w:cs="Times New Roman"/>
          <w:sz w:val="24"/>
          <w:szCs w:val="24"/>
        </w:rPr>
        <w:t xml:space="preserve">het product </w:t>
      </w:r>
      <w:r w:rsidRPr="00463949" w:rsidR="00714173">
        <w:rPr>
          <w:rFonts w:ascii="Times New Roman" w:hAnsi="Times New Roman" w:cs="Times New Roman"/>
          <w:sz w:val="24"/>
          <w:szCs w:val="24"/>
        </w:rPr>
        <w:t xml:space="preserve">van </w:t>
      </w:r>
      <w:r w:rsidRPr="00463949" w:rsidR="00EF0702">
        <w:rPr>
          <w:rFonts w:ascii="Times New Roman" w:hAnsi="Times New Roman" w:cs="Times New Roman"/>
          <w:sz w:val="24"/>
          <w:szCs w:val="24"/>
        </w:rPr>
        <w:t>andere producten waarvan kan worden verwacht dat zij samen met het product worden gebruikt</w:t>
      </w:r>
      <w:r w:rsidRPr="00463949" w:rsidR="00714173">
        <w:rPr>
          <w:rFonts w:ascii="Times New Roman" w:hAnsi="Times New Roman" w:cs="Times New Roman"/>
          <w:sz w:val="24"/>
          <w:szCs w:val="24"/>
        </w:rPr>
        <w:t>,</w:t>
      </w:r>
      <w:r w:rsidRPr="00463949" w:rsidR="00EF0702">
        <w:rPr>
          <w:rFonts w:ascii="Times New Roman" w:hAnsi="Times New Roman" w:cs="Times New Roman"/>
          <w:sz w:val="24"/>
          <w:szCs w:val="24"/>
        </w:rPr>
        <w:t xml:space="preserve"> onder meer door middel van onderlinge verbindingen. Dit onderdeel </w:t>
      </w:r>
      <w:r w:rsidRPr="00463949" w:rsidR="00665E2E">
        <w:rPr>
          <w:rFonts w:ascii="Times New Roman" w:hAnsi="Times New Roman" w:cs="Times New Roman"/>
          <w:sz w:val="24"/>
          <w:szCs w:val="24"/>
        </w:rPr>
        <w:t>is toegevoegd o</w:t>
      </w:r>
      <w:r w:rsidRPr="00463949">
        <w:rPr>
          <w:rFonts w:ascii="Times New Roman" w:hAnsi="Times New Roman" w:cs="Times New Roman"/>
          <w:sz w:val="24"/>
          <w:szCs w:val="24"/>
        </w:rPr>
        <w:t>m rekening te houden met het feit dat producten steeds vaker onderling verbonden zijn</w:t>
      </w:r>
      <w:r w:rsidRPr="00463949" w:rsidR="00665E2E">
        <w:rPr>
          <w:rFonts w:ascii="Times New Roman" w:hAnsi="Times New Roman" w:cs="Times New Roman"/>
          <w:sz w:val="24"/>
          <w:szCs w:val="24"/>
        </w:rPr>
        <w:t xml:space="preserve">. </w:t>
      </w:r>
      <w:r w:rsidRPr="00463949" w:rsidR="00EF0702">
        <w:rPr>
          <w:rFonts w:ascii="Times New Roman" w:hAnsi="Times New Roman" w:cs="Times New Roman"/>
          <w:sz w:val="24"/>
          <w:szCs w:val="24"/>
        </w:rPr>
        <w:t>B</w:t>
      </w:r>
      <w:r w:rsidRPr="00463949">
        <w:rPr>
          <w:rFonts w:ascii="Times New Roman" w:hAnsi="Times New Roman" w:cs="Times New Roman"/>
          <w:sz w:val="24"/>
          <w:szCs w:val="24"/>
        </w:rPr>
        <w:t xml:space="preserve">ij de beoordeling van de veiligheid van een product </w:t>
      </w:r>
      <w:r w:rsidRPr="00463949" w:rsidR="00EF0702">
        <w:rPr>
          <w:rFonts w:ascii="Times New Roman" w:hAnsi="Times New Roman" w:cs="Times New Roman"/>
          <w:sz w:val="24"/>
          <w:szCs w:val="24"/>
        </w:rPr>
        <w:t xml:space="preserve">moet </w:t>
      </w:r>
      <w:r w:rsidRPr="00463949">
        <w:rPr>
          <w:rFonts w:ascii="Times New Roman" w:hAnsi="Times New Roman" w:cs="Times New Roman"/>
          <w:sz w:val="24"/>
          <w:szCs w:val="24"/>
        </w:rPr>
        <w:t xml:space="preserve">rekening worden gehouden met de redelijkerwijs te verwachten effecten van andere producten op het product in kwestie, bijvoorbeeld binnen een </w:t>
      </w:r>
      <w:r w:rsidRPr="00463949">
        <w:rPr>
          <w:rFonts w:ascii="Times New Roman" w:hAnsi="Times New Roman" w:cs="Times New Roman"/>
          <w:i/>
          <w:iCs/>
          <w:sz w:val="24"/>
          <w:szCs w:val="24"/>
        </w:rPr>
        <w:t>smart-home</w:t>
      </w:r>
      <w:r w:rsidRPr="00463949">
        <w:rPr>
          <w:rFonts w:ascii="Times New Roman" w:hAnsi="Times New Roman" w:cs="Times New Roman"/>
          <w:sz w:val="24"/>
          <w:szCs w:val="24"/>
        </w:rPr>
        <w:t xml:space="preserve"> systeem</w:t>
      </w:r>
      <w:r w:rsidRPr="00463949" w:rsidR="00B01EC0">
        <w:rPr>
          <w:rFonts w:ascii="Times New Roman" w:hAnsi="Times New Roman" w:cs="Times New Roman"/>
          <w:sz w:val="24"/>
          <w:szCs w:val="24"/>
        </w:rPr>
        <w:t xml:space="preserve"> (zie overweging 32)</w:t>
      </w:r>
      <w:r w:rsidRPr="00463949">
        <w:rPr>
          <w:rFonts w:ascii="Times New Roman" w:hAnsi="Times New Roman" w:cs="Times New Roman"/>
          <w:sz w:val="24"/>
          <w:szCs w:val="24"/>
        </w:rPr>
        <w:t xml:space="preserve">. </w:t>
      </w:r>
      <w:r w:rsidRPr="00463949" w:rsidR="00B01EC0">
        <w:rPr>
          <w:rFonts w:ascii="Times New Roman" w:hAnsi="Times New Roman" w:cs="Times New Roman"/>
          <w:sz w:val="24"/>
          <w:szCs w:val="24"/>
        </w:rPr>
        <w:t>O</w:t>
      </w:r>
      <w:r w:rsidRPr="00463949" w:rsidR="00665E2E">
        <w:rPr>
          <w:rFonts w:ascii="Times New Roman" w:hAnsi="Times New Roman" w:cs="Times New Roman"/>
          <w:sz w:val="24"/>
          <w:szCs w:val="24"/>
        </w:rPr>
        <w:t xml:space="preserve">nderdeel </w:t>
      </w:r>
      <w:r w:rsidRPr="00463949" w:rsidR="00EF0702">
        <w:rPr>
          <w:rFonts w:ascii="Times New Roman" w:hAnsi="Times New Roman" w:cs="Times New Roman"/>
          <w:sz w:val="24"/>
          <w:szCs w:val="24"/>
        </w:rPr>
        <w:t xml:space="preserve">e behelst het </w:t>
      </w:r>
      <w:r w:rsidRPr="00463949" w:rsidR="00EF0702">
        <w:rPr>
          <w:rFonts w:ascii="Times New Roman" w:hAnsi="Times New Roman" w:cs="Times New Roman"/>
          <w:sz w:val="24"/>
          <w:szCs w:val="24"/>
        </w:rPr>
        <w:lastRenderedPageBreak/>
        <w:t>effect op het product van het vermogen om te blijven leren of nieuwe functies te verwerven nadat het in de handel is gebracht of in gebruik is gesteld. Dit onderdeel</w:t>
      </w:r>
      <w:r w:rsidRPr="00463949" w:rsidR="00665E2E">
        <w:rPr>
          <w:rFonts w:ascii="Times New Roman" w:hAnsi="Times New Roman" w:cs="Times New Roman"/>
          <w:sz w:val="24"/>
          <w:szCs w:val="24"/>
        </w:rPr>
        <w:t xml:space="preserve"> is toegevoegd om recht te doen aan de </w:t>
      </w:r>
      <w:r w:rsidRPr="00463949">
        <w:rPr>
          <w:rFonts w:ascii="Times New Roman" w:hAnsi="Times New Roman" w:cs="Times New Roman"/>
          <w:sz w:val="24"/>
          <w:szCs w:val="24"/>
        </w:rPr>
        <w:t>legitieme verwachting dat de software en de onderliggende algoritmen van een product zodanig zijn ontworpen dat gevaarlijk productgedrag wordt voorkomen</w:t>
      </w:r>
      <w:r w:rsidRPr="00463949" w:rsidR="00665E2E">
        <w:rPr>
          <w:rFonts w:ascii="Times New Roman" w:hAnsi="Times New Roman" w:cs="Times New Roman"/>
          <w:sz w:val="24"/>
          <w:szCs w:val="24"/>
        </w:rPr>
        <w:t xml:space="preserve">. </w:t>
      </w:r>
      <w:r w:rsidRPr="00463949" w:rsidR="0061145D">
        <w:rPr>
          <w:rFonts w:ascii="Times New Roman" w:hAnsi="Times New Roman" w:cs="Times New Roman"/>
          <w:sz w:val="24"/>
          <w:szCs w:val="24"/>
        </w:rPr>
        <w:t>De gedachte hierachter is dat een fabrikant die een product ontwerpt dat onverwacht gedrag kan ontwikkelen</w:t>
      </w:r>
      <w:r w:rsidRPr="00463949" w:rsidR="00B10BC3">
        <w:rPr>
          <w:rFonts w:ascii="Times New Roman" w:hAnsi="Times New Roman" w:cs="Times New Roman"/>
          <w:sz w:val="24"/>
          <w:szCs w:val="24"/>
        </w:rPr>
        <w:t>, aansprakelijk blijft voor gedrag dat schade veroorzaakt</w:t>
      </w:r>
      <w:r w:rsidRPr="00463949" w:rsidR="00B01EC0">
        <w:rPr>
          <w:rFonts w:ascii="Times New Roman" w:hAnsi="Times New Roman" w:cs="Times New Roman"/>
          <w:sz w:val="24"/>
          <w:szCs w:val="24"/>
        </w:rPr>
        <w:t xml:space="preserve"> (zie overweging 32)</w:t>
      </w:r>
      <w:r w:rsidRPr="00463949" w:rsidR="00665E2E">
        <w:rPr>
          <w:rFonts w:ascii="Times New Roman" w:hAnsi="Times New Roman" w:cs="Times New Roman"/>
          <w:sz w:val="24"/>
          <w:szCs w:val="24"/>
        </w:rPr>
        <w:t>.</w:t>
      </w:r>
    </w:p>
    <w:p w:rsidRPr="00463949" w:rsidR="00841ED1" w:rsidP="00D045E0" w:rsidRDefault="00841ED1" w14:paraId="3B66C525" w14:textId="77777777">
      <w:pPr>
        <w:spacing w:after="0" w:line="276" w:lineRule="auto"/>
        <w:rPr>
          <w:rFonts w:ascii="Times New Roman" w:hAnsi="Times New Roman" w:cs="Times New Roman"/>
          <w:sz w:val="24"/>
          <w:szCs w:val="24"/>
        </w:rPr>
      </w:pPr>
    </w:p>
    <w:p w:rsidRPr="00463949" w:rsidR="00841ED1" w:rsidP="00D045E0" w:rsidRDefault="00D26B23" w14:paraId="2753B772" w14:textId="6E664353">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 </w:t>
      </w:r>
      <w:r w:rsidRPr="00463949">
        <w:rPr>
          <w:rFonts w:ascii="Times New Roman" w:hAnsi="Times New Roman" w:cs="Times New Roman"/>
          <w:i/>
          <w:iCs/>
          <w:sz w:val="24"/>
          <w:szCs w:val="24"/>
        </w:rPr>
        <w:t>o</w:t>
      </w:r>
      <w:r w:rsidRPr="00463949" w:rsidR="00841ED1">
        <w:rPr>
          <w:rFonts w:ascii="Times New Roman" w:hAnsi="Times New Roman" w:cs="Times New Roman"/>
          <w:i/>
          <w:iCs/>
          <w:sz w:val="24"/>
          <w:szCs w:val="24"/>
        </w:rPr>
        <w:t>nderde</w:t>
      </w:r>
      <w:r w:rsidRPr="00463949">
        <w:rPr>
          <w:rFonts w:ascii="Times New Roman" w:hAnsi="Times New Roman" w:cs="Times New Roman"/>
          <w:i/>
          <w:iCs/>
          <w:sz w:val="24"/>
          <w:szCs w:val="24"/>
        </w:rPr>
        <w:t>len</w:t>
      </w:r>
      <w:r w:rsidRPr="00463949" w:rsidR="00841ED1">
        <w:rPr>
          <w:rFonts w:ascii="Times New Roman" w:hAnsi="Times New Roman" w:cs="Times New Roman"/>
          <w:i/>
          <w:iCs/>
          <w:sz w:val="24"/>
          <w:szCs w:val="24"/>
        </w:rPr>
        <w:t xml:space="preserve"> f</w:t>
      </w:r>
      <w:r w:rsidRPr="00463949">
        <w:rPr>
          <w:rFonts w:ascii="Times New Roman" w:hAnsi="Times New Roman" w:cs="Times New Roman"/>
          <w:i/>
          <w:iCs/>
          <w:sz w:val="24"/>
          <w:szCs w:val="24"/>
        </w:rPr>
        <w:t xml:space="preserve"> en g</w:t>
      </w:r>
      <w:r w:rsidRPr="00463949" w:rsidR="00841ED1">
        <w:rPr>
          <w:rFonts w:ascii="Times New Roman" w:hAnsi="Times New Roman" w:cs="Times New Roman"/>
          <w:i/>
          <w:iCs/>
          <w:sz w:val="24"/>
          <w:szCs w:val="24"/>
        </w:rPr>
        <w:t xml:space="preserve"> </w:t>
      </w:r>
      <w:r w:rsidRPr="00463949" w:rsidR="00841ED1">
        <w:rPr>
          <w:rFonts w:ascii="Times New Roman" w:hAnsi="Times New Roman" w:cs="Times New Roman"/>
          <w:sz w:val="24"/>
          <w:szCs w:val="24"/>
        </w:rPr>
        <w:t>implemente</w:t>
      </w:r>
      <w:r w:rsidRPr="00463949">
        <w:rPr>
          <w:rFonts w:ascii="Times New Roman" w:hAnsi="Times New Roman" w:cs="Times New Roman"/>
          <w:sz w:val="24"/>
          <w:szCs w:val="24"/>
        </w:rPr>
        <w:t>ren</w:t>
      </w:r>
      <w:r w:rsidRPr="00463949" w:rsidR="00841ED1">
        <w:rPr>
          <w:rFonts w:ascii="Times New Roman" w:hAnsi="Times New Roman" w:cs="Times New Roman"/>
          <w:sz w:val="24"/>
          <w:szCs w:val="24"/>
        </w:rPr>
        <w:t xml:space="preserve"> artikel 7 lid 2, onder</w:t>
      </w:r>
      <w:r w:rsidRPr="00463949" w:rsidR="00665E2E">
        <w:rPr>
          <w:rFonts w:ascii="Times New Roman" w:hAnsi="Times New Roman" w:cs="Times New Roman"/>
          <w:sz w:val="24"/>
          <w:szCs w:val="24"/>
        </w:rPr>
        <w:t>delen</w:t>
      </w:r>
      <w:r w:rsidRPr="00463949" w:rsidR="00841ED1">
        <w:rPr>
          <w:rFonts w:ascii="Times New Roman" w:hAnsi="Times New Roman" w:cs="Times New Roman"/>
          <w:sz w:val="24"/>
          <w:szCs w:val="24"/>
        </w:rPr>
        <w:t xml:space="preserve"> f</w:t>
      </w:r>
      <w:r w:rsidRPr="00463949">
        <w:rPr>
          <w:rFonts w:ascii="Times New Roman" w:hAnsi="Times New Roman" w:cs="Times New Roman"/>
          <w:sz w:val="24"/>
          <w:szCs w:val="24"/>
        </w:rPr>
        <w:t xml:space="preserve"> en g</w:t>
      </w:r>
      <w:r w:rsidRPr="00463949" w:rsidR="00841ED1">
        <w:rPr>
          <w:rFonts w:ascii="Times New Roman" w:hAnsi="Times New Roman" w:cs="Times New Roman"/>
          <w:sz w:val="24"/>
          <w:szCs w:val="24"/>
        </w:rPr>
        <w:t>, Richtlijn.</w:t>
      </w:r>
      <w:r w:rsidRPr="00463949">
        <w:rPr>
          <w:rFonts w:ascii="Times New Roman" w:hAnsi="Times New Roman" w:cs="Times New Roman"/>
          <w:sz w:val="24"/>
          <w:szCs w:val="24"/>
        </w:rPr>
        <w:t xml:space="preserve"> </w:t>
      </w:r>
      <w:r w:rsidRPr="00463949" w:rsidR="00A81D4C">
        <w:rPr>
          <w:rFonts w:ascii="Times New Roman" w:hAnsi="Times New Roman" w:cs="Times New Roman"/>
          <w:sz w:val="24"/>
          <w:szCs w:val="24"/>
        </w:rPr>
        <w:t>O</w:t>
      </w:r>
      <w:r w:rsidRPr="00463949" w:rsidR="00665E2E">
        <w:rPr>
          <w:rFonts w:ascii="Times New Roman" w:hAnsi="Times New Roman" w:cs="Times New Roman"/>
          <w:sz w:val="24"/>
          <w:szCs w:val="24"/>
        </w:rPr>
        <w:t xml:space="preserve">nderdeel f </w:t>
      </w:r>
      <w:r w:rsidRPr="00463949" w:rsidR="009D6004">
        <w:rPr>
          <w:rFonts w:ascii="Times New Roman" w:hAnsi="Times New Roman" w:cs="Times New Roman"/>
          <w:sz w:val="24"/>
          <w:szCs w:val="24"/>
        </w:rPr>
        <w:t xml:space="preserve">ziet op de </w:t>
      </w:r>
      <w:r w:rsidRPr="00463949">
        <w:rPr>
          <w:rFonts w:ascii="Times New Roman" w:hAnsi="Times New Roman" w:cs="Times New Roman"/>
          <w:sz w:val="24"/>
          <w:szCs w:val="24"/>
        </w:rPr>
        <w:t xml:space="preserve">relevante </w:t>
      </w:r>
      <w:r w:rsidRPr="00463949" w:rsidR="009D6004">
        <w:rPr>
          <w:rFonts w:ascii="Times New Roman" w:hAnsi="Times New Roman" w:cs="Times New Roman"/>
          <w:sz w:val="24"/>
          <w:szCs w:val="24"/>
        </w:rPr>
        <w:t xml:space="preserve">productveiligheidsvoorschriften, waaronder veiligheidsgerelateerde cyberbeveiligingsvoorschriften. Dit onderdeel maakt duidelijk dat voor het bepalen van het veiligheidsniveau dat een persoon mag verwachten, rekening dient te worden gehouden met </w:t>
      </w:r>
      <w:r w:rsidRPr="00463949">
        <w:rPr>
          <w:rFonts w:ascii="Times New Roman" w:hAnsi="Times New Roman" w:cs="Times New Roman"/>
          <w:sz w:val="24"/>
          <w:szCs w:val="24"/>
        </w:rPr>
        <w:t>wetgeving inzake productveiligheid en markttoezicht</w:t>
      </w:r>
      <w:r w:rsidRPr="00463949" w:rsidR="00A81D4C">
        <w:rPr>
          <w:rFonts w:ascii="Times New Roman" w:hAnsi="Times New Roman" w:cs="Times New Roman"/>
          <w:sz w:val="24"/>
          <w:szCs w:val="24"/>
        </w:rPr>
        <w:t xml:space="preserve"> (zie overweging 34)</w:t>
      </w:r>
      <w:r w:rsidRPr="00463949">
        <w:rPr>
          <w:rFonts w:ascii="Times New Roman" w:hAnsi="Times New Roman" w:cs="Times New Roman"/>
          <w:sz w:val="24"/>
          <w:szCs w:val="24"/>
        </w:rPr>
        <w:t xml:space="preserve">. </w:t>
      </w:r>
      <w:r w:rsidRPr="00463949" w:rsidR="00C9055C">
        <w:rPr>
          <w:rFonts w:ascii="Times New Roman" w:hAnsi="Times New Roman" w:cs="Times New Roman"/>
          <w:sz w:val="24"/>
          <w:szCs w:val="24"/>
        </w:rPr>
        <w:t>O</w:t>
      </w:r>
      <w:r w:rsidRPr="00463949" w:rsidR="004E3FB8">
        <w:rPr>
          <w:rFonts w:ascii="Times New Roman" w:hAnsi="Times New Roman" w:cs="Times New Roman"/>
          <w:sz w:val="24"/>
          <w:szCs w:val="24"/>
        </w:rPr>
        <w:t xml:space="preserve">nderdeel g </w:t>
      </w:r>
      <w:r w:rsidRPr="00463949" w:rsidR="00C9055C">
        <w:rPr>
          <w:rFonts w:ascii="Times New Roman" w:hAnsi="Times New Roman" w:cs="Times New Roman"/>
          <w:sz w:val="24"/>
          <w:szCs w:val="24"/>
        </w:rPr>
        <w:t xml:space="preserve">betreft vervolgens alle </w:t>
      </w:r>
      <w:r w:rsidRPr="00463949">
        <w:rPr>
          <w:rFonts w:ascii="Times New Roman" w:hAnsi="Times New Roman" w:cs="Times New Roman"/>
          <w:sz w:val="24"/>
          <w:szCs w:val="24"/>
        </w:rPr>
        <w:t xml:space="preserve">terugroepingen van het product of andere relevante interventies met betrekking tot de productveiligheid door een bevoegde autoriteit of door een marktdeelnemer zelf. </w:t>
      </w:r>
      <w:r w:rsidRPr="00463949" w:rsidR="00C9055C">
        <w:rPr>
          <w:rFonts w:ascii="Times New Roman" w:hAnsi="Times New Roman" w:cs="Times New Roman"/>
          <w:sz w:val="24"/>
          <w:szCs w:val="24"/>
        </w:rPr>
        <w:t xml:space="preserve">Uit de preambule volgt dat hoewel deze interventies relevant zijn voor de beoordeling van de gebrekkigheid, deze </w:t>
      </w:r>
      <w:r w:rsidRPr="00463949">
        <w:rPr>
          <w:rFonts w:ascii="Times New Roman" w:hAnsi="Times New Roman" w:cs="Times New Roman"/>
          <w:sz w:val="24"/>
          <w:szCs w:val="24"/>
        </w:rPr>
        <w:t>op zichzelf</w:t>
      </w:r>
      <w:r w:rsidRPr="00463949" w:rsidR="00A81D4C">
        <w:rPr>
          <w:rFonts w:ascii="Times New Roman" w:hAnsi="Times New Roman" w:cs="Times New Roman"/>
          <w:sz w:val="24"/>
          <w:szCs w:val="24"/>
        </w:rPr>
        <w:t xml:space="preserve"> beschouwd</w:t>
      </w:r>
      <w:r w:rsidRPr="00463949">
        <w:rPr>
          <w:rFonts w:ascii="Times New Roman" w:hAnsi="Times New Roman" w:cs="Times New Roman"/>
          <w:sz w:val="24"/>
          <w:szCs w:val="24"/>
        </w:rPr>
        <w:t xml:space="preserve"> geen vermoeden van gebrekkigheid </w:t>
      </w:r>
      <w:r w:rsidRPr="00463949" w:rsidR="00C9055C">
        <w:rPr>
          <w:rFonts w:ascii="Times New Roman" w:hAnsi="Times New Roman" w:cs="Times New Roman"/>
          <w:sz w:val="24"/>
          <w:szCs w:val="24"/>
        </w:rPr>
        <w:t xml:space="preserve">mogen </w:t>
      </w:r>
      <w:r w:rsidRPr="00463949">
        <w:rPr>
          <w:rFonts w:ascii="Times New Roman" w:hAnsi="Times New Roman" w:cs="Times New Roman"/>
          <w:sz w:val="24"/>
          <w:szCs w:val="24"/>
        </w:rPr>
        <w:t>doen ontstaan</w:t>
      </w:r>
      <w:r w:rsidRPr="00463949" w:rsidR="00A81D4C">
        <w:rPr>
          <w:rFonts w:ascii="Times New Roman" w:hAnsi="Times New Roman" w:cs="Times New Roman"/>
          <w:sz w:val="24"/>
          <w:szCs w:val="24"/>
        </w:rPr>
        <w:t xml:space="preserve"> (zie </w:t>
      </w:r>
      <w:r w:rsidRPr="00463949" w:rsidR="000257A8">
        <w:rPr>
          <w:rFonts w:ascii="Times New Roman" w:hAnsi="Times New Roman" w:cs="Times New Roman"/>
          <w:sz w:val="24"/>
          <w:szCs w:val="24"/>
        </w:rPr>
        <w:t>overweging 34</w:t>
      </w:r>
      <w:r w:rsidRPr="00463949" w:rsidR="00A81D4C">
        <w:rPr>
          <w:rFonts w:ascii="Times New Roman" w:hAnsi="Times New Roman" w:cs="Times New Roman"/>
          <w:sz w:val="24"/>
          <w:szCs w:val="24"/>
        </w:rPr>
        <w:t>)</w:t>
      </w:r>
      <w:r w:rsidRPr="00463949" w:rsidR="000257A8">
        <w:rPr>
          <w:rFonts w:ascii="Times New Roman" w:hAnsi="Times New Roman" w:cs="Times New Roman"/>
          <w:sz w:val="24"/>
          <w:szCs w:val="24"/>
        </w:rPr>
        <w:t>.</w:t>
      </w:r>
    </w:p>
    <w:p w:rsidRPr="00463949" w:rsidR="00686338" w:rsidP="00D045E0" w:rsidRDefault="00686338" w14:paraId="7823C818" w14:textId="77777777">
      <w:pPr>
        <w:spacing w:after="0" w:line="276" w:lineRule="auto"/>
        <w:rPr>
          <w:rFonts w:ascii="Times New Roman" w:hAnsi="Times New Roman" w:cs="Times New Roman"/>
          <w:sz w:val="24"/>
          <w:szCs w:val="24"/>
        </w:rPr>
      </w:pPr>
    </w:p>
    <w:p w:rsidRPr="00463949" w:rsidR="00686338" w:rsidP="00D045E0" w:rsidRDefault="00686338" w14:paraId="2EF6EC2F" w14:textId="52F07EA8">
      <w:pPr>
        <w:spacing w:after="0" w:line="276" w:lineRule="auto"/>
        <w:rPr>
          <w:rFonts w:ascii="Times New Roman" w:hAnsi="Times New Roman" w:cs="Times New Roman"/>
          <w:sz w:val="24"/>
          <w:szCs w:val="24"/>
        </w:rPr>
      </w:pPr>
      <w:r w:rsidRPr="00463949">
        <w:rPr>
          <w:rFonts w:ascii="Times New Roman" w:hAnsi="Times New Roman" w:cs="Times New Roman"/>
          <w:i/>
          <w:iCs/>
          <w:sz w:val="24"/>
          <w:szCs w:val="24"/>
        </w:rPr>
        <w:t>Onderdeel h</w:t>
      </w:r>
      <w:r w:rsidRPr="00463949">
        <w:rPr>
          <w:rFonts w:ascii="Times New Roman" w:hAnsi="Times New Roman" w:cs="Times New Roman"/>
          <w:sz w:val="24"/>
          <w:szCs w:val="24"/>
        </w:rPr>
        <w:t xml:space="preserve"> implementeert artikel 7 lid 2, onder</w:t>
      </w:r>
      <w:r w:rsidRPr="00463949" w:rsidR="000257A8">
        <w:rPr>
          <w:rFonts w:ascii="Times New Roman" w:hAnsi="Times New Roman" w:cs="Times New Roman"/>
          <w:sz w:val="24"/>
          <w:szCs w:val="24"/>
        </w:rPr>
        <w:t>deel</w:t>
      </w:r>
      <w:r w:rsidRPr="00463949">
        <w:rPr>
          <w:rFonts w:ascii="Times New Roman" w:hAnsi="Times New Roman" w:cs="Times New Roman"/>
          <w:sz w:val="24"/>
          <w:szCs w:val="24"/>
        </w:rPr>
        <w:t xml:space="preserve"> h, Richtlijn</w:t>
      </w:r>
      <w:r w:rsidRPr="00463949" w:rsidR="000257A8">
        <w:rPr>
          <w:rFonts w:ascii="Times New Roman" w:hAnsi="Times New Roman" w:cs="Times New Roman"/>
          <w:sz w:val="24"/>
          <w:szCs w:val="24"/>
        </w:rPr>
        <w:t>.</w:t>
      </w:r>
      <w:r w:rsidRPr="00463949">
        <w:rPr>
          <w:rFonts w:ascii="Times New Roman" w:hAnsi="Times New Roman" w:cs="Times New Roman"/>
          <w:sz w:val="24"/>
          <w:szCs w:val="24"/>
        </w:rPr>
        <w:t xml:space="preserve"> </w:t>
      </w:r>
      <w:r w:rsidRPr="00463949" w:rsidR="002538B7">
        <w:rPr>
          <w:rFonts w:ascii="Times New Roman" w:hAnsi="Times New Roman" w:cs="Times New Roman"/>
          <w:sz w:val="24"/>
          <w:szCs w:val="24"/>
        </w:rPr>
        <w:t>Hieruit volgt dat b</w:t>
      </w:r>
      <w:r w:rsidRPr="00463949">
        <w:rPr>
          <w:rFonts w:ascii="Times New Roman" w:hAnsi="Times New Roman" w:cs="Times New Roman"/>
          <w:sz w:val="24"/>
          <w:szCs w:val="24"/>
        </w:rPr>
        <w:t xml:space="preserve">ij de gebrekkigheidsbeoordeling rekening moet worden gehouden met </w:t>
      </w:r>
      <w:r w:rsidRPr="00463949" w:rsidR="00C467E9">
        <w:rPr>
          <w:rFonts w:ascii="Times New Roman" w:hAnsi="Times New Roman" w:cs="Times New Roman"/>
          <w:sz w:val="24"/>
          <w:szCs w:val="24"/>
        </w:rPr>
        <w:t>“</w:t>
      </w:r>
      <w:r w:rsidRPr="00463949">
        <w:rPr>
          <w:rFonts w:ascii="Times New Roman" w:hAnsi="Times New Roman" w:cs="Times New Roman"/>
          <w:sz w:val="24"/>
          <w:szCs w:val="24"/>
        </w:rPr>
        <w:t>de specifieke behoeften van de gebruikersgroep voor wie het product is bestemd</w:t>
      </w:r>
      <w:r w:rsidRPr="00463949" w:rsidR="00C467E9">
        <w:rPr>
          <w:rFonts w:ascii="Times New Roman" w:hAnsi="Times New Roman" w:cs="Times New Roman"/>
          <w:sz w:val="24"/>
          <w:szCs w:val="24"/>
        </w:rPr>
        <w:t>”</w:t>
      </w:r>
      <w:r w:rsidRPr="00463949">
        <w:rPr>
          <w:rFonts w:ascii="Times New Roman" w:hAnsi="Times New Roman" w:cs="Times New Roman"/>
          <w:sz w:val="24"/>
          <w:szCs w:val="24"/>
        </w:rPr>
        <w:t>.</w:t>
      </w:r>
      <w:r w:rsidRPr="00463949" w:rsidR="00A81D4C">
        <w:rPr>
          <w:rFonts w:ascii="Times New Roman" w:hAnsi="Times New Roman" w:cs="Times New Roman"/>
          <w:sz w:val="24"/>
          <w:szCs w:val="24"/>
        </w:rPr>
        <w:t xml:space="preserve"> Denk bijvoorbeeld aan speelgoed voor </w:t>
      </w:r>
      <w:r w:rsidRPr="00463949" w:rsidR="002538B7">
        <w:rPr>
          <w:rFonts w:ascii="Times New Roman" w:hAnsi="Times New Roman" w:cs="Times New Roman"/>
          <w:sz w:val="24"/>
          <w:szCs w:val="24"/>
        </w:rPr>
        <w:t xml:space="preserve">kleine </w:t>
      </w:r>
      <w:r w:rsidRPr="00463949" w:rsidR="00A81D4C">
        <w:rPr>
          <w:rFonts w:ascii="Times New Roman" w:hAnsi="Times New Roman" w:cs="Times New Roman"/>
          <w:sz w:val="24"/>
          <w:szCs w:val="24"/>
        </w:rPr>
        <w:t>kinderen</w:t>
      </w:r>
      <w:r w:rsidRPr="00463949" w:rsidR="002538B7">
        <w:rPr>
          <w:rFonts w:ascii="Times New Roman" w:hAnsi="Times New Roman" w:cs="Times New Roman"/>
          <w:sz w:val="24"/>
          <w:szCs w:val="24"/>
        </w:rPr>
        <w:t>, die misschien geneigd zijn kleine onderdelen van een product in hun mond te stoppen</w:t>
      </w:r>
      <w:r w:rsidRPr="00463949" w:rsidR="00A81D4C">
        <w:rPr>
          <w:rFonts w:ascii="Times New Roman" w:hAnsi="Times New Roman" w:cs="Times New Roman"/>
          <w:sz w:val="24"/>
          <w:szCs w:val="24"/>
        </w:rPr>
        <w:t>.</w:t>
      </w:r>
      <w:r w:rsidRPr="00463949">
        <w:rPr>
          <w:rFonts w:ascii="Times New Roman" w:hAnsi="Times New Roman" w:cs="Times New Roman"/>
          <w:sz w:val="24"/>
          <w:szCs w:val="24"/>
        </w:rPr>
        <w:t xml:space="preserve"> </w:t>
      </w:r>
      <w:r w:rsidRPr="00463949">
        <w:rPr>
          <w:rFonts w:ascii="Times New Roman" w:hAnsi="Times New Roman" w:cs="Times New Roman"/>
          <w:i/>
          <w:iCs/>
          <w:sz w:val="24"/>
          <w:szCs w:val="24"/>
        </w:rPr>
        <w:t>Onderdeel i</w:t>
      </w:r>
      <w:r w:rsidRPr="00463949">
        <w:rPr>
          <w:rFonts w:ascii="Times New Roman" w:hAnsi="Times New Roman" w:cs="Times New Roman"/>
          <w:sz w:val="24"/>
          <w:szCs w:val="24"/>
        </w:rPr>
        <w:t xml:space="preserve"> correspondeert met artikel 7 lid 2, onder</w:t>
      </w:r>
      <w:r w:rsidRPr="00463949" w:rsidR="000257A8">
        <w:rPr>
          <w:rFonts w:ascii="Times New Roman" w:hAnsi="Times New Roman" w:cs="Times New Roman"/>
          <w:sz w:val="24"/>
          <w:szCs w:val="24"/>
        </w:rPr>
        <w:t>deel</w:t>
      </w:r>
      <w:r w:rsidRPr="00463949">
        <w:rPr>
          <w:rFonts w:ascii="Times New Roman" w:hAnsi="Times New Roman" w:cs="Times New Roman"/>
          <w:sz w:val="24"/>
          <w:szCs w:val="24"/>
        </w:rPr>
        <w:t xml:space="preserve"> i, Richtlijn</w:t>
      </w:r>
      <w:r w:rsidRPr="00463949" w:rsidR="003056F0">
        <w:rPr>
          <w:rFonts w:ascii="Times New Roman" w:hAnsi="Times New Roman" w:cs="Times New Roman"/>
          <w:sz w:val="24"/>
          <w:szCs w:val="24"/>
        </w:rPr>
        <w:t>.</w:t>
      </w:r>
      <w:r w:rsidRPr="00463949">
        <w:rPr>
          <w:rFonts w:ascii="Times New Roman" w:hAnsi="Times New Roman" w:cs="Times New Roman"/>
          <w:sz w:val="24"/>
          <w:szCs w:val="24"/>
        </w:rPr>
        <w:t xml:space="preserve"> </w:t>
      </w:r>
      <w:r w:rsidRPr="00463949" w:rsidR="000257A8">
        <w:rPr>
          <w:rFonts w:ascii="Times New Roman" w:hAnsi="Times New Roman" w:cs="Times New Roman"/>
          <w:sz w:val="24"/>
          <w:szCs w:val="24"/>
        </w:rPr>
        <w:t xml:space="preserve">Dit bepaalt </w:t>
      </w:r>
      <w:r w:rsidRPr="00463949">
        <w:rPr>
          <w:rFonts w:ascii="Times New Roman" w:hAnsi="Times New Roman" w:cs="Times New Roman"/>
          <w:sz w:val="24"/>
          <w:szCs w:val="24"/>
        </w:rPr>
        <w:t xml:space="preserve">dat </w:t>
      </w:r>
      <w:r w:rsidRPr="00463949" w:rsidR="003056F0">
        <w:rPr>
          <w:rFonts w:ascii="Times New Roman" w:hAnsi="Times New Roman" w:cs="Times New Roman"/>
          <w:sz w:val="24"/>
          <w:szCs w:val="24"/>
        </w:rPr>
        <w:t>bij de gebrekkigheidsbeoordeling van producten die juist bedoeld zijn om schade te voorkomen</w:t>
      </w:r>
      <w:r w:rsidRPr="00463949" w:rsidR="000257A8">
        <w:rPr>
          <w:rFonts w:ascii="Times New Roman" w:hAnsi="Times New Roman" w:cs="Times New Roman"/>
          <w:sz w:val="24"/>
          <w:szCs w:val="24"/>
        </w:rPr>
        <w:t>,</w:t>
      </w:r>
      <w:r w:rsidRPr="00463949" w:rsidR="003056F0">
        <w:rPr>
          <w:rFonts w:ascii="Times New Roman" w:hAnsi="Times New Roman" w:cs="Times New Roman"/>
          <w:sz w:val="24"/>
          <w:szCs w:val="24"/>
        </w:rPr>
        <w:t xml:space="preserve"> rekening moet worden gehouden met elk falen van dat product om aan dat doel te voldoen. Hierbij valt bijvoorbeeld te denken aan</w:t>
      </w:r>
      <w:r w:rsidRPr="00463949" w:rsidR="006525E0">
        <w:rPr>
          <w:rFonts w:ascii="Times New Roman" w:hAnsi="Times New Roman" w:cs="Times New Roman"/>
          <w:sz w:val="24"/>
          <w:szCs w:val="24"/>
        </w:rPr>
        <w:t xml:space="preserve"> </w:t>
      </w:r>
      <w:r w:rsidRPr="00463949" w:rsidR="004E3FB8">
        <w:rPr>
          <w:rFonts w:ascii="Times New Roman" w:hAnsi="Times New Roman" w:cs="Times New Roman"/>
          <w:sz w:val="24"/>
          <w:szCs w:val="24"/>
        </w:rPr>
        <w:t xml:space="preserve">een </w:t>
      </w:r>
      <w:r w:rsidRPr="00463949" w:rsidR="006525E0">
        <w:rPr>
          <w:rFonts w:ascii="Times New Roman" w:hAnsi="Times New Roman" w:cs="Times New Roman"/>
          <w:sz w:val="24"/>
          <w:szCs w:val="24"/>
        </w:rPr>
        <w:t>waarschuwings</w:t>
      </w:r>
      <w:r w:rsidRPr="00463949" w:rsidR="00BF38C9">
        <w:rPr>
          <w:rFonts w:ascii="Times New Roman" w:hAnsi="Times New Roman" w:cs="Times New Roman"/>
          <w:sz w:val="24"/>
          <w:szCs w:val="24"/>
        </w:rPr>
        <w:t>systemen</w:t>
      </w:r>
      <w:r w:rsidRPr="00463949" w:rsidR="006525E0">
        <w:rPr>
          <w:rFonts w:ascii="Times New Roman" w:hAnsi="Times New Roman" w:cs="Times New Roman"/>
          <w:sz w:val="24"/>
          <w:szCs w:val="24"/>
        </w:rPr>
        <w:t>, zoals</w:t>
      </w:r>
      <w:r w:rsidRPr="00463949" w:rsidR="003056F0">
        <w:rPr>
          <w:rFonts w:ascii="Times New Roman" w:hAnsi="Times New Roman" w:cs="Times New Roman"/>
          <w:sz w:val="24"/>
          <w:szCs w:val="24"/>
        </w:rPr>
        <w:t xml:space="preserve"> een rookmelder</w:t>
      </w:r>
      <w:r w:rsidRPr="00463949" w:rsidR="00A81D4C">
        <w:rPr>
          <w:rFonts w:ascii="Times New Roman" w:hAnsi="Times New Roman" w:cs="Times New Roman"/>
          <w:sz w:val="24"/>
          <w:szCs w:val="24"/>
        </w:rPr>
        <w:t xml:space="preserve"> (zie overweging 33)</w:t>
      </w:r>
      <w:r w:rsidRPr="00463949" w:rsidR="003056F0">
        <w:rPr>
          <w:rFonts w:ascii="Times New Roman" w:hAnsi="Times New Roman" w:cs="Times New Roman"/>
          <w:sz w:val="24"/>
          <w:szCs w:val="24"/>
        </w:rPr>
        <w:t xml:space="preserve">. </w:t>
      </w:r>
    </w:p>
    <w:p w:rsidRPr="00463949" w:rsidR="00D66449" w:rsidP="00D045E0" w:rsidRDefault="00D66449" w14:paraId="16AC5A9F" w14:textId="77777777">
      <w:pPr>
        <w:spacing w:after="0" w:line="276" w:lineRule="auto"/>
        <w:rPr>
          <w:rFonts w:ascii="Times New Roman" w:hAnsi="Times New Roman" w:cs="Times New Roman"/>
          <w:sz w:val="24"/>
          <w:szCs w:val="24"/>
        </w:rPr>
      </w:pPr>
    </w:p>
    <w:p w:rsidRPr="00463949" w:rsidR="00D500A2" w:rsidP="00D045E0" w:rsidRDefault="00D500A2" w14:paraId="1F996269" w14:textId="0B269DD5">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2</w:t>
      </w:r>
      <w:r w:rsidRPr="00463949" w:rsidR="00942AAD">
        <w:rPr>
          <w:rFonts w:ascii="Times New Roman" w:hAnsi="Times New Roman" w:cs="Times New Roman"/>
          <w:i/>
          <w:iCs/>
          <w:sz w:val="24"/>
          <w:szCs w:val="24"/>
        </w:rPr>
        <w:t xml:space="preserve">; </w:t>
      </w:r>
      <w:r w:rsidRPr="00463949" w:rsidR="00714173">
        <w:rPr>
          <w:rFonts w:ascii="Times New Roman" w:hAnsi="Times New Roman" w:cs="Times New Roman"/>
          <w:i/>
          <w:iCs/>
          <w:sz w:val="24"/>
          <w:szCs w:val="24"/>
        </w:rPr>
        <w:t>bestaan van een beter product maakt een product nog niet gebrekkig</w:t>
      </w:r>
      <w:r w:rsidRPr="00463949">
        <w:rPr>
          <w:rFonts w:ascii="Times New Roman" w:hAnsi="Times New Roman" w:cs="Times New Roman"/>
          <w:i/>
          <w:iCs/>
          <w:sz w:val="24"/>
          <w:szCs w:val="24"/>
        </w:rPr>
        <w:t xml:space="preserve"> </w:t>
      </w:r>
    </w:p>
    <w:p w:rsidRPr="00463949" w:rsidR="00D500A2" w:rsidP="00D045E0" w:rsidRDefault="00D500A2" w14:paraId="7A59D13F" w14:textId="77777777">
      <w:pPr>
        <w:spacing w:after="0" w:line="276" w:lineRule="auto"/>
        <w:rPr>
          <w:rFonts w:ascii="Times New Roman" w:hAnsi="Times New Roman" w:cs="Times New Roman"/>
          <w:sz w:val="24"/>
          <w:szCs w:val="24"/>
        </w:rPr>
      </w:pPr>
    </w:p>
    <w:p w:rsidRPr="00463949" w:rsidR="00F307FB" w:rsidP="00D045E0" w:rsidRDefault="001C3185" w14:paraId="52C67E6B" w14:textId="3A449724">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Lid 2 implementeert artikel 7 lid 3 Richtlijn</w:t>
      </w:r>
      <w:r w:rsidRPr="00463949" w:rsidR="00F307FB">
        <w:rPr>
          <w:rFonts w:ascii="Times New Roman" w:hAnsi="Times New Roman" w:cs="Times New Roman"/>
          <w:sz w:val="24"/>
          <w:szCs w:val="24"/>
        </w:rPr>
        <w:t xml:space="preserve">. </w:t>
      </w:r>
      <w:r w:rsidRPr="00463949" w:rsidR="00D500A2">
        <w:rPr>
          <w:rFonts w:ascii="Times New Roman" w:hAnsi="Times New Roman" w:cs="Times New Roman"/>
          <w:sz w:val="24"/>
          <w:szCs w:val="24"/>
        </w:rPr>
        <w:t xml:space="preserve">Lid 2 </w:t>
      </w:r>
      <w:r w:rsidRPr="00463949" w:rsidR="00F307FB">
        <w:rPr>
          <w:rFonts w:ascii="Times New Roman" w:hAnsi="Times New Roman" w:cs="Times New Roman"/>
          <w:sz w:val="24"/>
          <w:szCs w:val="24"/>
        </w:rPr>
        <w:t>bepaalt</w:t>
      </w:r>
      <w:r w:rsidRPr="00463949" w:rsidR="00D500A2">
        <w:rPr>
          <w:rFonts w:ascii="Times New Roman" w:hAnsi="Times New Roman" w:cs="Times New Roman"/>
          <w:sz w:val="24"/>
          <w:szCs w:val="24"/>
        </w:rPr>
        <w:t>, kort gezegd,</w:t>
      </w:r>
      <w:r w:rsidRPr="00463949" w:rsidR="00F307FB">
        <w:rPr>
          <w:rFonts w:ascii="Times New Roman" w:hAnsi="Times New Roman" w:cs="Times New Roman"/>
          <w:sz w:val="24"/>
          <w:szCs w:val="24"/>
        </w:rPr>
        <w:t xml:space="preserve"> dat </w:t>
      </w:r>
      <w:r w:rsidRPr="00463949" w:rsidR="00216F1A">
        <w:rPr>
          <w:rFonts w:ascii="Times New Roman" w:hAnsi="Times New Roman" w:cs="Times New Roman"/>
          <w:sz w:val="24"/>
          <w:szCs w:val="24"/>
        </w:rPr>
        <w:t xml:space="preserve">het </w:t>
      </w:r>
      <w:r w:rsidRPr="00463949" w:rsidR="003056F0">
        <w:rPr>
          <w:rFonts w:ascii="Times New Roman" w:hAnsi="Times New Roman" w:cs="Times New Roman"/>
          <w:sz w:val="24"/>
          <w:szCs w:val="24"/>
        </w:rPr>
        <w:t xml:space="preserve">enkele </w:t>
      </w:r>
      <w:r w:rsidRPr="00463949" w:rsidR="00216F1A">
        <w:rPr>
          <w:rFonts w:ascii="Times New Roman" w:hAnsi="Times New Roman" w:cs="Times New Roman"/>
          <w:sz w:val="24"/>
          <w:szCs w:val="24"/>
        </w:rPr>
        <w:t>bestaan of het</w:t>
      </w:r>
      <w:r w:rsidRPr="00463949" w:rsidR="003056F0">
        <w:rPr>
          <w:rFonts w:ascii="Times New Roman" w:hAnsi="Times New Roman" w:cs="Times New Roman"/>
          <w:sz w:val="24"/>
          <w:szCs w:val="24"/>
        </w:rPr>
        <w:t xml:space="preserve"> enkele</w:t>
      </w:r>
      <w:r w:rsidRPr="00463949" w:rsidR="00216F1A">
        <w:rPr>
          <w:rFonts w:ascii="Times New Roman" w:hAnsi="Times New Roman" w:cs="Times New Roman"/>
          <w:sz w:val="24"/>
          <w:szCs w:val="24"/>
        </w:rPr>
        <w:t xml:space="preserve"> later in de handel brengen </w:t>
      </w:r>
      <w:r w:rsidRPr="00463949" w:rsidR="0098265D">
        <w:rPr>
          <w:rFonts w:ascii="Times New Roman" w:hAnsi="Times New Roman" w:cs="Times New Roman"/>
          <w:sz w:val="24"/>
          <w:szCs w:val="24"/>
        </w:rPr>
        <w:t xml:space="preserve">van een beter product </w:t>
      </w:r>
      <w:r w:rsidRPr="00463949" w:rsidR="003056F0">
        <w:rPr>
          <w:rFonts w:ascii="Times New Roman" w:hAnsi="Times New Roman" w:cs="Times New Roman"/>
          <w:sz w:val="24"/>
          <w:szCs w:val="24"/>
        </w:rPr>
        <w:t xml:space="preserve">onvoldoende </w:t>
      </w:r>
      <w:r w:rsidRPr="00463949" w:rsidR="00D500A2">
        <w:rPr>
          <w:rFonts w:ascii="Times New Roman" w:hAnsi="Times New Roman" w:cs="Times New Roman"/>
          <w:sz w:val="24"/>
          <w:szCs w:val="24"/>
        </w:rPr>
        <w:t xml:space="preserve">is </w:t>
      </w:r>
      <w:r w:rsidRPr="00463949" w:rsidR="003056F0">
        <w:rPr>
          <w:rFonts w:ascii="Times New Roman" w:hAnsi="Times New Roman" w:cs="Times New Roman"/>
          <w:sz w:val="24"/>
          <w:szCs w:val="24"/>
        </w:rPr>
        <w:t xml:space="preserve">voor de conclusie </w:t>
      </w:r>
      <w:r w:rsidRPr="00463949" w:rsidR="00216F1A">
        <w:rPr>
          <w:rFonts w:ascii="Times New Roman" w:hAnsi="Times New Roman" w:cs="Times New Roman"/>
          <w:sz w:val="24"/>
          <w:szCs w:val="24"/>
        </w:rPr>
        <w:t>dat een product gebrekkig is.</w:t>
      </w:r>
      <w:r w:rsidRPr="00463949" w:rsidR="00F307FB">
        <w:rPr>
          <w:rFonts w:ascii="Times New Roman" w:hAnsi="Times New Roman" w:cs="Times New Roman"/>
          <w:sz w:val="24"/>
          <w:szCs w:val="24"/>
        </w:rPr>
        <w:t xml:space="preserve"> </w:t>
      </w:r>
      <w:r w:rsidRPr="00463949" w:rsidR="00D500A2">
        <w:rPr>
          <w:rFonts w:ascii="Times New Roman" w:hAnsi="Times New Roman" w:cs="Times New Roman"/>
          <w:sz w:val="24"/>
          <w:szCs w:val="24"/>
        </w:rPr>
        <w:t xml:space="preserve">Dit geldt eveneens voor </w:t>
      </w:r>
      <w:r w:rsidRPr="00463949" w:rsidR="00216F1A">
        <w:rPr>
          <w:rFonts w:ascii="Times New Roman" w:hAnsi="Times New Roman" w:cs="Times New Roman"/>
          <w:sz w:val="24"/>
          <w:szCs w:val="24"/>
        </w:rPr>
        <w:t>de</w:t>
      </w:r>
      <w:r w:rsidRPr="00463949" w:rsidR="00D73ECB">
        <w:rPr>
          <w:rFonts w:ascii="Times New Roman" w:hAnsi="Times New Roman" w:cs="Times New Roman"/>
          <w:sz w:val="24"/>
          <w:szCs w:val="24"/>
        </w:rPr>
        <w:t xml:space="preserve"> enkele</w:t>
      </w:r>
      <w:r w:rsidRPr="00463949" w:rsidR="00216F1A">
        <w:rPr>
          <w:rFonts w:ascii="Times New Roman" w:hAnsi="Times New Roman" w:cs="Times New Roman"/>
          <w:sz w:val="24"/>
          <w:szCs w:val="24"/>
        </w:rPr>
        <w:t xml:space="preserve"> levering van updates of upgrades van een product</w:t>
      </w:r>
      <w:r w:rsidRPr="00463949" w:rsidR="00D500A2">
        <w:rPr>
          <w:rFonts w:ascii="Times New Roman" w:hAnsi="Times New Roman" w:cs="Times New Roman"/>
          <w:sz w:val="24"/>
          <w:szCs w:val="24"/>
        </w:rPr>
        <w:t>. Ook dit</w:t>
      </w:r>
      <w:r w:rsidRPr="00463949" w:rsidR="00216F1A">
        <w:rPr>
          <w:rFonts w:ascii="Times New Roman" w:hAnsi="Times New Roman" w:cs="Times New Roman"/>
          <w:sz w:val="24"/>
          <w:szCs w:val="24"/>
        </w:rPr>
        <w:t xml:space="preserve"> </w:t>
      </w:r>
      <w:r w:rsidRPr="00463949" w:rsidR="0098265D">
        <w:rPr>
          <w:rFonts w:ascii="Times New Roman" w:hAnsi="Times New Roman" w:cs="Times New Roman"/>
          <w:sz w:val="24"/>
          <w:szCs w:val="24"/>
        </w:rPr>
        <w:t>kan niet leiden tot de conclusie dat een eerdere versie van het product gebrekkig is</w:t>
      </w:r>
      <w:r w:rsidRPr="00463949" w:rsidR="006525E0">
        <w:rPr>
          <w:rFonts w:ascii="Times New Roman" w:hAnsi="Times New Roman" w:cs="Times New Roman"/>
          <w:sz w:val="24"/>
          <w:szCs w:val="24"/>
        </w:rPr>
        <w:t>.</w:t>
      </w:r>
      <w:r w:rsidRPr="00463949" w:rsidR="005909D7">
        <w:rPr>
          <w:rFonts w:ascii="Times New Roman" w:hAnsi="Times New Roman" w:cs="Times New Roman"/>
          <w:sz w:val="24"/>
          <w:szCs w:val="24"/>
        </w:rPr>
        <w:t xml:space="preserve"> </w:t>
      </w:r>
      <w:r w:rsidRPr="00463949" w:rsidR="00A81D4C">
        <w:rPr>
          <w:rFonts w:ascii="Times New Roman" w:hAnsi="Times New Roman" w:cs="Times New Roman"/>
          <w:sz w:val="24"/>
          <w:szCs w:val="24"/>
        </w:rPr>
        <w:t xml:space="preserve">Deze </w:t>
      </w:r>
      <w:r w:rsidRPr="00463949" w:rsidR="005909D7">
        <w:rPr>
          <w:rFonts w:ascii="Times New Roman" w:hAnsi="Times New Roman" w:cs="Times New Roman"/>
          <w:sz w:val="24"/>
          <w:szCs w:val="24"/>
        </w:rPr>
        <w:t>bepaling</w:t>
      </w:r>
      <w:r w:rsidRPr="00463949" w:rsidR="004E3FB8">
        <w:rPr>
          <w:rFonts w:ascii="Times New Roman" w:hAnsi="Times New Roman" w:cs="Times New Roman"/>
          <w:sz w:val="24"/>
          <w:szCs w:val="24"/>
        </w:rPr>
        <w:t xml:space="preserve"> </w:t>
      </w:r>
      <w:r w:rsidRPr="00463949" w:rsidR="005909D7">
        <w:rPr>
          <w:rFonts w:ascii="Times New Roman" w:hAnsi="Times New Roman" w:cs="Times New Roman"/>
          <w:sz w:val="24"/>
          <w:szCs w:val="24"/>
        </w:rPr>
        <w:t>is opgenomen in het belang van de keuzevrijheid van de consument en ter bevordering van innovatie, onderzoek en een vlotte toegang tot nieuwe technologieën</w:t>
      </w:r>
      <w:r w:rsidRPr="00463949" w:rsidR="00A81D4C">
        <w:rPr>
          <w:rFonts w:ascii="Times New Roman" w:hAnsi="Times New Roman" w:cs="Times New Roman"/>
          <w:sz w:val="24"/>
          <w:szCs w:val="24"/>
        </w:rPr>
        <w:t xml:space="preserve"> (zie overweging 35)</w:t>
      </w:r>
      <w:r w:rsidRPr="00463949" w:rsidR="005909D7">
        <w:rPr>
          <w:rFonts w:ascii="Times New Roman" w:hAnsi="Times New Roman" w:cs="Times New Roman"/>
          <w:sz w:val="24"/>
          <w:szCs w:val="24"/>
        </w:rPr>
        <w:t xml:space="preserve">. </w:t>
      </w:r>
      <w:r w:rsidRPr="00463949" w:rsidR="00B14E70">
        <w:rPr>
          <w:rFonts w:ascii="Times New Roman" w:hAnsi="Times New Roman" w:cs="Times New Roman"/>
          <w:sz w:val="24"/>
          <w:szCs w:val="24"/>
        </w:rPr>
        <w:t xml:space="preserve">Richtlijn 85/374 </w:t>
      </w:r>
      <w:r w:rsidRPr="00463949" w:rsidR="005909D7">
        <w:rPr>
          <w:rFonts w:ascii="Times New Roman" w:hAnsi="Times New Roman" w:cs="Times New Roman"/>
          <w:sz w:val="24"/>
          <w:szCs w:val="24"/>
        </w:rPr>
        <w:t>bevat een vergelijkbare bepaling</w:t>
      </w:r>
      <w:r w:rsidRPr="00463949" w:rsidR="008F783C">
        <w:rPr>
          <w:rFonts w:ascii="Times New Roman" w:hAnsi="Times New Roman" w:cs="Times New Roman"/>
          <w:sz w:val="24"/>
          <w:szCs w:val="24"/>
        </w:rPr>
        <w:t>, maar noem</w:t>
      </w:r>
      <w:r w:rsidRPr="00463949" w:rsidR="00BF38C9">
        <w:rPr>
          <w:rFonts w:ascii="Times New Roman" w:hAnsi="Times New Roman" w:cs="Times New Roman"/>
          <w:sz w:val="24"/>
          <w:szCs w:val="24"/>
        </w:rPr>
        <w:t>t</w:t>
      </w:r>
      <w:r w:rsidRPr="00463949" w:rsidR="008F783C">
        <w:rPr>
          <w:rFonts w:ascii="Times New Roman" w:hAnsi="Times New Roman" w:cs="Times New Roman"/>
          <w:sz w:val="24"/>
          <w:szCs w:val="24"/>
        </w:rPr>
        <w:t xml:space="preserve"> niet uitdrukkelijk de updates en upgrades</w:t>
      </w:r>
      <w:r w:rsidRPr="00463949" w:rsidR="00BF38C9">
        <w:rPr>
          <w:rFonts w:ascii="Times New Roman" w:hAnsi="Times New Roman" w:cs="Times New Roman"/>
          <w:sz w:val="24"/>
          <w:szCs w:val="24"/>
        </w:rPr>
        <w:t>.</w:t>
      </w:r>
      <w:r w:rsidRPr="00463949" w:rsidR="00BF38C9">
        <w:rPr>
          <w:rStyle w:val="Voetnootmarkering"/>
          <w:rFonts w:ascii="Times New Roman" w:hAnsi="Times New Roman" w:cs="Times New Roman"/>
          <w:sz w:val="24"/>
          <w:szCs w:val="24"/>
        </w:rPr>
        <w:footnoteReference w:id="77"/>
      </w:r>
    </w:p>
    <w:p w:rsidRPr="00463949" w:rsidR="00D73ECB" w:rsidP="00D045E0" w:rsidRDefault="00D73ECB" w14:paraId="4572D9A6" w14:textId="77777777">
      <w:pPr>
        <w:spacing w:after="0" w:line="276" w:lineRule="auto"/>
        <w:rPr>
          <w:rFonts w:ascii="Times New Roman" w:hAnsi="Times New Roman" w:cs="Times New Roman"/>
          <w:sz w:val="24"/>
          <w:szCs w:val="24"/>
        </w:rPr>
      </w:pPr>
    </w:p>
    <w:p w:rsidRPr="00463949" w:rsidR="00920405" w:rsidP="00D045E0" w:rsidRDefault="00920405" w14:paraId="0A31EDD8" w14:textId="53A6BD01">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F, wijziging artikel 187</w:t>
      </w:r>
      <w:r w:rsidRPr="00463949" w:rsidR="00D1462B">
        <w:rPr>
          <w:rFonts w:ascii="Times New Roman" w:hAnsi="Times New Roman" w:cs="Times New Roman"/>
          <w:i/>
          <w:iCs/>
          <w:sz w:val="24"/>
          <w:szCs w:val="24"/>
        </w:rPr>
        <w:t xml:space="preserve"> (aansprakelijke marktdeelnemers)</w:t>
      </w:r>
    </w:p>
    <w:p w:rsidRPr="00463949" w:rsidR="008A72EA" w:rsidP="00D045E0" w:rsidRDefault="008A72EA" w14:paraId="740BCCBA" w14:textId="77777777">
      <w:pPr>
        <w:spacing w:after="0" w:line="276" w:lineRule="auto"/>
        <w:rPr>
          <w:rFonts w:ascii="Times New Roman" w:hAnsi="Times New Roman" w:cs="Times New Roman"/>
          <w:sz w:val="24"/>
          <w:szCs w:val="24"/>
        </w:rPr>
      </w:pPr>
    </w:p>
    <w:p w:rsidRPr="00463949" w:rsidR="000439E1" w:rsidP="00D045E0" w:rsidRDefault="00D26461" w14:paraId="0F07A7C4" w14:textId="46D1EA33">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 xml:space="preserve">De voorgestelde wijziging van artikel 6:187 BW strekt tot </w:t>
      </w:r>
      <w:r w:rsidRPr="00463949" w:rsidR="000C1DBA">
        <w:rPr>
          <w:rFonts w:ascii="Times New Roman" w:hAnsi="Times New Roman" w:cs="Times New Roman"/>
          <w:sz w:val="24"/>
          <w:szCs w:val="24"/>
        </w:rPr>
        <w:t xml:space="preserve">implementatie van </w:t>
      </w:r>
      <w:r w:rsidRPr="00463949" w:rsidR="006859A6">
        <w:rPr>
          <w:rFonts w:ascii="Times New Roman" w:hAnsi="Times New Roman" w:cs="Times New Roman"/>
          <w:sz w:val="24"/>
          <w:szCs w:val="24"/>
        </w:rPr>
        <w:t>artikel 8, leden 1</w:t>
      </w:r>
      <w:r w:rsidRPr="00463949" w:rsidR="00B10BC3">
        <w:rPr>
          <w:rFonts w:ascii="Times New Roman" w:hAnsi="Times New Roman" w:cs="Times New Roman"/>
          <w:sz w:val="24"/>
          <w:szCs w:val="24"/>
        </w:rPr>
        <w:t>-</w:t>
      </w:r>
      <w:r w:rsidRPr="00463949" w:rsidR="006859A6">
        <w:rPr>
          <w:rFonts w:ascii="Times New Roman" w:hAnsi="Times New Roman" w:cs="Times New Roman"/>
          <w:sz w:val="24"/>
          <w:szCs w:val="24"/>
        </w:rPr>
        <w:t>4, Richtlijn</w:t>
      </w:r>
      <w:r w:rsidRPr="00463949" w:rsidR="006A5D20">
        <w:rPr>
          <w:rFonts w:ascii="Times New Roman" w:hAnsi="Times New Roman" w:cs="Times New Roman"/>
          <w:sz w:val="24"/>
          <w:szCs w:val="24"/>
        </w:rPr>
        <w:t xml:space="preserve">. </w:t>
      </w:r>
      <w:r w:rsidRPr="00463949">
        <w:rPr>
          <w:rFonts w:ascii="Times New Roman" w:hAnsi="Times New Roman" w:cs="Times New Roman"/>
          <w:sz w:val="24"/>
          <w:szCs w:val="24"/>
        </w:rPr>
        <w:t xml:space="preserve">Dit betreft </w:t>
      </w:r>
      <w:r w:rsidRPr="00463949" w:rsidR="006A5D20">
        <w:rPr>
          <w:rFonts w:ascii="Times New Roman" w:hAnsi="Times New Roman" w:cs="Times New Roman"/>
          <w:sz w:val="24"/>
          <w:szCs w:val="24"/>
        </w:rPr>
        <w:t>de marktdeelnemers die op grond van de Richtlijn aansprakelijk kunnen worden gesteld voor schade veroorzaakt door gebrekkige producten</w:t>
      </w:r>
      <w:r w:rsidRPr="00463949" w:rsidR="00A20205">
        <w:rPr>
          <w:rFonts w:ascii="Times New Roman" w:hAnsi="Times New Roman" w:cs="Times New Roman"/>
          <w:sz w:val="24"/>
          <w:szCs w:val="24"/>
        </w:rPr>
        <w:t xml:space="preserve"> (zie ook par. 2.4 </w:t>
      </w:r>
      <w:r w:rsidRPr="00463949" w:rsidR="00F85F1B">
        <w:rPr>
          <w:rFonts w:ascii="Times New Roman" w:hAnsi="Times New Roman" w:cs="Times New Roman"/>
          <w:sz w:val="24"/>
          <w:szCs w:val="24"/>
        </w:rPr>
        <w:t xml:space="preserve">b. </w:t>
      </w:r>
      <w:r w:rsidRPr="00463949" w:rsidR="00A20205">
        <w:rPr>
          <w:rFonts w:ascii="Times New Roman" w:hAnsi="Times New Roman" w:cs="Times New Roman"/>
          <w:sz w:val="24"/>
          <w:szCs w:val="24"/>
        </w:rPr>
        <w:t>van deze memorie van toelichting)</w:t>
      </w:r>
      <w:r w:rsidRPr="00463949" w:rsidR="006A5D20">
        <w:rPr>
          <w:rFonts w:ascii="Times New Roman" w:hAnsi="Times New Roman" w:cs="Times New Roman"/>
          <w:sz w:val="24"/>
          <w:szCs w:val="24"/>
        </w:rPr>
        <w:t>.</w:t>
      </w:r>
    </w:p>
    <w:p w:rsidRPr="00463949" w:rsidR="000439E1" w:rsidP="00D045E0" w:rsidRDefault="000439E1" w14:paraId="46039B64" w14:textId="77777777">
      <w:pPr>
        <w:spacing w:after="0" w:line="276" w:lineRule="auto"/>
        <w:rPr>
          <w:rFonts w:ascii="Times New Roman" w:hAnsi="Times New Roman" w:cs="Times New Roman"/>
          <w:sz w:val="24"/>
          <w:szCs w:val="24"/>
          <w:highlight w:val="yellow"/>
        </w:rPr>
      </w:pPr>
    </w:p>
    <w:p w:rsidRPr="00463949" w:rsidR="00D634AB" w:rsidP="00D045E0" w:rsidRDefault="00682127" w14:paraId="3967EAFF" w14:textId="36BA99F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L</w:t>
      </w:r>
      <w:r w:rsidRPr="00463949" w:rsidR="00EE3FC9">
        <w:rPr>
          <w:rFonts w:ascii="Times New Roman" w:hAnsi="Times New Roman" w:cs="Times New Roman"/>
          <w:sz w:val="24"/>
          <w:szCs w:val="24"/>
        </w:rPr>
        <w:t xml:space="preserve">id 1 </w:t>
      </w:r>
      <w:r w:rsidRPr="00463949">
        <w:rPr>
          <w:rFonts w:ascii="Times New Roman" w:hAnsi="Times New Roman" w:cs="Times New Roman"/>
          <w:sz w:val="24"/>
          <w:szCs w:val="24"/>
        </w:rPr>
        <w:t xml:space="preserve">implementeert </w:t>
      </w:r>
      <w:r w:rsidRPr="00463949" w:rsidR="00EE3FC9">
        <w:rPr>
          <w:rFonts w:ascii="Times New Roman" w:hAnsi="Times New Roman" w:cs="Times New Roman"/>
          <w:sz w:val="24"/>
          <w:szCs w:val="24"/>
        </w:rPr>
        <w:t>artikel 8 lid 1</w:t>
      </w:r>
      <w:r w:rsidRPr="00463949" w:rsidR="002A2346">
        <w:rPr>
          <w:rFonts w:ascii="Times New Roman" w:hAnsi="Times New Roman" w:cs="Times New Roman"/>
          <w:sz w:val="24"/>
          <w:szCs w:val="24"/>
        </w:rPr>
        <w:t>, onderdelen a tot en met c,</w:t>
      </w:r>
      <w:r w:rsidRPr="00463949">
        <w:rPr>
          <w:rFonts w:ascii="Times New Roman" w:hAnsi="Times New Roman" w:cs="Times New Roman"/>
          <w:sz w:val="24"/>
          <w:szCs w:val="24"/>
        </w:rPr>
        <w:t xml:space="preserve"> Richtlijn</w:t>
      </w:r>
      <w:r w:rsidRPr="00463949" w:rsidR="00393A08">
        <w:rPr>
          <w:rFonts w:ascii="Times New Roman" w:hAnsi="Times New Roman" w:cs="Times New Roman"/>
          <w:sz w:val="24"/>
          <w:szCs w:val="24"/>
        </w:rPr>
        <w:t xml:space="preserve">. Het bepaalt </w:t>
      </w:r>
      <w:r w:rsidRPr="00463949" w:rsidR="000D75AD">
        <w:rPr>
          <w:rFonts w:ascii="Times New Roman" w:hAnsi="Times New Roman" w:cs="Times New Roman"/>
          <w:sz w:val="24"/>
          <w:szCs w:val="24"/>
        </w:rPr>
        <w:t xml:space="preserve">in de eerste plaats </w:t>
      </w:r>
      <w:r w:rsidRPr="00463949" w:rsidR="00393A08">
        <w:rPr>
          <w:rFonts w:ascii="Times New Roman" w:hAnsi="Times New Roman" w:cs="Times New Roman"/>
          <w:sz w:val="24"/>
          <w:szCs w:val="24"/>
        </w:rPr>
        <w:t xml:space="preserve">dat </w:t>
      </w:r>
      <w:r w:rsidRPr="00463949" w:rsidR="00EE3FC9">
        <w:rPr>
          <w:rFonts w:ascii="Times New Roman" w:hAnsi="Times New Roman" w:cs="Times New Roman"/>
          <w:sz w:val="24"/>
          <w:szCs w:val="24"/>
        </w:rPr>
        <w:t xml:space="preserve">de fabrikant van een gebrekkig product </w:t>
      </w:r>
      <w:r w:rsidRPr="00463949" w:rsidR="00393A08">
        <w:rPr>
          <w:rFonts w:ascii="Times New Roman" w:hAnsi="Times New Roman" w:cs="Times New Roman"/>
          <w:sz w:val="24"/>
          <w:szCs w:val="24"/>
        </w:rPr>
        <w:t xml:space="preserve">aansprakelijk is op grond van artikel 6:185 </w:t>
      </w:r>
      <w:r w:rsidRPr="00463949">
        <w:rPr>
          <w:rFonts w:ascii="Times New Roman" w:hAnsi="Times New Roman" w:cs="Times New Roman"/>
          <w:sz w:val="24"/>
          <w:szCs w:val="24"/>
        </w:rPr>
        <w:t xml:space="preserve">lid 1 </w:t>
      </w:r>
      <w:r w:rsidRPr="00463949" w:rsidR="00393A08">
        <w:rPr>
          <w:rFonts w:ascii="Times New Roman" w:hAnsi="Times New Roman" w:cs="Times New Roman"/>
          <w:sz w:val="24"/>
          <w:szCs w:val="24"/>
        </w:rPr>
        <w:t xml:space="preserve">BW (onderdeel a). </w:t>
      </w:r>
      <w:r w:rsidRPr="00463949" w:rsidR="0053492A">
        <w:rPr>
          <w:rFonts w:ascii="Times New Roman" w:hAnsi="Times New Roman" w:cs="Times New Roman"/>
          <w:sz w:val="24"/>
          <w:szCs w:val="24"/>
        </w:rPr>
        <w:t>Onverminderd de aansprakelijk</w:t>
      </w:r>
      <w:r w:rsidRPr="00463949">
        <w:rPr>
          <w:rFonts w:ascii="Times New Roman" w:hAnsi="Times New Roman" w:cs="Times New Roman"/>
          <w:sz w:val="24"/>
          <w:szCs w:val="24"/>
        </w:rPr>
        <w:t>heid</w:t>
      </w:r>
      <w:r w:rsidRPr="00463949" w:rsidR="0053492A">
        <w:rPr>
          <w:rFonts w:ascii="Times New Roman" w:hAnsi="Times New Roman" w:cs="Times New Roman"/>
          <w:sz w:val="24"/>
          <w:szCs w:val="24"/>
        </w:rPr>
        <w:t xml:space="preserve"> van de fabrikant, </w:t>
      </w:r>
      <w:r w:rsidRPr="00463949">
        <w:rPr>
          <w:rFonts w:ascii="Times New Roman" w:hAnsi="Times New Roman" w:cs="Times New Roman"/>
          <w:sz w:val="24"/>
          <w:szCs w:val="24"/>
        </w:rPr>
        <w:t xml:space="preserve">is </w:t>
      </w:r>
      <w:r w:rsidRPr="00463949" w:rsidR="0053492A">
        <w:rPr>
          <w:rFonts w:ascii="Times New Roman" w:hAnsi="Times New Roman" w:cs="Times New Roman"/>
          <w:sz w:val="24"/>
          <w:szCs w:val="24"/>
        </w:rPr>
        <w:t xml:space="preserve">ook </w:t>
      </w:r>
      <w:r w:rsidRPr="00463949" w:rsidR="00EE3FC9">
        <w:rPr>
          <w:rFonts w:ascii="Times New Roman" w:hAnsi="Times New Roman" w:cs="Times New Roman"/>
          <w:sz w:val="24"/>
          <w:szCs w:val="24"/>
        </w:rPr>
        <w:t xml:space="preserve">de fabrikant van een gebrekkige component </w:t>
      </w:r>
      <w:r w:rsidRPr="00463949" w:rsidR="00393A08">
        <w:rPr>
          <w:rFonts w:ascii="Times New Roman" w:hAnsi="Times New Roman" w:cs="Times New Roman"/>
          <w:sz w:val="24"/>
          <w:szCs w:val="24"/>
        </w:rPr>
        <w:t>aansprakel</w:t>
      </w:r>
      <w:r w:rsidRPr="00463949" w:rsidR="000C1DBA">
        <w:rPr>
          <w:rFonts w:ascii="Times New Roman" w:hAnsi="Times New Roman" w:cs="Times New Roman"/>
          <w:sz w:val="24"/>
          <w:szCs w:val="24"/>
        </w:rPr>
        <w:t>ijk</w:t>
      </w:r>
      <w:r w:rsidRPr="00463949">
        <w:rPr>
          <w:rFonts w:ascii="Times New Roman" w:hAnsi="Times New Roman" w:cs="Times New Roman"/>
          <w:sz w:val="24"/>
          <w:szCs w:val="24"/>
        </w:rPr>
        <w:t>,</w:t>
      </w:r>
      <w:r w:rsidRPr="00463949" w:rsidR="000C1DBA">
        <w:rPr>
          <w:rFonts w:ascii="Times New Roman" w:hAnsi="Times New Roman" w:cs="Times New Roman"/>
          <w:sz w:val="24"/>
          <w:szCs w:val="24"/>
        </w:rPr>
        <w:t xml:space="preserve"> </w:t>
      </w:r>
      <w:r w:rsidRPr="00463949" w:rsidR="00D634AB">
        <w:rPr>
          <w:rFonts w:ascii="Times New Roman" w:hAnsi="Times New Roman" w:cs="Times New Roman"/>
          <w:sz w:val="24"/>
          <w:szCs w:val="24"/>
        </w:rPr>
        <w:t xml:space="preserve">indien </w:t>
      </w:r>
      <w:r w:rsidRPr="00463949" w:rsidR="00393A08">
        <w:rPr>
          <w:rFonts w:ascii="Times New Roman" w:hAnsi="Times New Roman" w:cs="Times New Roman"/>
          <w:sz w:val="24"/>
          <w:szCs w:val="24"/>
        </w:rPr>
        <w:t xml:space="preserve">die component is geïntegreerd in of onderling verbonden is met een product waarover de fabrikant zeggenschap heeft en ertoe </w:t>
      </w:r>
      <w:r w:rsidRPr="00463949" w:rsidR="00EE3FC9">
        <w:rPr>
          <w:rFonts w:ascii="Times New Roman" w:hAnsi="Times New Roman" w:cs="Times New Roman"/>
          <w:sz w:val="24"/>
          <w:szCs w:val="24"/>
        </w:rPr>
        <w:t>heeft geleid dat dat product gebrekkig werd</w:t>
      </w:r>
      <w:r w:rsidRPr="00463949" w:rsidR="00393A08">
        <w:rPr>
          <w:rFonts w:ascii="Times New Roman" w:hAnsi="Times New Roman" w:cs="Times New Roman"/>
          <w:sz w:val="24"/>
          <w:szCs w:val="24"/>
        </w:rPr>
        <w:t xml:space="preserve"> (onderdeel b)</w:t>
      </w:r>
      <w:r w:rsidRPr="00463949" w:rsidR="00EE3FC9">
        <w:rPr>
          <w:rFonts w:ascii="Times New Roman" w:hAnsi="Times New Roman" w:cs="Times New Roman"/>
          <w:sz w:val="24"/>
          <w:szCs w:val="24"/>
        </w:rPr>
        <w:t xml:space="preserve">. </w:t>
      </w:r>
      <w:r w:rsidRPr="00463949" w:rsidR="004514A3">
        <w:rPr>
          <w:rFonts w:ascii="Times New Roman" w:hAnsi="Times New Roman" w:cs="Times New Roman"/>
          <w:sz w:val="24"/>
          <w:szCs w:val="24"/>
        </w:rPr>
        <w:t xml:space="preserve">Daarbij is verduidelijkt dat de in onderdeel a bedoelde aansprakelijkheid van de fabrikant ook alle schade omvat die is veroorzaakt door een gebrekkige component die is geïntegreerd in of onderling verbonden is met een product waarover die fabrikant zeggenschap heeft. In het geval </w:t>
      </w:r>
      <w:r w:rsidRPr="00463949" w:rsidR="00315B9C">
        <w:rPr>
          <w:rFonts w:ascii="Times New Roman" w:hAnsi="Times New Roman" w:cs="Times New Roman"/>
          <w:sz w:val="24"/>
          <w:szCs w:val="24"/>
        </w:rPr>
        <w:t>de fabrikant van een product of component buiten de EU is gevestigd, kan de benadeelde</w:t>
      </w:r>
      <w:r w:rsidRPr="00463949">
        <w:rPr>
          <w:rFonts w:ascii="Times New Roman" w:hAnsi="Times New Roman" w:cs="Times New Roman"/>
          <w:sz w:val="24"/>
          <w:szCs w:val="24"/>
        </w:rPr>
        <w:t>, onverminderd de aansprakelijkheid van die fabrikant,</w:t>
      </w:r>
      <w:r w:rsidRPr="00463949" w:rsidR="00315B9C">
        <w:rPr>
          <w:rFonts w:ascii="Times New Roman" w:hAnsi="Times New Roman" w:cs="Times New Roman"/>
          <w:sz w:val="24"/>
          <w:szCs w:val="24"/>
        </w:rPr>
        <w:t xml:space="preserve"> de importeur</w:t>
      </w:r>
      <w:r w:rsidRPr="00463949" w:rsidR="004C29CF">
        <w:rPr>
          <w:rFonts w:ascii="Times New Roman" w:hAnsi="Times New Roman" w:cs="Times New Roman"/>
          <w:sz w:val="24"/>
          <w:szCs w:val="24"/>
        </w:rPr>
        <w:t xml:space="preserve"> (onderdeel c, subonderdeel 1°)</w:t>
      </w:r>
      <w:r w:rsidRPr="00463949" w:rsidR="00315B9C">
        <w:rPr>
          <w:rFonts w:ascii="Times New Roman" w:hAnsi="Times New Roman" w:cs="Times New Roman"/>
          <w:sz w:val="24"/>
          <w:szCs w:val="24"/>
        </w:rPr>
        <w:t xml:space="preserve"> of de gemachtigde van de fabrikant</w:t>
      </w:r>
      <w:r w:rsidRPr="00463949" w:rsidR="004C29CF">
        <w:rPr>
          <w:rFonts w:ascii="Times New Roman" w:hAnsi="Times New Roman" w:cs="Times New Roman"/>
          <w:sz w:val="24"/>
          <w:szCs w:val="24"/>
        </w:rPr>
        <w:t xml:space="preserve"> (onderdeel c, subonderdeel 2°)</w:t>
      </w:r>
      <w:r w:rsidRPr="00463949" w:rsidR="00315B9C">
        <w:rPr>
          <w:rFonts w:ascii="Times New Roman" w:hAnsi="Times New Roman" w:cs="Times New Roman"/>
          <w:sz w:val="24"/>
          <w:szCs w:val="24"/>
        </w:rPr>
        <w:t xml:space="preserve"> aansprakelijk stellen</w:t>
      </w:r>
      <w:r w:rsidRPr="00463949" w:rsidR="00D32D1B">
        <w:rPr>
          <w:rFonts w:ascii="Times New Roman" w:hAnsi="Times New Roman" w:cs="Times New Roman"/>
          <w:sz w:val="24"/>
          <w:szCs w:val="24"/>
        </w:rPr>
        <w:t xml:space="preserve"> voor de</w:t>
      </w:r>
      <w:r w:rsidRPr="00463949" w:rsidR="008263E3">
        <w:rPr>
          <w:rFonts w:ascii="Times New Roman" w:hAnsi="Times New Roman" w:cs="Times New Roman"/>
          <w:sz w:val="24"/>
          <w:szCs w:val="24"/>
        </w:rPr>
        <w:t xml:space="preserve"> door het gebrekkige product of de gebrekkige component veroorzaakte</w:t>
      </w:r>
      <w:r w:rsidRPr="00463949" w:rsidR="00D32D1B">
        <w:rPr>
          <w:rFonts w:ascii="Times New Roman" w:hAnsi="Times New Roman" w:cs="Times New Roman"/>
          <w:sz w:val="24"/>
          <w:szCs w:val="24"/>
        </w:rPr>
        <w:t xml:space="preserve"> schade</w:t>
      </w:r>
      <w:r w:rsidRPr="00463949" w:rsidR="00315B9C">
        <w:rPr>
          <w:rFonts w:ascii="Times New Roman" w:hAnsi="Times New Roman" w:cs="Times New Roman"/>
          <w:sz w:val="24"/>
          <w:szCs w:val="24"/>
        </w:rPr>
        <w:t xml:space="preserve">. </w:t>
      </w:r>
      <w:r w:rsidRPr="00463949" w:rsidR="008263E3">
        <w:rPr>
          <w:rFonts w:ascii="Times New Roman" w:hAnsi="Times New Roman" w:cs="Times New Roman"/>
          <w:sz w:val="24"/>
          <w:szCs w:val="24"/>
        </w:rPr>
        <w:t>W</w:t>
      </w:r>
      <w:r w:rsidRPr="00463949" w:rsidR="004C29CF">
        <w:rPr>
          <w:rFonts w:ascii="Times New Roman" w:hAnsi="Times New Roman" w:cs="Times New Roman"/>
          <w:sz w:val="24"/>
          <w:szCs w:val="24"/>
        </w:rPr>
        <w:t xml:space="preserve">anneer er geen importeur of gemachtigde in </w:t>
      </w:r>
      <w:r w:rsidRPr="00463949">
        <w:rPr>
          <w:rFonts w:ascii="Times New Roman" w:hAnsi="Times New Roman" w:cs="Times New Roman"/>
          <w:sz w:val="24"/>
          <w:szCs w:val="24"/>
        </w:rPr>
        <w:t xml:space="preserve">de EU </w:t>
      </w:r>
      <w:r w:rsidRPr="00463949" w:rsidR="004C29CF">
        <w:rPr>
          <w:rFonts w:ascii="Times New Roman" w:hAnsi="Times New Roman" w:cs="Times New Roman"/>
          <w:sz w:val="24"/>
          <w:szCs w:val="24"/>
        </w:rPr>
        <w:t xml:space="preserve">is gevestigd, kan </w:t>
      </w:r>
      <w:r w:rsidRPr="00463949">
        <w:rPr>
          <w:rFonts w:ascii="Times New Roman" w:hAnsi="Times New Roman" w:cs="Times New Roman"/>
          <w:sz w:val="24"/>
          <w:szCs w:val="24"/>
        </w:rPr>
        <w:t xml:space="preserve">hij </w:t>
      </w:r>
      <w:r w:rsidRPr="00463949" w:rsidR="004C29CF">
        <w:rPr>
          <w:rFonts w:ascii="Times New Roman" w:hAnsi="Times New Roman" w:cs="Times New Roman"/>
          <w:sz w:val="24"/>
          <w:szCs w:val="24"/>
        </w:rPr>
        <w:t xml:space="preserve">de fulfilmentdienstverlener aansprakelijk </w:t>
      </w:r>
      <w:r w:rsidRPr="00463949">
        <w:rPr>
          <w:rFonts w:ascii="Times New Roman" w:hAnsi="Times New Roman" w:cs="Times New Roman"/>
          <w:sz w:val="24"/>
          <w:szCs w:val="24"/>
        </w:rPr>
        <w:t>stellen</w:t>
      </w:r>
      <w:r w:rsidRPr="00463949" w:rsidR="002A2346">
        <w:rPr>
          <w:rFonts w:ascii="Times New Roman" w:hAnsi="Times New Roman" w:cs="Times New Roman"/>
          <w:sz w:val="24"/>
          <w:szCs w:val="24"/>
        </w:rPr>
        <w:t xml:space="preserve"> </w:t>
      </w:r>
      <w:r w:rsidRPr="00463949" w:rsidR="00315B9C">
        <w:rPr>
          <w:rFonts w:ascii="Times New Roman" w:hAnsi="Times New Roman" w:cs="Times New Roman"/>
          <w:sz w:val="24"/>
          <w:szCs w:val="24"/>
        </w:rPr>
        <w:t>(onderdeel c</w:t>
      </w:r>
      <w:r w:rsidRPr="00463949" w:rsidR="004C29CF">
        <w:rPr>
          <w:rFonts w:ascii="Times New Roman" w:hAnsi="Times New Roman" w:cs="Times New Roman"/>
          <w:sz w:val="24"/>
          <w:szCs w:val="24"/>
        </w:rPr>
        <w:t>; subonderdeel 3°</w:t>
      </w:r>
      <w:r w:rsidRPr="00463949" w:rsidR="00315B9C">
        <w:rPr>
          <w:rFonts w:ascii="Times New Roman" w:hAnsi="Times New Roman" w:cs="Times New Roman"/>
          <w:sz w:val="24"/>
          <w:szCs w:val="24"/>
        </w:rPr>
        <w:t>).</w:t>
      </w:r>
    </w:p>
    <w:p w:rsidRPr="00463949" w:rsidR="00393A08" w:rsidP="00D045E0" w:rsidRDefault="00393A08" w14:paraId="00BAA06E" w14:textId="77777777">
      <w:pPr>
        <w:spacing w:after="0" w:line="276" w:lineRule="auto"/>
        <w:rPr>
          <w:rFonts w:ascii="Times New Roman" w:hAnsi="Times New Roman" w:cs="Times New Roman"/>
          <w:sz w:val="24"/>
          <w:szCs w:val="24"/>
        </w:rPr>
      </w:pPr>
    </w:p>
    <w:p w:rsidRPr="00463949" w:rsidR="004D2B43" w:rsidP="004D2B43" w:rsidRDefault="00874E74" w14:paraId="6985D8AA" w14:textId="1DAA109D">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2 </w:t>
      </w:r>
      <w:r w:rsidRPr="00463949" w:rsidR="002A2346">
        <w:rPr>
          <w:rFonts w:ascii="Times New Roman" w:hAnsi="Times New Roman" w:cs="Times New Roman"/>
          <w:sz w:val="24"/>
          <w:szCs w:val="24"/>
        </w:rPr>
        <w:t xml:space="preserve">implementeert </w:t>
      </w:r>
      <w:r w:rsidRPr="00463949">
        <w:rPr>
          <w:rFonts w:ascii="Times New Roman" w:hAnsi="Times New Roman" w:cs="Times New Roman"/>
          <w:sz w:val="24"/>
          <w:szCs w:val="24"/>
        </w:rPr>
        <w:t>artikel 8 lid 2 Richtlijn</w:t>
      </w:r>
      <w:r w:rsidRPr="00463949" w:rsidR="006D35BD">
        <w:rPr>
          <w:rFonts w:ascii="Times New Roman" w:hAnsi="Times New Roman" w:cs="Times New Roman"/>
          <w:sz w:val="24"/>
          <w:szCs w:val="24"/>
        </w:rPr>
        <w:t>.</w:t>
      </w:r>
      <w:r w:rsidRPr="00463949">
        <w:rPr>
          <w:rFonts w:ascii="Times New Roman" w:hAnsi="Times New Roman" w:cs="Times New Roman"/>
          <w:sz w:val="24"/>
          <w:szCs w:val="24"/>
        </w:rPr>
        <w:t xml:space="preserve"> </w:t>
      </w:r>
      <w:r w:rsidRPr="00463949" w:rsidR="00750E3B">
        <w:rPr>
          <w:rFonts w:ascii="Times New Roman" w:hAnsi="Times New Roman" w:cs="Times New Roman"/>
          <w:sz w:val="24"/>
          <w:szCs w:val="24"/>
        </w:rPr>
        <w:t xml:space="preserve">Dit </w:t>
      </w:r>
      <w:r w:rsidRPr="00463949" w:rsidR="002A2346">
        <w:rPr>
          <w:rFonts w:ascii="Times New Roman" w:hAnsi="Times New Roman" w:cs="Times New Roman"/>
          <w:sz w:val="24"/>
          <w:szCs w:val="24"/>
        </w:rPr>
        <w:t xml:space="preserve">bepaalt </w:t>
      </w:r>
      <w:r w:rsidRPr="00463949" w:rsidR="004D2B43">
        <w:rPr>
          <w:rFonts w:ascii="Times New Roman" w:hAnsi="Times New Roman" w:cs="Times New Roman"/>
          <w:sz w:val="24"/>
          <w:szCs w:val="24"/>
        </w:rPr>
        <w:t xml:space="preserve">dat </w:t>
      </w:r>
      <w:r w:rsidRPr="00463949" w:rsidR="00A20205">
        <w:rPr>
          <w:rFonts w:ascii="Times New Roman" w:hAnsi="Times New Roman" w:cs="Times New Roman"/>
          <w:sz w:val="24"/>
          <w:szCs w:val="24"/>
        </w:rPr>
        <w:t xml:space="preserve">voor de toepassing van lid 1 als fabrikant van een product wordt beschouwd </w:t>
      </w:r>
      <w:r w:rsidRPr="00463949" w:rsidR="004D2B43">
        <w:rPr>
          <w:rFonts w:ascii="Times New Roman" w:hAnsi="Times New Roman" w:cs="Times New Roman"/>
          <w:sz w:val="24"/>
          <w:szCs w:val="24"/>
        </w:rPr>
        <w:t xml:space="preserve">een </w:t>
      </w:r>
      <w:r w:rsidRPr="00463949">
        <w:rPr>
          <w:rFonts w:ascii="Times New Roman" w:hAnsi="Times New Roman" w:cs="Times New Roman"/>
          <w:sz w:val="24"/>
          <w:szCs w:val="24"/>
        </w:rPr>
        <w:t xml:space="preserve">natuurlijke persoon of rechtspersoon die een product ingrijpend wijzigt zonder dat de fabrikant daarover zeggenschap heeft en het </w:t>
      </w:r>
      <w:r w:rsidRPr="00463949" w:rsidR="00A20205">
        <w:rPr>
          <w:rFonts w:ascii="Times New Roman" w:hAnsi="Times New Roman" w:cs="Times New Roman"/>
          <w:sz w:val="24"/>
          <w:szCs w:val="24"/>
        </w:rPr>
        <w:t xml:space="preserve">product </w:t>
      </w:r>
      <w:r w:rsidRPr="00463949">
        <w:rPr>
          <w:rFonts w:ascii="Times New Roman" w:hAnsi="Times New Roman" w:cs="Times New Roman"/>
          <w:sz w:val="24"/>
          <w:szCs w:val="24"/>
        </w:rPr>
        <w:t>vervolgens in de handel brengt of in gebruik stelt.</w:t>
      </w:r>
      <w:r w:rsidRPr="00463949" w:rsidR="0053492A">
        <w:rPr>
          <w:rFonts w:ascii="Times New Roman" w:hAnsi="Times New Roman" w:cs="Times New Roman"/>
          <w:sz w:val="24"/>
          <w:szCs w:val="24"/>
        </w:rPr>
        <w:t xml:space="preserve"> De benadeelde kan d</w:t>
      </w:r>
      <w:r w:rsidRPr="00463949" w:rsidR="008263E3">
        <w:rPr>
          <w:rFonts w:ascii="Times New Roman" w:hAnsi="Times New Roman" w:cs="Times New Roman"/>
          <w:sz w:val="24"/>
          <w:szCs w:val="24"/>
        </w:rPr>
        <w:t>ie</w:t>
      </w:r>
      <w:r w:rsidRPr="00463949" w:rsidR="0053492A">
        <w:rPr>
          <w:rFonts w:ascii="Times New Roman" w:hAnsi="Times New Roman" w:cs="Times New Roman"/>
          <w:sz w:val="24"/>
          <w:szCs w:val="24"/>
        </w:rPr>
        <w:t xml:space="preserve"> persoon dus als fabrikant van het (</w:t>
      </w:r>
      <w:r w:rsidRPr="00463949" w:rsidR="00A81D4C">
        <w:rPr>
          <w:rFonts w:ascii="Times New Roman" w:hAnsi="Times New Roman" w:cs="Times New Roman"/>
          <w:sz w:val="24"/>
          <w:szCs w:val="24"/>
        </w:rPr>
        <w:t xml:space="preserve">ingrijpend </w:t>
      </w:r>
      <w:r w:rsidRPr="00463949" w:rsidR="0053492A">
        <w:rPr>
          <w:rFonts w:ascii="Times New Roman" w:hAnsi="Times New Roman" w:cs="Times New Roman"/>
          <w:sz w:val="24"/>
          <w:szCs w:val="24"/>
        </w:rPr>
        <w:t>gewijzigde) product aansprakelijk stellen</w:t>
      </w:r>
      <w:r w:rsidRPr="00463949" w:rsidR="00A84DD2">
        <w:rPr>
          <w:rFonts w:ascii="Times New Roman" w:hAnsi="Times New Roman" w:cs="Times New Roman"/>
          <w:sz w:val="24"/>
          <w:szCs w:val="24"/>
        </w:rPr>
        <w:t xml:space="preserve"> voor de geleden schade</w:t>
      </w:r>
      <w:r w:rsidRPr="00463949" w:rsidR="00A81D4C">
        <w:rPr>
          <w:rFonts w:ascii="Times New Roman" w:hAnsi="Times New Roman" w:cs="Times New Roman"/>
          <w:sz w:val="24"/>
          <w:szCs w:val="24"/>
        </w:rPr>
        <w:t xml:space="preserve"> (zie ook overweging 39).</w:t>
      </w:r>
    </w:p>
    <w:p w:rsidRPr="00463949" w:rsidR="00B27E35" w:rsidP="00D045E0" w:rsidRDefault="00B27E35" w14:paraId="0465BAE7" w14:textId="77777777">
      <w:pPr>
        <w:spacing w:after="0" w:line="276" w:lineRule="auto"/>
        <w:rPr>
          <w:rFonts w:ascii="Times New Roman" w:hAnsi="Times New Roman" w:cs="Times New Roman"/>
          <w:sz w:val="24"/>
          <w:szCs w:val="24"/>
        </w:rPr>
      </w:pPr>
    </w:p>
    <w:p w:rsidRPr="00463949" w:rsidR="00874E74" w:rsidP="00D045E0" w:rsidRDefault="00874E74" w14:paraId="2AF55BD1" w14:textId="3D2DEF7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3 </w:t>
      </w:r>
      <w:r w:rsidRPr="00463949" w:rsidR="002A2346">
        <w:rPr>
          <w:rFonts w:ascii="Times New Roman" w:hAnsi="Times New Roman" w:cs="Times New Roman"/>
          <w:sz w:val="24"/>
          <w:szCs w:val="24"/>
        </w:rPr>
        <w:t xml:space="preserve">implementeert </w:t>
      </w:r>
      <w:r w:rsidRPr="00463949" w:rsidR="000439E1">
        <w:rPr>
          <w:rFonts w:ascii="Times New Roman" w:hAnsi="Times New Roman" w:cs="Times New Roman"/>
          <w:sz w:val="24"/>
          <w:szCs w:val="24"/>
        </w:rPr>
        <w:t>artikel 8 lid 3 Richtlijn.</w:t>
      </w:r>
      <w:r w:rsidRPr="00463949" w:rsidR="00054170">
        <w:rPr>
          <w:rFonts w:ascii="Times New Roman" w:hAnsi="Times New Roman" w:cs="Times New Roman"/>
          <w:sz w:val="24"/>
          <w:szCs w:val="24"/>
        </w:rPr>
        <w:t xml:space="preserve"> </w:t>
      </w:r>
      <w:r w:rsidRPr="00463949" w:rsidR="00A81D4C">
        <w:rPr>
          <w:rFonts w:ascii="Times New Roman" w:hAnsi="Times New Roman" w:cs="Times New Roman"/>
          <w:sz w:val="24"/>
          <w:szCs w:val="24"/>
        </w:rPr>
        <w:t xml:space="preserve">Dit </w:t>
      </w:r>
      <w:r w:rsidRPr="00463949" w:rsidR="002A2346">
        <w:rPr>
          <w:rFonts w:ascii="Times New Roman" w:hAnsi="Times New Roman" w:cs="Times New Roman"/>
          <w:sz w:val="24"/>
          <w:szCs w:val="24"/>
        </w:rPr>
        <w:t xml:space="preserve">regelt </w:t>
      </w:r>
      <w:r w:rsidRPr="00463949" w:rsidR="006D35BD">
        <w:rPr>
          <w:rFonts w:ascii="Times New Roman" w:hAnsi="Times New Roman" w:cs="Times New Roman"/>
          <w:sz w:val="24"/>
          <w:szCs w:val="24"/>
        </w:rPr>
        <w:t xml:space="preserve">dat indien de identiteit van een lid 1 </w:t>
      </w:r>
      <w:r w:rsidRPr="00463949" w:rsidR="00A84DD2">
        <w:rPr>
          <w:rFonts w:ascii="Times New Roman" w:hAnsi="Times New Roman" w:cs="Times New Roman"/>
          <w:sz w:val="24"/>
          <w:szCs w:val="24"/>
        </w:rPr>
        <w:t xml:space="preserve">bedoelde </w:t>
      </w:r>
      <w:r w:rsidRPr="00463949" w:rsidR="006D35BD">
        <w:rPr>
          <w:rFonts w:ascii="Times New Roman" w:hAnsi="Times New Roman" w:cs="Times New Roman"/>
          <w:sz w:val="24"/>
          <w:szCs w:val="24"/>
        </w:rPr>
        <w:t xml:space="preserve">en in de EU gevestigde marktdeelnemer </w:t>
      </w:r>
      <w:r w:rsidRPr="00463949" w:rsidR="00A84DD2">
        <w:rPr>
          <w:rFonts w:ascii="Times New Roman" w:hAnsi="Times New Roman" w:cs="Times New Roman"/>
          <w:sz w:val="24"/>
          <w:szCs w:val="24"/>
        </w:rPr>
        <w:t xml:space="preserve">(d.w.z. fabrikant, importeur, gemachtigde of fulfilmentdienstverlener) </w:t>
      </w:r>
      <w:r w:rsidRPr="00463949" w:rsidR="006D35BD">
        <w:rPr>
          <w:rFonts w:ascii="Times New Roman" w:hAnsi="Times New Roman" w:cs="Times New Roman"/>
          <w:sz w:val="24"/>
          <w:szCs w:val="24"/>
        </w:rPr>
        <w:t>niet kan worden vastgesteld, elke distributeur van het gebrekkige product aansprakelijk is. Dit is</w:t>
      </w:r>
      <w:r w:rsidRPr="00463949" w:rsidR="002A2346">
        <w:rPr>
          <w:rFonts w:ascii="Times New Roman" w:hAnsi="Times New Roman" w:cs="Times New Roman"/>
          <w:sz w:val="24"/>
          <w:szCs w:val="24"/>
        </w:rPr>
        <w:t xml:space="preserve"> alleen</w:t>
      </w:r>
      <w:r w:rsidRPr="00463949" w:rsidR="006D35BD">
        <w:rPr>
          <w:rFonts w:ascii="Times New Roman" w:hAnsi="Times New Roman" w:cs="Times New Roman"/>
          <w:sz w:val="24"/>
          <w:szCs w:val="24"/>
        </w:rPr>
        <w:t xml:space="preserve"> anders als de distributeur de benadeelde de identiteit meedeelt van een lid 1 bedoelde en in de EU gevestigde markdeelnemer of van zijn eigen distributeur. </w:t>
      </w:r>
      <w:r w:rsidRPr="00463949" w:rsidR="008D3A5C">
        <w:rPr>
          <w:rFonts w:ascii="Times New Roman" w:hAnsi="Times New Roman" w:cs="Times New Roman"/>
          <w:sz w:val="24"/>
          <w:szCs w:val="24"/>
        </w:rPr>
        <w:t>Deze mededeling dient plaats te vinden binnen een maand na de ontvangst van een daartoe strekkend verzoek van de benadeelde</w:t>
      </w:r>
      <w:r w:rsidRPr="00463949" w:rsidR="008141C3">
        <w:rPr>
          <w:rFonts w:ascii="Times New Roman" w:hAnsi="Times New Roman" w:cs="Times New Roman"/>
          <w:sz w:val="24"/>
          <w:szCs w:val="24"/>
        </w:rPr>
        <w:t>, aldus lid 3</w:t>
      </w:r>
      <w:r w:rsidRPr="00463949" w:rsidR="008D3A5C">
        <w:rPr>
          <w:rFonts w:ascii="Times New Roman" w:hAnsi="Times New Roman" w:cs="Times New Roman"/>
          <w:sz w:val="24"/>
          <w:szCs w:val="24"/>
        </w:rPr>
        <w:t>.</w:t>
      </w:r>
      <w:r w:rsidRPr="00463949" w:rsidR="0055203C">
        <w:rPr>
          <w:rFonts w:ascii="Times New Roman" w:hAnsi="Times New Roman" w:cs="Times New Roman"/>
          <w:sz w:val="24"/>
          <w:szCs w:val="24"/>
        </w:rPr>
        <w:t xml:space="preserve"> </w:t>
      </w:r>
      <w:r w:rsidRPr="00463949" w:rsidR="008141C3">
        <w:rPr>
          <w:rFonts w:ascii="Times New Roman" w:hAnsi="Times New Roman" w:cs="Times New Roman"/>
          <w:sz w:val="24"/>
          <w:szCs w:val="24"/>
        </w:rPr>
        <w:t xml:space="preserve">Dit lid legt derhalve aan </w:t>
      </w:r>
      <w:r w:rsidRPr="00463949" w:rsidR="00A84DD2">
        <w:rPr>
          <w:rFonts w:ascii="Times New Roman" w:hAnsi="Times New Roman" w:cs="Times New Roman"/>
          <w:sz w:val="24"/>
          <w:szCs w:val="24"/>
        </w:rPr>
        <w:t xml:space="preserve">de distributeur </w:t>
      </w:r>
      <w:r w:rsidRPr="00463949" w:rsidR="008141C3">
        <w:rPr>
          <w:rFonts w:ascii="Times New Roman" w:hAnsi="Times New Roman" w:cs="Times New Roman"/>
          <w:sz w:val="24"/>
          <w:szCs w:val="24"/>
        </w:rPr>
        <w:t xml:space="preserve">de last op </w:t>
      </w:r>
      <w:r w:rsidRPr="00463949" w:rsidR="00A84DD2">
        <w:rPr>
          <w:rFonts w:ascii="Times New Roman" w:hAnsi="Times New Roman" w:cs="Times New Roman"/>
          <w:sz w:val="24"/>
          <w:szCs w:val="24"/>
        </w:rPr>
        <w:t xml:space="preserve">om </w:t>
      </w:r>
      <w:r w:rsidRPr="00463949" w:rsidR="00B10BC3">
        <w:rPr>
          <w:rFonts w:ascii="Times New Roman" w:hAnsi="Times New Roman" w:cs="Times New Roman"/>
          <w:sz w:val="24"/>
          <w:szCs w:val="24"/>
        </w:rPr>
        <w:t xml:space="preserve">aannemelijk te maken en, indien nodig, </w:t>
      </w:r>
      <w:r w:rsidRPr="00463949" w:rsidR="00A84DD2">
        <w:rPr>
          <w:rFonts w:ascii="Times New Roman" w:hAnsi="Times New Roman" w:cs="Times New Roman"/>
          <w:sz w:val="24"/>
          <w:szCs w:val="24"/>
        </w:rPr>
        <w:t xml:space="preserve">te bewijzen dat </w:t>
      </w:r>
      <w:r w:rsidRPr="00463949" w:rsidR="0055203C">
        <w:rPr>
          <w:rFonts w:ascii="Times New Roman" w:hAnsi="Times New Roman" w:cs="Times New Roman"/>
          <w:sz w:val="24"/>
          <w:szCs w:val="24"/>
        </w:rPr>
        <w:t>aan deze voorwaarden voldaan</w:t>
      </w:r>
      <w:r w:rsidRPr="00463949" w:rsidR="00A84DD2">
        <w:rPr>
          <w:rFonts w:ascii="Times New Roman" w:hAnsi="Times New Roman" w:cs="Times New Roman"/>
          <w:sz w:val="24"/>
          <w:szCs w:val="24"/>
        </w:rPr>
        <w:t xml:space="preserve">. Slaagt hij hierin, </w:t>
      </w:r>
      <w:r w:rsidRPr="00463949" w:rsidR="0055203C">
        <w:rPr>
          <w:rFonts w:ascii="Times New Roman" w:hAnsi="Times New Roman" w:cs="Times New Roman"/>
          <w:sz w:val="24"/>
          <w:szCs w:val="24"/>
        </w:rPr>
        <w:t xml:space="preserve">dan is </w:t>
      </w:r>
      <w:r w:rsidRPr="00463949" w:rsidR="00A84DD2">
        <w:rPr>
          <w:rFonts w:ascii="Times New Roman" w:hAnsi="Times New Roman" w:cs="Times New Roman"/>
          <w:sz w:val="24"/>
          <w:szCs w:val="24"/>
        </w:rPr>
        <w:t xml:space="preserve">hij </w:t>
      </w:r>
      <w:r w:rsidRPr="00463949" w:rsidR="004C29CF">
        <w:rPr>
          <w:rFonts w:ascii="Times New Roman" w:hAnsi="Times New Roman" w:cs="Times New Roman"/>
          <w:sz w:val="24"/>
          <w:szCs w:val="24"/>
        </w:rPr>
        <w:t xml:space="preserve">vrijgesteld van aansprakelijkheid. De benadeelde </w:t>
      </w:r>
      <w:r w:rsidRPr="00463949" w:rsidR="00A84DD2">
        <w:rPr>
          <w:rFonts w:ascii="Times New Roman" w:hAnsi="Times New Roman" w:cs="Times New Roman"/>
          <w:sz w:val="24"/>
          <w:szCs w:val="24"/>
        </w:rPr>
        <w:t xml:space="preserve">zal zich </w:t>
      </w:r>
      <w:r w:rsidRPr="00463949" w:rsidR="00B10BC3">
        <w:rPr>
          <w:rFonts w:ascii="Times New Roman" w:hAnsi="Times New Roman" w:cs="Times New Roman"/>
          <w:sz w:val="24"/>
          <w:szCs w:val="24"/>
        </w:rPr>
        <w:t xml:space="preserve">in dat geval </w:t>
      </w:r>
      <w:r w:rsidRPr="00463949" w:rsidR="00A84DD2">
        <w:rPr>
          <w:rFonts w:ascii="Times New Roman" w:hAnsi="Times New Roman" w:cs="Times New Roman"/>
          <w:sz w:val="24"/>
          <w:szCs w:val="24"/>
        </w:rPr>
        <w:t xml:space="preserve">moeten richten </w:t>
      </w:r>
      <w:r w:rsidRPr="00463949" w:rsidR="004C29CF">
        <w:rPr>
          <w:rFonts w:ascii="Times New Roman" w:hAnsi="Times New Roman" w:cs="Times New Roman"/>
          <w:sz w:val="24"/>
          <w:szCs w:val="24"/>
        </w:rPr>
        <w:t xml:space="preserve">tot </w:t>
      </w:r>
      <w:r w:rsidRPr="00463949" w:rsidR="0055203C">
        <w:rPr>
          <w:rFonts w:ascii="Times New Roman" w:hAnsi="Times New Roman" w:cs="Times New Roman"/>
          <w:sz w:val="24"/>
          <w:szCs w:val="24"/>
        </w:rPr>
        <w:t xml:space="preserve">de markdeelnemer </w:t>
      </w:r>
      <w:r w:rsidRPr="00463949" w:rsidR="004C29CF">
        <w:rPr>
          <w:rFonts w:ascii="Times New Roman" w:hAnsi="Times New Roman" w:cs="Times New Roman"/>
          <w:sz w:val="24"/>
          <w:szCs w:val="24"/>
        </w:rPr>
        <w:t xml:space="preserve">die </w:t>
      </w:r>
      <w:r w:rsidRPr="00463949" w:rsidR="00B10BC3">
        <w:rPr>
          <w:rFonts w:ascii="Times New Roman" w:hAnsi="Times New Roman" w:cs="Times New Roman"/>
          <w:sz w:val="24"/>
          <w:szCs w:val="24"/>
        </w:rPr>
        <w:t xml:space="preserve">aan </w:t>
      </w:r>
      <w:r w:rsidRPr="00463949" w:rsidR="004C29CF">
        <w:rPr>
          <w:rFonts w:ascii="Times New Roman" w:hAnsi="Times New Roman" w:cs="Times New Roman"/>
          <w:sz w:val="24"/>
          <w:szCs w:val="24"/>
        </w:rPr>
        <w:t xml:space="preserve">hem </w:t>
      </w:r>
      <w:r w:rsidRPr="00463949" w:rsidR="00B10BC3">
        <w:rPr>
          <w:rFonts w:ascii="Times New Roman" w:hAnsi="Times New Roman" w:cs="Times New Roman"/>
          <w:sz w:val="24"/>
          <w:szCs w:val="24"/>
        </w:rPr>
        <w:t xml:space="preserve">is </w:t>
      </w:r>
      <w:r w:rsidRPr="00463949" w:rsidR="0055203C">
        <w:rPr>
          <w:rFonts w:ascii="Times New Roman" w:hAnsi="Times New Roman" w:cs="Times New Roman"/>
          <w:sz w:val="24"/>
          <w:szCs w:val="24"/>
        </w:rPr>
        <w:t>m</w:t>
      </w:r>
      <w:r w:rsidRPr="00463949" w:rsidR="0038069B">
        <w:rPr>
          <w:rFonts w:ascii="Times New Roman" w:hAnsi="Times New Roman" w:cs="Times New Roman"/>
          <w:sz w:val="24"/>
          <w:szCs w:val="24"/>
        </w:rPr>
        <w:t>ee</w:t>
      </w:r>
      <w:r w:rsidRPr="00463949" w:rsidR="0055203C">
        <w:rPr>
          <w:rFonts w:ascii="Times New Roman" w:hAnsi="Times New Roman" w:cs="Times New Roman"/>
          <w:sz w:val="24"/>
          <w:szCs w:val="24"/>
        </w:rPr>
        <w:t>gedeeld.</w:t>
      </w:r>
    </w:p>
    <w:p w:rsidRPr="00463949" w:rsidR="0055203C" w:rsidP="00D045E0" w:rsidRDefault="0055203C" w14:paraId="680EEE43" w14:textId="77777777">
      <w:pPr>
        <w:spacing w:after="0" w:line="276" w:lineRule="auto"/>
        <w:rPr>
          <w:rFonts w:ascii="Times New Roman" w:hAnsi="Times New Roman" w:cs="Times New Roman"/>
          <w:sz w:val="24"/>
          <w:szCs w:val="24"/>
        </w:rPr>
      </w:pPr>
    </w:p>
    <w:p w:rsidRPr="00463949" w:rsidR="00BB672F" w:rsidP="00BB672F" w:rsidRDefault="0055203C" w14:paraId="36982056" w14:textId="5625705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4 </w:t>
      </w:r>
      <w:r w:rsidRPr="00463949" w:rsidR="000A62D2">
        <w:rPr>
          <w:rFonts w:ascii="Times New Roman" w:hAnsi="Times New Roman" w:cs="Times New Roman"/>
          <w:sz w:val="24"/>
          <w:szCs w:val="24"/>
        </w:rPr>
        <w:t xml:space="preserve">implementeert </w:t>
      </w:r>
      <w:r w:rsidRPr="00463949" w:rsidR="00502144">
        <w:rPr>
          <w:rFonts w:ascii="Times New Roman" w:hAnsi="Times New Roman" w:cs="Times New Roman"/>
          <w:sz w:val="24"/>
          <w:szCs w:val="24"/>
        </w:rPr>
        <w:t xml:space="preserve">artikel 8 lid 4 Richtlijn. </w:t>
      </w:r>
      <w:r w:rsidRPr="00463949" w:rsidR="00750E3B">
        <w:rPr>
          <w:rFonts w:ascii="Times New Roman" w:hAnsi="Times New Roman" w:cs="Times New Roman"/>
          <w:sz w:val="24"/>
          <w:szCs w:val="24"/>
        </w:rPr>
        <w:t xml:space="preserve">Dit </w:t>
      </w:r>
      <w:r w:rsidRPr="00463949" w:rsidR="00502144">
        <w:rPr>
          <w:rFonts w:ascii="Times New Roman" w:hAnsi="Times New Roman" w:cs="Times New Roman"/>
          <w:sz w:val="24"/>
          <w:szCs w:val="24"/>
        </w:rPr>
        <w:t>verklaart de regeling</w:t>
      </w:r>
      <w:r w:rsidRPr="00463949" w:rsidR="000A62D2">
        <w:rPr>
          <w:rFonts w:ascii="Times New Roman" w:hAnsi="Times New Roman" w:cs="Times New Roman"/>
          <w:sz w:val="24"/>
          <w:szCs w:val="24"/>
        </w:rPr>
        <w:t xml:space="preserve"> voor de aansprakelijkheid van distributeurs</w:t>
      </w:r>
      <w:r w:rsidRPr="00463949" w:rsidR="00502144">
        <w:rPr>
          <w:rFonts w:ascii="Times New Roman" w:hAnsi="Times New Roman" w:cs="Times New Roman"/>
          <w:sz w:val="24"/>
          <w:szCs w:val="24"/>
        </w:rPr>
        <w:t xml:space="preserve"> </w:t>
      </w:r>
      <w:r w:rsidRPr="00463949" w:rsidR="000A62D2">
        <w:rPr>
          <w:rFonts w:ascii="Times New Roman" w:hAnsi="Times New Roman" w:cs="Times New Roman"/>
          <w:sz w:val="24"/>
          <w:szCs w:val="24"/>
        </w:rPr>
        <w:t xml:space="preserve">(lid 3) </w:t>
      </w:r>
      <w:r w:rsidRPr="00463949" w:rsidR="00502144">
        <w:rPr>
          <w:rFonts w:ascii="Times New Roman" w:hAnsi="Times New Roman" w:cs="Times New Roman"/>
          <w:sz w:val="24"/>
          <w:szCs w:val="24"/>
        </w:rPr>
        <w:t>van overeenkomstige toepassing op aanbieders van een onlineplatform</w:t>
      </w:r>
      <w:r w:rsidRPr="00463949" w:rsidR="008141C3">
        <w:rPr>
          <w:rFonts w:ascii="Times New Roman" w:hAnsi="Times New Roman" w:cs="Times New Roman"/>
          <w:sz w:val="24"/>
          <w:szCs w:val="24"/>
        </w:rPr>
        <w:t xml:space="preserve"> onder twee voorwaarden</w:t>
      </w:r>
      <w:r w:rsidRPr="00463949" w:rsidR="006A50C4">
        <w:rPr>
          <w:rFonts w:ascii="Times New Roman" w:hAnsi="Times New Roman" w:cs="Times New Roman"/>
          <w:sz w:val="24"/>
          <w:szCs w:val="24"/>
        </w:rPr>
        <w:t xml:space="preserve">. </w:t>
      </w:r>
      <w:r w:rsidRPr="00463949" w:rsidR="00203A9C">
        <w:rPr>
          <w:rFonts w:ascii="Times New Roman" w:hAnsi="Times New Roman" w:cs="Times New Roman"/>
          <w:sz w:val="24"/>
          <w:szCs w:val="24"/>
        </w:rPr>
        <w:t xml:space="preserve">De eerste voorwaarde is dat </w:t>
      </w:r>
      <w:r w:rsidRPr="00463949" w:rsidR="008B18B2">
        <w:rPr>
          <w:rFonts w:ascii="Times New Roman" w:hAnsi="Times New Roman" w:cs="Times New Roman"/>
          <w:sz w:val="24"/>
          <w:szCs w:val="24"/>
        </w:rPr>
        <w:t xml:space="preserve">het </w:t>
      </w:r>
      <w:r w:rsidRPr="00463949" w:rsidR="006A50C4">
        <w:rPr>
          <w:rFonts w:ascii="Times New Roman" w:hAnsi="Times New Roman" w:cs="Times New Roman"/>
          <w:sz w:val="24"/>
          <w:szCs w:val="24"/>
        </w:rPr>
        <w:t xml:space="preserve">onlineplatform </w:t>
      </w:r>
      <w:r w:rsidRPr="00463949" w:rsidR="000A62D2">
        <w:rPr>
          <w:rFonts w:ascii="Times New Roman" w:hAnsi="Times New Roman" w:cs="Times New Roman"/>
          <w:sz w:val="24"/>
          <w:szCs w:val="24"/>
        </w:rPr>
        <w:t xml:space="preserve">geen </w:t>
      </w:r>
      <w:r w:rsidRPr="00463949" w:rsidR="00B10BC3">
        <w:rPr>
          <w:rFonts w:ascii="Times New Roman" w:hAnsi="Times New Roman" w:cs="Times New Roman"/>
          <w:sz w:val="24"/>
          <w:szCs w:val="24"/>
        </w:rPr>
        <w:t>“</w:t>
      </w:r>
      <w:r w:rsidRPr="00463949" w:rsidR="006A50C4">
        <w:rPr>
          <w:rFonts w:ascii="Times New Roman" w:hAnsi="Times New Roman" w:cs="Times New Roman"/>
          <w:sz w:val="24"/>
          <w:szCs w:val="24"/>
        </w:rPr>
        <w:t>marktdeelnemer</w:t>
      </w:r>
      <w:r w:rsidRPr="00463949" w:rsidR="00B10BC3">
        <w:rPr>
          <w:rFonts w:ascii="Times New Roman" w:hAnsi="Times New Roman" w:cs="Times New Roman"/>
          <w:sz w:val="24"/>
          <w:szCs w:val="24"/>
        </w:rPr>
        <w:t xml:space="preserve">” </w:t>
      </w:r>
      <w:r w:rsidRPr="00463949" w:rsidR="00F2542C">
        <w:rPr>
          <w:rFonts w:ascii="Times New Roman" w:hAnsi="Times New Roman" w:cs="Times New Roman"/>
          <w:sz w:val="24"/>
          <w:szCs w:val="24"/>
        </w:rPr>
        <w:t xml:space="preserve">is </w:t>
      </w:r>
      <w:r w:rsidRPr="00463949" w:rsidR="006A50C4">
        <w:rPr>
          <w:rFonts w:ascii="Times New Roman" w:hAnsi="Times New Roman" w:cs="Times New Roman"/>
          <w:sz w:val="24"/>
          <w:szCs w:val="24"/>
        </w:rPr>
        <w:t xml:space="preserve">in de zin van </w:t>
      </w:r>
      <w:r w:rsidRPr="00463949" w:rsidR="00750E3B">
        <w:rPr>
          <w:rFonts w:ascii="Times New Roman" w:hAnsi="Times New Roman" w:cs="Times New Roman"/>
          <w:sz w:val="24"/>
          <w:szCs w:val="24"/>
        </w:rPr>
        <w:t xml:space="preserve">afdeling </w:t>
      </w:r>
      <w:r w:rsidRPr="00463949" w:rsidR="006A50C4">
        <w:rPr>
          <w:rFonts w:ascii="Times New Roman" w:hAnsi="Times New Roman" w:cs="Times New Roman"/>
          <w:sz w:val="24"/>
          <w:szCs w:val="24"/>
        </w:rPr>
        <w:t>6.3.3</w:t>
      </w:r>
      <w:r w:rsidRPr="00463949" w:rsidR="00750E3B">
        <w:rPr>
          <w:rFonts w:ascii="Times New Roman" w:hAnsi="Times New Roman" w:cs="Times New Roman"/>
          <w:sz w:val="24"/>
          <w:szCs w:val="24"/>
        </w:rPr>
        <w:t xml:space="preserve"> BW</w:t>
      </w:r>
      <w:r w:rsidRPr="00463949" w:rsidR="006A50C4">
        <w:rPr>
          <w:rFonts w:ascii="Times New Roman" w:hAnsi="Times New Roman" w:cs="Times New Roman"/>
          <w:sz w:val="24"/>
          <w:szCs w:val="24"/>
        </w:rPr>
        <w:t xml:space="preserve">. </w:t>
      </w:r>
      <w:r w:rsidRPr="00463949" w:rsidR="008141C3">
        <w:rPr>
          <w:rFonts w:ascii="Times New Roman" w:hAnsi="Times New Roman" w:cs="Times New Roman"/>
          <w:sz w:val="24"/>
          <w:szCs w:val="24"/>
        </w:rPr>
        <w:t xml:space="preserve">Deze voorwaarde verduidelijkt </w:t>
      </w:r>
      <w:r w:rsidRPr="00463949" w:rsidR="008141C3">
        <w:rPr>
          <w:rFonts w:ascii="Times New Roman" w:hAnsi="Times New Roman" w:cs="Times New Roman"/>
          <w:sz w:val="24"/>
          <w:szCs w:val="24"/>
        </w:rPr>
        <w:lastRenderedPageBreak/>
        <w:t xml:space="preserve">dat als </w:t>
      </w:r>
      <w:r w:rsidRPr="00463949" w:rsidR="00A232E9">
        <w:rPr>
          <w:rFonts w:ascii="Times New Roman" w:hAnsi="Times New Roman" w:cs="Times New Roman"/>
          <w:sz w:val="24"/>
          <w:szCs w:val="24"/>
        </w:rPr>
        <w:t xml:space="preserve">onlineplatforms ten aanzien van een gebrekkig product de rol van fabrikant, importeur, gemachtigde, fulfilmentdienstverlener of distributeur vervullen, zij onder dezelfde aansprakelijkheid </w:t>
      </w:r>
      <w:r w:rsidRPr="00463949" w:rsidR="008141C3">
        <w:rPr>
          <w:rFonts w:ascii="Times New Roman" w:hAnsi="Times New Roman" w:cs="Times New Roman"/>
          <w:sz w:val="24"/>
          <w:szCs w:val="24"/>
        </w:rPr>
        <w:t xml:space="preserve">vallen </w:t>
      </w:r>
      <w:r w:rsidRPr="00463949" w:rsidR="00A232E9">
        <w:rPr>
          <w:rFonts w:ascii="Times New Roman" w:hAnsi="Times New Roman" w:cs="Times New Roman"/>
          <w:sz w:val="24"/>
          <w:szCs w:val="24"/>
        </w:rPr>
        <w:t>als d</w:t>
      </w:r>
      <w:r w:rsidRPr="00463949" w:rsidR="008141C3">
        <w:rPr>
          <w:rFonts w:ascii="Times New Roman" w:hAnsi="Times New Roman" w:cs="Times New Roman"/>
          <w:sz w:val="24"/>
          <w:szCs w:val="24"/>
        </w:rPr>
        <w:t>i</w:t>
      </w:r>
      <w:r w:rsidRPr="00463949" w:rsidR="00A232E9">
        <w:rPr>
          <w:rFonts w:ascii="Times New Roman" w:hAnsi="Times New Roman" w:cs="Times New Roman"/>
          <w:sz w:val="24"/>
          <w:szCs w:val="24"/>
        </w:rPr>
        <w:t xml:space="preserve">e </w:t>
      </w:r>
      <w:r w:rsidRPr="00463949" w:rsidR="000C3F4A">
        <w:rPr>
          <w:rFonts w:ascii="Times New Roman" w:hAnsi="Times New Roman" w:cs="Times New Roman"/>
          <w:sz w:val="24"/>
          <w:szCs w:val="24"/>
        </w:rPr>
        <w:t xml:space="preserve">betreffende </w:t>
      </w:r>
      <w:r w:rsidRPr="00463949" w:rsidR="00A232E9">
        <w:rPr>
          <w:rFonts w:ascii="Times New Roman" w:hAnsi="Times New Roman" w:cs="Times New Roman"/>
          <w:sz w:val="24"/>
          <w:szCs w:val="24"/>
        </w:rPr>
        <w:t>marktdeelnemers</w:t>
      </w:r>
      <w:r w:rsidRPr="00463949" w:rsidR="00750E3B">
        <w:rPr>
          <w:rFonts w:ascii="Times New Roman" w:hAnsi="Times New Roman" w:cs="Times New Roman"/>
          <w:sz w:val="24"/>
          <w:szCs w:val="24"/>
        </w:rPr>
        <w:t xml:space="preserve"> (zie leden 1-3)</w:t>
      </w:r>
      <w:r w:rsidRPr="00463949" w:rsidR="00A232E9">
        <w:rPr>
          <w:rFonts w:ascii="Times New Roman" w:hAnsi="Times New Roman" w:cs="Times New Roman"/>
          <w:sz w:val="24"/>
          <w:szCs w:val="24"/>
        </w:rPr>
        <w:t>.</w:t>
      </w:r>
      <w:r w:rsidRPr="00463949" w:rsidR="00203A9C">
        <w:rPr>
          <w:rFonts w:ascii="Times New Roman" w:hAnsi="Times New Roman" w:cs="Times New Roman"/>
          <w:sz w:val="24"/>
          <w:szCs w:val="24"/>
        </w:rPr>
        <w:t xml:space="preserve"> Lid 4 is </w:t>
      </w:r>
      <w:r w:rsidRPr="00463949" w:rsidR="00750E3B">
        <w:rPr>
          <w:rFonts w:ascii="Times New Roman" w:hAnsi="Times New Roman" w:cs="Times New Roman"/>
          <w:sz w:val="24"/>
          <w:szCs w:val="24"/>
        </w:rPr>
        <w:t xml:space="preserve">in dat geval </w:t>
      </w:r>
      <w:r w:rsidRPr="00463949" w:rsidR="0038069B">
        <w:rPr>
          <w:rFonts w:ascii="Times New Roman" w:hAnsi="Times New Roman" w:cs="Times New Roman"/>
          <w:sz w:val="24"/>
          <w:szCs w:val="24"/>
        </w:rPr>
        <w:t xml:space="preserve">dus </w:t>
      </w:r>
      <w:r w:rsidRPr="00463949" w:rsidR="00203A9C">
        <w:rPr>
          <w:rFonts w:ascii="Times New Roman" w:hAnsi="Times New Roman" w:cs="Times New Roman"/>
          <w:sz w:val="24"/>
          <w:szCs w:val="24"/>
        </w:rPr>
        <w:t>niet van toepassing.</w:t>
      </w:r>
      <w:r w:rsidRPr="00463949" w:rsidR="008B18B2">
        <w:rPr>
          <w:rFonts w:ascii="Times New Roman" w:hAnsi="Times New Roman" w:cs="Times New Roman"/>
          <w:sz w:val="24"/>
          <w:szCs w:val="24"/>
        </w:rPr>
        <w:t xml:space="preserve"> D</w:t>
      </w:r>
      <w:r w:rsidRPr="00463949" w:rsidR="008141C3">
        <w:rPr>
          <w:rFonts w:ascii="Times New Roman" w:hAnsi="Times New Roman" w:cs="Times New Roman"/>
          <w:sz w:val="24"/>
          <w:szCs w:val="24"/>
        </w:rPr>
        <w:t xml:space="preserve">e tweede voorwaarde behelst dat </w:t>
      </w:r>
      <w:r w:rsidRPr="00463949" w:rsidR="008B18B2">
        <w:rPr>
          <w:rFonts w:ascii="Times New Roman" w:hAnsi="Times New Roman" w:cs="Times New Roman"/>
          <w:sz w:val="24"/>
          <w:szCs w:val="24"/>
        </w:rPr>
        <w:t xml:space="preserve">moet zijn </w:t>
      </w:r>
      <w:r w:rsidRPr="00463949" w:rsidR="006A50C4">
        <w:rPr>
          <w:rFonts w:ascii="Times New Roman" w:hAnsi="Times New Roman" w:cs="Times New Roman"/>
          <w:sz w:val="24"/>
          <w:szCs w:val="24"/>
        </w:rPr>
        <w:t xml:space="preserve">voldaan aan </w:t>
      </w:r>
      <w:r w:rsidRPr="00463949" w:rsidR="005C5D37">
        <w:rPr>
          <w:rFonts w:ascii="Times New Roman" w:hAnsi="Times New Roman" w:cs="Times New Roman"/>
          <w:sz w:val="24"/>
          <w:szCs w:val="24"/>
        </w:rPr>
        <w:t xml:space="preserve">de </w:t>
      </w:r>
      <w:r w:rsidRPr="00463949" w:rsidR="006A50C4">
        <w:rPr>
          <w:rFonts w:ascii="Times New Roman" w:hAnsi="Times New Roman" w:cs="Times New Roman"/>
          <w:sz w:val="24"/>
          <w:szCs w:val="24"/>
        </w:rPr>
        <w:t>voorwaarden van artikel 6</w:t>
      </w:r>
      <w:r w:rsidRPr="00463949" w:rsidR="00AA2610">
        <w:rPr>
          <w:rFonts w:ascii="Times New Roman" w:hAnsi="Times New Roman" w:cs="Times New Roman"/>
          <w:sz w:val="24"/>
          <w:szCs w:val="24"/>
        </w:rPr>
        <w:t xml:space="preserve"> </w:t>
      </w:r>
      <w:r w:rsidRPr="00463949" w:rsidR="006A50C4">
        <w:rPr>
          <w:rFonts w:ascii="Times New Roman" w:hAnsi="Times New Roman" w:cs="Times New Roman"/>
          <w:sz w:val="24"/>
          <w:szCs w:val="24"/>
        </w:rPr>
        <w:t>lid 3</w:t>
      </w:r>
      <w:r w:rsidRPr="00463949" w:rsidR="00AA2610">
        <w:rPr>
          <w:rFonts w:ascii="Times New Roman" w:hAnsi="Times New Roman" w:cs="Times New Roman"/>
          <w:sz w:val="24"/>
          <w:szCs w:val="24"/>
        </w:rPr>
        <w:t xml:space="preserve"> van </w:t>
      </w:r>
      <w:r w:rsidRPr="00463949" w:rsidR="005C5D37">
        <w:rPr>
          <w:rFonts w:ascii="Times New Roman" w:hAnsi="Times New Roman" w:cs="Times New Roman"/>
          <w:sz w:val="24"/>
          <w:szCs w:val="24"/>
        </w:rPr>
        <w:t>Verordening (EU) 2022/2065 van het Europees Parlement en de Raad van 19 oktober 2022 betreffende een eengemaakte markt voor digitale diensten en tot wijziging van Richtlijn 2000/31/EG (digitaledienstenverordening).</w:t>
      </w:r>
      <w:r w:rsidRPr="00463949" w:rsidR="000C3F4A">
        <w:rPr>
          <w:rFonts w:ascii="Times New Roman" w:hAnsi="Times New Roman" w:cs="Times New Roman"/>
          <w:sz w:val="24"/>
          <w:szCs w:val="24"/>
          <w:vertAlign w:val="superscript"/>
        </w:rPr>
        <w:footnoteReference w:id="78"/>
      </w:r>
      <w:r w:rsidRPr="00463949" w:rsidR="000C3F4A">
        <w:rPr>
          <w:rFonts w:ascii="Times New Roman" w:hAnsi="Times New Roman" w:cs="Times New Roman"/>
          <w:sz w:val="24"/>
          <w:szCs w:val="24"/>
          <w:vertAlign w:val="superscript"/>
        </w:rPr>
        <w:t xml:space="preserve"> </w:t>
      </w:r>
      <w:r w:rsidRPr="00463949" w:rsidR="000C3F4A">
        <w:rPr>
          <w:rFonts w:ascii="Times New Roman" w:hAnsi="Times New Roman" w:cs="Times New Roman"/>
          <w:sz w:val="24"/>
          <w:szCs w:val="24"/>
        </w:rPr>
        <w:t xml:space="preserve">Dit betekent dat onlineplatforms op grond van afdeling 6.3.3 BW alleen aansprakelijk kunnen zijn, als zij het gebrekkige product presenteren of de </w:t>
      </w:r>
      <w:r w:rsidRPr="00463949" w:rsidR="00E83DF8">
        <w:rPr>
          <w:rFonts w:ascii="Times New Roman" w:hAnsi="Times New Roman" w:cs="Times New Roman"/>
          <w:sz w:val="24"/>
          <w:szCs w:val="24"/>
        </w:rPr>
        <w:t xml:space="preserve">overeenkomst die hierop ziet </w:t>
      </w:r>
      <w:r w:rsidRPr="00463949" w:rsidR="000C3F4A">
        <w:rPr>
          <w:rFonts w:ascii="Times New Roman" w:hAnsi="Times New Roman" w:cs="Times New Roman"/>
          <w:sz w:val="24"/>
          <w:szCs w:val="24"/>
        </w:rPr>
        <w:t>anderszins mogelijk maken op een wijze die een gemiddelde consument zou doen geloven dat het product wordt verstrekt door het onlineplatform zelf.</w:t>
      </w:r>
      <w:r w:rsidRPr="00463949" w:rsidR="000F772F">
        <w:rPr>
          <w:rStyle w:val="Voetnootmarkering"/>
          <w:rFonts w:ascii="Times New Roman" w:hAnsi="Times New Roman" w:cs="Times New Roman"/>
          <w:sz w:val="24"/>
          <w:szCs w:val="24"/>
        </w:rPr>
        <w:footnoteReference w:id="79"/>
      </w:r>
      <w:r w:rsidRPr="00463949" w:rsidR="000C3F4A">
        <w:rPr>
          <w:rFonts w:ascii="Times New Roman" w:hAnsi="Times New Roman" w:cs="Times New Roman"/>
          <w:sz w:val="24"/>
          <w:szCs w:val="24"/>
        </w:rPr>
        <w:t xml:space="preserve"> </w:t>
      </w:r>
      <w:r w:rsidRPr="00463949" w:rsidR="007424FF">
        <w:rPr>
          <w:rFonts w:ascii="Times New Roman" w:hAnsi="Times New Roman" w:cs="Times New Roman"/>
          <w:sz w:val="24"/>
          <w:szCs w:val="24"/>
        </w:rPr>
        <w:t>Li</w:t>
      </w:r>
      <w:r w:rsidRPr="00463949" w:rsidR="00AA1A5A">
        <w:rPr>
          <w:rFonts w:ascii="Times New Roman" w:hAnsi="Times New Roman" w:cs="Times New Roman"/>
          <w:sz w:val="24"/>
          <w:szCs w:val="24"/>
        </w:rPr>
        <w:t>d</w:t>
      </w:r>
      <w:r w:rsidRPr="00463949" w:rsidR="007424FF">
        <w:rPr>
          <w:rFonts w:ascii="Times New Roman" w:hAnsi="Times New Roman" w:cs="Times New Roman"/>
          <w:sz w:val="24"/>
          <w:szCs w:val="24"/>
        </w:rPr>
        <w:t xml:space="preserve"> 4 </w:t>
      </w:r>
      <w:r w:rsidRPr="00463949" w:rsidR="00840798">
        <w:rPr>
          <w:rFonts w:ascii="Times New Roman" w:hAnsi="Times New Roman" w:cs="Times New Roman"/>
          <w:sz w:val="24"/>
          <w:szCs w:val="24"/>
        </w:rPr>
        <w:t xml:space="preserve">verklaart </w:t>
      </w:r>
      <w:r w:rsidRPr="00463949" w:rsidR="007424FF">
        <w:rPr>
          <w:rFonts w:ascii="Times New Roman" w:hAnsi="Times New Roman" w:cs="Times New Roman"/>
          <w:sz w:val="24"/>
          <w:szCs w:val="24"/>
        </w:rPr>
        <w:t xml:space="preserve">lid 3 </w:t>
      </w:r>
      <w:r w:rsidRPr="00463949" w:rsidR="000F772F">
        <w:rPr>
          <w:rFonts w:ascii="Times New Roman" w:hAnsi="Times New Roman" w:cs="Times New Roman"/>
          <w:sz w:val="24"/>
          <w:szCs w:val="24"/>
        </w:rPr>
        <w:t xml:space="preserve">in dat geval </w:t>
      </w:r>
      <w:r w:rsidRPr="00463949" w:rsidR="007424FF">
        <w:rPr>
          <w:rFonts w:ascii="Times New Roman" w:hAnsi="Times New Roman" w:cs="Times New Roman"/>
          <w:sz w:val="24"/>
          <w:szCs w:val="24"/>
        </w:rPr>
        <w:t xml:space="preserve">van overeenkomstige toepassing. Dit betekent dat ook een </w:t>
      </w:r>
      <w:r w:rsidRPr="00463949" w:rsidR="00D32D1B">
        <w:rPr>
          <w:rFonts w:ascii="Times New Roman" w:hAnsi="Times New Roman" w:cs="Times New Roman"/>
          <w:sz w:val="24"/>
          <w:szCs w:val="24"/>
        </w:rPr>
        <w:t xml:space="preserve">onlineplatform </w:t>
      </w:r>
      <w:r w:rsidRPr="00463949" w:rsidR="007424FF">
        <w:rPr>
          <w:rFonts w:ascii="Times New Roman" w:hAnsi="Times New Roman" w:cs="Times New Roman"/>
          <w:sz w:val="24"/>
          <w:szCs w:val="24"/>
        </w:rPr>
        <w:t xml:space="preserve">kan worden </w:t>
      </w:r>
      <w:r w:rsidRPr="00463949" w:rsidR="00D32D1B">
        <w:rPr>
          <w:rFonts w:ascii="Times New Roman" w:hAnsi="Times New Roman" w:cs="Times New Roman"/>
          <w:sz w:val="24"/>
          <w:szCs w:val="24"/>
        </w:rPr>
        <w:t>vrijgesteld van aansprakelijkheid als zij</w:t>
      </w:r>
      <w:r w:rsidRPr="00463949" w:rsidR="00A84DD2">
        <w:rPr>
          <w:rFonts w:ascii="Times New Roman" w:hAnsi="Times New Roman" w:cs="Times New Roman"/>
          <w:sz w:val="24"/>
          <w:szCs w:val="24"/>
        </w:rPr>
        <w:t xml:space="preserve"> </w:t>
      </w:r>
      <w:r w:rsidRPr="00463949" w:rsidR="0062282C">
        <w:rPr>
          <w:rFonts w:ascii="Times New Roman" w:hAnsi="Times New Roman" w:cs="Times New Roman"/>
          <w:sz w:val="24"/>
          <w:szCs w:val="24"/>
        </w:rPr>
        <w:t xml:space="preserve">de benadeelde </w:t>
      </w:r>
      <w:r w:rsidRPr="00463949" w:rsidR="00B0639F">
        <w:rPr>
          <w:rFonts w:ascii="Times New Roman" w:hAnsi="Times New Roman" w:cs="Times New Roman"/>
          <w:sz w:val="24"/>
          <w:szCs w:val="24"/>
        </w:rPr>
        <w:t>binnen een maand</w:t>
      </w:r>
      <w:r w:rsidRPr="00463949" w:rsidR="000F772F">
        <w:rPr>
          <w:rFonts w:ascii="Times New Roman" w:hAnsi="Times New Roman" w:cs="Times New Roman"/>
          <w:sz w:val="24"/>
          <w:szCs w:val="24"/>
        </w:rPr>
        <w:t>, na ontvangst van een daartoe strekkend verzoek,</w:t>
      </w:r>
      <w:r w:rsidRPr="00463949" w:rsidR="00B0639F">
        <w:rPr>
          <w:rFonts w:ascii="Times New Roman" w:hAnsi="Times New Roman" w:cs="Times New Roman"/>
          <w:sz w:val="24"/>
          <w:szCs w:val="24"/>
        </w:rPr>
        <w:t xml:space="preserve"> </w:t>
      </w:r>
      <w:r w:rsidRPr="00463949" w:rsidR="00D32D1B">
        <w:rPr>
          <w:rFonts w:ascii="Times New Roman" w:hAnsi="Times New Roman" w:cs="Times New Roman"/>
          <w:sz w:val="24"/>
          <w:szCs w:val="24"/>
        </w:rPr>
        <w:t>de identiteit meedeelt van een in de EU gevestigde relevante markdeelnemer.</w:t>
      </w:r>
      <w:r w:rsidRPr="00463949" w:rsidR="00AA2610">
        <w:rPr>
          <w:rFonts w:ascii="Times New Roman" w:hAnsi="Times New Roman" w:cs="Times New Roman"/>
          <w:sz w:val="24"/>
          <w:szCs w:val="24"/>
        </w:rPr>
        <w:t xml:space="preserve"> Het is aan het onlineplatform om</w:t>
      </w:r>
      <w:r w:rsidRPr="00463949" w:rsidR="00B10BC3">
        <w:rPr>
          <w:rFonts w:ascii="Times New Roman" w:hAnsi="Times New Roman" w:cs="Times New Roman"/>
          <w:sz w:val="24"/>
          <w:szCs w:val="24"/>
        </w:rPr>
        <w:t xml:space="preserve"> aannemelijk te maken en, indien nodig,</w:t>
      </w:r>
      <w:r w:rsidRPr="00463949" w:rsidR="00AA2610">
        <w:rPr>
          <w:rFonts w:ascii="Times New Roman" w:hAnsi="Times New Roman" w:cs="Times New Roman"/>
          <w:sz w:val="24"/>
          <w:szCs w:val="24"/>
        </w:rPr>
        <w:t xml:space="preserve"> te bewijzen dat aan deze voorwaarde is voldaan.</w:t>
      </w:r>
      <w:r w:rsidRPr="00463949" w:rsidR="0038069B">
        <w:rPr>
          <w:rFonts w:ascii="Times New Roman" w:hAnsi="Times New Roman" w:cs="Times New Roman"/>
          <w:sz w:val="24"/>
          <w:szCs w:val="24"/>
        </w:rPr>
        <w:t xml:space="preserve"> Slaagt het </w:t>
      </w:r>
      <w:r w:rsidRPr="00463949" w:rsidR="00B10BC3">
        <w:rPr>
          <w:rFonts w:ascii="Times New Roman" w:hAnsi="Times New Roman" w:cs="Times New Roman"/>
          <w:sz w:val="24"/>
          <w:szCs w:val="24"/>
        </w:rPr>
        <w:t>online</w:t>
      </w:r>
      <w:r w:rsidRPr="00463949" w:rsidR="0038069B">
        <w:rPr>
          <w:rFonts w:ascii="Times New Roman" w:hAnsi="Times New Roman" w:cs="Times New Roman"/>
          <w:sz w:val="24"/>
          <w:szCs w:val="24"/>
        </w:rPr>
        <w:t>platform daarin, dan</w:t>
      </w:r>
      <w:r w:rsidRPr="00463949" w:rsidR="00B10BC3">
        <w:rPr>
          <w:rFonts w:ascii="Times New Roman" w:hAnsi="Times New Roman" w:cs="Times New Roman"/>
          <w:sz w:val="24"/>
          <w:szCs w:val="24"/>
        </w:rPr>
        <w:t xml:space="preserve"> is het onlineplatform niet aansprakelijk en</w:t>
      </w:r>
      <w:r w:rsidRPr="00463949" w:rsidR="0038069B">
        <w:rPr>
          <w:rFonts w:ascii="Times New Roman" w:hAnsi="Times New Roman" w:cs="Times New Roman"/>
          <w:sz w:val="24"/>
          <w:szCs w:val="24"/>
        </w:rPr>
        <w:t xml:space="preserve"> zal de benadeelde zich moeten wenden </w:t>
      </w:r>
      <w:r w:rsidRPr="00463949" w:rsidR="00B10BC3">
        <w:rPr>
          <w:rFonts w:ascii="Times New Roman" w:hAnsi="Times New Roman" w:cs="Times New Roman"/>
          <w:sz w:val="24"/>
          <w:szCs w:val="24"/>
        </w:rPr>
        <w:t xml:space="preserve">tot de markdeelnemer </w:t>
      </w:r>
      <w:r w:rsidRPr="00463949" w:rsidR="0038069B">
        <w:rPr>
          <w:rFonts w:ascii="Times New Roman" w:hAnsi="Times New Roman" w:cs="Times New Roman"/>
          <w:sz w:val="24"/>
          <w:szCs w:val="24"/>
        </w:rPr>
        <w:t>die aan hem is meegedeeld.</w:t>
      </w:r>
    </w:p>
    <w:p w:rsidRPr="00463949" w:rsidR="00A232E9" w:rsidP="00D045E0" w:rsidRDefault="00A232E9" w14:paraId="1E02C294" w14:textId="77777777">
      <w:pPr>
        <w:spacing w:after="0" w:line="276" w:lineRule="auto"/>
        <w:rPr>
          <w:rFonts w:ascii="Times New Roman" w:hAnsi="Times New Roman" w:cs="Times New Roman"/>
          <w:sz w:val="24"/>
          <w:szCs w:val="24"/>
        </w:rPr>
      </w:pPr>
    </w:p>
    <w:p w:rsidRPr="00463949" w:rsidR="00F51065" w:rsidP="00D045E0" w:rsidRDefault="00F51065" w14:paraId="4B91A60A" w14:textId="48210B3C">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G, wijziging artikel 188</w:t>
      </w:r>
      <w:r w:rsidRPr="00463949" w:rsidR="00D1462B">
        <w:rPr>
          <w:rFonts w:ascii="Times New Roman" w:hAnsi="Times New Roman" w:cs="Times New Roman"/>
          <w:i/>
          <w:iCs/>
          <w:sz w:val="24"/>
          <w:szCs w:val="24"/>
        </w:rPr>
        <w:t xml:space="preserve"> (bewijslast)</w:t>
      </w:r>
    </w:p>
    <w:p w:rsidRPr="00463949" w:rsidR="00F51065" w:rsidP="00D045E0" w:rsidRDefault="00F51065" w14:paraId="0F9E1DB5" w14:textId="77777777">
      <w:pPr>
        <w:spacing w:after="0" w:line="276" w:lineRule="auto"/>
        <w:rPr>
          <w:rFonts w:ascii="Times New Roman" w:hAnsi="Times New Roman" w:cs="Times New Roman"/>
          <w:sz w:val="24"/>
          <w:szCs w:val="24"/>
        </w:rPr>
      </w:pPr>
    </w:p>
    <w:p w:rsidRPr="00463949" w:rsidR="00693436" w:rsidP="00D045E0" w:rsidRDefault="00F51065" w14:paraId="3DE8F2B5" w14:textId="1C80214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voorgestelde wijziging van artikel 6:188 BW strek</w:t>
      </w:r>
      <w:r w:rsidRPr="00463949" w:rsidR="00174CF2">
        <w:rPr>
          <w:rFonts w:ascii="Times New Roman" w:hAnsi="Times New Roman" w:cs="Times New Roman"/>
          <w:sz w:val="24"/>
          <w:szCs w:val="24"/>
        </w:rPr>
        <w:t>t</w:t>
      </w:r>
      <w:r w:rsidRPr="00463949">
        <w:rPr>
          <w:rFonts w:ascii="Times New Roman" w:hAnsi="Times New Roman" w:cs="Times New Roman"/>
          <w:sz w:val="24"/>
          <w:szCs w:val="24"/>
        </w:rPr>
        <w:t xml:space="preserve"> tot implementatie van artikel 10 </w:t>
      </w:r>
      <w:r w:rsidRPr="00463949" w:rsidR="00847BEC">
        <w:rPr>
          <w:rFonts w:ascii="Times New Roman" w:hAnsi="Times New Roman" w:cs="Times New Roman"/>
          <w:sz w:val="24"/>
          <w:szCs w:val="24"/>
        </w:rPr>
        <w:t>R</w:t>
      </w:r>
      <w:r w:rsidRPr="00463949">
        <w:rPr>
          <w:rFonts w:ascii="Times New Roman" w:hAnsi="Times New Roman" w:cs="Times New Roman"/>
          <w:sz w:val="24"/>
          <w:szCs w:val="24"/>
        </w:rPr>
        <w:t xml:space="preserve">ichtlijn. Net als </w:t>
      </w:r>
      <w:r w:rsidRPr="00463949" w:rsidR="00B14E70">
        <w:rPr>
          <w:rFonts w:ascii="Times New Roman" w:hAnsi="Times New Roman" w:cs="Times New Roman"/>
          <w:sz w:val="24"/>
          <w:szCs w:val="24"/>
        </w:rPr>
        <w:t>R</w:t>
      </w:r>
      <w:r w:rsidRPr="00463949">
        <w:rPr>
          <w:rFonts w:ascii="Times New Roman" w:hAnsi="Times New Roman" w:cs="Times New Roman"/>
          <w:sz w:val="24"/>
          <w:szCs w:val="24"/>
        </w:rPr>
        <w:t>ichtlijn</w:t>
      </w:r>
      <w:r w:rsidRPr="00463949" w:rsidR="00B14E70">
        <w:rPr>
          <w:rFonts w:ascii="Times New Roman" w:hAnsi="Times New Roman" w:cs="Times New Roman"/>
          <w:sz w:val="24"/>
          <w:szCs w:val="24"/>
        </w:rPr>
        <w:t xml:space="preserve"> 85/374</w:t>
      </w:r>
      <w:r w:rsidRPr="00463949" w:rsidR="00CD5E44">
        <w:rPr>
          <w:rFonts w:ascii="Times New Roman" w:hAnsi="Times New Roman" w:cs="Times New Roman"/>
          <w:sz w:val="24"/>
          <w:szCs w:val="24"/>
        </w:rPr>
        <w:t>,</w:t>
      </w:r>
      <w:r w:rsidRPr="00463949">
        <w:rPr>
          <w:rStyle w:val="Voetnootmarkering"/>
          <w:rFonts w:ascii="Times New Roman" w:hAnsi="Times New Roman" w:cs="Times New Roman"/>
          <w:sz w:val="24"/>
          <w:szCs w:val="24"/>
        </w:rPr>
        <w:footnoteReference w:id="80"/>
      </w:r>
      <w:r w:rsidRPr="00463949">
        <w:rPr>
          <w:rFonts w:ascii="Times New Roman" w:hAnsi="Times New Roman" w:cs="Times New Roman"/>
          <w:sz w:val="24"/>
          <w:szCs w:val="24"/>
        </w:rPr>
        <w:t xml:space="preserve"> bepaalt artikel 10 lid 1 Richtlijn dat de eiser </w:t>
      </w:r>
      <w:r w:rsidRPr="00463949" w:rsidR="000E08A5">
        <w:rPr>
          <w:rFonts w:ascii="Times New Roman" w:hAnsi="Times New Roman" w:cs="Times New Roman"/>
          <w:sz w:val="24"/>
          <w:szCs w:val="24"/>
        </w:rPr>
        <w:t xml:space="preserve">het gebrek </w:t>
      </w:r>
      <w:r w:rsidRPr="00463949" w:rsidR="00F37C84">
        <w:rPr>
          <w:rFonts w:ascii="Times New Roman" w:hAnsi="Times New Roman" w:cs="Times New Roman"/>
          <w:sz w:val="24"/>
          <w:szCs w:val="24"/>
        </w:rPr>
        <w:t>van het product</w:t>
      </w:r>
      <w:r w:rsidRPr="00463949" w:rsidR="00E94F4F">
        <w:rPr>
          <w:rFonts w:ascii="Times New Roman" w:hAnsi="Times New Roman" w:cs="Times New Roman"/>
          <w:sz w:val="24"/>
          <w:szCs w:val="24"/>
        </w:rPr>
        <w:t>, de schade</w:t>
      </w:r>
      <w:r w:rsidRPr="00463949" w:rsidR="00F37C84">
        <w:rPr>
          <w:rFonts w:ascii="Times New Roman" w:hAnsi="Times New Roman" w:cs="Times New Roman"/>
          <w:sz w:val="24"/>
          <w:szCs w:val="24"/>
        </w:rPr>
        <w:t xml:space="preserve"> </w:t>
      </w:r>
      <w:r w:rsidRPr="00463949">
        <w:rPr>
          <w:rFonts w:ascii="Times New Roman" w:hAnsi="Times New Roman" w:cs="Times New Roman"/>
          <w:sz w:val="24"/>
          <w:szCs w:val="24"/>
        </w:rPr>
        <w:t xml:space="preserve">en het oorzakelijk verband tussen </w:t>
      </w:r>
      <w:r w:rsidRPr="00463949" w:rsidR="000E08A5">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en de schade dient te bewijzen. Deze regel vloeit naar Nederlands recht </w:t>
      </w:r>
      <w:r w:rsidRPr="00463949" w:rsidR="00694FAB">
        <w:rPr>
          <w:rFonts w:ascii="Times New Roman" w:hAnsi="Times New Roman" w:cs="Times New Roman"/>
          <w:sz w:val="24"/>
          <w:szCs w:val="24"/>
        </w:rPr>
        <w:t xml:space="preserve">reeds </w:t>
      </w:r>
      <w:r w:rsidRPr="00463949">
        <w:rPr>
          <w:rFonts w:ascii="Times New Roman" w:hAnsi="Times New Roman" w:cs="Times New Roman"/>
          <w:sz w:val="24"/>
          <w:szCs w:val="24"/>
        </w:rPr>
        <w:t xml:space="preserve">voort uit de </w:t>
      </w:r>
      <w:r w:rsidRPr="00463949" w:rsidR="002A73BA">
        <w:rPr>
          <w:rFonts w:ascii="Times New Roman" w:hAnsi="Times New Roman" w:cs="Times New Roman"/>
          <w:sz w:val="24"/>
          <w:szCs w:val="24"/>
        </w:rPr>
        <w:t xml:space="preserve">hoofdregel </w:t>
      </w:r>
      <w:r w:rsidRPr="00463949">
        <w:rPr>
          <w:rFonts w:ascii="Times New Roman" w:hAnsi="Times New Roman" w:cs="Times New Roman"/>
          <w:sz w:val="24"/>
          <w:szCs w:val="24"/>
        </w:rPr>
        <w:t>van bewijslastverdeling</w:t>
      </w:r>
      <w:r w:rsidRPr="00463949" w:rsidR="002A73BA">
        <w:rPr>
          <w:rFonts w:ascii="Times New Roman" w:hAnsi="Times New Roman" w:cs="Times New Roman"/>
          <w:sz w:val="24"/>
          <w:szCs w:val="24"/>
        </w:rPr>
        <w:t xml:space="preserve"> (artikel 150 Rv)</w:t>
      </w:r>
      <w:r w:rsidRPr="00463949">
        <w:rPr>
          <w:rFonts w:ascii="Times New Roman" w:hAnsi="Times New Roman" w:cs="Times New Roman"/>
          <w:sz w:val="24"/>
          <w:szCs w:val="24"/>
        </w:rPr>
        <w:t>, maar is omwille van de duidelijkheid gehandhaafd.</w:t>
      </w:r>
      <w:r w:rsidRPr="00463949" w:rsidR="00693436">
        <w:rPr>
          <w:rFonts w:ascii="Times New Roman" w:hAnsi="Times New Roman" w:cs="Times New Roman"/>
          <w:sz w:val="24"/>
          <w:szCs w:val="24"/>
        </w:rPr>
        <w:t xml:space="preserve"> </w:t>
      </w:r>
    </w:p>
    <w:p w:rsidRPr="00463949" w:rsidR="00693436" w:rsidP="00D045E0" w:rsidRDefault="00693436" w14:paraId="0B34FB25" w14:textId="77777777">
      <w:pPr>
        <w:spacing w:after="0" w:line="276" w:lineRule="auto"/>
        <w:rPr>
          <w:rFonts w:ascii="Times New Roman" w:hAnsi="Times New Roman" w:cs="Times New Roman"/>
          <w:sz w:val="24"/>
          <w:szCs w:val="24"/>
        </w:rPr>
      </w:pPr>
    </w:p>
    <w:p w:rsidRPr="00463949" w:rsidR="00184A6A" w:rsidP="00D045E0" w:rsidRDefault="00D452F8" w14:paraId="08344BD8" w14:textId="6682F919">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Nieuw</w:t>
      </w:r>
      <w:r w:rsidRPr="00463949" w:rsidR="00F73F34">
        <w:rPr>
          <w:rFonts w:ascii="Times New Roman" w:hAnsi="Times New Roman" w:cs="Times New Roman"/>
          <w:sz w:val="24"/>
          <w:szCs w:val="24"/>
        </w:rPr>
        <w:t xml:space="preserve"> ten opzichte van</w:t>
      </w:r>
      <w:r w:rsidRPr="00463949" w:rsidR="00B14E70">
        <w:rPr>
          <w:rFonts w:ascii="Times New Roman" w:hAnsi="Times New Roman" w:cs="Times New Roman"/>
          <w:sz w:val="24"/>
          <w:szCs w:val="24"/>
        </w:rPr>
        <w:t xml:space="preserve"> Richtlijn 85/374</w:t>
      </w:r>
      <w:r w:rsidRPr="00463949" w:rsidR="001B017B">
        <w:rPr>
          <w:rFonts w:ascii="Times New Roman" w:hAnsi="Times New Roman" w:cs="Times New Roman"/>
          <w:sz w:val="24"/>
          <w:szCs w:val="24"/>
        </w:rPr>
        <w:t>,</w:t>
      </w:r>
      <w:r w:rsidRPr="00463949">
        <w:rPr>
          <w:rFonts w:ascii="Times New Roman" w:hAnsi="Times New Roman" w:cs="Times New Roman"/>
          <w:sz w:val="24"/>
          <w:szCs w:val="24"/>
        </w:rPr>
        <w:t xml:space="preserve"> zijn de weerlegbare bewijsvermoedens van </w:t>
      </w:r>
      <w:r w:rsidRPr="00463949" w:rsidR="000E08A5">
        <w:rPr>
          <w:rFonts w:ascii="Times New Roman" w:hAnsi="Times New Roman" w:cs="Times New Roman"/>
          <w:sz w:val="24"/>
          <w:szCs w:val="24"/>
        </w:rPr>
        <w:t xml:space="preserve">het gebrek </w:t>
      </w:r>
      <w:r w:rsidRPr="00463949" w:rsidR="001B017B">
        <w:rPr>
          <w:rFonts w:ascii="Times New Roman" w:hAnsi="Times New Roman" w:cs="Times New Roman"/>
          <w:sz w:val="24"/>
          <w:szCs w:val="24"/>
        </w:rPr>
        <w:t xml:space="preserve">van product </w:t>
      </w:r>
      <w:r w:rsidRPr="00463949">
        <w:rPr>
          <w:rFonts w:ascii="Times New Roman" w:hAnsi="Times New Roman" w:cs="Times New Roman"/>
          <w:sz w:val="24"/>
          <w:szCs w:val="24"/>
        </w:rPr>
        <w:t xml:space="preserve">en het oorzakelijk verband tussen </w:t>
      </w:r>
      <w:r w:rsidRPr="00463949" w:rsidR="000E08A5">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en de schade </w:t>
      </w:r>
      <w:r w:rsidRPr="00463949" w:rsidR="00CC1290">
        <w:rPr>
          <w:rFonts w:ascii="Times New Roman" w:hAnsi="Times New Roman" w:cs="Times New Roman"/>
          <w:sz w:val="24"/>
          <w:szCs w:val="24"/>
        </w:rPr>
        <w:t xml:space="preserve">in </w:t>
      </w:r>
      <w:r w:rsidRPr="00463949">
        <w:rPr>
          <w:rFonts w:ascii="Times New Roman" w:hAnsi="Times New Roman" w:cs="Times New Roman"/>
          <w:sz w:val="24"/>
          <w:szCs w:val="24"/>
        </w:rPr>
        <w:t xml:space="preserve">artikel 10 leden 2-5 Richtlijn. </w:t>
      </w:r>
      <w:r w:rsidRPr="00463949" w:rsidR="00693436">
        <w:rPr>
          <w:rFonts w:ascii="Times New Roman" w:hAnsi="Times New Roman" w:cs="Times New Roman"/>
          <w:sz w:val="24"/>
          <w:szCs w:val="24"/>
        </w:rPr>
        <w:t xml:space="preserve">Hiermee wordt beoogd </w:t>
      </w:r>
      <w:r w:rsidRPr="00463949" w:rsidR="00E94F4F">
        <w:rPr>
          <w:rFonts w:ascii="Times New Roman" w:hAnsi="Times New Roman" w:cs="Times New Roman"/>
          <w:sz w:val="24"/>
          <w:szCs w:val="24"/>
        </w:rPr>
        <w:t>de op de eiser rustende bewijslast te verlichten</w:t>
      </w:r>
      <w:r w:rsidRPr="00463949" w:rsidR="00215D51">
        <w:rPr>
          <w:rFonts w:ascii="Times New Roman" w:hAnsi="Times New Roman" w:cs="Times New Roman"/>
          <w:sz w:val="24"/>
          <w:szCs w:val="24"/>
        </w:rPr>
        <w:t xml:space="preserve"> </w:t>
      </w:r>
      <w:r w:rsidRPr="00463949" w:rsidR="00693436">
        <w:rPr>
          <w:rFonts w:ascii="Times New Roman" w:hAnsi="Times New Roman" w:cs="Times New Roman"/>
          <w:sz w:val="24"/>
          <w:szCs w:val="24"/>
        </w:rPr>
        <w:t>(zie overweging 46)</w:t>
      </w:r>
      <w:r w:rsidRPr="00463949" w:rsidR="001B604D">
        <w:rPr>
          <w:rFonts w:ascii="Times New Roman" w:hAnsi="Times New Roman" w:cs="Times New Roman"/>
          <w:sz w:val="24"/>
          <w:szCs w:val="24"/>
        </w:rPr>
        <w:t>.</w:t>
      </w:r>
      <w:r w:rsidRPr="00463949" w:rsidR="00FE619A">
        <w:rPr>
          <w:rFonts w:ascii="Times New Roman" w:hAnsi="Times New Roman" w:cs="Times New Roman"/>
          <w:sz w:val="24"/>
          <w:szCs w:val="24"/>
        </w:rPr>
        <w:t xml:space="preserve"> </w:t>
      </w:r>
      <w:r w:rsidRPr="00463949" w:rsidR="009176EC">
        <w:rPr>
          <w:rFonts w:ascii="Times New Roman" w:hAnsi="Times New Roman" w:cs="Times New Roman"/>
          <w:sz w:val="24"/>
          <w:szCs w:val="24"/>
        </w:rPr>
        <w:t xml:space="preserve">Een bewijslastverlichting </w:t>
      </w:r>
      <w:r w:rsidRPr="00463949" w:rsidR="00FE619A">
        <w:rPr>
          <w:rFonts w:ascii="Times New Roman" w:hAnsi="Times New Roman" w:cs="Times New Roman"/>
          <w:sz w:val="24"/>
          <w:szCs w:val="24"/>
        </w:rPr>
        <w:t xml:space="preserve">moet worden onderscheiden van een omkering van de bewijslast. </w:t>
      </w:r>
      <w:r w:rsidRPr="00463949" w:rsidR="009176EC">
        <w:rPr>
          <w:rFonts w:ascii="Times New Roman" w:hAnsi="Times New Roman" w:cs="Times New Roman"/>
          <w:sz w:val="24"/>
          <w:szCs w:val="24"/>
        </w:rPr>
        <w:t xml:space="preserve">Van een omkering </w:t>
      </w:r>
      <w:r w:rsidRPr="00463949" w:rsidR="00FE619A">
        <w:rPr>
          <w:rFonts w:ascii="Times New Roman" w:hAnsi="Times New Roman" w:cs="Times New Roman"/>
          <w:sz w:val="24"/>
          <w:szCs w:val="24"/>
        </w:rPr>
        <w:t xml:space="preserve">is </w:t>
      </w:r>
      <w:r w:rsidRPr="00463949" w:rsidR="00B469BD">
        <w:rPr>
          <w:rFonts w:ascii="Times New Roman" w:hAnsi="Times New Roman" w:cs="Times New Roman"/>
          <w:sz w:val="24"/>
          <w:szCs w:val="24"/>
        </w:rPr>
        <w:t xml:space="preserve">in </w:t>
      </w:r>
      <w:r w:rsidRPr="00463949" w:rsidR="00FE619A">
        <w:rPr>
          <w:rFonts w:ascii="Times New Roman" w:hAnsi="Times New Roman" w:cs="Times New Roman"/>
          <w:sz w:val="24"/>
          <w:szCs w:val="24"/>
        </w:rPr>
        <w:t xml:space="preserve">dit wetsvoorstel geen sprake. Dit strookt met de preambule van de Richtlijn, </w:t>
      </w:r>
      <w:r w:rsidRPr="00463949" w:rsidR="0064564E">
        <w:rPr>
          <w:rFonts w:ascii="Times New Roman" w:hAnsi="Times New Roman" w:cs="Times New Roman"/>
          <w:sz w:val="24"/>
          <w:szCs w:val="24"/>
        </w:rPr>
        <w:t xml:space="preserve">waaruit blijkt dat </w:t>
      </w:r>
      <w:r w:rsidRPr="00463949" w:rsidR="00D134BF">
        <w:rPr>
          <w:rFonts w:ascii="Times New Roman" w:hAnsi="Times New Roman" w:cs="Times New Roman"/>
          <w:sz w:val="24"/>
          <w:szCs w:val="24"/>
        </w:rPr>
        <w:t xml:space="preserve">een omkering van de bewijslast </w:t>
      </w:r>
      <w:r w:rsidRPr="00463949" w:rsidR="0064564E">
        <w:rPr>
          <w:rFonts w:ascii="Times New Roman" w:hAnsi="Times New Roman" w:cs="Times New Roman"/>
          <w:sz w:val="24"/>
          <w:szCs w:val="24"/>
        </w:rPr>
        <w:t xml:space="preserve">niet is beoogd </w:t>
      </w:r>
      <w:r w:rsidRPr="00463949" w:rsidR="00FE619A">
        <w:rPr>
          <w:rFonts w:ascii="Times New Roman" w:hAnsi="Times New Roman" w:cs="Times New Roman"/>
          <w:sz w:val="24"/>
          <w:szCs w:val="24"/>
        </w:rPr>
        <w:t xml:space="preserve">(zie overweging 48). </w:t>
      </w:r>
    </w:p>
    <w:p w:rsidRPr="00463949" w:rsidR="00184A6A" w:rsidP="00D045E0" w:rsidRDefault="00184A6A" w14:paraId="6D793021" w14:textId="77777777">
      <w:pPr>
        <w:spacing w:after="0" w:line="276" w:lineRule="auto"/>
        <w:rPr>
          <w:rFonts w:ascii="Times New Roman" w:hAnsi="Times New Roman" w:cs="Times New Roman"/>
          <w:sz w:val="24"/>
          <w:szCs w:val="24"/>
        </w:rPr>
      </w:pPr>
    </w:p>
    <w:p w:rsidRPr="00463949" w:rsidR="00184A6A" w:rsidP="00D045E0" w:rsidRDefault="00FF1919" w14:paraId="7212072B" w14:textId="2524E0AE">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Lid 2, aanhef en onder</w:t>
      </w:r>
      <w:r w:rsidRPr="00463949" w:rsidR="00847BEC">
        <w:rPr>
          <w:rFonts w:ascii="Times New Roman" w:hAnsi="Times New Roman" w:cs="Times New Roman"/>
          <w:sz w:val="24"/>
          <w:szCs w:val="24"/>
        </w:rPr>
        <w:t>deel</w:t>
      </w:r>
      <w:r w:rsidRPr="00463949">
        <w:rPr>
          <w:rFonts w:ascii="Times New Roman" w:hAnsi="Times New Roman" w:cs="Times New Roman"/>
          <w:sz w:val="24"/>
          <w:szCs w:val="24"/>
        </w:rPr>
        <w:t xml:space="preserve"> a, implementeert artikel 10 lid 2, aanhef en onder</w:t>
      </w:r>
      <w:r w:rsidRPr="00463949" w:rsidR="00C04840">
        <w:rPr>
          <w:rFonts w:ascii="Times New Roman" w:hAnsi="Times New Roman" w:cs="Times New Roman"/>
          <w:sz w:val="24"/>
          <w:szCs w:val="24"/>
        </w:rPr>
        <w:t>deel</w:t>
      </w:r>
      <w:r w:rsidRPr="00463949">
        <w:rPr>
          <w:rFonts w:ascii="Times New Roman" w:hAnsi="Times New Roman" w:cs="Times New Roman"/>
          <w:sz w:val="24"/>
          <w:szCs w:val="24"/>
        </w:rPr>
        <w:t xml:space="preserve"> a, Richtlijn. </w:t>
      </w:r>
      <w:r w:rsidRPr="00463949" w:rsidR="00C04840">
        <w:rPr>
          <w:rFonts w:ascii="Times New Roman" w:hAnsi="Times New Roman" w:cs="Times New Roman"/>
          <w:sz w:val="24"/>
          <w:szCs w:val="24"/>
        </w:rPr>
        <w:t xml:space="preserve">Deze richtlijnbepaling houdt in </w:t>
      </w:r>
      <w:r w:rsidRPr="00463949" w:rsidR="00D452F8">
        <w:rPr>
          <w:rFonts w:ascii="Times New Roman" w:hAnsi="Times New Roman" w:cs="Times New Roman"/>
          <w:sz w:val="24"/>
          <w:szCs w:val="24"/>
        </w:rPr>
        <w:t xml:space="preserve">dat </w:t>
      </w:r>
      <w:r w:rsidRPr="00463949" w:rsidR="001B604D">
        <w:rPr>
          <w:rFonts w:ascii="Times New Roman" w:hAnsi="Times New Roman" w:cs="Times New Roman"/>
          <w:sz w:val="24"/>
          <w:szCs w:val="24"/>
        </w:rPr>
        <w:t xml:space="preserve">het product wordt vermoed gebrekkig te zijn </w:t>
      </w:r>
      <w:r w:rsidRPr="00463949" w:rsidR="00C04840">
        <w:rPr>
          <w:rFonts w:ascii="Times New Roman" w:hAnsi="Times New Roman" w:cs="Times New Roman"/>
          <w:sz w:val="24"/>
          <w:szCs w:val="24"/>
        </w:rPr>
        <w:t>als</w:t>
      </w:r>
      <w:r w:rsidRPr="00463949" w:rsidR="001B604D">
        <w:rPr>
          <w:rFonts w:ascii="Times New Roman" w:hAnsi="Times New Roman" w:cs="Times New Roman"/>
          <w:sz w:val="24"/>
          <w:szCs w:val="24"/>
        </w:rPr>
        <w:t xml:space="preserve"> de verweerder</w:t>
      </w:r>
      <w:r w:rsidRPr="00463949" w:rsidR="001B017B">
        <w:rPr>
          <w:rFonts w:ascii="Times New Roman" w:hAnsi="Times New Roman" w:cs="Times New Roman"/>
          <w:sz w:val="24"/>
          <w:szCs w:val="24"/>
        </w:rPr>
        <w:t xml:space="preserve"> verzuimt toegang te verlenen tot relevant bewijsmateriaal op grond van artikel 9 lid 1 Richtlijn</w:t>
      </w:r>
      <w:r w:rsidRPr="00463949" w:rsidR="001B604D">
        <w:rPr>
          <w:rFonts w:ascii="Times New Roman" w:hAnsi="Times New Roman" w:cs="Times New Roman"/>
          <w:sz w:val="24"/>
          <w:szCs w:val="24"/>
        </w:rPr>
        <w:t>.</w:t>
      </w:r>
      <w:r w:rsidRPr="00463949" w:rsidR="001B017B">
        <w:rPr>
          <w:rFonts w:ascii="Times New Roman" w:hAnsi="Times New Roman" w:cs="Times New Roman"/>
          <w:sz w:val="24"/>
          <w:szCs w:val="24"/>
        </w:rPr>
        <w:t xml:space="preserve"> </w:t>
      </w:r>
      <w:r w:rsidRPr="00463949" w:rsidR="00C04840">
        <w:rPr>
          <w:rFonts w:ascii="Times New Roman" w:hAnsi="Times New Roman" w:cs="Times New Roman"/>
          <w:sz w:val="24"/>
          <w:szCs w:val="24"/>
        </w:rPr>
        <w:t>L</w:t>
      </w:r>
      <w:r w:rsidRPr="00463949">
        <w:rPr>
          <w:rFonts w:ascii="Times New Roman" w:hAnsi="Times New Roman" w:cs="Times New Roman"/>
          <w:sz w:val="24"/>
          <w:szCs w:val="24"/>
        </w:rPr>
        <w:t>id 2, aanhef en onder</w:t>
      </w:r>
      <w:r w:rsidRPr="00463949" w:rsidR="00C04840">
        <w:rPr>
          <w:rFonts w:ascii="Times New Roman" w:hAnsi="Times New Roman" w:cs="Times New Roman"/>
          <w:sz w:val="24"/>
          <w:szCs w:val="24"/>
        </w:rPr>
        <w:t>deel</w:t>
      </w:r>
      <w:r w:rsidRPr="00463949">
        <w:rPr>
          <w:rFonts w:ascii="Times New Roman" w:hAnsi="Times New Roman" w:cs="Times New Roman"/>
          <w:sz w:val="24"/>
          <w:szCs w:val="24"/>
        </w:rPr>
        <w:t xml:space="preserve"> a, </w:t>
      </w:r>
      <w:r w:rsidRPr="00463949" w:rsidR="00C04840">
        <w:rPr>
          <w:rFonts w:ascii="Times New Roman" w:hAnsi="Times New Roman" w:cs="Times New Roman"/>
          <w:sz w:val="24"/>
          <w:szCs w:val="24"/>
        </w:rPr>
        <w:t xml:space="preserve">verwijst voor deze verplichting </w:t>
      </w:r>
      <w:r w:rsidRPr="00463949" w:rsidR="001B604D">
        <w:rPr>
          <w:rFonts w:ascii="Times New Roman" w:hAnsi="Times New Roman" w:cs="Times New Roman"/>
          <w:sz w:val="24"/>
          <w:szCs w:val="24"/>
        </w:rPr>
        <w:t>naar de</w:t>
      </w:r>
      <w:r w:rsidRPr="00463949">
        <w:rPr>
          <w:rFonts w:ascii="Times New Roman" w:hAnsi="Times New Roman" w:cs="Times New Roman"/>
          <w:sz w:val="24"/>
          <w:szCs w:val="24"/>
        </w:rPr>
        <w:t xml:space="preserve"> </w:t>
      </w:r>
      <w:r w:rsidRPr="00463949" w:rsidR="001B604D">
        <w:rPr>
          <w:rFonts w:ascii="Times New Roman" w:hAnsi="Times New Roman" w:cs="Times New Roman"/>
          <w:sz w:val="24"/>
          <w:szCs w:val="24"/>
        </w:rPr>
        <w:t>artikelen 194 en 195</w:t>
      </w:r>
      <w:r w:rsidRPr="00463949">
        <w:rPr>
          <w:rFonts w:ascii="Times New Roman" w:hAnsi="Times New Roman" w:cs="Times New Roman"/>
          <w:sz w:val="24"/>
          <w:szCs w:val="24"/>
        </w:rPr>
        <w:t xml:space="preserve"> Rv</w:t>
      </w:r>
      <w:r w:rsidRPr="00463949" w:rsidR="00764957">
        <w:rPr>
          <w:rFonts w:ascii="Times New Roman" w:hAnsi="Times New Roman" w:cs="Times New Roman"/>
          <w:sz w:val="24"/>
          <w:szCs w:val="24"/>
        </w:rPr>
        <w:t>,</w:t>
      </w:r>
      <w:r w:rsidRPr="00463949" w:rsidR="00694FAB">
        <w:rPr>
          <w:rFonts w:ascii="Times New Roman" w:hAnsi="Times New Roman" w:cs="Times New Roman"/>
          <w:sz w:val="24"/>
          <w:szCs w:val="24"/>
        </w:rPr>
        <w:t xml:space="preserve"> die </w:t>
      </w:r>
      <w:r w:rsidRPr="00463949" w:rsidR="00693436">
        <w:rPr>
          <w:rFonts w:ascii="Times New Roman" w:hAnsi="Times New Roman" w:cs="Times New Roman"/>
          <w:sz w:val="24"/>
          <w:szCs w:val="24"/>
        </w:rPr>
        <w:t xml:space="preserve">inhoudelijk </w:t>
      </w:r>
      <w:r w:rsidRPr="00463949" w:rsidR="00C04840">
        <w:rPr>
          <w:rFonts w:ascii="Times New Roman" w:hAnsi="Times New Roman" w:cs="Times New Roman"/>
          <w:sz w:val="24"/>
          <w:szCs w:val="24"/>
        </w:rPr>
        <w:t>overeen</w:t>
      </w:r>
      <w:r w:rsidRPr="00463949" w:rsidR="00694FAB">
        <w:rPr>
          <w:rFonts w:ascii="Times New Roman" w:hAnsi="Times New Roman" w:cs="Times New Roman"/>
          <w:sz w:val="24"/>
          <w:szCs w:val="24"/>
        </w:rPr>
        <w:t>stemmen</w:t>
      </w:r>
      <w:r w:rsidRPr="00463949" w:rsidR="00C04840">
        <w:rPr>
          <w:rFonts w:ascii="Times New Roman" w:hAnsi="Times New Roman" w:cs="Times New Roman"/>
          <w:sz w:val="24"/>
          <w:szCs w:val="24"/>
        </w:rPr>
        <w:t xml:space="preserve"> </w:t>
      </w:r>
      <w:r w:rsidRPr="00463949" w:rsidR="001B017B">
        <w:rPr>
          <w:rFonts w:ascii="Times New Roman" w:hAnsi="Times New Roman" w:cs="Times New Roman"/>
          <w:sz w:val="24"/>
          <w:szCs w:val="24"/>
        </w:rPr>
        <w:t xml:space="preserve">met </w:t>
      </w:r>
      <w:r w:rsidRPr="00463949" w:rsidR="001B604D">
        <w:rPr>
          <w:rFonts w:ascii="Times New Roman" w:hAnsi="Times New Roman" w:cs="Times New Roman"/>
          <w:sz w:val="24"/>
          <w:szCs w:val="24"/>
        </w:rPr>
        <w:t>artikel 9 lid 1 van de Richtlijn</w:t>
      </w:r>
      <w:r w:rsidRPr="00463949" w:rsidR="00215D51">
        <w:rPr>
          <w:rFonts w:ascii="Times New Roman" w:hAnsi="Times New Roman" w:cs="Times New Roman"/>
          <w:sz w:val="24"/>
          <w:szCs w:val="24"/>
        </w:rPr>
        <w:t xml:space="preserve"> </w:t>
      </w:r>
      <w:r w:rsidRPr="00463949" w:rsidR="00CD5E44">
        <w:rPr>
          <w:rFonts w:ascii="Times New Roman" w:hAnsi="Times New Roman" w:cs="Times New Roman"/>
          <w:sz w:val="24"/>
          <w:szCs w:val="24"/>
        </w:rPr>
        <w:t>(z</w:t>
      </w:r>
      <w:r w:rsidRPr="00463949" w:rsidR="001B604D">
        <w:rPr>
          <w:rFonts w:ascii="Times New Roman" w:hAnsi="Times New Roman" w:cs="Times New Roman"/>
          <w:sz w:val="24"/>
          <w:szCs w:val="24"/>
        </w:rPr>
        <w:t xml:space="preserve">ie paragraaf </w:t>
      </w:r>
      <w:r w:rsidRPr="00463949" w:rsidR="00693436">
        <w:rPr>
          <w:rFonts w:ascii="Times New Roman" w:hAnsi="Times New Roman" w:cs="Times New Roman"/>
          <w:sz w:val="24"/>
          <w:szCs w:val="24"/>
        </w:rPr>
        <w:t>3.2</w:t>
      </w:r>
      <w:r w:rsidRPr="00463949" w:rsidR="00215D51">
        <w:rPr>
          <w:rFonts w:ascii="Times New Roman" w:hAnsi="Times New Roman" w:cs="Times New Roman"/>
          <w:sz w:val="24"/>
          <w:szCs w:val="24"/>
        </w:rPr>
        <w:t xml:space="preserve"> van het algemeen deel van deze memorie van toelichting</w:t>
      </w:r>
      <w:r w:rsidRPr="00463949" w:rsidR="00CD5E44">
        <w:rPr>
          <w:rFonts w:ascii="Times New Roman" w:hAnsi="Times New Roman" w:cs="Times New Roman"/>
          <w:sz w:val="24"/>
          <w:szCs w:val="24"/>
        </w:rPr>
        <w:t>)</w:t>
      </w:r>
      <w:r w:rsidRPr="00463949" w:rsidR="001B604D">
        <w:rPr>
          <w:rFonts w:ascii="Times New Roman" w:hAnsi="Times New Roman" w:cs="Times New Roman"/>
          <w:sz w:val="24"/>
          <w:szCs w:val="24"/>
        </w:rPr>
        <w:t>.</w:t>
      </w:r>
      <w:r w:rsidRPr="00463949" w:rsidR="00C04840">
        <w:rPr>
          <w:rFonts w:ascii="Times New Roman" w:hAnsi="Times New Roman" w:cs="Times New Roman"/>
          <w:sz w:val="24"/>
          <w:szCs w:val="24"/>
        </w:rPr>
        <w:t xml:space="preserve"> Verder wordt in plaats van de term “verweerder” de term “gedaagde” ge</w:t>
      </w:r>
      <w:r w:rsidRPr="00463949" w:rsidR="00693436">
        <w:rPr>
          <w:rFonts w:ascii="Times New Roman" w:hAnsi="Times New Roman" w:cs="Times New Roman"/>
          <w:sz w:val="24"/>
          <w:szCs w:val="24"/>
        </w:rPr>
        <w:t>bruikt</w:t>
      </w:r>
      <w:r w:rsidRPr="00463949" w:rsidR="00694FAB">
        <w:rPr>
          <w:rFonts w:ascii="Times New Roman" w:hAnsi="Times New Roman" w:cs="Times New Roman"/>
          <w:sz w:val="24"/>
          <w:szCs w:val="24"/>
        </w:rPr>
        <w:t xml:space="preserve">, aangezien </w:t>
      </w:r>
      <w:r w:rsidRPr="00463949" w:rsidR="00693436">
        <w:rPr>
          <w:rFonts w:ascii="Times New Roman" w:hAnsi="Times New Roman" w:cs="Times New Roman"/>
          <w:sz w:val="24"/>
          <w:szCs w:val="24"/>
        </w:rPr>
        <w:t xml:space="preserve">het bij </w:t>
      </w:r>
      <w:r w:rsidRPr="00463949" w:rsidR="00C3058C">
        <w:rPr>
          <w:rFonts w:ascii="Times New Roman" w:hAnsi="Times New Roman" w:cs="Times New Roman"/>
          <w:sz w:val="24"/>
          <w:szCs w:val="24"/>
        </w:rPr>
        <w:t xml:space="preserve">zaken </w:t>
      </w:r>
      <w:r w:rsidRPr="00463949" w:rsidR="00693436">
        <w:rPr>
          <w:rFonts w:ascii="Times New Roman" w:hAnsi="Times New Roman" w:cs="Times New Roman"/>
          <w:sz w:val="24"/>
          <w:szCs w:val="24"/>
        </w:rPr>
        <w:t xml:space="preserve">op grond van afdeling 6.3.3 BW </w:t>
      </w:r>
      <w:r w:rsidRPr="00463949" w:rsidR="00215D51">
        <w:rPr>
          <w:rFonts w:ascii="Times New Roman" w:hAnsi="Times New Roman" w:cs="Times New Roman"/>
          <w:sz w:val="24"/>
          <w:szCs w:val="24"/>
        </w:rPr>
        <w:t xml:space="preserve">gaat </w:t>
      </w:r>
      <w:r w:rsidRPr="00463949" w:rsidR="00694FAB">
        <w:rPr>
          <w:rFonts w:ascii="Times New Roman" w:hAnsi="Times New Roman" w:cs="Times New Roman"/>
          <w:sz w:val="24"/>
          <w:szCs w:val="24"/>
        </w:rPr>
        <w:t>om een dagvaardingsprocedure.</w:t>
      </w:r>
    </w:p>
    <w:p w:rsidRPr="00463949" w:rsidR="00184A6A" w:rsidP="00D045E0" w:rsidRDefault="00184A6A" w14:paraId="6BA88428" w14:textId="77777777">
      <w:pPr>
        <w:spacing w:after="0" w:line="276" w:lineRule="auto"/>
        <w:rPr>
          <w:rFonts w:ascii="Times New Roman" w:hAnsi="Times New Roman" w:cs="Times New Roman"/>
          <w:sz w:val="24"/>
          <w:szCs w:val="24"/>
        </w:rPr>
      </w:pPr>
    </w:p>
    <w:p w:rsidRPr="00463949" w:rsidR="00184A6A" w:rsidP="00D045E0" w:rsidRDefault="00FF1919" w14:paraId="2D50A199" w14:textId="71100CD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Lid 2, aanhef en onderdeel b, implementeert artikel 10 lid 2, aanhef en onder</w:t>
      </w:r>
      <w:r w:rsidRPr="00463949" w:rsidR="005F27EF">
        <w:rPr>
          <w:rFonts w:ascii="Times New Roman" w:hAnsi="Times New Roman" w:cs="Times New Roman"/>
          <w:sz w:val="24"/>
          <w:szCs w:val="24"/>
        </w:rPr>
        <w:t>deel</w:t>
      </w:r>
      <w:r w:rsidRPr="00463949">
        <w:rPr>
          <w:rFonts w:ascii="Times New Roman" w:hAnsi="Times New Roman" w:cs="Times New Roman"/>
          <w:sz w:val="24"/>
          <w:szCs w:val="24"/>
        </w:rPr>
        <w:t xml:space="preserve"> b, Richtlijn. </w:t>
      </w:r>
      <w:r w:rsidRPr="00463949" w:rsidR="009055F2">
        <w:rPr>
          <w:rFonts w:ascii="Times New Roman" w:hAnsi="Times New Roman" w:cs="Times New Roman"/>
          <w:sz w:val="24"/>
          <w:szCs w:val="24"/>
        </w:rPr>
        <w:t xml:space="preserve">Het onderdeel bepaalt dat </w:t>
      </w:r>
      <w:r w:rsidRPr="00463949" w:rsidR="00CF300B">
        <w:rPr>
          <w:rFonts w:ascii="Times New Roman" w:hAnsi="Times New Roman" w:cs="Times New Roman"/>
          <w:sz w:val="24"/>
          <w:szCs w:val="24"/>
        </w:rPr>
        <w:t xml:space="preserve">het product wordt vermoed gebrekkig te zijn </w:t>
      </w:r>
      <w:r w:rsidRPr="00463949" w:rsidR="005F27EF">
        <w:rPr>
          <w:rFonts w:ascii="Times New Roman" w:hAnsi="Times New Roman" w:cs="Times New Roman"/>
          <w:sz w:val="24"/>
          <w:szCs w:val="24"/>
        </w:rPr>
        <w:t xml:space="preserve">als </w:t>
      </w:r>
      <w:r w:rsidRPr="00463949" w:rsidR="00CF300B">
        <w:rPr>
          <w:rFonts w:ascii="Times New Roman" w:hAnsi="Times New Roman" w:cs="Times New Roman"/>
          <w:sz w:val="24"/>
          <w:szCs w:val="24"/>
        </w:rPr>
        <w:t xml:space="preserve">de eiser </w:t>
      </w:r>
      <w:r w:rsidRPr="00463949" w:rsidR="009176EC">
        <w:rPr>
          <w:rFonts w:ascii="Times New Roman" w:hAnsi="Times New Roman" w:cs="Times New Roman"/>
          <w:sz w:val="24"/>
          <w:szCs w:val="24"/>
        </w:rPr>
        <w:t xml:space="preserve">aantoont </w:t>
      </w:r>
      <w:r w:rsidRPr="00463949" w:rsidR="00CF300B">
        <w:rPr>
          <w:rFonts w:ascii="Times New Roman" w:hAnsi="Times New Roman" w:cs="Times New Roman"/>
          <w:sz w:val="24"/>
          <w:szCs w:val="24"/>
        </w:rPr>
        <w:t>dat het product niet voldoet aan de in het Unie- of nationale recht vastgestelde dwingende productveiligheidsvoorschriften die bedoeld zijn om bescherming te bieden tegen het risico van de door de benadeelde geleden schade.</w:t>
      </w:r>
      <w:r w:rsidRPr="00463949" w:rsidR="001B017B">
        <w:rPr>
          <w:rFonts w:ascii="Times New Roman" w:hAnsi="Times New Roman" w:cs="Times New Roman"/>
          <w:sz w:val="24"/>
          <w:szCs w:val="24"/>
        </w:rPr>
        <w:t xml:space="preserve"> </w:t>
      </w:r>
      <w:r w:rsidRPr="00463949" w:rsidR="002E0D2C">
        <w:rPr>
          <w:rFonts w:ascii="Times New Roman" w:hAnsi="Times New Roman" w:cs="Times New Roman"/>
          <w:sz w:val="24"/>
          <w:szCs w:val="24"/>
        </w:rPr>
        <w:t xml:space="preserve">Dit vermoeden omvat </w:t>
      </w:r>
      <w:r w:rsidRPr="00463949" w:rsidR="00E04317">
        <w:rPr>
          <w:rFonts w:ascii="Times New Roman" w:hAnsi="Times New Roman" w:cs="Times New Roman"/>
          <w:sz w:val="24"/>
          <w:szCs w:val="24"/>
        </w:rPr>
        <w:t xml:space="preserve">ook </w:t>
      </w:r>
      <w:r w:rsidRPr="00463949" w:rsidR="005F27EF">
        <w:rPr>
          <w:rFonts w:ascii="Times New Roman" w:hAnsi="Times New Roman" w:cs="Times New Roman"/>
          <w:sz w:val="24"/>
          <w:szCs w:val="24"/>
        </w:rPr>
        <w:t>gevallen waarin een product niet is voorzien van middelen om informatie over de werking van het product te registreren, zoals is vereist op grond van het Unie- of nationale recht</w:t>
      </w:r>
      <w:r w:rsidRPr="00463949" w:rsidR="002E0D2C">
        <w:rPr>
          <w:rFonts w:ascii="Times New Roman" w:hAnsi="Times New Roman" w:cs="Times New Roman"/>
          <w:sz w:val="24"/>
          <w:szCs w:val="24"/>
        </w:rPr>
        <w:t xml:space="preserve"> (zie overweging 46)</w:t>
      </w:r>
      <w:r w:rsidRPr="00463949" w:rsidR="005F27EF">
        <w:rPr>
          <w:rFonts w:ascii="Times New Roman" w:hAnsi="Times New Roman" w:cs="Times New Roman"/>
          <w:sz w:val="24"/>
          <w:szCs w:val="24"/>
        </w:rPr>
        <w:t>.</w:t>
      </w:r>
    </w:p>
    <w:p w:rsidRPr="00463949" w:rsidR="00184A6A" w:rsidP="00D045E0" w:rsidRDefault="00184A6A" w14:paraId="7E05F51B" w14:textId="77777777">
      <w:pPr>
        <w:spacing w:after="0" w:line="276" w:lineRule="auto"/>
        <w:rPr>
          <w:rFonts w:ascii="Times New Roman" w:hAnsi="Times New Roman" w:cs="Times New Roman"/>
          <w:sz w:val="24"/>
          <w:szCs w:val="24"/>
        </w:rPr>
      </w:pPr>
    </w:p>
    <w:p w:rsidRPr="00463949" w:rsidR="00184A6A" w:rsidP="00D045E0" w:rsidRDefault="00FF1919" w14:paraId="423F126D" w14:textId="514D61D8">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Lid 2, aanhef en onder</w:t>
      </w:r>
      <w:r w:rsidRPr="00463949" w:rsidR="00847BEC">
        <w:rPr>
          <w:rFonts w:ascii="Times New Roman" w:hAnsi="Times New Roman" w:cs="Times New Roman"/>
          <w:sz w:val="24"/>
          <w:szCs w:val="24"/>
        </w:rPr>
        <w:t>deel</w:t>
      </w:r>
      <w:r w:rsidRPr="00463949">
        <w:rPr>
          <w:rFonts w:ascii="Times New Roman" w:hAnsi="Times New Roman" w:cs="Times New Roman"/>
          <w:sz w:val="24"/>
          <w:szCs w:val="24"/>
        </w:rPr>
        <w:t xml:space="preserve"> c, implementeert a</w:t>
      </w:r>
      <w:r w:rsidRPr="00463949" w:rsidR="00CA53AB">
        <w:rPr>
          <w:rFonts w:ascii="Times New Roman" w:hAnsi="Times New Roman" w:cs="Times New Roman"/>
          <w:sz w:val="24"/>
          <w:szCs w:val="24"/>
        </w:rPr>
        <w:t>rtikel 10 lid 2</w:t>
      </w:r>
      <w:r w:rsidRPr="00463949" w:rsidR="002D53A4">
        <w:rPr>
          <w:rFonts w:ascii="Times New Roman" w:hAnsi="Times New Roman" w:cs="Times New Roman"/>
          <w:sz w:val="24"/>
          <w:szCs w:val="24"/>
        </w:rPr>
        <w:t>, aanhef en</w:t>
      </w:r>
      <w:r w:rsidRPr="00463949" w:rsidR="00CA53AB">
        <w:rPr>
          <w:rFonts w:ascii="Times New Roman" w:hAnsi="Times New Roman" w:cs="Times New Roman"/>
          <w:sz w:val="24"/>
          <w:szCs w:val="24"/>
        </w:rPr>
        <w:t xml:space="preserve"> onder c</w:t>
      </w:r>
      <w:r w:rsidRPr="00463949" w:rsidR="002D53A4">
        <w:rPr>
          <w:rFonts w:ascii="Times New Roman" w:hAnsi="Times New Roman" w:cs="Times New Roman"/>
          <w:sz w:val="24"/>
          <w:szCs w:val="24"/>
        </w:rPr>
        <w:t>,</w:t>
      </w:r>
      <w:r w:rsidRPr="00463949" w:rsidR="00184A6A">
        <w:rPr>
          <w:rFonts w:ascii="Times New Roman" w:hAnsi="Times New Roman" w:cs="Times New Roman"/>
          <w:sz w:val="24"/>
          <w:szCs w:val="24"/>
        </w:rPr>
        <w:t xml:space="preserve"> Richtlijn</w:t>
      </w:r>
      <w:r w:rsidRPr="00463949">
        <w:rPr>
          <w:rFonts w:ascii="Times New Roman" w:hAnsi="Times New Roman" w:cs="Times New Roman"/>
          <w:sz w:val="24"/>
          <w:szCs w:val="24"/>
        </w:rPr>
        <w:t xml:space="preserve">. </w:t>
      </w:r>
      <w:r w:rsidRPr="00463949" w:rsidR="009055F2">
        <w:rPr>
          <w:rFonts w:ascii="Times New Roman" w:hAnsi="Times New Roman" w:cs="Times New Roman"/>
          <w:sz w:val="24"/>
          <w:szCs w:val="24"/>
        </w:rPr>
        <w:t xml:space="preserve">Het onderdeel bepaalt </w:t>
      </w:r>
      <w:r w:rsidRPr="00463949" w:rsidR="00DC2379">
        <w:rPr>
          <w:rFonts w:ascii="Times New Roman" w:hAnsi="Times New Roman" w:cs="Times New Roman"/>
          <w:sz w:val="24"/>
          <w:szCs w:val="24"/>
        </w:rPr>
        <w:t xml:space="preserve">dat het product wordt vermoed gebrekkig te zijn als de eiser </w:t>
      </w:r>
      <w:r w:rsidRPr="00463949" w:rsidR="009176EC">
        <w:rPr>
          <w:rFonts w:ascii="Times New Roman" w:hAnsi="Times New Roman" w:cs="Times New Roman"/>
          <w:sz w:val="24"/>
          <w:szCs w:val="24"/>
        </w:rPr>
        <w:t xml:space="preserve">aantoont </w:t>
      </w:r>
      <w:r w:rsidRPr="00463949" w:rsidR="00DC2379">
        <w:rPr>
          <w:rFonts w:ascii="Times New Roman" w:hAnsi="Times New Roman" w:cs="Times New Roman"/>
          <w:sz w:val="24"/>
          <w:szCs w:val="24"/>
        </w:rPr>
        <w:t xml:space="preserve">dat de schade werd veroorzaakt door een kennelijk disfunctioneren van het product bij redelijkerwijs te verwachten gebruik of onder normale omstandigheden. </w:t>
      </w:r>
      <w:r w:rsidRPr="00463949" w:rsidR="00215D51">
        <w:rPr>
          <w:rFonts w:ascii="Times New Roman" w:hAnsi="Times New Roman" w:cs="Times New Roman"/>
          <w:sz w:val="24"/>
          <w:szCs w:val="24"/>
        </w:rPr>
        <w:t xml:space="preserve">In </w:t>
      </w:r>
      <w:r w:rsidRPr="00463949" w:rsidR="009055F2">
        <w:rPr>
          <w:rFonts w:ascii="Times New Roman" w:hAnsi="Times New Roman" w:cs="Times New Roman"/>
          <w:sz w:val="24"/>
          <w:szCs w:val="24"/>
        </w:rPr>
        <w:t xml:space="preserve">de preambule </w:t>
      </w:r>
      <w:r w:rsidRPr="00463949" w:rsidR="00215D51">
        <w:rPr>
          <w:rFonts w:ascii="Times New Roman" w:hAnsi="Times New Roman" w:cs="Times New Roman"/>
          <w:sz w:val="24"/>
          <w:szCs w:val="24"/>
        </w:rPr>
        <w:t xml:space="preserve">is </w:t>
      </w:r>
      <w:r w:rsidRPr="00463949" w:rsidR="00DC2379">
        <w:rPr>
          <w:rFonts w:ascii="Times New Roman" w:hAnsi="Times New Roman" w:cs="Times New Roman"/>
          <w:sz w:val="24"/>
          <w:szCs w:val="24"/>
        </w:rPr>
        <w:t xml:space="preserve">verduidelijkt wat moet worden verstaan onder “redelijkerwijs te verwachten gebruik”. Dit omvat ten eerste het gebruik </w:t>
      </w:r>
      <w:r w:rsidRPr="00463949" w:rsidR="00235C90">
        <w:rPr>
          <w:rFonts w:ascii="Times New Roman" w:hAnsi="Times New Roman" w:cs="Times New Roman"/>
          <w:sz w:val="24"/>
          <w:szCs w:val="24"/>
        </w:rPr>
        <w:t xml:space="preserve">waarvoor een product bedoeld is volgens de informatie die verstrekt is door de fabrikant of </w:t>
      </w:r>
      <w:r w:rsidRPr="00463949" w:rsidR="00E04317">
        <w:rPr>
          <w:rFonts w:ascii="Times New Roman" w:hAnsi="Times New Roman" w:cs="Times New Roman"/>
          <w:sz w:val="24"/>
          <w:szCs w:val="24"/>
        </w:rPr>
        <w:t xml:space="preserve">(andere) </w:t>
      </w:r>
      <w:r w:rsidRPr="00463949" w:rsidR="00235C90">
        <w:rPr>
          <w:rFonts w:ascii="Times New Roman" w:hAnsi="Times New Roman" w:cs="Times New Roman"/>
          <w:sz w:val="24"/>
          <w:szCs w:val="24"/>
        </w:rPr>
        <w:t>marktdeelnemer die het in de handel brengt</w:t>
      </w:r>
      <w:r w:rsidRPr="00463949" w:rsidR="00DC2379">
        <w:rPr>
          <w:rFonts w:ascii="Times New Roman" w:hAnsi="Times New Roman" w:cs="Times New Roman"/>
          <w:sz w:val="24"/>
          <w:szCs w:val="24"/>
        </w:rPr>
        <w:t>. Ten tweede omvat dit</w:t>
      </w:r>
      <w:r w:rsidRPr="00463949" w:rsidR="00235C90">
        <w:rPr>
          <w:rFonts w:ascii="Times New Roman" w:hAnsi="Times New Roman" w:cs="Times New Roman"/>
          <w:sz w:val="24"/>
          <w:szCs w:val="24"/>
        </w:rPr>
        <w:t xml:space="preserve"> het normale gebruik zoals bepaald door het ontwerp en de constructie van het product</w:t>
      </w:r>
      <w:r w:rsidRPr="00463949" w:rsidR="00DC2379">
        <w:rPr>
          <w:rFonts w:ascii="Times New Roman" w:hAnsi="Times New Roman" w:cs="Times New Roman"/>
          <w:sz w:val="24"/>
          <w:szCs w:val="24"/>
        </w:rPr>
        <w:t xml:space="preserve">. Tot slot wordt hieronder verstaan: </w:t>
      </w:r>
      <w:r w:rsidRPr="00463949" w:rsidR="00235C90">
        <w:rPr>
          <w:rFonts w:ascii="Times New Roman" w:hAnsi="Times New Roman" w:cs="Times New Roman"/>
          <w:sz w:val="24"/>
          <w:szCs w:val="24"/>
        </w:rPr>
        <w:t>het gebruik dat redelijkerwijs kan worden verwacht wanneer een dergelijk gebruik voortvloeit uit rechtmatig en eenvoudig voorspelbaar menselijk gedrag</w:t>
      </w:r>
      <w:r w:rsidRPr="00463949" w:rsidR="009055F2">
        <w:rPr>
          <w:rFonts w:ascii="Times New Roman" w:hAnsi="Times New Roman" w:cs="Times New Roman"/>
          <w:sz w:val="24"/>
          <w:szCs w:val="24"/>
        </w:rPr>
        <w:t xml:space="preserve"> (zie overweging 46)</w:t>
      </w:r>
      <w:r w:rsidRPr="00463949" w:rsidR="00DC2379">
        <w:rPr>
          <w:rFonts w:ascii="Times New Roman" w:hAnsi="Times New Roman" w:cs="Times New Roman"/>
          <w:sz w:val="24"/>
          <w:szCs w:val="24"/>
        </w:rPr>
        <w:t>.</w:t>
      </w:r>
    </w:p>
    <w:p w:rsidRPr="00463949" w:rsidR="002D53A4" w:rsidP="00D045E0" w:rsidRDefault="002D53A4" w14:paraId="35B933AA" w14:textId="77777777">
      <w:pPr>
        <w:spacing w:after="0" w:line="276" w:lineRule="auto"/>
        <w:rPr>
          <w:rFonts w:ascii="Times New Roman" w:hAnsi="Times New Roman" w:cs="Times New Roman"/>
          <w:sz w:val="24"/>
          <w:szCs w:val="24"/>
        </w:rPr>
      </w:pPr>
    </w:p>
    <w:p w:rsidRPr="00463949" w:rsidR="002D53A4" w:rsidP="00D045E0" w:rsidRDefault="002D53A4" w14:paraId="1B6CB40C" w14:textId="21070F8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3 implementeert artikel 10 lid 3 Richtlijn. </w:t>
      </w:r>
      <w:r w:rsidRPr="00463949" w:rsidR="009055F2">
        <w:rPr>
          <w:rFonts w:ascii="Times New Roman" w:hAnsi="Times New Roman" w:cs="Times New Roman"/>
          <w:sz w:val="24"/>
          <w:szCs w:val="24"/>
        </w:rPr>
        <w:t xml:space="preserve">Lid 3 </w:t>
      </w:r>
      <w:r w:rsidRPr="00463949">
        <w:rPr>
          <w:rFonts w:ascii="Times New Roman" w:hAnsi="Times New Roman" w:cs="Times New Roman"/>
          <w:sz w:val="24"/>
          <w:szCs w:val="24"/>
        </w:rPr>
        <w:t xml:space="preserve">bepaalt dat het oorzakelijk verband tussen </w:t>
      </w:r>
      <w:r w:rsidRPr="00463949" w:rsidR="000E08A5">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van het product en de schade </w:t>
      </w:r>
      <w:r w:rsidRPr="00463949" w:rsidR="00FF1919">
        <w:rPr>
          <w:rFonts w:ascii="Times New Roman" w:hAnsi="Times New Roman" w:cs="Times New Roman"/>
          <w:sz w:val="24"/>
          <w:szCs w:val="24"/>
        </w:rPr>
        <w:t>wordt vermoed wanneer is vastgesteld dat het product gebrekkig is en dat de soort veroorzaakte schade doorgaans strookt met het betrokken gebrek.</w:t>
      </w:r>
    </w:p>
    <w:p w:rsidRPr="00463949" w:rsidR="00FF1919" w:rsidP="00D045E0" w:rsidRDefault="00FF1919" w14:paraId="2FB6F1DD" w14:textId="77777777">
      <w:pPr>
        <w:spacing w:after="0" w:line="276" w:lineRule="auto"/>
        <w:rPr>
          <w:rFonts w:ascii="Times New Roman" w:hAnsi="Times New Roman" w:cs="Times New Roman"/>
          <w:sz w:val="24"/>
          <w:szCs w:val="24"/>
        </w:rPr>
      </w:pPr>
    </w:p>
    <w:p w:rsidRPr="00463949" w:rsidR="001832C8" w:rsidP="00D045E0" w:rsidRDefault="00FF1919" w14:paraId="5A49B7AD" w14:textId="7F619BEA">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4 implementeert </w:t>
      </w:r>
      <w:r w:rsidRPr="00463949" w:rsidR="002D7F9A">
        <w:rPr>
          <w:rFonts w:ascii="Times New Roman" w:hAnsi="Times New Roman" w:cs="Times New Roman"/>
          <w:sz w:val="24"/>
          <w:szCs w:val="24"/>
        </w:rPr>
        <w:t xml:space="preserve">artikel 10 lid 4, aanhef en onderdelen a en b, Richtlijn. </w:t>
      </w:r>
      <w:r w:rsidRPr="00463949" w:rsidR="009055F2">
        <w:rPr>
          <w:rFonts w:ascii="Times New Roman" w:hAnsi="Times New Roman" w:cs="Times New Roman"/>
          <w:sz w:val="24"/>
          <w:szCs w:val="24"/>
        </w:rPr>
        <w:t xml:space="preserve">In lid 4 </w:t>
      </w:r>
      <w:r w:rsidRPr="00463949" w:rsidR="002D7F9A">
        <w:rPr>
          <w:rFonts w:ascii="Times New Roman" w:hAnsi="Times New Roman" w:cs="Times New Roman"/>
          <w:sz w:val="24"/>
          <w:szCs w:val="24"/>
        </w:rPr>
        <w:t xml:space="preserve">zijn </w:t>
      </w:r>
      <w:r w:rsidRPr="00463949" w:rsidR="009055F2">
        <w:rPr>
          <w:rFonts w:ascii="Times New Roman" w:hAnsi="Times New Roman" w:cs="Times New Roman"/>
          <w:sz w:val="24"/>
          <w:szCs w:val="24"/>
        </w:rPr>
        <w:t xml:space="preserve">dienovereenkomstig </w:t>
      </w:r>
      <w:r w:rsidRPr="00463949">
        <w:rPr>
          <w:rFonts w:ascii="Times New Roman" w:hAnsi="Times New Roman" w:cs="Times New Roman"/>
          <w:sz w:val="24"/>
          <w:szCs w:val="24"/>
        </w:rPr>
        <w:t xml:space="preserve">bewijsvermoedens </w:t>
      </w:r>
      <w:r w:rsidRPr="00463949" w:rsidR="002D7F9A">
        <w:rPr>
          <w:rFonts w:ascii="Times New Roman" w:hAnsi="Times New Roman" w:cs="Times New Roman"/>
          <w:sz w:val="24"/>
          <w:szCs w:val="24"/>
        </w:rPr>
        <w:t xml:space="preserve">opgenomen </w:t>
      </w:r>
      <w:r w:rsidRPr="00463949">
        <w:rPr>
          <w:rFonts w:ascii="Times New Roman" w:hAnsi="Times New Roman" w:cs="Times New Roman"/>
          <w:sz w:val="24"/>
          <w:szCs w:val="24"/>
        </w:rPr>
        <w:t xml:space="preserve">van </w:t>
      </w:r>
      <w:r w:rsidRPr="00463949" w:rsidR="000E08A5">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van het product </w:t>
      </w:r>
      <w:r w:rsidRPr="00463949" w:rsidR="009176EC">
        <w:rPr>
          <w:rFonts w:ascii="Times New Roman" w:hAnsi="Times New Roman" w:cs="Times New Roman"/>
          <w:sz w:val="24"/>
          <w:szCs w:val="24"/>
        </w:rPr>
        <w:t xml:space="preserve">en </w:t>
      </w:r>
      <w:r w:rsidRPr="00463949">
        <w:rPr>
          <w:rFonts w:ascii="Times New Roman" w:hAnsi="Times New Roman" w:cs="Times New Roman"/>
          <w:sz w:val="24"/>
          <w:szCs w:val="24"/>
        </w:rPr>
        <w:t xml:space="preserve">het oorzakelijke </w:t>
      </w:r>
      <w:r w:rsidRPr="00463949" w:rsidR="00847BEC">
        <w:rPr>
          <w:rFonts w:ascii="Times New Roman" w:hAnsi="Times New Roman" w:cs="Times New Roman"/>
          <w:sz w:val="24"/>
          <w:szCs w:val="24"/>
        </w:rPr>
        <w:t xml:space="preserve">verband tussen </w:t>
      </w:r>
      <w:r w:rsidRPr="00463949" w:rsidR="000E08A5">
        <w:rPr>
          <w:rFonts w:ascii="Times New Roman" w:hAnsi="Times New Roman" w:cs="Times New Roman"/>
          <w:sz w:val="24"/>
          <w:szCs w:val="24"/>
        </w:rPr>
        <w:t xml:space="preserve">het gebrek </w:t>
      </w:r>
      <w:r w:rsidRPr="00463949" w:rsidR="00847BEC">
        <w:rPr>
          <w:rFonts w:ascii="Times New Roman" w:hAnsi="Times New Roman" w:cs="Times New Roman"/>
          <w:sz w:val="24"/>
          <w:szCs w:val="24"/>
        </w:rPr>
        <w:t>en de schade</w:t>
      </w:r>
      <w:r w:rsidRPr="00463949" w:rsidR="002D7F9A">
        <w:rPr>
          <w:rFonts w:ascii="Times New Roman" w:hAnsi="Times New Roman" w:cs="Times New Roman"/>
          <w:sz w:val="24"/>
          <w:szCs w:val="24"/>
        </w:rPr>
        <w:t xml:space="preserve">. </w:t>
      </w:r>
      <w:r w:rsidRPr="00463949" w:rsidR="00472637">
        <w:rPr>
          <w:rFonts w:ascii="Times New Roman" w:hAnsi="Times New Roman" w:cs="Times New Roman"/>
          <w:sz w:val="24"/>
          <w:szCs w:val="24"/>
        </w:rPr>
        <w:t>Deze vermoedens zijn van toepassing indien de eiser, ondanks de toegang tot bewijsmateriaal</w:t>
      </w:r>
      <w:r w:rsidRPr="00463949" w:rsidR="002D7F9A">
        <w:rPr>
          <w:rFonts w:ascii="Times New Roman" w:hAnsi="Times New Roman" w:cs="Times New Roman"/>
          <w:sz w:val="24"/>
          <w:szCs w:val="24"/>
        </w:rPr>
        <w:t>:</w:t>
      </w:r>
    </w:p>
    <w:p w:rsidRPr="00463949" w:rsidR="001832C8" w:rsidP="00D045E0" w:rsidRDefault="00472637" w14:paraId="7D2FE17F" w14:textId="62E2CF07">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a) wordt geconfronteerd met buitensporige moeilijkheden, met name als gevolg van technische of wetenschappelijke complexiteit, om </w:t>
      </w:r>
      <w:r w:rsidRPr="00463949" w:rsidR="000E08A5">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van het product en/of het oorzakelijk verband tussen </w:t>
      </w:r>
      <w:r w:rsidRPr="00463949" w:rsidR="000E08A5">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en de schade aan te tonen, </w:t>
      </w:r>
      <w:r w:rsidRPr="00463949" w:rsidR="00C3058C">
        <w:rPr>
          <w:rFonts w:ascii="Times New Roman" w:hAnsi="Times New Roman" w:cs="Times New Roman"/>
          <w:sz w:val="24"/>
          <w:szCs w:val="24"/>
        </w:rPr>
        <w:t>é</w:t>
      </w:r>
      <w:r w:rsidRPr="00463949">
        <w:rPr>
          <w:rFonts w:ascii="Times New Roman" w:hAnsi="Times New Roman" w:cs="Times New Roman"/>
          <w:sz w:val="24"/>
          <w:szCs w:val="24"/>
        </w:rPr>
        <w:t xml:space="preserve">n </w:t>
      </w:r>
    </w:p>
    <w:p w:rsidRPr="00463949" w:rsidR="001832C8" w:rsidP="00D045E0" w:rsidRDefault="00472637" w14:paraId="3B423987" w14:textId="3D31455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b) hij </w:t>
      </w:r>
      <w:r w:rsidRPr="00463949" w:rsidR="009176EC">
        <w:rPr>
          <w:rFonts w:ascii="Times New Roman" w:hAnsi="Times New Roman" w:cs="Times New Roman"/>
          <w:sz w:val="24"/>
          <w:szCs w:val="24"/>
        </w:rPr>
        <w:t xml:space="preserve">aantoont </w:t>
      </w:r>
      <w:r w:rsidRPr="00463949">
        <w:rPr>
          <w:rFonts w:ascii="Times New Roman" w:hAnsi="Times New Roman" w:cs="Times New Roman"/>
          <w:sz w:val="24"/>
          <w:szCs w:val="24"/>
        </w:rPr>
        <w:t>dat het waarschijnlijk is dat het product gebrekkig is en/of dat</w:t>
      </w:r>
      <w:r w:rsidRPr="00463949" w:rsidR="00E04317">
        <w:rPr>
          <w:rFonts w:ascii="Times New Roman" w:hAnsi="Times New Roman" w:cs="Times New Roman"/>
          <w:sz w:val="24"/>
          <w:szCs w:val="24"/>
        </w:rPr>
        <w:t xml:space="preserve"> </w:t>
      </w:r>
      <w:r w:rsidRPr="00463949" w:rsidR="000D0AC0">
        <w:rPr>
          <w:rFonts w:ascii="Times New Roman" w:hAnsi="Times New Roman" w:cs="Times New Roman"/>
          <w:sz w:val="24"/>
          <w:szCs w:val="24"/>
        </w:rPr>
        <w:t xml:space="preserve">het waarschijnlijk is dat </w:t>
      </w:r>
      <w:r w:rsidRPr="00463949" w:rsidR="00E04317">
        <w:rPr>
          <w:rFonts w:ascii="Times New Roman" w:hAnsi="Times New Roman" w:cs="Times New Roman"/>
          <w:sz w:val="24"/>
          <w:szCs w:val="24"/>
        </w:rPr>
        <w:t>voornoemd oorzakelijk verband bestaat</w:t>
      </w:r>
      <w:r w:rsidRPr="00463949">
        <w:rPr>
          <w:rFonts w:ascii="Times New Roman" w:hAnsi="Times New Roman" w:cs="Times New Roman"/>
          <w:sz w:val="24"/>
          <w:szCs w:val="24"/>
        </w:rPr>
        <w:t>.</w:t>
      </w:r>
      <w:r w:rsidRPr="00463949" w:rsidR="009B00A0">
        <w:rPr>
          <w:rFonts w:ascii="Times New Roman" w:hAnsi="Times New Roman" w:cs="Times New Roman"/>
          <w:sz w:val="24"/>
          <w:szCs w:val="24"/>
        </w:rPr>
        <w:t xml:space="preserve"> </w:t>
      </w:r>
    </w:p>
    <w:p w:rsidRPr="00463949" w:rsidR="001832C8" w:rsidP="00D045E0" w:rsidRDefault="00674DDA" w14:paraId="4DDD7BB3" w14:textId="0EC03715">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 xml:space="preserve">Bij de beoordeling hiervan dient de rechter </w:t>
      </w:r>
      <w:r w:rsidRPr="00463949" w:rsidR="009B00A0">
        <w:rPr>
          <w:rFonts w:ascii="Times New Roman" w:hAnsi="Times New Roman" w:cs="Times New Roman"/>
          <w:sz w:val="24"/>
          <w:szCs w:val="24"/>
        </w:rPr>
        <w:t>rekening te houden met alle omstandigheden van het geval.</w:t>
      </w:r>
      <w:r w:rsidRPr="00463949" w:rsidR="00E04317">
        <w:rPr>
          <w:rFonts w:ascii="Times New Roman" w:hAnsi="Times New Roman" w:cs="Times New Roman"/>
          <w:sz w:val="24"/>
          <w:szCs w:val="24"/>
        </w:rPr>
        <w:t xml:space="preserve"> </w:t>
      </w:r>
    </w:p>
    <w:p w:rsidRPr="00463949" w:rsidR="001832C8" w:rsidP="00D045E0" w:rsidRDefault="001832C8" w14:paraId="3E8B7141" w14:textId="54BB4C1B">
      <w:pPr>
        <w:spacing w:after="0" w:line="276" w:lineRule="auto"/>
        <w:rPr>
          <w:rFonts w:ascii="Times New Roman" w:hAnsi="Times New Roman" w:cs="Times New Roman"/>
          <w:sz w:val="24"/>
          <w:szCs w:val="24"/>
        </w:rPr>
      </w:pPr>
    </w:p>
    <w:p w:rsidRPr="00463949" w:rsidR="00714336" w:rsidP="00D045E0" w:rsidRDefault="00386CF6" w14:paraId="0612051D" w14:textId="741F7239">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Uit de richtlijnbepaling - met de terminologie “en/of” - volgt dat deze bewijsvermoedens cumulatief kunnen worden toegepast. In overeenstemming met Aanbeveling 3.12 van de Aanwijzingen voor de Regelgeving blijft in Nederlandse wetten het gebruik van de uitdrukking “en/of” achterwege. Onder het woord “of” in het voorgestelde artikel 6:188 lid 4 BW moet </w:t>
      </w:r>
      <w:r w:rsidRPr="00463949" w:rsidR="00DC4B24">
        <w:rPr>
          <w:rFonts w:ascii="Times New Roman" w:hAnsi="Times New Roman" w:cs="Times New Roman"/>
          <w:sz w:val="24"/>
          <w:szCs w:val="24"/>
        </w:rPr>
        <w:t xml:space="preserve">in dit geval </w:t>
      </w:r>
      <w:r w:rsidRPr="00463949" w:rsidR="00B469BD">
        <w:rPr>
          <w:rFonts w:ascii="Times New Roman" w:hAnsi="Times New Roman" w:cs="Times New Roman"/>
          <w:sz w:val="24"/>
          <w:szCs w:val="24"/>
        </w:rPr>
        <w:t xml:space="preserve">daarom </w:t>
      </w:r>
      <w:r w:rsidRPr="00463949">
        <w:rPr>
          <w:rFonts w:ascii="Times New Roman" w:hAnsi="Times New Roman" w:cs="Times New Roman"/>
          <w:sz w:val="24"/>
          <w:szCs w:val="24"/>
        </w:rPr>
        <w:t xml:space="preserve">mede worden begrepen de situatie dat in een procedure beide vermoedens worden toegepast (cumulatie). </w:t>
      </w:r>
      <w:r w:rsidRPr="00463949" w:rsidR="00714336">
        <w:rPr>
          <w:rFonts w:ascii="Times New Roman" w:hAnsi="Times New Roman" w:cs="Times New Roman"/>
          <w:sz w:val="24"/>
          <w:szCs w:val="24"/>
        </w:rPr>
        <w:t xml:space="preserve">Voor cumulatie </w:t>
      </w:r>
      <w:r w:rsidRPr="00463949" w:rsidR="00596655">
        <w:rPr>
          <w:rFonts w:ascii="Times New Roman" w:hAnsi="Times New Roman" w:cs="Times New Roman"/>
          <w:sz w:val="24"/>
          <w:szCs w:val="24"/>
        </w:rPr>
        <w:t xml:space="preserve">van de bewijsvermoedens </w:t>
      </w:r>
      <w:r w:rsidRPr="00463949" w:rsidR="00714336">
        <w:rPr>
          <w:rFonts w:ascii="Times New Roman" w:hAnsi="Times New Roman" w:cs="Times New Roman"/>
          <w:sz w:val="24"/>
          <w:szCs w:val="24"/>
        </w:rPr>
        <w:t>is</w:t>
      </w:r>
      <w:r w:rsidRPr="00463949">
        <w:rPr>
          <w:rFonts w:ascii="Times New Roman" w:hAnsi="Times New Roman" w:cs="Times New Roman"/>
          <w:sz w:val="24"/>
          <w:szCs w:val="24"/>
        </w:rPr>
        <w:t xml:space="preserve"> in de eerste plaats </w:t>
      </w:r>
      <w:r w:rsidRPr="00463949" w:rsidR="00714336">
        <w:rPr>
          <w:rFonts w:ascii="Times New Roman" w:hAnsi="Times New Roman" w:cs="Times New Roman"/>
          <w:sz w:val="24"/>
          <w:szCs w:val="24"/>
        </w:rPr>
        <w:t xml:space="preserve">vereist dat de eiser wordt geconfronteerd met buitensporige moeilijkheden om het gebrek van het product </w:t>
      </w:r>
      <w:r w:rsidRPr="00463949" w:rsidR="00351062">
        <w:rPr>
          <w:rFonts w:ascii="Times New Roman" w:hAnsi="Times New Roman" w:cs="Times New Roman"/>
          <w:sz w:val="24"/>
          <w:szCs w:val="24"/>
        </w:rPr>
        <w:t xml:space="preserve">én </w:t>
      </w:r>
      <w:r w:rsidRPr="00463949" w:rsidR="00714336">
        <w:rPr>
          <w:rFonts w:ascii="Times New Roman" w:hAnsi="Times New Roman" w:cs="Times New Roman"/>
          <w:sz w:val="24"/>
          <w:szCs w:val="24"/>
        </w:rPr>
        <w:t>het oorzakelijke verband tussen het gebrek en de schade aan te tonen (artikel 6:188 lid 4, onderdeel a, BW). De eiser zal daartoe argumenten moeten aanvoeren</w:t>
      </w:r>
      <w:r w:rsidRPr="00463949" w:rsidR="00351062">
        <w:rPr>
          <w:rFonts w:ascii="Times New Roman" w:hAnsi="Times New Roman" w:cs="Times New Roman"/>
          <w:sz w:val="24"/>
          <w:szCs w:val="24"/>
        </w:rPr>
        <w:t>,</w:t>
      </w:r>
      <w:r w:rsidRPr="00463949" w:rsidR="00596655">
        <w:rPr>
          <w:rFonts w:ascii="Times New Roman" w:hAnsi="Times New Roman" w:cs="Times New Roman"/>
          <w:sz w:val="24"/>
          <w:szCs w:val="24"/>
        </w:rPr>
        <w:t xml:space="preserve"> </w:t>
      </w:r>
      <w:r w:rsidRPr="00463949" w:rsidR="00351062">
        <w:rPr>
          <w:rFonts w:ascii="Times New Roman" w:hAnsi="Times New Roman" w:cs="Times New Roman"/>
          <w:sz w:val="24"/>
          <w:szCs w:val="24"/>
        </w:rPr>
        <w:t>zowel ten aanzien van het gebrek als het oorzakelijk verband</w:t>
      </w:r>
      <w:r w:rsidRPr="00463949" w:rsidR="00714336">
        <w:rPr>
          <w:rFonts w:ascii="Times New Roman" w:hAnsi="Times New Roman" w:cs="Times New Roman"/>
          <w:sz w:val="24"/>
          <w:szCs w:val="24"/>
        </w:rPr>
        <w:t xml:space="preserve">. </w:t>
      </w:r>
      <w:r w:rsidRPr="00463949">
        <w:rPr>
          <w:rFonts w:ascii="Times New Roman" w:hAnsi="Times New Roman" w:cs="Times New Roman"/>
          <w:sz w:val="24"/>
          <w:szCs w:val="24"/>
        </w:rPr>
        <w:t xml:space="preserve">In de tweede plaats </w:t>
      </w:r>
      <w:r w:rsidRPr="00463949" w:rsidR="00714336">
        <w:rPr>
          <w:rFonts w:ascii="Times New Roman" w:hAnsi="Times New Roman" w:cs="Times New Roman"/>
          <w:sz w:val="24"/>
          <w:szCs w:val="24"/>
        </w:rPr>
        <w:t xml:space="preserve">zal de eiser moeten aantonen dat het waarschijnlijk is dat het product gebrekkig is én dat het waarschijnlijk is dat het oorzakelijk verband tussen het gebrek en de schade bestaat (artikel 6:188 lid 4, onderdeel b, BW). Slaagt de eiser daar niet in en toont hij bijvoorbeeld alleen aan dat het waarschijnlijk is dat het product gebrekkig is, dan zal alleen het vermoeden van het gebrek kunnen worden toegepast (en niet </w:t>
      </w:r>
      <w:r w:rsidRPr="00463949" w:rsidR="00B469BD">
        <w:rPr>
          <w:rFonts w:ascii="Times New Roman" w:hAnsi="Times New Roman" w:cs="Times New Roman"/>
          <w:sz w:val="24"/>
          <w:szCs w:val="24"/>
        </w:rPr>
        <w:t>óó</w:t>
      </w:r>
      <w:r w:rsidRPr="00463949" w:rsidR="002F65F8">
        <w:rPr>
          <w:rFonts w:ascii="Times New Roman" w:hAnsi="Times New Roman" w:cs="Times New Roman"/>
          <w:sz w:val="24"/>
          <w:szCs w:val="24"/>
        </w:rPr>
        <w:t xml:space="preserve">k </w:t>
      </w:r>
      <w:r w:rsidRPr="00463949" w:rsidR="00714336">
        <w:rPr>
          <w:rFonts w:ascii="Times New Roman" w:hAnsi="Times New Roman" w:cs="Times New Roman"/>
          <w:sz w:val="24"/>
          <w:szCs w:val="24"/>
        </w:rPr>
        <w:t>het vermoeden van het oorzakelijk verband).</w:t>
      </w:r>
    </w:p>
    <w:p w:rsidRPr="00463949" w:rsidR="009176EC" w:rsidP="00D045E0" w:rsidRDefault="009176EC" w14:paraId="340F701C" w14:textId="77777777">
      <w:pPr>
        <w:spacing w:after="0" w:line="276" w:lineRule="auto"/>
        <w:rPr>
          <w:rFonts w:ascii="Times New Roman" w:hAnsi="Times New Roman" w:cs="Times New Roman"/>
          <w:sz w:val="24"/>
          <w:szCs w:val="24"/>
        </w:rPr>
      </w:pPr>
    </w:p>
    <w:p w:rsidRPr="00463949" w:rsidR="00FF1919" w:rsidP="00D045E0" w:rsidRDefault="00674DDA" w14:paraId="237B2A6B" w14:textId="43BF648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Uit </w:t>
      </w:r>
      <w:r w:rsidRPr="00463949" w:rsidR="009055F2">
        <w:rPr>
          <w:rFonts w:ascii="Times New Roman" w:hAnsi="Times New Roman" w:cs="Times New Roman"/>
          <w:sz w:val="24"/>
          <w:szCs w:val="24"/>
        </w:rPr>
        <w:t xml:space="preserve">de preambule </w:t>
      </w:r>
      <w:r w:rsidRPr="00463949">
        <w:rPr>
          <w:rFonts w:ascii="Times New Roman" w:hAnsi="Times New Roman" w:cs="Times New Roman"/>
          <w:sz w:val="24"/>
          <w:szCs w:val="24"/>
        </w:rPr>
        <w:t xml:space="preserve">van </w:t>
      </w:r>
      <w:r w:rsidRPr="00463949" w:rsidR="00E61A11">
        <w:rPr>
          <w:rFonts w:ascii="Times New Roman" w:hAnsi="Times New Roman" w:cs="Times New Roman"/>
          <w:sz w:val="24"/>
          <w:szCs w:val="24"/>
        </w:rPr>
        <w:t xml:space="preserve">de Richtlijn </w:t>
      </w:r>
      <w:r w:rsidRPr="00463949">
        <w:rPr>
          <w:rFonts w:ascii="Times New Roman" w:hAnsi="Times New Roman" w:cs="Times New Roman"/>
          <w:sz w:val="24"/>
          <w:szCs w:val="24"/>
        </w:rPr>
        <w:t xml:space="preserve">blijkt dat per geval moet worden beoordeeld of sprake is van </w:t>
      </w:r>
      <w:r w:rsidRPr="00463949" w:rsidR="00D004FB">
        <w:rPr>
          <w:rFonts w:ascii="Times New Roman" w:hAnsi="Times New Roman" w:cs="Times New Roman"/>
          <w:sz w:val="24"/>
          <w:szCs w:val="24"/>
        </w:rPr>
        <w:t xml:space="preserve">“technische of wetenschappelijke complexiteit”. Daarbij </w:t>
      </w:r>
      <w:r w:rsidRPr="00463949" w:rsidR="001832C8">
        <w:rPr>
          <w:rFonts w:ascii="Times New Roman" w:hAnsi="Times New Roman" w:cs="Times New Roman"/>
          <w:sz w:val="24"/>
          <w:szCs w:val="24"/>
        </w:rPr>
        <w:t xml:space="preserve">dient de rechter rekening te houden </w:t>
      </w:r>
      <w:r w:rsidRPr="00463949" w:rsidR="00D004FB">
        <w:rPr>
          <w:rFonts w:ascii="Times New Roman" w:hAnsi="Times New Roman" w:cs="Times New Roman"/>
          <w:sz w:val="24"/>
          <w:szCs w:val="24"/>
        </w:rPr>
        <w:t>met verschillende factoren. D</w:t>
      </w:r>
      <w:r w:rsidRPr="00463949" w:rsidR="00BF01FF">
        <w:rPr>
          <w:rFonts w:ascii="Times New Roman" w:hAnsi="Times New Roman" w:cs="Times New Roman"/>
          <w:sz w:val="24"/>
          <w:szCs w:val="24"/>
        </w:rPr>
        <w:t>ie factoren moeten</w:t>
      </w:r>
      <w:r w:rsidRPr="00463949" w:rsidR="00D004FB">
        <w:rPr>
          <w:rFonts w:ascii="Times New Roman" w:hAnsi="Times New Roman" w:cs="Times New Roman"/>
          <w:sz w:val="24"/>
          <w:szCs w:val="24"/>
        </w:rPr>
        <w:t xml:space="preserve"> onder meer betrekking</w:t>
      </w:r>
      <w:r w:rsidRPr="00463949" w:rsidR="00BF01FF">
        <w:rPr>
          <w:rFonts w:ascii="Times New Roman" w:hAnsi="Times New Roman" w:cs="Times New Roman"/>
          <w:sz w:val="24"/>
          <w:szCs w:val="24"/>
        </w:rPr>
        <w:t xml:space="preserve"> hebben</w:t>
      </w:r>
      <w:r w:rsidRPr="00463949" w:rsidR="00D004FB">
        <w:rPr>
          <w:rFonts w:ascii="Times New Roman" w:hAnsi="Times New Roman" w:cs="Times New Roman"/>
          <w:sz w:val="24"/>
          <w:szCs w:val="24"/>
        </w:rPr>
        <w:t xml:space="preserve"> op de complexe aard van het product (zoals een innovatief medisch hulpmiddel), de complexe aard van de gebruikte technologie (zoals machinaal leren), de complexe aard van de door de eiser te analyseren informatie en gegevens, alsook de complexe aard van het oorzakelijke verband. Bij dit laatste valt te denken aan een verband tussen een farmaceutisch product of voedingsmiddel en het optreden van een gezondheidsaandoening. Ook </w:t>
      </w:r>
      <w:r w:rsidRPr="00463949" w:rsidR="00CC15F4">
        <w:rPr>
          <w:rFonts w:ascii="Times New Roman" w:hAnsi="Times New Roman" w:cs="Times New Roman"/>
          <w:sz w:val="24"/>
          <w:szCs w:val="24"/>
        </w:rPr>
        <w:t xml:space="preserve">kan worden gedacht </w:t>
      </w:r>
      <w:r w:rsidRPr="00463949" w:rsidR="00D004FB">
        <w:rPr>
          <w:rFonts w:ascii="Times New Roman" w:hAnsi="Times New Roman" w:cs="Times New Roman"/>
          <w:sz w:val="24"/>
          <w:szCs w:val="24"/>
        </w:rPr>
        <w:t>aan een verband dat alleen kan worden bewezen indien de eiser de interne werking van een AI-systeem zou verduidelijken.</w:t>
      </w:r>
      <w:r w:rsidRPr="00463949" w:rsidR="00BF01FF">
        <w:rPr>
          <w:rFonts w:ascii="Times New Roman" w:hAnsi="Times New Roman" w:cs="Times New Roman"/>
          <w:sz w:val="24"/>
          <w:szCs w:val="24"/>
        </w:rPr>
        <w:t xml:space="preserve"> </w:t>
      </w:r>
      <w:r w:rsidRPr="00463949" w:rsidR="00D004FB">
        <w:rPr>
          <w:rFonts w:ascii="Times New Roman" w:hAnsi="Times New Roman" w:cs="Times New Roman"/>
          <w:sz w:val="24"/>
          <w:szCs w:val="24"/>
        </w:rPr>
        <w:t>Met betrekking tot “buitensporige moeilijkheden”</w:t>
      </w:r>
      <w:r w:rsidRPr="00463949" w:rsidR="001832C8">
        <w:rPr>
          <w:rFonts w:ascii="Times New Roman" w:hAnsi="Times New Roman" w:cs="Times New Roman"/>
          <w:sz w:val="24"/>
          <w:szCs w:val="24"/>
        </w:rPr>
        <w:t xml:space="preserve"> </w:t>
      </w:r>
      <w:r w:rsidRPr="00463949">
        <w:rPr>
          <w:rFonts w:ascii="Times New Roman" w:hAnsi="Times New Roman" w:cs="Times New Roman"/>
          <w:sz w:val="24"/>
          <w:szCs w:val="24"/>
        </w:rPr>
        <w:t xml:space="preserve">verduidelijkt </w:t>
      </w:r>
      <w:r w:rsidRPr="00463949" w:rsidR="009055F2">
        <w:rPr>
          <w:rFonts w:ascii="Times New Roman" w:hAnsi="Times New Roman" w:cs="Times New Roman"/>
          <w:sz w:val="24"/>
          <w:szCs w:val="24"/>
        </w:rPr>
        <w:t xml:space="preserve">de preambule </w:t>
      </w:r>
      <w:r w:rsidRPr="00463949" w:rsidR="00D004FB">
        <w:rPr>
          <w:rFonts w:ascii="Times New Roman" w:hAnsi="Times New Roman" w:cs="Times New Roman"/>
          <w:sz w:val="24"/>
          <w:szCs w:val="24"/>
        </w:rPr>
        <w:t xml:space="preserve">dat </w:t>
      </w:r>
      <w:r w:rsidRPr="00463949" w:rsidR="00E61A11">
        <w:rPr>
          <w:rFonts w:ascii="Times New Roman" w:hAnsi="Times New Roman" w:cs="Times New Roman"/>
          <w:sz w:val="24"/>
          <w:szCs w:val="24"/>
        </w:rPr>
        <w:t>het aan de eiser is om argumenten aan te voeren</w:t>
      </w:r>
      <w:r w:rsidRPr="00463949" w:rsidR="001832C8">
        <w:rPr>
          <w:rFonts w:ascii="Times New Roman" w:hAnsi="Times New Roman" w:cs="Times New Roman"/>
          <w:sz w:val="24"/>
          <w:szCs w:val="24"/>
        </w:rPr>
        <w:t xml:space="preserve"> om </w:t>
      </w:r>
      <w:r w:rsidRPr="00463949" w:rsidR="002D7F9A">
        <w:rPr>
          <w:rFonts w:ascii="Times New Roman" w:hAnsi="Times New Roman" w:cs="Times New Roman"/>
          <w:sz w:val="24"/>
          <w:szCs w:val="24"/>
        </w:rPr>
        <w:t xml:space="preserve">dit </w:t>
      </w:r>
      <w:r w:rsidRPr="00463949" w:rsidR="001832C8">
        <w:rPr>
          <w:rFonts w:ascii="Times New Roman" w:hAnsi="Times New Roman" w:cs="Times New Roman"/>
          <w:sz w:val="24"/>
          <w:szCs w:val="24"/>
        </w:rPr>
        <w:t>aannemelijk te maken</w:t>
      </w:r>
      <w:r w:rsidRPr="00463949" w:rsidR="00E61A11">
        <w:rPr>
          <w:rFonts w:ascii="Times New Roman" w:hAnsi="Times New Roman" w:cs="Times New Roman"/>
          <w:sz w:val="24"/>
          <w:szCs w:val="24"/>
        </w:rPr>
        <w:t xml:space="preserve">. </w:t>
      </w:r>
      <w:r w:rsidRPr="00463949" w:rsidR="00D004FB">
        <w:rPr>
          <w:rFonts w:ascii="Times New Roman" w:hAnsi="Times New Roman" w:cs="Times New Roman"/>
          <w:sz w:val="24"/>
          <w:szCs w:val="24"/>
        </w:rPr>
        <w:t>De eiser</w:t>
      </w:r>
      <w:r w:rsidRPr="00463949" w:rsidR="00E61A11">
        <w:rPr>
          <w:rFonts w:ascii="Times New Roman" w:hAnsi="Times New Roman" w:cs="Times New Roman"/>
          <w:sz w:val="24"/>
          <w:szCs w:val="24"/>
        </w:rPr>
        <w:t xml:space="preserve"> hoeft dit echter niet te bewijzen. </w:t>
      </w:r>
      <w:r w:rsidRPr="00463949" w:rsidR="00BF01FF">
        <w:rPr>
          <w:rFonts w:ascii="Times New Roman" w:hAnsi="Times New Roman" w:cs="Times New Roman"/>
          <w:sz w:val="24"/>
          <w:szCs w:val="24"/>
        </w:rPr>
        <w:t>Dit brengt bijvoorbeeld mee dat b</w:t>
      </w:r>
      <w:r w:rsidRPr="00463949" w:rsidR="00E61A11">
        <w:rPr>
          <w:rFonts w:ascii="Times New Roman" w:hAnsi="Times New Roman" w:cs="Times New Roman"/>
          <w:sz w:val="24"/>
          <w:szCs w:val="24"/>
        </w:rPr>
        <w:t xml:space="preserve">ij een met een AI-systeem verband houdende vordering niet </w:t>
      </w:r>
      <w:r w:rsidRPr="00463949" w:rsidR="00BF01FF">
        <w:rPr>
          <w:rFonts w:ascii="Times New Roman" w:hAnsi="Times New Roman" w:cs="Times New Roman"/>
          <w:sz w:val="24"/>
          <w:szCs w:val="24"/>
        </w:rPr>
        <w:t xml:space="preserve">van de eiser mag </w:t>
      </w:r>
      <w:r w:rsidRPr="00463949" w:rsidR="00E61A11">
        <w:rPr>
          <w:rFonts w:ascii="Times New Roman" w:hAnsi="Times New Roman" w:cs="Times New Roman"/>
          <w:sz w:val="24"/>
          <w:szCs w:val="24"/>
        </w:rPr>
        <w:t xml:space="preserve">worden verlangd dat hij de specifieke kenmerken van het AI-systeem toelicht. Evenmin mag van die eiser worden verlangd dat hij verduidelijkt hoe die kenmerken het moelijker maken om het oorzakelijk verband vast te stellen. </w:t>
      </w:r>
      <w:r w:rsidRPr="00463949" w:rsidR="00BF01FF">
        <w:rPr>
          <w:rFonts w:ascii="Times New Roman" w:hAnsi="Times New Roman" w:cs="Times New Roman"/>
          <w:sz w:val="24"/>
          <w:szCs w:val="24"/>
        </w:rPr>
        <w:t xml:space="preserve">Tot slot is </w:t>
      </w:r>
      <w:r w:rsidRPr="00463949">
        <w:rPr>
          <w:rFonts w:ascii="Times New Roman" w:hAnsi="Times New Roman" w:cs="Times New Roman"/>
          <w:sz w:val="24"/>
          <w:szCs w:val="24"/>
        </w:rPr>
        <w:t xml:space="preserve">in </w:t>
      </w:r>
      <w:r w:rsidRPr="00463949" w:rsidR="009055F2">
        <w:rPr>
          <w:rFonts w:ascii="Times New Roman" w:hAnsi="Times New Roman" w:cs="Times New Roman"/>
          <w:sz w:val="24"/>
          <w:szCs w:val="24"/>
        </w:rPr>
        <w:t xml:space="preserve">de preambule </w:t>
      </w:r>
      <w:r w:rsidRPr="00463949" w:rsidR="00BF01FF">
        <w:rPr>
          <w:rFonts w:ascii="Times New Roman" w:hAnsi="Times New Roman" w:cs="Times New Roman"/>
          <w:sz w:val="24"/>
          <w:szCs w:val="24"/>
        </w:rPr>
        <w:t xml:space="preserve">verduidelijkt dat </w:t>
      </w:r>
      <w:r w:rsidRPr="00463949" w:rsidR="00D004FB">
        <w:rPr>
          <w:rFonts w:ascii="Times New Roman" w:hAnsi="Times New Roman" w:cs="Times New Roman"/>
          <w:sz w:val="24"/>
          <w:szCs w:val="24"/>
        </w:rPr>
        <w:t>gedaagde de mogelijkheid heeft om alle elementen van de vordering te betwisten, dus ook het bestaan van buitensporige moeilijkheden</w:t>
      </w:r>
      <w:r w:rsidRPr="00463949" w:rsidR="009055F2">
        <w:rPr>
          <w:rFonts w:ascii="Times New Roman" w:hAnsi="Times New Roman" w:cs="Times New Roman"/>
          <w:sz w:val="24"/>
          <w:szCs w:val="24"/>
        </w:rPr>
        <w:t xml:space="preserve"> (zie overweging 48)</w:t>
      </w:r>
      <w:r w:rsidRPr="00463949" w:rsidR="00D004FB">
        <w:rPr>
          <w:rFonts w:ascii="Times New Roman" w:hAnsi="Times New Roman" w:cs="Times New Roman"/>
          <w:sz w:val="24"/>
          <w:szCs w:val="24"/>
        </w:rPr>
        <w:t>.</w:t>
      </w:r>
    </w:p>
    <w:p w:rsidRPr="00463949" w:rsidR="00184A6A" w:rsidP="00D045E0" w:rsidRDefault="00184A6A" w14:paraId="4D9A572D" w14:textId="063A3626">
      <w:pPr>
        <w:spacing w:after="0" w:line="276" w:lineRule="auto"/>
        <w:rPr>
          <w:rFonts w:ascii="Times New Roman" w:hAnsi="Times New Roman" w:cs="Times New Roman"/>
          <w:sz w:val="24"/>
          <w:szCs w:val="24"/>
        </w:rPr>
      </w:pPr>
    </w:p>
    <w:p w:rsidRPr="00463949" w:rsidR="00F51065" w:rsidP="00D045E0" w:rsidRDefault="002A73BA" w14:paraId="0630354C" w14:textId="2A0FA1A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Met de term </w:t>
      </w:r>
      <w:r w:rsidRPr="00463949" w:rsidR="00F73F34">
        <w:rPr>
          <w:rFonts w:ascii="Times New Roman" w:hAnsi="Times New Roman" w:cs="Times New Roman"/>
          <w:sz w:val="24"/>
          <w:szCs w:val="24"/>
        </w:rPr>
        <w:t xml:space="preserve">“wordt vermoed” </w:t>
      </w:r>
      <w:r w:rsidRPr="00463949" w:rsidR="00467990">
        <w:rPr>
          <w:rFonts w:ascii="Times New Roman" w:hAnsi="Times New Roman" w:cs="Times New Roman"/>
          <w:sz w:val="24"/>
          <w:szCs w:val="24"/>
        </w:rPr>
        <w:t xml:space="preserve">is </w:t>
      </w:r>
      <w:r w:rsidRPr="00463949">
        <w:rPr>
          <w:rFonts w:ascii="Times New Roman" w:hAnsi="Times New Roman" w:cs="Times New Roman"/>
          <w:sz w:val="24"/>
          <w:szCs w:val="24"/>
        </w:rPr>
        <w:t xml:space="preserve">tot uitdrukking gebracht </w:t>
      </w:r>
      <w:r w:rsidRPr="00463949" w:rsidR="000E08EC">
        <w:rPr>
          <w:rFonts w:ascii="Times New Roman" w:hAnsi="Times New Roman" w:cs="Times New Roman"/>
          <w:sz w:val="24"/>
          <w:szCs w:val="24"/>
        </w:rPr>
        <w:t xml:space="preserve">dat </w:t>
      </w:r>
      <w:r w:rsidRPr="00463949" w:rsidR="00E04317">
        <w:rPr>
          <w:rFonts w:ascii="Times New Roman" w:hAnsi="Times New Roman" w:cs="Times New Roman"/>
          <w:sz w:val="24"/>
          <w:szCs w:val="24"/>
        </w:rPr>
        <w:t xml:space="preserve">de </w:t>
      </w:r>
      <w:r w:rsidRPr="00463949" w:rsidR="00F73F34">
        <w:rPr>
          <w:rFonts w:ascii="Times New Roman" w:hAnsi="Times New Roman" w:cs="Times New Roman"/>
          <w:sz w:val="24"/>
          <w:szCs w:val="24"/>
        </w:rPr>
        <w:t>bewijsvermoedens</w:t>
      </w:r>
      <w:r w:rsidRPr="00463949" w:rsidR="000E08EC">
        <w:rPr>
          <w:rFonts w:ascii="Times New Roman" w:hAnsi="Times New Roman" w:cs="Times New Roman"/>
          <w:sz w:val="24"/>
          <w:szCs w:val="24"/>
        </w:rPr>
        <w:t xml:space="preserve"> </w:t>
      </w:r>
      <w:r w:rsidRPr="00463949">
        <w:rPr>
          <w:rFonts w:ascii="Times New Roman" w:hAnsi="Times New Roman" w:cs="Times New Roman"/>
          <w:sz w:val="24"/>
          <w:szCs w:val="24"/>
        </w:rPr>
        <w:t xml:space="preserve">in de leden 2-4 </w:t>
      </w:r>
      <w:r w:rsidRPr="00463949" w:rsidR="000E08EC">
        <w:rPr>
          <w:rFonts w:ascii="Times New Roman" w:hAnsi="Times New Roman" w:cs="Times New Roman"/>
          <w:i/>
          <w:iCs/>
          <w:sz w:val="24"/>
          <w:szCs w:val="24"/>
        </w:rPr>
        <w:t>weerlegbaar</w:t>
      </w:r>
      <w:r w:rsidRPr="00463949" w:rsidR="000E08EC">
        <w:rPr>
          <w:rFonts w:ascii="Times New Roman" w:hAnsi="Times New Roman" w:cs="Times New Roman"/>
          <w:sz w:val="24"/>
          <w:szCs w:val="24"/>
        </w:rPr>
        <w:t xml:space="preserve"> zijn</w:t>
      </w:r>
      <w:r w:rsidRPr="00463949" w:rsidR="0030507A">
        <w:rPr>
          <w:rStyle w:val="Voetnootmarkering"/>
          <w:rFonts w:ascii="Times New Roman" w:hAnsi="Times New Roman" w:cs="Times New Roman"/>
          <w:sz w:val="24"/>
          <w:szCs w:val="24"/>
        </w:rPr>
        <w:footnoteReference w:id="81"/>
      </w:r>
      <w:r w:rsidRPr="00463949" w:rsidR="0030507A">
        <w:rPr>
          <w:rFonts w:ascii="Times New Roman" w:hAnsi="Times New Roman" w:cs="Times New Roman"/>
          <w:sz w:val="24"/>
          <w:szCs w:val="24"/>
        </w:rPr>
        <w:t xml:space="preserve">, </w:t>
      </w:r>
      <w:r w:rsidRPr="00463949">
        <w:rPr>
          <w:rFonts w:ascii="Times New Roman" w:hAnsi="Times New Roman" w:cs="Times New Roman"/>
          <w:sz w:val="24"/>
          <w:szCs w:val="24"/>
        </w:rPr>
        <w:t>zoals artikel 10 lid 5 Richtlijn</w:t>
      </w:r>
      <w:r w:rsidRPr="00463949" w:rsidR="00472637">
        <w:rPr>
          <w:rFonts w:ascii="Times New Roman" w:hAnsi="Times New Roman" w:cs="Times New Roman"/>
          <w:sz w:val="24"/>
          <w:szCs w:val="24"/>
        </w:rPr>
        <w:t xml:space="preserve"> </w:t>
      </w:r>
      <w:r w:rsidRPr="00463949" w:rsidR="00467990">
        <w:rPr>
          <w:rFonts w:ascii="Times New Roman" w:hAnsi="Times New Roman" w:cs="Times New Roman"/>
          <w:sz w:val="24"/>
          <w:szCs w:val="24"/>
        </w:rPr>
        <w:t xml:space="preserve">dwingend </w:t>
      </w:r>
      <w:r w:rsidRPr="00463949">
        <w:rPr>
          <w:rFonts w:ascii="Times New Roman" w:hAnsi="Times New Roman" w:cs="Times New Roman"/>
          <w:sz w:val="24"/>
          <w:szCs w:val="24"/>
        </w:rPr>
        <w:t>voorschrijft.</w:t>
      </w:r>
      <w:r w:rsidRPr="00463949" w:rsidR="00F73F34">
        <w:rPr>
          <w:rFonts w:ascii="Times New Roman" w:hAnsi="Times New Roman" w:cs="Times New Roman"/>
          <w:sz w:val="24"/>
          <w:szCs w:val="24"/>
        </w:rPr>
        <w:t xml:space="preserve"> </w:t>
      </w:r>
      <w:r w:rsidRPr="00463949">
        <w:rPr>
          <w:rFonts w:ascii="Times New Roman" w:hAnsi="Times New Roman" w:cs="Times New Roman"/>
          <w:sz w:val="24"/>
          <w:szCs w:val="24"/>
        </w:rPr>
        <w:t xml:space="preserve">De gedaagde kan de vermoedens </w:t>
      </w:r>
      <w:r w:rsidRPr="00463949" w:rsidR="00472637">
        <w:rPr>
          <w:rFonts w:ascii="Times New Roman" w:hAnsi="Times New Roman" w:cs="Times New Roman"/>
          <w:sz w:val="24"/>
          <w:szCs w:val="24"/>
        </w:rPr>
        <w:t xml:space="preserve">van </w:t>
      </w:r>
      <w:r w:rsidRPr="00463949" w:rsidR="000E08A5">
        <w:rPr>
          <w:rFonts w:ascii="Times New Roman" w:hAnsi="Times New Roman" w:cs="Times New Roman"/>
          <w:sz w:val="24"/>
          <w:szCs w:val="24"/>
        </w:rPr>
        <w:t xml:space="preserve">het gebrek </w:t>
      </w:r>
      <w:r w:rsidRPr="00463949" w:rsidR="00472637">
        <w:rPr>
          <w:rFonts w:ascii="Times New Roman" w:hAnsi="Times New Roman" w:cs="Times New Roman"/>
          <w:sz w:val="24"/>
          <w:szCs w:val="24"/>
        </w:rPr>
        <w:t xml:space="preserve">en het oorzakelijke verband </w:t>
      </w:r>
      <w:r w:rsidRPr="00463949">
        <w:rPr>
          <w:rFonts w:ascii="Times New Roman" w:hAnsi="Times New Roman" w:cs="Times New Roman"/>
          <w:sz w:val="24"/>
          <w:szCs w:val="24"/>
        </w:rPr>
        <w:t>weerleggen</w:t>
      </w:r>
      <w:r w:rsidRPr="00463949" w:rsidR="000E08EC">
        <w:rPr>
          <w:rFonts w:ascii="Times New Roman" w:hAnsi="Times New Roman" w:cs="Times New Roman"/>
          <w:sz w:val="24"/>
          <w:szCs w:val="24"/>
        </w:rPr>
        <w:t xml:space="preserve"> door</w:t>
      </w:r>
      <w:r w:rsidRPr="00463949" w:rsidR="0014089D">
        <w:rPr>
          <w:rFonts w:ascii="Times New Roman" w:hAnsi="Times New Roman" w:cs="Times New Roman"/>
          <w:sz w:val="24"/>
          <w:szCs w:val="24"/>
        </w:rPr>
        <w:t xml:space="preserve"> </w:t>
      </w:r>
      <w:r w:rsidRPr="00463949" w:rsidR="00B769AC">
        <w:rPr>
          <w:rFonts w:ascii="Times New Roman" w:hAnsi="Times New Roman" w:cs="Times New Roman"/>
          <w:sz w:val="24"/>
          <w:szCs w:val="24"/>
        </w:rPr>
        <w:t>tegenbewijs te leveren</w:t>
      </w:r>
      <w:r w:rsidRPr="00463949" w:rsidR="000E08EC">
        <w:rPr>
          <w:rFonts w:ascii="Times New Roman" w:hAnsi="Times New Roman" w:cs="Times New Roman"/>
          <w:sz w:val="24"/>
          <w:szCs w:val="24"/>
        </w:rPr>
        <w:t>.</w:t>
      </w:r>
    </w:p>
    <w:p w:rsidRPr="00463949" w:rsidR="000A19A6" w:rsidP="00D045E0" w:rsidRDefault="000A19A6" w14:paraId="7EA51BD7" w14:textId="77777777">
      <w:pPr>
        <w:spacing w:after="0" w:line="276" w:lineRule="auto"/>
        <w:rPr>
          <w:rFonts w:ascii="Times New Roman" w:hAnsi="Times New Roman" w:cs="Times New Roman"/>
          <w:sz w:val="24"/>
          <w:szCs w:val="24"/>
        </w:rPr>
      </w:pPr>
    </w:p>
    <w:p w:rsidRPr="00463949" w:rsidR="00091C80" w:rsidP="00D045E0" w:rsidRDefault="00091C80" w14:paraId="4D7EAFE2" w14:textId="57C8564D">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H, wijziging artikel 189</w:t>
      </w:r>
      <w:r w:rsidRPr="00463949" w:rsidR="00D1462B">
        <w:rPr>
          <w:rFonts w:ascii="Times New Roman" w:hAnsi="Times New Roman" w:cs="Times New Roman"/>
          <w:i/>
          <w:iCs/>
          <w:sz w:val="24"/>
          <w:szCs w:val="24"/>
        </w:rPr>
        <w:t xml:space="preserve"> (aansprakelijkheid van </w:t>
      </w:r>
      <w:r w:rsidRPr="00463949" w:rsidR="0099476D">
        <w:rPr>
          <w:rFonts w:ascii="Times New Roman" w:hAnsi="Times New Roman" w:cs="Times New Roman"/>
          <w:i/>
          <w:iCs/>
          <w:sz w:val="24"/>
          <w:szCs w:val="24"/>
        </w:rPr>
        <w:t xml:space="preserve">meerdere </w:t>
      </w:r>
      <w:r w:rsidRPr="00463949" w:rsidR="00D1462B">
        <w:rPr>
          <w:rFonts w:ascii="Times New Roman" w:hAnsi="Times New Roman" w:cs="Times New Roman"/>
          <w:i/>
          <w:iCs/>
          <w:sz w:val="24"/>
          <w:szCs w:val="24"/>
        </w:rPr>
        <w:t>marktdeelnemers)</w:t>
      </w:r>
    </w:p>
    <w:p w:rsidRPr="00463949" w:rsidR="00091C80" w:rsidP="00D045E0" w:rsidRDefault="00091C80" w14:paraId="247963CA" w14:textId="77777777">
      <w:pPr>
        <w:spacing w:after="0" w:line="276" w:lineRule="auto"/>
        <w:rPr>
          <w:rFonts w:ascii="Times New Roman" w:hAnsi="Times New Roman" w:cs="Times New Roman"/>
          <w:sz w:val="24"/>
          <w:szCs w:val="24"/>
        </w:rPr>
      </w:pPr>
    </w:p>
    <w:p w:rsidRPr="00463949" w:rsidR="00091C80" w:rsidP="00D045E0" w:rsidRDefault="00BF01FF" w14:paraId="7E4C5F8C" w14:textId="5F1C6BE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Artikel 6:189 BW correspondeert reeds met artikel 12 lid 1 Richtlijn</w:t>
      </w:r>
      <w:r w:rsidRPr="00463949" w:rsidR="0030507A">
        <w:rPr>
          <w:rFonts w:ascii="Times New Roman" w:hAnsi="Times New Roman" w:cs="Times New Roman"/>
          <w:sz w:val="24"/>
          <w:szCs w:val="24"/>
        </w:rPr>
        <w:t xml:space="preserve"> (hoofdelijke aansprakelijkheid marktdeelnemers)</w:t>
      </w:r>
      <w:r w:rsidRPr="00463949">
        <w:rPr>
          <w:rFonts w:ascii="Times New Roman" w:hAnsi="Times New Roman" w:cs="Times New Roman"/>
          <w:sz w:val="24"/>
          <w:szCs w:val="24"/>
        </w:rPr>
        <w:t xml:space="preserve">. </w:t>
      </w:r>
      <w:r w:rsidRPr="00463949" w:rsidR="00091C80">
        <w:rPr>
          <w:rFonts w:ascii="Times New Roman" w:hAnsi="Times New Roman" w:cs="Times New Roman"/>
          <w:sz w:val="24"/>
          <w:szCs w:val="24"/>
        </w:rPr>
        <w:t>Van</w:t>
      </w:r>
      <w:r w:rsidRPr="00463949">
        <w:rPr>
          <w:rFonts w:ascii="Times New Roman" w:hAnsi="Times New Roman" w:cs="Times New Roman"/>
          <w:sz w:val="24"/>
          <w:szCs w:val="24"/>
        </w:rPr>
        <w:t xml:space="preserve"> </w:t>
      </w:r>
      <w:r w:rsidRPr="00463949" w:rsidR="00091C80">
        <w:rPr>
          <w:rFonts w:ascii="Times New Roman" w:hAnsi="Times New Roman" w:cs="Times New Roman"/>
          <w:sz w:val="24"/>
          <w:szCs w:val="24"/>
        </w:rPr>
        <w:t>de gelegenheid is gebruik gemaakt om ouderwets taalgebruik te vervangen</w:t>
      </w:r>
      <w:r w:rsidRPr="00463949" w:rsidR="0030507A">
        <w:rPr>
          <w:rFonts w:ascii="Times New Roman" w:hAnsi="Times New Roman" w:cs="Times New Roman"/>
          <w:sz w:val="24"/>
          <w:szCs w:val="24"/>
        </w:rPr>
        <w:t xml:space="preserve"> (“elk hunner”</w:t>
      </w:r>
      <w:r w:rsidRPr="00463949" w:rsidR="009055F2">
        <w:rPr>
          <w:rFonts w:ascii="Times New Roman" w:hAnsi="Times New Roman" w:cs="Times New Roman"/>
          <w:sz w:val="24"/>
          <w:szCs w:val="24"/>
        </w:rPr>
        <w:t xml:space="preserve"> wordt vervangen door “ieder van hen”</w:t>
      </w:r>
      <w:r w:rsidRPr="00463949" w:rsidR="0030507A">
        <w:rPr>
          <w:rFonts w:ascii="Times New Roman" w:hAnsi="Times New Roman" w:cs="Times New Roman"/>
          <w:sz w:val="24"/>
          <w:szCs w:val="24"/>
        </w:rPr>
        <w:t>)</w:t>
      </w:r>
      <w:r w:rsidRPr="00463949" w:rsidR="00091C80">
        <w:rPr>
          <w:rFonts w:ascii="Times New Roman" w:hAnsi="Times New Roman" w:cs="Times New Roman"/>
          <w:sz w:val="24"/>
          <w:szCs w:val="24"/>
        </w:rPr>
        <w:t>.</w:t>
      </w:r>
      <w:r w:rsidRPr="00463949" w:rsidR="00AC3B5D">
        <w:rPr>
          <w:rFonts w:ascii="Times New Roman" w:hAnsi="Times New Roman" w:cs="Times New Roman"/>
          <w:sz w:val="24"/>
          <w:szCs w:val="24"/>
        </w:rPr>
        <w:t xml:space="preserve"> Verder wordt om redactionele redenen “artikel 185, eerste lid,” vervangen door “artikel 185 lid 1”. </w:t>
      </w:r>
    </w:p>
    <w:p w:rsidRPr="00463949" w:rsidR="00091C80" w:rsidP="00D045E0" w:rsidRDefault="00091C80" w14:paraId="5D53B652" w14:textId="77777777">
      <w:pPr>
        <w:spacing w:after="0" w:line="276" w:lineRule="auto"/>
        <w:rPr>
          <w:rFonts w:ascii="Times New Roman" w:hAnsi="Times New Roman" w:cs="Times New Roman"/>
          <w:sz w:val="24"/>
          <w:szCs w:val="24"/>
        </w:rPr>
      </w:pPr>
    </w:p>
    <w:p w:rsidRPr="00463949" w:rsidR="008A72EA" w:rsidP="00D045E0" w:rsidRDefault="008A72EA" w14:paraId="0D595695" w14:textId="5C84A8AE">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I, wijziging artikel 190</w:t>
      </w:r>
      <w:r w:rsidRPr="00463949" w:rsidR="002D7F9A">
        <w:rPr>
          <w:rFonts w:ascii="Times New Roman" w:hAnsi="Times New Roman" w:cs="Times New Roman"/>
          <w:i/>
          <w:iCs/>
          <w:sz w:val="24"/>
          <w:szCs w:val="24"/>
        </w:rPr>
        <w:t xml:space="preserve"> </w:t>
      </w:r>
      <w:r w:rsidRPr="00463949" w:rsidR="00D1462B">
        <w:rPr>
          <w:rFonts w:ascii="Times New Roman" w:hAnsi="Times New Roman" w:cs="Times New Roman"/>
          <w:i/>
          <w:iCs/>
          <w:sz w:val="24"/>
          <w:szCs w:val="24"/>
        </w:rPr>
        <w:t>(</w:t>
      </w:r>
      <w:r w:rsidRPr="00463949" w:rsidR="0099476D">
        <w:rPr>
          <w:rFonts w:ascii="Times New Roman" w:hAnsi="Times New Roman" w:cs="Times New Roman"/>
          <w:i/>
          <w:iCs/>
          <w:sz w:val="24"/>
          <w:szCs w:val="24"/>
        </w:rPr>
        <w:t>schade)</w:t>
      </w:r>
    </w:p>
    <w:p w:rsidRPr="00463949" w:rsidR="008A72EA" w:rsidP="00D045E0" w:rsidRDefault="008A72EA" w14:paraId="5E97409A" w14:textId="77777777">
      <w:pPr>
        <w:spacing w:after="0" w:line="276" w:lineRule="auto"/>
        <w:rPr>
          <w:rFonts w:ascii="Times New Roman" w:hAnsi="Times New Roman" w:cs="Times New Roman"/>
          <w:sz w:val="24"/>
          <w:szCs w:val="24"/>
        </w:rPr>
      </w:pPr>
    </w:p>
    <w:p w:rsidRPr="00463949" w:rsidR="005E0923" w:rsidP="00D045E0" w:rsidRDefault="007751C7" w14:paraId="4D99B08E" w14:textId="41E4EDE8">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 voorgestelde wijziging van artikel 6:190 BW strek</w:t>
      </w:r>
      <w:r w:rsidRPr="00463949" w:rsidR="002D7F9A">
        <w:rPr>
          <w:rFonts w:ascii="Times New Roman" w:hAnsi="Times New Roman" w:cs="Times New Roman"/>
          <w:sz w:val="24"/>
          <w:szCs w:val="24"/>
        </w:rPr>
        <w:t>t</w:t>
      </w:r>
      <w:r w:rsidRPr="00463949">
        <w:rPr>
          <w:rFonts w:ascii="Times New Roman" w:hAnsi="Times New Roman" w:cs="Times New Roman"/>
          <w:sz w:val="24"/>
          <w:szCs w:val="24"/>
        </w:rPr>
        <w:t xml:space="preserve"> tot implementatie van artikel 6 lid 1 Richtlijn</w:t>
      </w:r>
      <w:r w:rsidRPr="00463949" w:rsidR="002D597C">
        <w:rPr>
          <w:rFonts w:ascii="Times New Roman" w:hAnsi="Times New Roman" w:cs="Times New Roman"/>
          <w:sz w:val="24"/>
          <w:szCs w:val="24"/>
        </w:rPr>
        <w:t xml:space="preserve">. </w:t>
      </w:r>
      <w:r w:rsidRPr="00463949" w:rsidR="008D09CE">
        <w:rPr>
          <w:rFonts w:ascii="Times New Roman" w:hAnsi="Times New Roman" w:cs="Times New Roman"/>
          <w:sz w:val="24"/>
          <w:szCs w:val="24"/>
        </w:rPr>
        <w:t xml:space="preserve">Deze </w:t>
      </w:r>
      <w:r w:rsidRPr="00463949" w:rsidR="00846135">
        <w:rPr>
          <w:rFonts w:ascii="Times New Roman" w:hAnsi="Times New Roman" w:cs="Times New Roman"/>
          <w:sz w:val="24"/>
          <w:szCs w:val="24"/>
        </w:rPr>
        <w:t>bepaling bevat</w:t>
      </w:r>
      <w:r w:rsidRPr="00463949">
        <w:rPr>
          <w:rFonts w:ascii="Times New Roman" w:hAnsi="Times New Roman" w:cs="Times New Roman"/>
          <w:sz w:val="24"/>
          <w:szCs w:val="24"/>
        </w:rPr>
        <w:t xml:space="preserve"> een </w:t>
      </w:r>
      <w:r w:rsidRPr="00463949" w:rsidR="0030507A">
        <w:rPr>
          <w:rFonts w:ascii="Times New Roman" w:hAnsi="Times New Roman" w:cs="Times New Roman"/>
          <w:sz w:val="24"/>
          <w:szCs w:val="24"/>
        </w:rPr>
        <w:t xml:space="preserve">uitputtende </w:t>
      </w:r>
      <w:r w:rsidRPr="00463949">
        <w:rPr>
          <w:rFonts w:ascii="Times New Roman" w:hAnsi="Times New Roman" w:cs="Times New Roman"/>
          <w:sz w:val="24"/>
          <w:szCs w:val="24"/>
        </w:rPr>
        <w:t>opsomming van de soorten schade waarvoor</w:t>
      </w:r>
      <w:r w:rsidRPr="00463949" w:rsidR="000943EE">
        <w:rPr>
          <w:rFonts w:ascii="Times New Roman" w:hAnsi="Times New Roman" w:cs="Times New Roman"/>
          <w:sz w:val="24"/>
          <w:szCs w:val="24"/>
        </w:rPr>
        <w:t xml:space="preserve"> een recht op schadevergoeding</w:t>
      </w:r>
      <w:r w:rsidRPr="00463949" w:rsidR="002D7F9A">
        <w:rPr>
          <w:rFonts w:ascii="Times New Roman" w:hAnsi="Times New Roman" w:cs="Times New Roman"/>
          <w:sz w:val="24"/>
          <w:szCs w:val="24"/>
        </w:rPr>
        <w:t xml:space="preserve"> </w:t>
      </w:r>
      <w:r w:rsidRPr="00463949" w:rsidR="000943EE">
        <w:rPr>
          <w:rFonts w:ascii="Times New Roman" w:hAnsi="Times New Roman" w:cs="Times New Roman"/>
          <w:sz w:val="24"/>
          <w:szCs w:val="24"/>
        </w:rPr>
        <w:t>bestaat</w:t>
      </w:r>
      <w:r w:rsidRPr="00463949" w:rsidR="002D7F9A">
        <w:rPr>
          <w:rFonts w:ascii="Times New Roman" w:hAnsi="Times New Roman" w:cs="Times New Roman"/>
          <w:sz w:val="24"/>
          <w:szCs w:val="24"/>
        </w:rPr>
        <w:t xml:space="preserve"> op grond van de Richtlijn</w:t>
      </w:r>
      <w:r w:rsidRPr="00463949">
        <w:rPr>
          <w:rFonts w:ascii="Times New Roman" w:hAnsi="Times New Roman" w:cs="Times New Roman"/>
          <w:sz w:val="24"/>
          <w:szCs w:val="24"/>
        </w:rPr>
        <w:t xml:space="preserve">. </w:t>
      </w:r>
      <w:r w:rsidRPr="00463949" w:rsidR="004B3B44">
        <w:rPr>
          <w:rFonts w:ascii="Times New Roman" w:hAnsi="Times New Roman" w:cs="Times New Roman"/>
          <w:sz w:val="24"/>
          <w:szCs w:val="24"/>
        </w:rPr>
        <w:t>D</w:t>
      </w:r>
      <w:r w:rsidRPr="00463949" w:rsidR="008D09CE">
        <w:rPr>
          <w:rFonts w:ascii="Times New Roman" w:hAnsi="Times New Roman" w:cs="Times New Roman"/>
          <w:sz w:val="24"/>
          <w:szCs w:val="24"/>
        </w:rPr>
        <w:t>ie</w:t>
      </w:r>
      <w:r w:rsidRPr="00463949" w:rsidR="004B3B44">
        <w:rPr>
          <w:rFonts w:ascii="Times New Roman" w:hAnsi="Times New Roman" w:cs="Times New Roman"/>
          <w:sz w:val="24"/>
          <w:szCs w:val="24"/>
        </w:rPr>
        <w:t xml:space="preserve"> opsomming is overgenomen in de onderdelen a tot en met c</w:t>
      </w:r>
      <w:r w:rsidRPr="00463949" w:rsidR="0030507A">
        <w:rPr>
          <w:rFonts w:ascii="Times New Roman" w:hAnsi="Times New Roman" w:cs="Times New Roman"/>
          <w:sz w:val="24"/>
          <w:szCs w:val="24"/>
        </w:rPr>
        <w:t>, waarop hierna wordt ingegaan.</w:t>
      </w:r>
    </w:p>
    <w:p w:rsidRPr="00463949" w:rsidR="005E0923" w:rsidP="00D045E0" w:rsidRDefault="005E0923" w14:paraId="3D96C22A" w14:textId="77777777">
      <w:pPr>
        <w:spacing w:after="0" w:line="276" w:lineRule="auto"/>
        <w:rPr>
          <w:rFonts w:ascii="Times New Roman" w:hAnsi="Times New Roman" w:cs="Times New Roman"/>
          <w:sz w:val="24"/>
          <w:szCs w:val="24"/>
        </w:rPr>
      </w:pPr>
    </w:p>
    <w:p w:rsidRPr="00463949" w:rsidR="005E0923" w:rsidP="00D045E0" w:rsidRDefault="00460BC9" w14:paraId="5DF3A0F4" w14:textId="6B681C09">
      <w:pPr>
        <w:spacing w:after="0" w:line="276" w:lineRule="auto"/>
        <w:rPr>
          <w:rFonts w:ascii="Times New Roman" w:hAnsi="Times New Roman" w:cs="Times New Roman"/>
          <w:sz w:val="24"/>
          <w:szCs w:val="24"/>
        </w:rPr>
      </w:pPr>
      <w:r w:rsidRPr="00463949">
        <w:rPr>
          <w:rFonts w:ascii="Times New Roman" w:hAnsi="Times New Roman" w:cs="Times New Roman"/>
          <w:i/>
          <w:iCs/>
          <w:sz w:val="24"/>
          <w:szCs w:val="24"/>
        </w:rPr>
        <w:t>Onderdeel a</w:t>
      </w:r>
      <w:r w:rsidRPr="00463949">
        <w:rPr>
          <w:rFonts w:ascii="Times New Roman" w:hAnsi="Times New Roman" w:cs="Times New Roman"/>
          <w:sz w:val="24"/>
          <w:szCs w:val="24"/>
        </w:rPr>
        <w:t xml:space="preserve"> implementeert artikel 6 lid 1, onderdeel a, Richtlijn. </w:t>
      </w:r>
      <w:r w:rsidRPr="00463949" w:rsidR="00D87858">
        <w:rPr>
          <w:rFonts w:ascii="Times New Roman" w:hAnsi="Times New Roman" w:cs="Times New Roman"/>
          <w:sz w:val="24"/>
          <w:szCs w:val="24"/>
        </w:rPr>
        <w:t xml:space="preserve">Het </w:t>
      </w:r>
      <w:r w:rsidRPr="00463949" w:rsidR="009055F2">
        <w:rPr>
          <w:rFonts w:ascii="Times New Roman" w:hAnsi="Times New Roman" w:cs="Times New Roman"/>
          <w:sz w:val="24"/>
          <w:szCs w:val="24"/>
        </w:rPr>
        <w:t xml:space="preserve">voorgestelde onderdeel </w:t>
      </w:r>
      <w:r w:rsidRPr="00463949" w:rsidR="00D87858">
        <w:rPr>
          <w:rFonts w:ascii="Times New Roman" w:hAnsi="Times New Roman" w:cs="Times New Roman"/>
          <w:sz w:val="24"/>
          <w:szCs w:val="24"/>
        </w:rPr>
        <w:t xml:space="preserve">bepaalt dat de aansprakelijkheid, bedoeld in artikel 6:185 lid 1 BW, bestaat voor schade door overlijden, lichamelijk of geestelijk letsel. </w:t>
      </w:r>
      <w:r w:rsidRPr="00463949" w:rsidR="0030507A">
        <w:rPr>
          <w:rFonts w:ascii="Times New Roman" w:hAnsi="Times New Roman" w:cs="Times New Roman"/>
          <w:sz w:val="24"/>
          <w:szCs w:val="24"/>
        </w:rPr>
        <w:t xml:space="preserve">Hieronder vallen bijvoorbeeld </w:t>
      </w:r>
      <w:r w:rsidRPr="00463949" w:rsidR="00D87858">
        <w:rPr>
          <w:rFonts w:ascii="Times New Roman" w:hAnsi="Times New Roman" w:cs="Times New Roman"/>
          <w:sz w:val="24"/>
          <w:szCs w:val="24"/>
        </w:rPr>
        <w:t xml:space="preserve">begrafeniskosten, medische kosten of gederfde inkomsten. In artikel 6 lid 1, onderdeel a, Richtlijn is omwille van de rechtszekerheid verduidelijkt dat onder “lichamelijk letsel” ook “medisch erkende schade aan de geestelijke gezondheid” </w:t>
      </w:r>
      <w:r w:rsidRPr="00463949" w:rsidR="0030507A">
        <w:rPr>
          <w:rFonts w:ascii="Times New Roman" w:hAnsi="Times New Roman" w:cs="Times New Roman"/>
          <w:sz w:val="24"/>
          <w:szCs w:val="24"/>
        </w:rPr>
        <w:t xml:space="preserve">wordt </w:t>
      </w:r>
      <w:r w:rsidRPr="00463949" w:rsidR="00D87858">
        <w:rPr>
          <w:rFonts w:ascii="Times New Roman" w:hAnsi="Times New Roman" w:cs="Times New Roman"/>
          <w:sz w:val="24"/>
          <w:szCs w:val="24"/>
        </w:rPr>
        <w:t>verstaan (zie overweging 21). D</w:t>
      </w:r>
      <w:r w:rsidRPr="00463949" w:rsidR="0030507A">
        <w:rPr>
          <w:rFonts w:ascii="Times New Roman" w:hAnsi="Times New Roman" w:cs="Times New Roman"/>
          <w:sz w:val="24"/>
          <w:szCs w:val="24"/>
        </w:rPr>
        <w:t>eze</w:t>
      </w:r>
      <w:r w:rsidRPr="00463949" w:rsidR="00D87858">
        <w:rPr>
          <w:rFonts w:ascii="Times New Roman" w:hAnsi="Times New Roman" w:cs="Times New Roman"/>
          <w:sz w:val="24"/>
          <w:szCs w:val="24"/>
        </w:rPr>
        <w:t xml:space="preserve"> zinsnede </w:t>
      </w:r>
      <w:r w:rsidRPr="00463949" w:rsidR="002B1676">
        <w:rPr>
          <w:rFonts w:ascii="Times New Roman" w:hAnsi="Times New Roman" w:cs="Times New Roman"/>
          <w:sz w:val="24"/>
          <w:szCs w:val="24"/>
        </w:rPr>
        <w:t xml:space="preserve">wordt </w:t>
      </w:r>
      <w:r w:rsidRPr="00463949" w:rsidR="00D87858">
        <w:rPr>
          <w:rFonts w:ascii="Times New Roman" w:hAnsi="Times New Roman" w:cs="Times New Roman"/>
          <w:sz w:val="24"/>
          <w:szCs w:val="24"/>
        </w:rPr>
        <w:t>geïmplementeerd met de term “geestelijk letsel”</w:t>
      </w:r>
      <w:r w:rsidRPr="00463949" w:rsidR="0030507A">
        <w:rPr>
          <w:rFonts w:ascii="Times New Roman" w:hAnsi="Times New Roman" w:cs="Times New Roman"/>
          <w:sz w:val="24"/>
          <w:szCs w:val="24"/>
        </w:rPr>
        <w:t xml:space="preserve">, omdat dit beter </w:t>
      </w:r>
      <w:r w:rsidRPr="00463949" w:rsidR="002B1676">
        <w:rPr>
          <w:rFonts w:ascii="Times New Roman" w:hAnsi="Times New Roman" w:cs="Times New Roman"/>
          <w:sz w:val="24"/>
          <w:szCs w:val="24"/>
        </w:rPr>
        <w:t>aan</w:t>
      </w:r>
      <w:r w:rsidRPr="00463949" w:rsidR="0030507A">
        <w:rPr>
          <w:rFonts w:ascii="Times New Roman" w:hAnsi="Times New Roman" w:cs="Times New Roman"/>
          <w:sz w:val="24"/>
          <w:szCs w:val="24"/>
        </w:rPr>
        <w:t xml:space="preserve">sluit </w:t>
      </w:r>
      <w:r w:rsidRPr="00463949" w:rsidR="00D87858">
        <w:rPr>
          <w:rFonts w:ascii="Times New Roman" w:hAnsi="Times New Roman" w:cs="Times New Roman"/>
          <w:sz w:val="24"/>
          <w:szCs w:val="24"/>
        </w:rPr>
        <w:t>bij de systematiek van het schadevergoedingsrecht in Boek 6 BW</w:t>
      </w:r>
      <w:r w:rsidRPr="00463949" w:rsidR="00FA6FCB">
        <w:rPr>
          <w:rFonts w:ascii="Times New Roman" w:hAnsi="Times New Roman" w:cs="Times New Roman"/>
          <w:sz w:val="24"/>
          <w:szCs w:val="24"/>
        </w:rPr>
        <w:t>.</w:t>
      </w:r>
      <w:r w:rsidRPr="00463949" w:rsidR="0030507A">
        <w:rPr>
          <w:rStyle w:val="Voetnootmarkering"/>
          <w:rFonts w:ascii="Times New Roman" w:hAnsi="Times New Roman" w:cs="Times New Roman"/>
          <w:sz w:val="24"/>
          <w:szCs w:val="24"/>
        </w:rPr>
        <w:footnoteReference w:id="82"/>
      </w:r>
      <w:r w:rsidRPr="00463949" w:rsidR="00D87858">
        <w:rPr>
          <w:rFonts w:ascii="Times New Roman" w:hAnsi="Times New Roman" w:cs="Times New Roman"/>
          <w:sz w:val="24"/>
          <w:szCs w:val="24"/>
        </w:rPr>
        <w:t xml:space="preserve"> </w:t>
      </w:r>
    </w:p>
    <w:p w:rsidRPr="00463949" w:rsidR="004B3B44" w:rsidP="00D045E0" w:rsidRDefault="004B3B44" w14:paraId="0C939FFE" w14:textId="161B1C8E">
      <w:pPr>
        <w:spacing w:after="0" w:line="276" w:lineRule="auto"/>
        <w:rPr>
          <w:rFonts w:ascii="Times New Roman" w:hAnsi="Times New Roman" w:cs="Times New Roman"/>
          <w:sz w:val="24"/>
          <w:szCs w:val="24"/>
        </w:rPr>
      </w:pPr>
    </w:p>
    <w:p w:rsidRPr="00463949" w:rsidR="005E0923" w:rsidP="00D045E0" w:rsidRDefault="00CD2190" w14:paraId="2D0ACC56" w14:textId="236FE302">
      <w:pPr>
        <w:spacing w:after="0" w:line="276" w:lineRule="auto"/>
        <w:rPr>
          <w:rFonts w:ascii="Times New Roman" w:hAnsi="Times New Roman" w:cs="Times New Roman"/>
          <w:sz w:val="24"/>
          <w:szCs w:val="24"/>
        </w:rPr>
      </w:pPr>
      <w:r w:rsidRPr="00463949">
        <w:rPr>
          <w:rFonts w:ascii="Times New Roman" w:hAnsi="Times New Roman" w:cs="Times New Roman"/>
          <w:i/>
          <w:iCs/>
          <w:sz w:val="24"/>
          <w:szCs w:val="24"/>
        </w:rPr>
        <w:t>Onderdeel b</w:t>
      </w:r>
      <w:r w:rsidRPr="00463949">
        <w:rPr>
          <w:rFonts w:ascii="Times New Roman" w:hAnsi="Times New Roman" w:cs="Times New Roman"/>
          <w:sz w:val="24"/>
          <w:szCs w:val="24"/>
        </w:rPr>
        <w:t xml:space="preserve"> implementeert artikel 6 lid 1, onderdeel b, Richtlijn. Het </w:t>
      </w:r>
      <w:r w:rsidRPr="00463949" w:rsidR="009055F2">
        <w:rPr>
          <w:rFonts w:ascii="Times New Roman" w:hAnsi="Times New Roman" w:cs="Times New Roman"/>
          <w:sz w:val="24"/>
          <w:szCs w:val="24"/>
        </w:rPr>
        <w:t xml:space="preserve">voorgestelde onderdeel </w:t>
      </w:r>
      <w:r w:rsidRPr="00463949">
        <w:rPr>
          <w:rFonts w:ascii="Times New Roman" w:hAnsi="Times New Roman" w:cs="Times New Roman"/>
          <w:sz w:val="24"/>
          <w:szCs w:val="24"/>
        </w:rPr>
        <w:t xml:space="preserve">stelt voorop dat de </w:t>
      </w:r>
      <w:r w:rsidRPr="00463949" w:rsidR="005E0923">
        <w:rPr>
          <w:rFonts w:ascii="Times New Roman" w:hAnsi="Times New Roman" w:cs="Times New Roman"/>
          <w:sz w:val="24"/>
          <w:szCs w:val="24"/>
        </w:rPr>
        <w:t>aansprakelijkheid</w:t>
      </w:r>
      <w:r w:rsidRPr="00463949">
        <w:rPr>
          <w:rFonts w:ascii="Times New Roman" w:hAnsi="Times New Roman" w:cs="Times New Roman"/>
          <w:sz w:val="24"/>
          <w:szCs w:val="24"/>
        </w:rPr>
        <w:t>, bedoeld in artikel 6:185 lid 1 BW, bestaat</w:t>
      </w:r>
      <w:r w:rsidRPr="00463949" w:rsidR="005E0923">
        <w:rPr>
          <w:rFonts w:ascii="Times New Roman" w:hAnsi="Times New Roman" w:cs="Times New Roman"/>
          <w:sz w:val="24"/>
          <w:szCs w:val="24"/>
        </w:rPr>
        <w:t xml:space="preserve"> voor schade door </w:t>
      </w:r>
      <w:r w:rsidRPr="00463949" w:rsidR="00904727">
        <w:rPr>
          <w:rFonts w:ascii="Times New Roman" w:hAnsi="Times New Roman" w:cs="Times New Roman"/>
          <w:sz w:val="24"/>
          <w:szCs w:val="24"/>
        </w:rPr>
        <w:t>beschadiging of vernietiging van zaken</w:t>
      </w:r>
      <w:r w:rsidRPr="00463949" w:rsidR="00D12812">
        <w:rPr>
          <w:rFonts w:ascii="Times New Roman" w:hAnsi="Times New Roman" w:cs="Times New Roman"/>
          <w:sz w:val="24"/>
          <w:szCs w:val="24"/>
        </w:rPr>
        <w:t xml:space="preserve"> (‘zaakschade’)</w:t>
      </w:r>
      <w:r w:rsidRPr="00463949" w:rsidR="00953207">
        <w:rPr>
          <w:rFonts w:ascii="Times New Roman" w:hAnsi="Times New Roman" w:cs="Times New Roman"/>
          <w:sz w:val="24"/>
          <w:szCs w:val="24"/>
        </w:rPr>
        <w:t xml:space="preserve">. </w:t>
      </w:r>
      <w:r w:rsidRPr="00463949" w:rsidR="00FD1D9A">
        <w:rPr>
          <w:rFonts w:ascii="Times New Roman" w:hAnsi="Times New Roman" w:cs="Times New Roman"/>
          <w:sz w:val="24"/>
          <w:szCs w:val="24"/>
        </w:rPr>
        <w:t xml:space="preserve">Vervolgens worden hierop </w:t>
      </w:r>
      <w:r w:rsidRPr="00463949" w:rsidR="00782684">
        <w:rPr>
          <w:rFonts w:ascii="Times New Roman" w:hAnsi="Times New Roman" w:cs="Times New Roman"/>
          <w:sz w:val="24"/>
          <w:szCs w:val="24"/>
        </w:rPr>
        <w:t xml:space="preserve">drie </w:t>
      </w:r>
      <w:r w:rsidRPr="00463949">
        <w:rPr>
          <w:rFonts w:ascii="Times New Roman" w:hAnsi="Times New Roman" w:cs="Times New Roman"/>
          <w:sz w:val="24"/>
          <w:szCs w:val="24"/>
        </w:rPr>
        <w:t xml:space="preserve">uitzonderingen gemaakt. </w:t>
      </w:r>
      <w:r w:rsidRPr="00463949" w:rsidR="008D09CE">
        <w:rPr>
          <w:rFonts w:ascii="Times New Roman" w:hAnsi="Times New Roman" w:cs="Times New Roman"/>
          <w:sz w:val="24"/>
          <w:szCs w:val="24"/>
        </w:rPr>
        <w:t xml:space="preserve">Er </w:t>
      </w:r>
      <w:r w:rsidRPr="00463949" w:rsidR="00782684">
        <w:rPr>
          <w:rFonts w:ascii="Times New Roman" w:hAnsi="Times New Roman" w:cs="Times New Roman"/>
          <w:sz w:val="24"/>
          <w:szCs w:val="24"/>
        </w:rPr>
        <w:t xml:space="preserve">bestaat </w:t>
      </w:r>
      <w:r w:rsidRPr="00463949" w:rsidR="00883CE3">
        <w:rPr>
          <w:rFonts w:ascii="Times New Roman" w:hAnsi="Times New Roman" w:cs="Times New Roman"/>
          <w:sz w:val="24"/>
          <w:szCs w:val="24"/>
        </w:rPr>
        <w:t>geen recht op schadevergoeding voor schade aan het gebrekkige product zelf (subonderdeel 1°)</w:t>
      </w:r>
      <w:r w:rsidRPr="00463949" w:rsidR="008D09CE">
        <w:rPr>
          <w:rFonts w:ascii="Times New Roman" w:hAnsi="Times New Roman" w:cs="Times New Roman"/>
          <w:sz w:val="24"/>
          <w:szCs w:val="24"/>
        </w:rPr>
        <w:t xml:space="preserve">, </w:t>
      </w:r>
      <w:r w:rsidRPr="00463949" w:rsidR="002E2FB2">
        <w:rPr>
          <w:rFonts w:ascii="Times New Roman" w:hAnsi="Times New Roman" w:cs="Times New Roman"/>
          <w:sz w:val="24"/>
          <w:szCs w:val="24"/>
        </w:rPr>
        <w:t xml:space="preserve">een </w:t>
      </w:r>
      <w:r w:rsidRPr="00463949" w:rsidR="00883CE3">
        <w:rPr>
          <w:rFonts w:ascii="Times New Roman" w:hAnsi="Times New Roman" w:cs="Times New Roman"/>
          <w:sz w:val="24"/>
          <w:szCs w:val="24"/>
        </w:rPr>
        <w:t>product</w:t>
      </w:r>
      <w:r w:rsidRPr="00463949" w:rsidR="002E2FB2">
        <w:rPr>
          <w:rFonts w:ascii="Times New Roman" w:hAnsi="Times New Roman" w:cs="Times New Roman"/>
          <w:sz w:val="24"/>
          <w:szCs w:val="24"/>
        </w:rPr>
        <w:t xml:space="preserve"> dat</w:t>
      </w:r>
      <w:r w:rsidRPr="00463949" w:rsidR="00883CE3">
        <w:rPr>
          <w:rFonts w:ascii="Times New Roman" w:hAnsi="Times New Roman" w:cs="Times New Roman"/>
          <w:sz w:val="24"/>
          <w:szCs w:val="24"/>
        </w:rPr>
        <w:t xml:space="preserve"> is </w:t>
      </w:r>
      <w:r w:rsidRPr="00463949" w:rsidR="00782684">
        <w:rPr>
          <w:rFonts w:ascii="Times New Roman" w:hAnsi="Times New Roman" w:cs="Times New Roman"/>
          <w:sz w:val="24"/>
          <w:szCs w:val="24"/>
        </w:rPr>
        <w:t xml:space="preserve">beschadigd </w:t>
      </w:r>
      <w:r w:rsidRPr="00463949" w:rsidR="00883CE3">
        <w:rPr>
          <w:rFonts w:ascii="Times New Roman" w:hAnsi="Times New Roman" w:cs="Times New Roman"/>
          <w:sz w:val="24"/>
          <w:szCs w:val="24"/>
        </w:rPr>
        <w:t>door een gebrekkige component die door de fabrikant van dat product of onder de zeggenschap van die fabrikant in dat product is geïntegreerd of daarmee onderling is verbonden (subonderdeel 2°)</w:t>
      </w:r>
      <w:r w:rsidRPr="00463949" w:rsidR="008D09CE">
        <w:rPr>
          <w:rFonts w:ascii="Times New Roman" w:hAnsi="Times New Roman" w:cs="Times New Roman"/>
          <w:sz w:val="24"/>
          <w:szCs w:val="24"/>
        </w:rPr>
        <w:t xml:space="preserve"> en </w:t>
      </w:r>
      <w:r w:rsidRPr="00463949" w:rsidR="00713A09">
        <w:rPr>
          <w:rFonts w:ascii="Times New Roman" w:hAnsi="Times New Roman" w:cs="Times New Roman"/>
          <w:sz w:val="24"/>
          <w:szCs w:val="24"/>
        </w:rPr>
        <w:t>uitsluitend voor beroepsdoeleinden gebruikte zaken</w:t>
      </w:r>
      <w:r w:rsidRPr="00463949" w:rsidR="0040795D">
        <w:rPr>
          <w:rFonts w:ascii="Times New Roman" w:hAnsi="Times New Roman" w:cs="Times New Roman"/>
          <w:sz w:val="24"/>
          <w:szCs w:val="24"/>
        </w:rPr>
        <w:t xml:space="preserve"> </w:t>
      </w:r>
      <w:r w:rsidRPr="00463949" w:rsidR="00883CE3">
        <w:rPr>
          <w:rFonts w:ascii="Times New Roman" w:hAnsi="Times New Roman" w:cs="Times New Roman"/>
          <w:sz w:val="24"/>
          <w:szCs w:val="24"/>
        </w:rPr>
        <w:t>(subonderdeel 3°)</w:t>
      </w:r>
      <w:r w:rsidRPr="00463949" w:rsidR="00713A09">
        <w:rPr>
          <w:rFonts w:ascii="Times New Roman" w:hAnsi="Times New Roman" w:cs="Times New Roman"/>
          <w:sz w:val="24"/>
          <w:szCs w:val="24"/>
        </w:rPr>
        <w:t xml:space="preserve">. </w:t>
      </w:r>
      <w:r w:rsidRPr="00463949" w:rsidR="00C8617C">
        <w:rPr>
          <w:rFonts w:ascii="Times New Roman" w:hAnsi="Times New Roman" w:cs="Times New Roman"/>
          <w:sz w:val="24"/>
          <w:szCs w:val="24"/>
        </w:rPr>
        <w:t>Is sprake van gemengd gebruik</w:t>
      </w:r>
      <w:r w:rsidRPr="00463949" w:rsidR="008D09CE">
        <w:rPr>
          <w:rFonts w:ascii="Times New Roman" w:hAnsi="Times New Roman" w:cs="Times New Roman"/>
          <w:sz w:val="24"/>
          <w:szCs w:val="24"/>
        </w:rPr>
        <w:t xml:space="preserve"> van een zaak</w:t>
      </w:r>
      <w:r w:rsidRPr="00463949" w:rsidR="00815111">
        <w:rPr>
          <w:rFonts w:ascii="Times New Roman" w:hAnsi="Times New Roman" w:cs="Times New Roman"/>
          <w:sz w:val="24"/>
          <w:szCs w:val="24"/>
        </w:rPr>
        <w:t xml:space="preserve"> </w:t>
      </w:r>
      <w:r w:rsidRPr="00463949" w:rsidR="00C8617C">
        <w:rPr>
          <w:rFonts w:ascii="Times New Roman" w:hAnsi="Times New Roman" w:cs="Times New Roman"/>
          <w:sz w:val="24"/>
          <w:szCs w:val="24"/>
        </w:rPr>
        <w:t>(</w:t>
      </w:r>
      <w:r w:rsidRPr="00463949" w:rsidR="00FD1D9A">
        <w:rPr>
          <w:rFonts w:ascii="Times New Roman" w:hAnsi="Times New Roman" w:cs="Times New Roman"/>
          <w:sz w:val="24"/>
          <w:szCs w:val="24"/>
        </w:rPr>
        <w:t xml:space="preserve">bijvoorbeeld een auto die </w:t>
      </w:r>
      <w:r w:rsidRPr="00463949" w:rsidR="00C8617C">
        <w:rPr>
          <w:rFonts w:ascii="Times New Roman" w:hAnsi="Times New Roman" w:cs="Times New Roman"/>
          <w:sz w:val="24"/>
          <w:szCs w:val="24"/>
        </w:rPr>
        <w:t>zowel voor beroeps- als privédoeleinden</w:t>
      </w:r>
      <w:r w:rsidRPr="00463949" w:rsidR="00FD1D9A">
        <w:rPr>
          <w:rFonts w:ascii="Times New Roman" w:hAnsi="Times New Roman" w:cs="Times New Roman"/>
          <w:sz w:val="24"/>
          <w:szCs w:val="24"/>
        </w:rPr>
        <w:t xml:space="preserve"> wordt gebruikt</w:t>
      </w:r>
      <w:r w:rsidRPr="00463949" w:rsidR="00C8617C">
        <w:rPr>
          <w:rFonts w:ascii="Times New Roman" w:hAnsi="Times New Roman" w:cs="Times New Roman"/>
          <w:sz w:val="24"/>
          <w:szCs w:val="24"/>
        </w:rPr>
        <w:t xml:space="preserve">), dan voorziet </w:t>
      </w:r>
      <w:r w:rsidRPr="00463949" w:rsidR="00AF3FF2">
        <w:rPr>
          <w:rFonts w:ascii="Times New Roman" w:hAnsi="Times New Roman" w:cs="Times New Roman"/>
          <w:sz w:val="24"/>
          <w:szCs w:val="24"/>
        </w:rPr>
        <w:t xml:space="preserve">afdeling 6.3.3 BW </w:t>
      </w:r>
      <w:r w:rsidRPr="00463949" w:rsidR="00C8617C">
        <w:rPr>
          <w:rFonts w:ascii="Times New Roman" w:hAnsi="Times New Roman" w:cs="Times New Roman"/>
          <w:sz w:val="24"/>
          <w:szCs w:val="24"/>
        </w:rPr>
        <w:t xml:space="preserve">wel in </w:t>
      </w:r>
      <w:r w:rsidRPr="00463949" w:rsidR="006C4388">
        <w:rPr>
          <w:rFonts w:ascii="Times New Roman" w:hAnsi="Times New Roman" w:cs="Times New Roman"/>
          <w:sz w:val="24"/>
          <w:szCs w:val="24"/>
        </w:rPr>
        <w:t xml:space="preserve">een mogelijkheid tot </w:t>
      </w:r>
      <w:r w:rsidRPr="00463949" w:rsidR="00C8617C">
        <w:rPr>
          <w:rFonts w:ascii="Times New Roman" w:hAnsi="Times New Roman" w:cs="Times New Roman"/>
          <w:sz w:val="24"/>
          <w:szCs w:val="24"/>
        </w:rPr>
        <w:t xml:space="preserve">schadevergoeding. </w:t>
      </w:r>
      <w:r w:rsidRPr="00463949" w:rsidR="00FD1D9A">
        <w:rPr>
          <w:rFonts w:ascii="Times New Roman" w:hAnsi="Times New Roman" w:cs="Times New Roman"/>
          <w:sz w:val="24"/>
          <w:szCs w:val="24"/>
        </w:rPr>
        <w:t>Verder is van belang dat de Richtlijn, anders dan</w:t>
      </w:r>
      <w:r w:rsidRPr="00463949" w:rsidR="006D63B6">
        <w:rPr>
          <w:rFonts w:ascii="Times New Roman" w:hAnsi="Times New Roman" w:cs="Times New Roman"/>
          <w:sz w:val="24"/>
          <w:szCs w:val="24"/>
        </w:rPr>
        <w:t xml:space="preserve"> Richtlijn 85/374</w:t>
      </w:r>
      <w:r w:rsidRPr="00463949" w:rsidR="00883CE3">
        <w:rPr>
          <w:rStyle w:val="Voetnootmarkering"/>
          <w:rFonts w:ascii="Times New Roman" w:hAnsi="Times New Roman" w:cs="Times New Roman"/>
          <w:sz w:val="24"/>
          <w:szCs w:val="24"/>
        </w:rPr>
        <w:footnoteReference w:id="83"/>
      </w:r>
      <w:r w:rsidRPr="00463949" w:rsidR="000943EE">
        <w:rPr>
          <w:rFonts w:ascii="Times New Roman" w:hAnsi="Times New Roman" w:cs="Times New Roman"/>
          <w:sz w:val="24"/>
          <w:szCs w:val="24"/>
        </w:rPr>
        <w:t>, geen franchise</w:t>
      </w:r>
      <w:r w:rsidRPr="00463949" w:rsidR="00FD1D9A">
        <w:rPr>
          <w:rFonts w:ascii="Times New Roman" w:hAnsi="Times New Roman" w:cs="Times New Roman"/>
          <w:sz w:val="24"/>
          <w:szCs w:val="24"/>
        </w:rPr>
        <w:t xml:space="preserve"> kent</w:t>
      </w:r>
      <w:r w:rsidRPr="00463949" w:rsidR="0040795D">
        <w:rPr>
          <w:rFonts w:ascii="Times New Roman" w:hAnsi="Times New Roman" w:cs="Times New Roman"/>
          <w:sz w:val="24"/>
          <w:szCs w:val="24"/>
        </w:rPr>
        <w:t xml:space="preserve"> </w:t>
      </w:r>
      <w:r w:rsidRPr="00463949" w:rsidR="000943EE">
        <w:rPr>
          <w:rFonts w:ascii="Times New Roman" w:hAnsi="Times New Roman" w:cs="Times New Roman"/>
          <w:sz w:val="24"/>
          <w:szCs w:val="24"/>
        </w:rPr>
        <w:t>voor zaakschade. De bepalingen over de franchise</w:t>
      </w:r>
      <w:r w:rsidRPr="00463949" w:rsidR="00210ECB">
        <w:rPr>
          <w:rFonts w:ascii="Times New Roman" w:hAnsi="Times New Roman" w:cs="Times New Roman"/>
          <w:sz w:val="24"/>
          <w:szCs w:val="24"/>
        </w:rPr>
        <w:t xml:space="preserve"> </w:t>
      </w:r>
      <w:r w:rsidRPr="00463949" w:rsidR="000943EE">
        <w:rPr>
          <w:rFonts w:ascii="Times New Roman" w:hAnsi="Times New Roman" w:cs="Times New Roman"/>
          <w:sz w:val="24"/>
          <w:szCs w:val="24"/>
        </w:rPr>
        <w:t xml:space="preserve">in </w:t>
      </w:r>
      <w:r w:rsidRPr="00463949" w:rsidR="002D597C">
        <w:rPr>
          <w:rFonts w:ascii="Times New Roman" w:hAnsi="Times New Roman" w:cs="Times New Roman"/>
          <w:sz w:val="24"/>
          <w:szCs w:val="24"/>
        </w:rPr>
        <w:t xml:space="preserve">het huidige </w:t>
      </w:r>
      <w:r w:rsidRPr="00463949" w:rsidR="00883CE3">
        <w:rPr>
          <w:rFonts w:ascii="Times New Roman" w:hAnsi="Times New Roman" w:cs="Times New Roman"/>
          <w:sz w:val="24"/>
          <w:szCs w:val="24"/>
        </w:rPr>
        <w:t xml:space="preserve">artikel 6:190 </w:t>
      </w:r>
      <w:r w:rsidRPr="00463949" w:rsidR="000943EE">
        <w:rPr>
          <w:rFonts w:ascii="Times New Roman" w:hAnsi="Times New Roman" w:cs="Times New Roman"/>
          <w:sz w:val="24"/>
          <w:szCs w:val="24"/>
        </w:rPr>
        <w:t xml:space="preserve">lid 1, onderdeel b, en </w:t>
      </w:r>
      <w:r w:rsidRPr="00463949" w:rsidR="00883CE3">
        <w:rPr>
          <w:rFonts w:ascii="Times New Roman" w:hAnsi="Times New Roman" w:cs="Times New Roman"/>
          <w:sz w:val="24"/>
          <w:szCs w:val="24"/>
        </w:rPr>
        <w:t xml:space="preserve">lid 2 BW </w:t>
      </w:r>
      <w:r w:rsidRPr="00463949" w:rsidR="000943EE">
        <w:rPr>
          <w:rFonts w:ascii="Times New Roman" w:hAnsi="Times New Roman" w:cs="Times New Roman"/>
          <w:sz w:val="24"/>
          <w:szCs w:val="24"/>
        </w:rPr>
        <w:t>komen daarom te vervallen.</w:t>
      </w:r>
    </w:p>
    <w:p w:rsidRPr="00463949" w:rsidR="005E0923" w:rsidP="00D045E0" w:rsidRDefault="005E0923" w14:paraId="4CE48AF3" w14:textId="77777777">
      <w:pPr>
        <w:spacing w:after="0" w:line="276" w:lineRule="auto"/>
        <w:rPr>
          <w:rFonts w:ascii="Times New Roman" w:hAnsi="Times New Roman" w:cs="Times New Roman"/>
          <w:sz w:val="24"/>
          <w:szCs w:val="24"/>
        </w:rPr>
      </w:pPr>
    </w:p>
    <w:p w:rsidRPr="00463949" w:rsidR="0040795D" w:rsidP="00D045E0" w:rsidRDefault="000B0A56" w14:paraId="7733A6AA" w14:textId="080F5CED">
      <w:pPr>
        <w:spacing w:after="0" w:line="276" w:lineRule="auto"/>
        <w:rPr>
          <w:rFonts w:ascii="Times New Roman" w:hAnsi="Times New Roman" w:cs="Times New Roman"/>
          <w:sz w:val="24"/>
          <w:szCs w:val="24"/>
        </w:rPr>
      </w:pPr>
      <w:r w:rsidRPr="00463949">
        <w:rPr>
          <w:rFonts w:ascii="Times New Roman" w:hAnsi="Times New Roman" w:cs="Times New Roman"/>
          <w:i/>
          <w:iCs/>
          <w:sz w:val="24"/>
          <w:szCs w:val="24"/>
        </w:rPr>
        <w:lastRenderedPageBreak/>
        <w:t>Onderdeel c</w:t>
      </w:r>
      <w:r w:rsidRPr="00463949">
        <w:rPr>
          <w:rFonts w:ascii="Times New Roman" w:hAnsi="Times New Roman" w:cs="Times New Roman"/>
          <w:sz w:val="24"/>
          <w:szCs w:val="24"/>
        </w:rPr>
        <w:t xml:space="preserve"> implementeert a</w:t>
      </w:r>
      <w:r w:rsidRPr="00463949" w:rsidR="0040795D">
        <w:rPr>
          <w:rFonts w:ascii="Times New Roman" w:hAnsi="Times New Roman" w:cs="Times New Roman"/>
          <w:sz w:val="24"/>
          <w:szCs w:val="24"/>
        </w:rPr>
        <w:t xml:space="preserve">rtikel 6 lid 1, onderdeel c, </w:t>
      </w:r>
      <w:r w:rsidRPr="00463949" w:rsidR="00356ED6">
        <w:rPr>
          <w:rFonts w:ascii="Times New Roman" w:hAnsi="Times New Roman" w:cs="Times New Roman"/>
          <w:sz w:val="24"/>
          <w:szCs w:val="24"/>
        </w:rPr>
        <w:t>Richtlijn</w:t>
      </w:r>
      <w:r w:rsidRPr="00463949">
        <w:rPr>
          <w:rFonts w:ascii="Times New Roman" w:hAnsi="Times New Roman" w:cs="Times New Roman"/>
          <w:sz w:val="24"/>
          <w:szCs w:val="24"/>
        </w:rPr>
        <w:t>.</w:t>
      </w:r>
      <w:r w:rsidRPr="00463949" w:rsidR="002B1676">
        <w:rPr>
          <w:rFonts w:ascii="Times New Roman" w:hAnsi="Times New Roman" w:cs="Times New Roman"/>
          <w:sz w:val="24"/>
          <w:szCs w:val="24"/>
        </w:rPr>
        <w:t xml:space="preserve"> </w:t>
      </w:r>
      <w:r w:rsidRPr="00463949" w:rsidR="009055F2">
        <w:rPr>
          <w:rFonts w:ascii="Times New Roman" w:hAnsi="Times New Roman" w:cs="Times New Roman"/>
          <w:sz w:val="24"/>
          <w:szCs w:val="24"/>
        </w:rPr>
        <w:t xml:space="preserve">Met dit voorgestelde onderdeel </w:t>
      </w:r>
      <w:r w:rsidRPr="00463949" w:rsidR="002B1676">
        <w:rPr>
          <w:rFonts w:ascii="Times New Roman" w:hAnsi="Times New Roman" w:cs="Times New Roman"/>
          <w:sz w:val="24"/>
          <w:szCs w:val="24"/>
        </w:rPr>
        <w:t>wordt een nieuwe schadesoort toegevoegd</w:t>
      </w:r>
      <w:r w:rsidRPr="00463949" w:rsidR="00356ED6">
        <w:rPr>
          <w:rFonts w:ascii="Times New Roman" w:hAnsi="Times New Roman" w:cs="Times New Roman"/>
          <w:sz w:val="24"/>
          <w:szCs w:val="24"/>
        </w:rPr>
        <w:t>: vernietiging of corruptie van niet voor beroepsdoeleinden gebruikte gegevens.</w:t>
      </w:r>
      <w:r w:rsidRPr="00463949" w:rsidR="00A36AFF">
        <w:rPr>
          <w:rFonts w:ascii="Times New Roman" w:hAnsi="Times New Roman" w:cs="Times New Roman"/>
          <w:sz w:val="24"/>
          <w:szCs w:val="24"/>
        </w:rPr>
        <w:t xml:space="preserve"> Op grond van</w:t>
      </w:r>
      <w:r w:rsidRPr="00463949" w:rsidR="00FD1D9A">
        <w:rPr>
          <w:rFonts w:ascii="Times New Roman" w:hAnsi="Times New Roman" w:cs="Times New Roman"/>
          <w:sz w:val="24"/>
          <w:szCs w:val="24"/>
        </w:rPr>
        <w:t xml:space="preserve"> het nieuwe</w:t>
      </w:r>
      <w:r w:rsidRPr="00463949" w:rsidR="00A36AFF">
        <w:rPr>
          <w:rFonts w:ascii="Times New Roman" w:hAnsi="Times New Roman" w:cs="Times New Roman"/>
          <w:sz w:val="24"/>
          <w:szCs w:val="24"/>
        </w:rPr>
        <w:t xml:space="preserve"> onderdeel c kan </w:t>
      </w:r>
      <w:r w:rsidRPr="00463949" w:rsidR="0040795D">
        <w:rPr>
          <w:rFonts w:ascii="Times New Roman" w:hAnsi="Times New Roman" w:cs="Times New Roman"/>
          <w:sz w:val="24"/>
          <w:szCs w:val="24"/>
        </w:rPr>
        <w:t>een benadeelde</w:t>
      </w:r>
      <w:r w:rsidRPr="00463949" w:rsidR="00FD1D9A">
        <w:rPr>
          <w:rFonts w:ascii="Times New Roman" w:hAnsi="Times New Roman" w:cs="Times New Roman"/>
          <w:sz w:val="24"/>
          <w:szCs w:val="24"/>
        </w:rPr>
        <w:t xml:space="preserve"> </w:t>
      </w:r>
      <w:r w:rsidRPr="00463949" w:rsidR="00644DA5">
        <w:rPr>
          <w:rFonts w:ascii="Times New Roman" w:hAnsi="Times New Roman" w:cs="Times New Roman"/>
          <w:sz w:val="24"/>
          <w:szCs w:val="24"/>
        </w:rPr>
        <w:t>bijvoorbeeld vergoeding</w:t>
      </w:r>
      <w:r w:rsidRPr="00463949" w:rsidR="0040795D">
        <w:rPr>
          <w:rFonts w:ascii="Times New Roman" w:hAnsi="Times New Roman" w:cs="Times New Roman"/>
          <w:sz w:val="24"/>
          <w:szCs w:val="24"/>
        </w:rPr>
        <w:t xml:space="preserve"> </w:t>
      </w:r>
      <w:r w:rsidRPr="00463949" w:rsidR="00644DA5">
        <w:rPr>
          <w:rFonts w:ascii="Times New Roman" w:hAnsi="Times New Roman" w:cs="Times New Roman"/>
          <w:sz w:val="24"/>
          <w:szCs w:val="24"/>
        </w:rPr>
        <w:t xml:space="preserve">vorderen van digitale bestanden die </w:t>
      </w:r>
      <w:r w:rsidRPr="00463949" w:rsidR="00CD2190">
        <w:rPr>
          <w:rFonts w:ascii="Times New Roman" w:hAnsi="Times New Roman" w:cs="Times New Roman"/>
          <w:sz w:val="24"/>
          <w:szCs w:val="24"/>
        </w:rPr>
        <w:t xml:space="preserve">zijn verwijderd </w:t>
      </w:r>
      <w:r w:rsidRPr="00463949" w:rsidR="00644DA5">
        <w:rPr>
          <w:rFonts w:ascii="Times New Roman" w:hAnsi="Times New Roman" w:cs="Times New Roman"/>
          <w:sz w:val="24"/>
          <w:szCs w:val="24"/>
        </w:rPr>
        <w:t xml:space="preserve">van </w:t>
      </w:r>
      <w:r w:rsidRPr="00463949" w:rsidR="00906523">
        <w:rPr>
          <w:rFonts w:ascii="Times New Roman" w:hAnsi="Times New Roman" w:cs="Times New Roman"/>
          <w:sz w:val="24"/>
          <w:szCs w:val="24"/>
        </w:rPr>
        <w:t xml:space="preserve">de </w:t>
      </w:r>
      <w:r w:rsidRPr="00463949" w:rsidR="00644DA5">
        <w:rPr>
          <w:rFonts w:ascii="Times New Roman" w:hAnsi="Times New Roman" w:cs="Times New Roman"/>
          <w:sz w:val="24"/>
          <w:szCs w:val="24"/>
        </w:rPr>
        <w:t>harde schijf, met inbegrip van de kosten voor het terugwinnen of herstellen</w:t>
      </w:r>
      <w:r w:rsidRPr="00463949" w:rsidR="007C0897">
        <w:rPr>
          <w:rFonts w:ascii="Times New Roman" w:hAnsi="Times New Roman" w:cs="Times New Roman"/>
          <w:sz w:val="24"/>
          <w:szCs w:val="24"/>
        </w:rPr>
        <w:t xml:space="preserve"> daarvan</w:t>
      </w:r>
      <w:r w:rsidRPr="00463949" w:rsidR="00644DA5">
        <w:rPr>
          <w:rFonts w:ascii="Times New Roman" w:hAnsi="Times New Roman" w:cs="Times New Roman"/>
          <w:sz w:val="24"/>
          <w:szCs w:val="24"/>
        </w:rPr>
        <w:t xml:space="preserve">. </w:t>
      </w:r>
      <w:r w:rsidRPr="00463949" w:rsidR="007C0897">
        <w:rPr>
          <w:rFonts w:ascii="Times New Roman" w:hAnsi="Times New Roman" w:cs="Times New Roman"/>
          <w:sz w:val="24"/>
          <w:szCs w:val="24"/>
        </w:rPr>
        <w:t>V</w:t>
      </w:r>
      <w:r w:rsidRPr="00463949" w:rsidR="00644DA5">
        <w:rPr>
          <w:rFonts w:ascii="Times New Roman" w:hAnsi="Times New Roman" w:cs="Times New Roman"/>
          <w:sz w:val="24"/>
          <w:szCs w:val="24"/>
        </w:rPr>
        <w:t xml:space="preserve">ernietiging of corruptie van gegevens </w:t>
      </w:r>
      <w:r w:rsidRPr="00463949" w:rsidR="007C0897">
        <w:rPr>
          <w:rFonts w:ascii="Times New Roman" w:hAnsi="Times New Roman" w:cs="Times New Roman"/>
          <w:sz w:val="24"/>
          <w:szCs w:val="24"/>
        </w:rPr>
        <w:t xml:space="preserve">leidt overigens </w:t>
      </w:r>
      <w:r w:rsidRPr="00463949" w:rsidR="00644DA5">
        <w:rPr>
          <w:rFonts w:ascii="Times New Roman" w:hAnsi="Times New Roman" w:cs="Times New Roman"/>
          <w:sz w:val="24"/>
          <w:szCs w:val="24"/>
        </w:rPr>
        <w:t>niet automatisch tot materiële schade. Zo zal er geen sprake zijn van schade als de benadeelde die gegevens zonder kosten kan</w:t>
      </w:r>
      <w:r w:rsidRPr="00463949" w:rsidR="009055F2">
        <w:rPr>
          <w:rFonts w:ascii="Times New Roman" w:hAnsi="Times New Roman" w:cs="Times New Roman"/>
          <w:sz w:val="24"/>
          <w:szCs w:val="24"/>
        </w:rPr>
        <w:t xml:space="preserve"> herstellen of opnieuw kan verkrijgen</w:t>
      </w:r>
      <w:r w:rsidRPr="00463949" w:rsidR="00644DA5">
        <w:rPr>
          <w:rFonts w:ascii="Times New Roman" w:hAnsi="Times New Roman" w:cs="Times New Roman"/>
          <w:sz w:val="24"/>
          <w:szCs w:val="24"/>
        </w:rPr>
        <w:t xml:space="preserve">. Denk hierbij </w:t>
      </w:r>
      <w:r w:rsidRPr="00463949" w:rsidR="007C0897">
        <w:rPr>
          <w:rFonts w:ascii="Times New Roman" w:hAnsi="Times New Roman" w:cs="Times New Roman"/>
          <w:sz w:val="24"/>
          <w:szCs w:val="24"/>
        </w:rPr>
        <w:t xml:space="preserve">bijvoorbeeld aan </w:t>
      </w:r>
      <w:r w:rsidRPr="00463949" w:rsidR="00644DA5">
        <w:rPr>
          <w:rFonts w:ascii="Times New Roman" w:hAnsi="Times New Roman" w:cs="Times New Roman"/>
          <w:sz w:val="24"/>
          <w:szCs w:val="24"/>
        </w:rPr>
        <w:t xml:space="preserve">het bestaan van een back-up of het opnieuw kunnen downloaden </w:t>
      </w:r>
      <w:r w:rsidRPr="00463949" w:rsidR="00CD2190">
        <w:rPr>
          <w:rFonts w:ascii="Times New Roman" w:hAnsi="Times New Roman" w:cs="Times New Roman"/>
          <w:sz w:val="24"/>
          <w:szCs w:val="24"/>
        </w:rPr>
        <w:t>van die gegevens</w:t>
      </w:r>
      <w:r w:rsidRPr="00463949" w:rsidR="00644DA5">
        <w:rPr>
          <w:rFonts w:ascii="Times New Roman" w:hAnsi="Times New Roman" w:cs="Times New Roman"/>
          <w:sz w:val="24"/>
          <w:szCs w:val="24"/>
        </w:rPr>
        <w:t xml:space="preserve">. </w:t>
      </w:r>
      <w:r w:rsidRPr="00463949" w:rsidR="00CD2190">
        <w:rPr>
          <w:rFonts w:ascii="Times New Roman" w:hAnsi="Times New Roman" w:cs="Times New Roman"/>
          <w:sz w:val="24"/>
          <w:szCs w:val="24"/>
        </w:rPr>
        <w:t xml:space="preserve">Ook is </w:t>
      </w:r>
      <w:r w:rsidRPr="00463949" w:rsidR="00644DA5">
        <w:rPr>
          <w:rFonts w:ascii="Times New Roman" w:hAnsi="Times New Roman" w:cs="Times New Roman"/>
          <w:sz w:val="24"/>
          <w:szCs w:val="24"/>
        </w:rPr>
        <w:t>denkbaar dat een marktdeelnemer gegevens die tijdelijk niet beschikbaar zijn, herstelt of opnieuw creëert</w:t>
      </w:r>
      <w:r w:rsidRPr="00463949" w:rsidR="00906523">
        <w:rPr>
          <w:rFonts w:ascii="Times New Roman" w:hAnsi="Times New Roman" w:cs="Times New Roman"/>
          <w:sz w:val="24"/>
          <w:szCs w:val="24"/>
        </w:rPr>
        <w:t>, bijvoorbeeld in een virtuele omgeving</w:t>
      </w:r>
      <w:r w:rsidRPr="00463949" w:rsidR="007C0897">
        <w:rPr>
          <w:rFonts w:ascii="Times New Roman" w:hAnsi="Times New Roman" w:cs="Times New Roman"/>
          <w:sz w:val="24"/>
          <w:szCs w:val="24"/>
        </w:rPr>
        <w:t xml:space="preserve"> (zie overweging 20)</w:t>
      </w:r>
      <w:r w:rsidRPr="00463949" w:rsidR="00906523">
        <w:rPr>
          <w:rFonts w:ascii="Times New Roman" w:hAnsi="Times New Roman" w:cs="Times New Roman"/>
          <w:sz w:val="24"/>
          <w:szCs w:val="24"/>
        </w:rPr>
        <w:t xml:space="preserve">. </w:t>
      </w:r>
      <w:r w:rsidRPr="00463949" w:rsidR="007C0897">
        <w:rPr>
          <w:rFonts w:ascii="Times New Roman" w:hAnsi="Times New Roman" w:cs="Times New Roman"/>
          <w:sz w:val="24"/>
          <w:szCs w:val="24"/>
        </w:rPr>
        <w:t>V</w:t>
      </w:r>
      <w:r w:rsidRPr="00463949" w:rsidR="004A30DA">
        <w:rPr>
          <w:rFonts w:ascii="Times New Roman" w:hAnsi="Times New Roman" w:cs="Times New Roman"/>
          <w:sz w:val="24"/>
          <w:szCs w:val="24"/>
        </w:rPr>
        <w:t>ernietiging of corruptie van voor beroepsdoeleinden gebruikte gegevens</w:t>
      </w:r>
      <w:r w:rsidRPr="00463949" w:rsidR="00A36AFF">
        <w:rPr>
          <w:rFonts w:ascii="Times New Roman" w:hAnsi="Times New Roman" w:cs="Times New Roman"/>
          <w:sz w:val="24"/>
          <w:szCs w:val="24"/>
        </w:rPr>
        <w:t xml:space="preserve">, </w:t>
      </w:r>
      <w:r w:rsidRPr="00463949" w:rsidR="004A30DA">
        <w:rPr>
          <w:rFonts w:ascii="Times New Roman" w:hAnsi="Times New Roman" w:cs="Times New Roman"/>
          <w:sz w:val="24"/>
          <w:szCs w:val="24"/>
        </w:rPr>
        <w:t>zelf</w:t>
      </w:r>
      <w:r w:rsidRPr="00463949" w:rsidR="00A36AFF">
        <w:rPr>
          <w:rFonts w:ascii="Times New Roman" w:hAnsi="Times New Roman" w:cs="Times New Roman"/>
          <w:sz w:val="24"/>
          <w:szCs w:val="24"/>
        </w:rPr>
        <w:t>s</w:t>
      </w:r>
      <w:r w:rsidRPr="00463949" w:rsidR="004A30DA">
        <w:rPr>
          <w:rFonts w:ascii="Times New Roman" w:hAnsi="Times New Roman" w:cs="Times New Roman"/>
          <w:sz w:val="24"/>
          <w:szCs w:val="24"/>
        </w:rPr>
        <w:t xml:space="preserve"> als dat niet uitsluitend zo is </w:t>
      </w:r>
      <w:r w:rsidRPr="00463949" w:rsidR="00A36AFF">
        <w:rPr>
          <w:rFonts w:ascii="Times New Roman" w:hAnsi="Times New Roman" w:cs="Times New Roman"/>
          <w:sz w:val="24"/>
          <w:szCs w:val="24"/>
        </w:rPr>
        <w:t>(</w:t>
      </w:r>
      <w:r w:rsidRPr="00463949" w:rsidR="004A30DA">
        <w:rPr>
          <w:rFonts w:ascii="Times New Roman" w:hAnsi="Times New Roman" w:cs="Times New Roman"/>
          <w:sz w:val="24"/>
          <w:szCs w:val="24"/>
        </w:rPr>
        <w:t xml:space="preserve">bijvoorbeeld </w:t>
      </w:r>
      <w:r w:rsidRPr="00463949" w:rsidR="00143715">
        <w:rPr>
          <w:rFonts w:ascii="Times New Roman" w:hAnsi="Times New Roman" w:cs="Times New Roman"/>
          <w:sz w:val="24"/>
          <w:szCs w:val="24"/>
        </w:rPr>
        <w:t xml:space="preserve">bij </w:t>
      </w:r>
      <w:r w:rsidRPr="00463949" w:rsidR="004A30DA">
        <w:rPr>
          <w:rFonts w:ascii="Times New Roman" w:hAnsi="Times New Roman" w:cs="Times New Roman"/>
          <w:sz w:val="24"/>
          <w:szCs w:val="24"/>
        </w:rPr>
        <w:t>gemengd gebruik)</w:t>
      </w:r>
      <w:r w:rsidRPr="00463949" w:rsidR="00A36AFF">
        <w:rPr>
          <w:rFonts w:ascii="Times New Roman" w:hAnsi="Times New Roman" w:cs="Times New Roman"/>
          <w:sz w:val="24"/>
          <w:szCs w:val="24"/>
        </w:rPr>
        <w:t>,</w:t>
      </w:r>
      <w:r w:rsidRPr="00463949" w:rsidR="007C0897">
        <w:rPr>
          <w:rFonts w:ascii="Times New Roman" w:hAnsi="Times New Roman" w:cs="Times New Roman"/>
          <w:sz w:val="24"/>
          <w:szCs w:val="24"/>
        </w:rPr>
        <w:t xml:space="preserve"> komt niet voor vergoeding in aanmerking</w:t>
      </w:r>
      <w:r w:rsidRPr="00463949" w:rsidR="004A30DA">
        <w:rPr>
          <w:rFonts w:ascii="Times New Roman" w:hAnsi="Times New Roman" w:cs="Times New Roman"/>
          <w:sz w:val="24"/>
          <w:szCs w:val="24"/>
        </w:rPr>
        <w:t>.</w:t>
      </w:r>
      <w:r w:rsidRPr="00463949" w:rsidR="002E2FB2">
        <w:rPr>
          <w:rFonts w:ascii="Times New Roman" w:hAnsi="Times New Roman" w:cs="Times New Roman"/>
          <w:sz w:val="24"/>
          <w:szCs w:val="24"/>
        </w:rPr>
        <w:t xml:space="preserve"> </w:t>
      </w:r>
      <w:r w:rsidRPr="00463949" w:rsidR="00143715">
        <w:rPr>
          <w:rFonts w:ascii="Times New Roman" w:hAnsi="Times New Roman" w:cs="Times New Roman"/>
          <w:sz w:val="24"/>
          <w:szCs w:val="24"/>
        </w:rPr>
        <w:t xml:space="preserve">Hiermee is beoogd </w:t>
      </w:r>
      <w:r w:rsidRPr="00463949">
        <w:rPr>
          <w:rFonts w:ascii="Times New Roman" w:hAnsi="Times New Roman" w:cs="Times New Roman"/>
          <w:sz w:val="24"/>
          <w:szCs w:val="24"/>
        </w:rPr>
        <w:t xml:space="preserve">een mogelijk </w:t>
      </w:r>
      <w:r w:rsidRPr="00463949" w:rsidR="002E2FB2">
        <w:rPr>
          <w:rFonts w:ascii="Times New Roman" w:hAnsi="Times New Roman" w:cs="Times New Roman"/>
          <w:sz w:val="24"/>
          <w:szCs w:val="24"/>
        </w:rPr>
        <w:t>risico op een buitensporig aantal rechtszaken tegen te gaan</w:t>
      </w:r>
      <w:r w:rsidRPr="00463949" w:rsidR="007C0897">
        <w:rPr>
          <w:rFonts w:ascii="Times New Roman" w:hAnsi="Times New Roman" w:cs="Times New Roman"/>
          <w:sz w:val="24"/>
          <w:szCs w:val="24"/>
        </w:rPr>
        <w:t xml:space="preserve"> (zie overweging 22)</w:t>
      </w:r>
      <w:r w:rsidRPr="00463949" w:rsidR="002E2FB2">
        <w:rPr>
          <w:rFonts w:ascii="Times New Roman" w:hAnsi="Times New Roman" w:cs="Times New Roman"/>
          <w:sz w:val="24"/>
          <w:szCs w:val="24"/>
        </w:rPr>
        <w:t>.</w:t>
      </w:r>
    </w:p>
    <w:p w:rsidRPr="00463949" w:rsidR="00815111" w:rsidP="00D045E0" w:rsidRDefault="00815111" w14:paraId="1DE41C51" w14:textId="77777777">
      <w:pPr>
        <w:spacing w:after="0" w:line="276" w:lineRule="auto"/>
        <w:rPr>
          <w:rFonts w:ascii="Times New Roman" w:hAnsi="Times New Roman" w:cs="Times New Roman"/>
          <w:sz w:val="24"/>
          <w:szCs w:val="24"/>
        </w:rPr>
      </w:pPr>
    </w:p>
    <w:p w:rsidRPr="00463949" w:rsidR="0040795D" w:rsidP="00D045E0" w:rsidRDefault="0040795D" w14:paraId="5C8C91E5" w14:textId="1572E656">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Volledigheidshalve wordt </w:t>
      </w:r>
      <w:r w:rsidRPr="00463949" w:rsidR="00FA6FCB">
        <w:rPr>
          <w:rFonts w:ascii="Times New Roman" w:hAnsi="Times New Roman" w:cs="Times New Roman"/>
          <w:sz w:val="24"/>
          <w:szCs w:val="24"/>
        </w:rPr>
        <w:t xml:space="preserve">nog </w:t>
      </w:r>
      <w:r w:rsidRPr="00463949">
        <w:rPr>
          <w:rFonts w:ascii="Times New Roman" w:hAnsi="Times New Roman" w:cs="Times New Roman"/>
          <w:sz w:val="24"/>
          <w:szCs w:val="24"/>
        </w:rPr>
        <w:t>opgemerkt dat andere soorten schade dan genoemd in de onderdelen a tot en met c, zoals zuiver economische</w:t>
      </w:r>
      <w:r w:rsidRPr="00463949" w:rsidR="00A36AFF">
        <w:rPr>
          <w:rFonts w:ascii="Times New Roman" w:hAnsi="Times New Roman" w:cs="Times New Roman"/>
          <w:sz w:val="24"/>
          <w:szCs w:val="24"/>
        </w:rPr>
        <w:t xml:space="preserve"> schade</w:t>
      </w:r>
      <w:r w:rsidRPr="00463949">
        <w:rPr>
          <w:rFonts w:ascii="Times New Roman" w:hAnsi="Times New Roman" w:cs="Times New Roman"/>
          <w:sz w:val="24"/>
          <w:szCs w:val="24"/>
        </w:rPr>
        <w:t xml:space="preserve">, inbreuken op de persoonlijke levenssfeer of discriminatie, als zodanig geen aanleiding geven tot aansprakelijkheid op grond van afdeling 6.3.3 BW. </w:t>
      </w:r>
      <w:r w:rsidRPr="00463949" w:rsidR="00A36AFF">
        <w:rPr>
          <w:rFonts w:ascii="Times New Roman" w:hAnsi="Times New Roman" w:cs="Times New Roman"/>
          <w:sz w:val="24"/>
          <w:szCs w:val="24"/>
        </w:rPr>
        <w:t>Een benadeelde kan hiervoor wel een schadevergoeding</w:t>
      </w:r>
      <w:r w:rsidRPr="00463949" w:rsidR="000B0A56">
        <w:rPr>
          <w:rFonts w:ascii="Times New Roman" w:hAnsi="Times New Roman" w:cs="Times New Roman"/>
          <w:sz w:val="24"/>
          <w:szCs w:val="24"/>
        </w:rPr>
        <w:t xml:space="preserve">svordering instellen </w:t>
      </w:r>
      <w:r w:rsidRPr="00463949" w:rsidR="00A36AFF">
        <w:rPr>
          <w:rFonts w:ascii="Times New Roman" w:hAnsi="Times New Roman" w:cs="Times New Roman"/>
          <w:sz w:val="24"/>
          <w:szCs w:val="24"/>
        </w:rPr>
        <w:t>op grond van</w:t>
      </w:r>
      <w:r w:rsidRPr="00463949" w:rsidR="00BF1BC9">
        <w:rPr>
          <w:rFonts w:ascii="Times New Roman" w:hAnsi="Times New Roman" w:cs="Times New Roman"/>
          <w:sz w:val="24"/>
          <w:szCs w:val="24"/>
        </w:rPr>
        <w:t xml:space="preserve"> nationaal recht,</w:t>
      </w:r>
      <w:r w:rsidRPr="00463949" w:rsidR="007C0897">
        <w:rPr>
          <w:rFonts w:ascii="Times New Roman" w:hAnsi="Times New Roman" w:cs="Times New Roman"/>
          <w:sz w:val="24"/>
          <w:szCs w:val="24"/>
        </w:rPr>
        <w:t xml:space="preserve"> bijvoorbeeld</w:t>
      </w:r>
      <w:r w:rsidRPr="00463949" w:rsidR="00A36AFF">
        <w:rPr>
          <w:rFonts w:ascii="Times New Roman" w:hAnsi="Times New Roman" w:cs="Times New Roman"/>
          <w:sz w:val="24"/>
          <w:szCs w:val="24"/>
        </w:rPr>
        <w:t xml:space="preserve"> </w:t>
      </w:r>
      <w:r w:rsidRPr="00463949" w:rsidR="00BF1BC9">
        <w:rPr>
          <w:rFonts w:ascii="Times New Roman" w:hAnsi="Times New Roman" w:cs="Times New Roman"/>
          <w:sz w:val="24"/>
          <w:szCs w:val="24"/>
        </w:rPr>
        <w:t xml:space="preserve">de </w:t>
      </w:r>
      <w:r w:rsidRPr="00463949" w:rsidR="000B0A56">
        <w:rPr>
          <w:rFonts w:ascii="Times New Roman" w:hAnsi="Times New Roman" w:cs="Times New Roman"/>
          <w:sz w:val="24"/>
          <w:szCs w:val="24"/>
        </w:rPr>
        <w:t>o</w:t>
      </w:r>
      <w:r w:rsidRPr="00463949" w:rsidR="00A36AFF">
        <w:rPr>
          <w:rFonts w:ascii="Times New Roman" w:hAnsi="Times New Roman" w:cs="Times New Roman"/>
          <w:sz w:val="24"/>
          <w:szCs w:val="24"/>
        </w:rPr>
        <w:t>nrechtmatige daad</w:t>
      </w:r>
      <w:r w:rsidRPr="00463949" w:rsidR="00AF3FF2">
        <w:rPr>
          <w:rFonts w:ascii="Times New Roman" w:hAnsi="Times New Roman" w:cs="Times New Roman"/>
          <w:sz w:val="24"/>
          <w:szCs w:val="24"/>
        </w:rPr>
        <w:t xml:space="preserve"> (zie overweging 24)</w:t>
      </w:r>
      <w:r w:rsidRPr="00463949" w:rsidR="00A36AFF">
        <w:rPr>
          <w:rFonts w:ascii="Times New Roman" w:hAnsi="Times New Roman" w:cs="Times New Roman"/>
          <w:sz w:val="24"/>
          <w:szCs w:val="24"/>
        </w:rPr>
        <w:t>.</w:t>
      </w:r>
      <w:r w:rsidRPr="00463949" w:rsidR="006C4388">
        <w:rPr>
          <w:rFonts w:ascii="Times New Roman" w:hAnsi="Times New Roman" w:cs="Times New Roman"/>
          <w:sz w:val="24"/>
          <w:szCs w:val="24"/>
        </w:rPr>
        <w:t xml:space="preserve"> </w:t>
      </w:r>
      <w:r w:rsidRPr="00463949" w:rsidR="00016234">
        <w:rPr>
          <w:rFonts w:ascii="Times New Roman" w:hAnsi="Times New Roman" w:cs="Times New Roman"/>
          <w:sz w:val="24"/>
          <w:szCs w:val="24"/>
        </w:rPr>
        <w:t xml:space="preserve">Verder is van belang </w:t>
      </w:r>
      <w:r w:rsidRPr="00463949" w:rsidR="009425E3">
        <w:rPr>
          <w:rFonts w:ascii="Times New Roman" w:hAnsi="Times New Roman" w:cs="Times New Roman"/>
          <w:sz w:val="24"/>
          <w:szCs w:val="24"/>
        </w:rPr>
        <w:t xml:space="preserve">dat het recht op schadevergoeding </w:t>
      </w:r>
      <w:r w:rsidRPr="00463949" w:rsidR="00FA6FCB">
        <w:rPr>
          <w:rFonts w:ascii="Times New Roman" w:hAnsi="Times New Roman" w:cs="Times New Roman"/>
          <w:sz w:val="24"/>
          <w:szCs w:val="24"/>
        </w:rPr>
        <w:t xml:space="preserve">uit hoofde van </w:t>
      </w:r>
      <w:r w:rsidRPr="00463949" w:rsidR="009425E3">
        <w:rPr>
          <w:rFonts w:ascii="Times New Roman" w:hAnsi="Times New Roman" w:cs="Times New Roman"/>
          <w:sz w:val="24"/>
          <w:szCs w:val="24"/>
        </w:rPr>
        <w:t>afdeling 6.3.3 BW zowel geldt voor directe slachtoffers, die schade lijden die rechtstreeks door een gebrekkig product is veroorzaakt, als voor indirecte slachtoffers, die schade lijden als gevolg van de schade geleden door het directe slachtoffers.</w:t>
      </w:r>
      <w:r w:rsidRPr="00463949" w:rsidR="00016234">
        <w:rPr>
          <w:rFonts w:ascii="Times New Roman" w:hAnsi="Times New Roman" w:cs="Times New Roman"/>
          <w:sz w:val="24"/>
          <w:szCs w:val="24"/>
        </w:rPr>
        <w:t xml:space="preserve"> </w:t>
      </w:r>
      <w:r w:rsidRPr="00463949" w:rsidR="00BF1BC9">
        <w:rPr>
          <w:rFonts w:ascii="Times New Roman" w:hAnsi="Times New Roman" w:cs="Times New Roman"/>
          <w:sz w:val="24"/>
          <w:szCs w:val="24"/>
        </w:rPr>
        <w:t xml:space="preserve">Dit evenwel alleen voor zover het nationale recht voorziet in de vergoeding van schade van indirecte slachtoffers (zie overweging 27). </w:t>
      </w:r>
      <w:r w:rsidRPr="00463949" w:rsidR="00016234">
        <w:rPr>
          <w:rFonts w:ascii="Times New Roman" w:hAnsi="Times New Roman" w:cs="Times New Roman"/>
          <w:sz w:val="24"/>
          <w:szCs w:val="24"/>
        </w:rPr>
        <w:t xml:space="preserve">Dit betekent </w:t>
      </w:r>
      <w:r w:rsidRPr="00463949" w:rsidR="00BF1BC9">
        <w:rPr>
          <w:rFonts w:ascii="Times New Roman" w:hAnsi="Times New Roman" w:cs="Times New Roman"/>
          <w:sz w:val="24"/>
          <w:szCs w:val="24"/>
        </w:rPr>
        <w:t xml:space="preserve">voor het Nederlandse recht </w:t>
      </w:r>
      <w:r w:rsidRPr="00463949" w:rsidR="00016234">
        <w:rPr>
          <w:rFonts w:ascii="Times New Roman" w:hAnsi="Times New Roman" w:cs="Times New Roman"/>
          <w:sz w:val="24"/>
          <w:szCs w:val="24"/>
        </w:rPr>
        <w:t xml:space="preserve">dat de </w:t>
      </w:r>
      <w:r w:rsidRPr="00463949" w:rsidR="00BF1BC9">
        <w:rPr>
          <w:rFonts w:ascii="Times New Roman" w:hAnsi="Times New Roman" w:cs="Times New Roman"/>
          <w:sz w:val="24"/>
          <w:szCs w:val="24"/>
        </w:rPr>
        <w:t>vergoeding van zogenoemde verplaatste schade, loonaanspraken en affectieschade ook kan worden gevorderd op grond van de regeling inzake productaansprakelijkheid (</w:t>
      </w:r>
      <w:r w:rsidRPr="00463949" w:rsidR="00016234">
        <w:rPr>
          <w:rFonts w:ascii="Times New Roman" w:hAnsi="Times New Roman" w:cs="Times New Roman"/>
          <w:sz w:val="24"/>
          <w:szCs w:val="24"/>
        </w:rPr>
        <w:t>artikelen 6:107, 6:107a en 6:108 BW</w:t>
      </w:r>
      <w:r w:rsidRPr="00463949" w:rsidR="00BF1BC9">
        <w:rPr>
          <w:rFonts w:ascii="Times New Roman" w:hAnsi="Times New Roman" w:cs="Times New Roman"/>
          <w:sz w:val="24"/>
          <w:szCs w:val="24"/>
        </w:rPr>
        <w:t>).</w:t>
      </w:r>
      <w:r w:rsidRPr="00463949" w:rsidR="00016234">
        <w:rPr>
          <w:rFonts w:ascii="Times New Roman" w:hAnsi="Times New Roman" w:cs="Times New Roman"/>
          <w:sz w:val="24"/>
          <w:szCs w:val="24"/>
        </w:rPr>
        <w:t xml:space="preserve"> Tot slot wordt opgemerkt dat de Richtlijn geen afbreuk doet aan de nationale regels voor de berekening van de schadevergoeding (zie overweging 23).</w:t>
      </w:r>
    </w:p>
    <w:p w:rsidRPr="00463949" w:rsidR="0040795D" w:rsidP="00D045E0" w:rsidRDefault="0040795D" w14:paraId="508F1693" w14:textId="77777777">
      <w:pPr>
        <w:spacing w:after="0" w:line="276" w:lineRule="auto"/>
        <w:rPr>
          <w:rFonts w:ascii="Times New Roman" w:hAnsi="Times New Roman" w:cs="Times New Roman"/>
          <w:sz w:val="24"/>
          <w:szCs w:val="24"/>
        </w:rPr>
      </w:pPr>
    </w:p>
    <w:p w:rsidRPr="00463949" w:rsidR="00FB4EC1" w:rsidP="00D045E0" w:rsidRDefault="00FB4EC1" w14:paraId="6B41226F" w14:textId="2ACF793B">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J, wijziging artikel 191</w:t>
      </w:r>
      <w:r w:rsidRPr="00463949" w:rsidR="0099476D">
        <w:rPr>
          <w:rFonts w:ascii="Times New Roman" w:hAnsi="Times New Roman" w:cs="Times New Roman"/>
          <w:i/>
          <w:iCs/>
          <w:sz w:val="24"/>
          <w:szCs w:val="24"/>
        </w:rPr>
        <w:t xml:space="preserve"> (verjaringstermijn)</w:t>
      </w:r>
    </w:p>
    <w:p w:rsidRPr="00463949" w:rsidR="00FB4EC1" w:rsidP="00D045E0" w:rsidRDefault="00FB4EC1" w14:paraId="0306B1A0" w14:textId="77777777">
      <w:pPr>
        <w:spacing w:after="0" w:line="276" w:lineRule="auto"/>
        <w:rPr>
          <w:rFonts w:ascii="Times New Roman" w:hAnsi="Times New Roman" w:cs="Times New Roman"/>
          <w:sz w:val="24"/>
          <w:szCs w:val="24"/>
        </w:rPr>
      </w:pPr>
    </w:p>
    <w:p w:rsidRPr="00463949" w:rsidR="00967FE0" w:rsidP="00967FE0" w:rsidRDefault="00967FE0" w14:paraId="0C103B2D" w14:textId="3D6E8116">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Omwille van de duidelijkheid is ervoor gekozen de richtlijnbepalingen over de verjarings- en vervaltermijn </w:t>
      </w:r>
      <w:r w:rsidRPr="00463949" w:rsidR="0046185A">
        <w:rPr>
          <w:rFonts w:ascii="Times New Roman" w:hAnsi="Times New Roman" w:cs="Times New Roman"/>
          <w:sz w:val="24"/>
          <w:szCs w:val="24"/>
        </w:rPr>
        <w:t xml:space="preserve">(artikelen 16 en 17) </w:t>
      </w:r>
      <w:r w:rsidRPr="00463949">
        <w:rPr>
          <w:rFonts w:ascii="Times New Roman" w:hAnsi="Times New Roman" w:cs="Times New Roman"/>
          <w:sz w:val="24"/>
          <w:szCs w:val="24"/>
        </w:rPr>
        <w:t>te implementeren in twee verschillende wetsartikelen.</w:t>
      </w:r>
      <w:r w:rsidRPr="00463949">
        <w:rPr>
          <w:rStyle w:val="Voetnootmarkering"/>
          <w:rFonts w:ascii="Times New Roman" w:hAnsi="Times New Roman" w:cs="Times New Roman"/>
          <w:sz w:val="24"/>
          <w:szCs w:val="24"/>
        </w:rPr>
        <w:footnoteReference w:id="84"/>
      </w:r>
      <w:r w:rsidRPr="00463949">
        <w:rPr>
          <w:rFonts w:ascii="Times New Roman" w:hAnsi="Times New Roman" w:cs="Times New Roman"/>
          <w:sz w:val="24"/>
          <w:szCs w:val="24"/>
        </w:rPr>
        <w:t xml:space="preserve"> Mede daarom wordt de tekst van artikel 6:191 BW opnieuw vastgesteld. De vervaltermijn wordt geïmplementeerd in een nieuw artikel 6:191a BW </w:t>
      </w:r>
      <w:r w:rsidRPr="00463949" w:rsidR="00BF1BC9">
        <w:rPr>
          <w:rFonts w:ascii="Times New Roman" w:hAnsi="Times New Roman" w:cs="Times New Roman"/>
          <w:sz w:val="24"/>
          <w:szCs w:val="24"/>
        </w:rPr>
        <w:t>(</w:t>
      </w:r>
      <w:r w:rsidRPr="00463949">
        <w:rPr>
          <w:rFonts w:ascii="Times New Roman" w:hAnsi="Times New Roman" w:cs="Times New Roman"/>
          <w:sz w:val="24"/>
          <w:szCs w:val="24"/>
        </w:rPr>
        <w:t>zie hierna</w:t>
      </w:r>
      <w:r w:rsidRPr="00463949" w:rsidR="00BF1BC9">
        <w:rPr>
          <w:rFonts w:ascii="Times New Roman" w:hAnsi="Times New Roman" w:cs="Times New Roman"/>
          <w:sz w:val="24"/>
          <w:szCs w:val="24"/>
        </w:rPr>
        <w:t xml:space="preserve"> Onderdeel K)</w:t>
      </w:r>
      <w:r w:rsidRPr="00463949">
        <w:rPr>
          <w:rFonts w:ascii="Times New Roman" w:hAnsi="Times New Roman" w:cs="Times New Roman"/>
          <w:sz w:val="24"/>
          <w:szCs w:val="24"/>
        </w:rPr>
        <w:t xml:space="preserve">. Dit sluit aan bij de </w:t>
      </w:r>
      <w:r w:rsidRPr="00463949" w:rsidR="0046185A">
        <w:rPr>
          <w:rFonts w:ascii="Times New Roman" w:hAnsi="Times New Roman" w:cs="Times New Roman"/>
          <w:sz w:val="24"/>
          <w:szCs w:val="24"/>
        </w:rPr>
        <w:t xml:space="preserve">opzet </w:t>
      </w:r>
      <w:r w:rsidRPr="00463949">
        <w:rPr>
          <w:rFonts w:ascii="Times New Roman" w:hAnsi="Times New Roman" w:cs="Times New Roman"/>
          <w:sz w:val="24"/>
          <w:szCs w:val="24"/>
        </w:rPr>
        <w:t xml:space="preserve">van de Richtlijn, waarin de verjarings- en vervaltermijn eveneens in afzonderlijke artikelen zijn opgenomen. Het </w:t>
      </w:r>
      <w:r w:rsidRPr="00463949" w:rsidR="0046185A">
        <w:rPr>
          <w:rFonts w:ascii="Times New Roman" w:hAnsi="Times New Roman" w:cs="Times New Roman"/>
          <w:sz w:val="24"/>
          <w:szCs w:val="24"/>
        </w:rPr>
        <w:t>verduidelijkt ook</w:t>
      </w:r>
      <w:r w:rsidRPr="00463949">
        <w:rPr>
          <w:rFonts w:ascii="Times New Roman" w:hAnsi="Times New Roman" w:cs="Times New Roman"/>
          <w:sz w:val="24"/>
          <w:szCs w:val="24"/>
        </w:rPr>
        <w:t xml:space="preserve"> dat het om verschillende rechtsfiguren gaat.</w:t>
      </w:r>
    </w:p>
    <w:p w:rsidRPr="00463949" w:rsidR="00967FE0" w:rsidP="00967FE0" w:rsidRDefault="00967FE0" w14:paraId="67C7DD0C" w14:textId="77777777">
      <w:pPr>
        <w:spacing w:after="0" w:line="276" w:lineRule="auto"/>
        <w:rPr>
          <w:rFonts w:ascii="Times New Roman" w:hAnsi="Times New Roman" w:cs="Times New Roman"/>
          <w:sz w:val="24"/>
          <w:szCs w:val="24"/>
        </w:rPr>
      </w:pPr>
    </w:p>
    <w:p w:rsidRPr="00463949" w:rsidR="00597FBF" w:rsidP="00862AE3" w:rsidRDefault="00A61632" w14:paraId="4D0EFC51" w14:textId="10BCE41A">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lastRenderedPageBreak/>
        <w:t>De</w:t>
      </w:r>
      <w:r w:rsidRPr="00463949" w:rsidR="00D961CE">
        <w:rPr>
          <w:rFonts w:ascii="Times New Roman" w:hAnsi="Times New Roman" w:cs="Times New Roman"/>
          <w:sz w:val="24"/>
          <w:szCs w:val="24"/>
        </w:rPr>
        <w:t xml:space="preserve"> voorgestelde</w:t>
      </w:r>
      <w:r w:rsidRPr="00463949">
        <w:rPr>
          <w:rFonts w:ascii="Times New Roman" w:hAnsi="Times New Roman" w:cs="Times New Roman"/>
          <w:sz w:val="24"/>
          <w:szCs w:val="24"/>
        </w:rPr>
        <w:t xml:space="preserve"> wijziging</w:t>
      </w:r>
      <w:r w:rsidRPr="00463949" w:rsidR="00D961CE">
        <w:rPr>
          <w:rFonts w:ascii="Times New Roman" w:hAnsi="Times New Roman" w:cs="Times New Roman"/>
          <w:sz w:val="24"/>
          <w:szCs w:val="24"/>
        </w:rPr>
        <w:t xml:space="preserve"> </w:t>
      </w:r>
      <w:r w:rsidRPr="00463949">
        <w:rPr>
          <w:rFonts w:ascii="Times New Roman" w:hAnsi="Times New Roman" w:cs="Times New Roman"/>
          <w:sz w:val="24"/>
          <w:szCs w:val="24"/>
        </w:rPr>
        <w:t>van artikel 6:191 BW strek</w:t>
      </w:r>
      <w:r w:rsidRPr="00463949" w:rsidR="00D961CE">
        <w:rPr>
          <w:rFonts w:ascii="Times New Roman" w:hAnsi="Times New Roman" w:cs="Times New Roman"/>
          <w:sz w:val="24"/>
          <w:szCs w:val="24"/>
        </w:rPr>
        <w:t>t</w:t>
      </w:r>
      <w:r w:rsidRPr="00463949">
        <w:rPr>
          <w:rFonts w:ascii="Times New Roman" w:hAnsi="Times New Roman" w:cs="Times New Roman"/>
          <w:sz w:val="24"/>
          <w:szCs w:val="24"/>
        </w:rPr>
        <w:t xml:space="preserve"> tot implementatie van artikel 16 lid 1 Richtlijn. D</w:t>
      </w:r>
      <w:r w:rsidRPr="00463949" w:rsidR="000B0A56">
        <w:rPr>
          <w:rFonts w:ascii="Times New Roman" w:hAnsi="Times New Roman" w:cs="Times New Roman"/>
          <w:sz w:val="24"/>
          <w:szCs w:val="24"/>
        </w:rPr>
        <w:t>eze</w:t>
      </w:r>
      <w:r w:rsidRPr="00463949">
        <w:rPr>
          <w:rFonts w:ascii="Times New Roman" w:hAnsi="Times New Roman" w:cs="Times New Roman"/>
          <w:sz w:val="24"/>
          <w:szCs w:val="24"/>
        </w:rPr>
        <w:t xml:space="preserve"> bepaling bevat</w:t>
      </w:r>
      <w:r w:rsidRPr="00463949" w:rsidR="00967FE0">
        <w:rPr>
          <w:rFonts w:ascii="Times New Roman" w:hAnsi="Times New Roman" w:cs="Times New Roman"/>
          <w:sz w:val="24"/>
          <w:szCs w:val="24"/>
        </w:rPr>
        <w:t xml:space="preserve"> </w:t>
      </w:r>
      <w:r w:rsidRPr="00463949">
        <w:rPr>
          <w:rFonts w:ascii="Times New Roman" w:hAnsi="Times New Roman" w:cs="Times New Roman"/>
          <w:sz w:val="24"/>
          <w:szCs w:val="24"/>
        </w:rPr>
        <w:t>een verjaringstermijn van drie jaar voor rechtsvorderingen tot schadevergoeding</w:t>
      </w:r>
      <w:r w:rsidRPr="00463949" w:rsidR="000F06F7">
        <w:rPr>
          <w:rFonts w:ascii="Times New Roman" w:hAnsi="Times New Roman" w:cs="Times New Roman"/>
          <w:sz w:val="24"/>
          <w:szCs w:val="24"/>
        </w:rPr>
        <w:t xml:space="preserve"> op grond van de Richtlijn</w:t>
      </w:r>
      <w:r w:rsidRPr="00463949">
        <w:rPr>
          <w:rFonts w:ascii="Times New Roman" w:hAnsi="Times New Roman" w:cs="Times New Roman"/>
          <w:sz w:val="24"/>
          <w:szCs w:val="24"/>
        </w:rPr>
        <w:t xml:space="preserve">. </w:t>
      </w:r>
      <w:r w:rsidRPr="00463949" w:rsidR="00967FE0">
        <w:rPr>
          <w:rFonts w:ascii="Times New Roman" w:hAnsi="Times New Roman" w:cs="Times New Roman"/>
          <w:sz w:val="24"/>
          <w:szCs w:val="24"/>
        </w:rPr>
        <w:t>Ook</w:t>
      </w:r>
      <w:r w:rsidRPr="00463949" w:rsidR="006D63B6">
        <w:rPr>
          <w:rFonts w:ascii="Times New Roman" w:hAnsi="Times New Roman" w:cs="Times New Roman"/>
          <w:sz w:val="24"/>
          <w:szCs w:val="24"/>
        </w:rPr>
        <w:t xml:space="preserve"> Richtlijn 85/374</w:t>
      </w:r>
      <w:r w:rsidRPr="00463949" w:rsidR="00967FE0">
        <w:rPr>
          <w:rFonts w:ascii="Times New Roman" w:hAnsi="Times New Roman" w:cs="Times New Roman"/>
          <w:sz w:val="24"/>
          <w:szCs w:val="24"/>
        </w:rPr>
        <w:t xml:space="preserve"> kent een verjaringstermijn van drie jaar.</w:t>
      </w:r>
      <w:r w:rsidRPr="00463949" w:rsidR="00967FE0">
        <w:rPr>
          <w:rStyle w:val="Voetnootmarkering"/>
          <w:rFonts w:ascii="Times New Roman" w:hAnsi="Times New Roman" w:cs="Times New Roman"/>
          <w:sz w:val="24"/>
          <w:szCs w:val="24"/>
        </w:rPr>
        <w:footnoteReference w:id="85"/>
      </w:r>
      <w:r w:rsidRPr="00463949" w:rsidR="00967FE0">
        <w:rPr>
          <w:rFonts w:ascii="Times New Roman" w:hAnsi="Times New Roman" w:cs="Times New Roman"/>
          <w:sz w:val="24"/>
          <w:szCs w:val="24"/>
        </w:rPr>
        <w:t xml:space="preserve"> </w:t>
      </w:r>
      <w:r w:rsidRPr="00463949" w:rsidR="00862AE3">
        <w:rPr>
          <w:rFonts w:ascii="Times New Roman" w:hAnsi="Times New Roman" w:cs="Times New Roman"/>
          <w:sz w:val="24"/>
          <w:szCs w:val="24"/>
        </w:rPr>
        <w:t>De wijziging</w:t>
      </w:r>
      <w:r w:rsidRPr="00463949" w:rsidR="00D961CE">
        <w:rPr>
          <w:rFonts w:ascii="Times New Roman" w:hAnsi="Times New Roman" w:cs="Times New Roman"/>
          <w:sz w:val="24"/>
          <w:szCs w:val="24"/>
        </w:rPr>
        <w:t xml:space="preserve">en in artikel 6:191 BW zijn </w:t>
      </w:r>
      <w:r w:rsidRPr="00463949" w:rsidR="00E761C9">
        <w:rPr>
          <w:rFonts w:ascii="Times New Roman" w:hAnsi="Times New Roman" w:cs="Times New Roman"/>
          <w:sz w:val="24"/>
          <w:szCs w:val="24"/>
        </w:rPr>
        <w:t xml:space="preserve">dan ook </w:t>
      </w:r>
      <w:r w:rsidRPr="00463949" w:rsidR="00DF0A57">
        <w:rPr>
          <w:rFonts w:ascii="Times New Roman" w:hAnsi="Times New Roman" w:cs="Times New Roman"/>
          <w:sz w:val="24"/>
          <w:szCs w:val="24"/>
        </w:rPr>
        <w:t>beperkt</w:t>
      </w:r>
      <w:r w:rsidRPr="00463949" w:rsidR="007D0632">
        <w:rPr>
          <w:rFonts w:ascii="Times New Roman" w:hAnsi="Times New Roman" w:cs="Times New Roman"/>
          <w:sz w:val="24"/>
          <w:szCs w:val="24"/>
        </w:rPr>
        <w:t xml:space="preserve"> van aard</w:t>
      </w:r>
      <w:r w:rsidRPr="00463949" w:rsidR="00597FBF">
        <w:rPr>
          <w:rFonts w:ascii="Times New Roman" w:hAnsi="Times New Roman" w:cs="Times New Roman"/>
          <w:sz w:val="24"/>
          <w:szCs w:val="24"/>
        </w:rPr>
        <w:t xml:space="preserve">. </w:t>
      </w:r>
      <w:r w:rsidRPr="00463949" w:rsidR="007C0897">
        <w:rPr>
          <w:rFonts w:ascii="Times New Roman" w:hAnsi="Times New Roman" w:cs="Times New Roman"/>
          <w:sz w:val="24"/>
          <w:szCs w:val="24"/>
        </w:rPr>
        <w:t xml:space="preserve">Om de </w:t>
      </w:r>
      <w:r w:rsidRPr="00463949" w:rsidR="007D0632">
        <w:rPr>
          <w:rFonts w:ascii="Times New Roman" w:hAnsi="Times New Roman" w:cs="Times New Roman"/>
          <w:sz w:val="24"/>
          <w:szCs w:val="24"/>
        </w:rPr>
        <w:t xml:space="preserve">bepaling </w:t>
      </w:r>
      <w:r w:rsidRPr="00463949" w:rsidR="00862AE3">
        <w:rPr>
          <w:rFonts w:ascii="Times New Roman" w:hAnsi="Times New Roman" w:cs="Times New Roman"/>
          <w:sz w:val="24"/>
          <w:szCs w:val="24"/>
        </w:rPr>
        <w:t>te laten aansluiten bij de terminologie van de Richtlijn</w:t>
      </w:r>
      <w:r w:rsidRPr="00463949" w:rsidR="007C0897">
        <w:rPr>
          <w:rFonts w:ascii="Times New Roman" w:hAnsi="Times New Roman" w:cs="Times New Roman"/>
          <w:sz w:val="24"/>
          <w:szCs w:val="24"/>
        </w:rPr>
        <w:t xml:space="preserve">, </w:t>
      </w:r>
      <w:r w:rsidRPr="00463949" w:rsidR="0046185A">
        <w:rPr>
          <w:rFonts w:ascii="Times New Roman" w:hAnsi="Times New Roman" w:cs="Times New Roman"/>
          <w:sz w:val="24"/>
          <w:szCs w:val="24"/>
        </w:rPr>
        <w:t xml:space="preserve">wordt </w:t>
      </w:r>
      <w:r w:rsidRPr="00463949" w:rsidR="0014089D">
        <w:rPr>
          <w:rFonts w:ascii="Times New Roman" w:hAnsi="Times New Roman" w:cs="Times New Roman"/>
          <w:sz w:val="24"/>
          <w:szCs w:val="24"/>
        </w:rPr>
        <w:t xml:space="preserve">(i) </w:t>
      </w:r>
      <w:r w:rsidRPr="00463949" w:rsidR="0046185A">
        <w:rPr>
          <w:rFonts w:ascii="Times New Roman" w:hAnsi="Times New Roman" w:cs="Times New Roman"/>
          <w:sz w:val="24"/>
          <w:szCs w:val="24"/>
        </w:rPr>
        <w:t>“producent” telkens vervangen door “marktdeelnemer”, wordt</w:t>
      </w:r>
      <w:r w:rsidRPr="00463949" w:rsidR="0014089D">
        <w:rPr>
          <w:rFonts w:ascii="Times New Roman" w:hAnsi="Times New Roman" w:cs="Times New Roman"/>
          <w:sz w:val="24"/>
          <w:szCs w:val="24"/>
        </w:rPr>
        <w:t xml:space="preserve"> (ii)</w:t>
      </w:r>
      <w:r w:rsidRPr="00463949" w:rsidR="0046185A">
        <w:rPr>
          <w:rFonts w:ascii="Times New Roman" w:hAnsi="Times New Roman" w:cs="Times New Roman"/>
          <w:sz w:val="24"/>
          <w:szCs w:val="24"/>
        </w:rPr>
        <w:t xml:space="preserve"> </w:t>
      </w:r>
      <w:r w:rsidRPr="00463949" w:rsidR="00967FE0">
        <w:rPr>
          <w:rFonts w:ascii="Times New Roman" w:hAnsi="Times New Roman" w:cs="Times New Roman"/>
          <w:sz w:val="24"/>
          <w:szCs w:val="24"/>
        </w:rPr>
        <w:t xml:space="preserve">“had moeten worden” </w:t>
      </w:r>
      <w:r w:rsidRPr="00463949" w:rsidR="0046185A">
        <w:rPr>
          <w:rFonts w:ascii="Times New Roman" w:hAnsi="Times New Roman" w:cs="Times New Roman"/>
          <w:sz w:val="24"/>
          <w:szCs w:val="24"/>
        </w:rPr>
        <w:t>vervangen door “redelijkerwijs had moeten worden”</w:t>
      </w:r>
      <w:r w:rsidRPr="00463949" w:rsidR="0014089D">
        <w:rPr>
          <w:rFonts w:ascii="Times New Roman" w:hAnsi="Times New Roman" w:cs="Times New Roman"/>
          <w:sz w:val="24"/>
          <w:szCs w:val="24"/>
        </w:rPr>
        <w:t>, en wordt (</w:t>
      </w:r>
      <w:r w:rsidRPr="00463949" w:rsidR="000E08A5">
        <w:rPr>
          <w:rFonts w:ascii="Times New Roman" w:hAnsi="Times New Roman" w:cs="Times New Roman"/>
          <w:sz w:val="24"/>
          <w:szCs w:val="24"/>
        </w:rPr>
        <w:t>iii</w:t>
      </w:r>
      <w:r w:rsidRPr="00463949" w:rsidR="0014089D">
        <w:rPr>
          <w:rFonts w:ascii="Times New Roman" w:hAnsi="Times New Roman" w:cs="Times New Roman"/>
          <w:sz w:val="24"/>
          <w:szCs w:val="24"/>
        </w:rPr>
        <w:t xml:space="preserve">) voor de aanvang van de verjaringstermijn aangesloten bij “de dag waarop” de benadeelde kennis kreeg dan wel redelijkerwijs had moeten krijgen van de omstandigheden genoemd in de onderdelen a tot en met c. </w:t>
      </w:r>
      <w:r w:rsidRPr="00463949" w:rsidR="0046185A">
        <w:rPr>
          <w:rFonts w:ascii="Times New Roman" w:hAnsi="Times New Roman" w:cs="Times New Roman"/>
          <w:sz w:val="24"/>
          <w:szCs w:val="24"/>
        </w:rPr>
        <w:t>De verjaringstermijn eindigt in elk geval zodra krachtens artikel 6:191a BW het recht op schadevergoeding jegens de marktdeelnemer vervalt</w:t>
      </w:r>
      <w:r w:rsidRPr="00463949" w:rsidR="00DC2E75">
        <w:rPr>
          <w:rFonts w:ascii="Times New Roman" w:hAnsi="Times New Roman" w:cs="Times New Roman"/>
          <w:sz w:val="24"/>
          <w:szCs w:val="24"/>
        </w:rPr>
        <w:t xml:space="preserve"> (zie hierna)</w:t>
      </w:r>
      <w:r w:rsidRPr="00463949" w:rsidR="0046185A">
        <w:rPr>
          <w:rFonts w:ascii="Times New Roman" w:hAnsi="Times New Roman" w:cs="Times New Roman"/>
          <w:sz w:val="24"/>
          <w:szCs w:val="24"/>
        </w:rPr>
        <w:t>.</w:t>
      </w:r>
      <w:r w:rsidRPr="00463949" w:rsidR="0046185A">
        <w:rPr>
          <w:rStyle w:val="Voetnootmarkering"/>
          <w:rFonts w:ascii="Times New Roman" w:hAnsi="Times New Roman" w:cs="Times New Roman"/>
          <w:sz w:val="24"/>
          <w:szCs w:val="24"/>
        </w:rPr>
        <w:footnoteReference w:id="86"/>
      </w:r>
    </w:p>
    <w:p w:rsidRPr="00463949" w:rsidR="00F86BDB" w:rsidP="00D045E0" w:rsidRDefault="00F86BDB" w14:paraId="7F4D5529" w14:textId="77777777">
      <w:pPr>
        <w:spacing w:after="0" w:line="276" w:lineRule="auto"/>
        <w:rPr>
          <w:rFonts w:ascii="Times New Roman" w:hAnsi="Times New Roman" w:cs="Times New Roman"/>
          <w:sz w:val="24"/>
          <w:szCs w:val="24"/>
        </w:rPr>
      </w:pPr>
    </w:p>
    <w:p w:rsidRPr="00463949" w:rsidR="00F47B24" w:rsidP="00D045E0" w:rsidRDefault="00DA5A57" w14:paraId="21A893D2" w14:textId="4F91EB2B">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K, invoeging artikel 191a</w:t>
      </w:r>
      <w:r w:rsidRPr="00463949" w:rsidR="0099476D">
        <w:rPr>
          <w:rFonts w:ascii="Times New Roman" w:hAnsi="Times New Roman" w:cs="Times New Roman"/>
          <w:i/>
          <w:iCs/>
          <w:sz w:val="24"/>
          <w:szCs w:val="24"/>
        </w:rPr>
        <w:t xml:space="preserve"> (vervaltermijn)</w:t>
      </w:r>
    </w:p>
    <w:p w:rsidRPr="00463949" w:rsidR="00DF0A57" w:rsidP="00D045E0" w:rsidRDefault="00DF0A57" w14:paraId="75D5FF27" w14:textId="77777777">
      <w:pPr>
        <w:spacing w:after="0" w:line="276" w:lineRule="auto"/>
        <w:rPr>
          <w:rFonts w:ascii="Times New Roman" w:hAnsi="Times New Roman" w:cs="Times New Roman"/>
          <w:sz w:val="24"/>
          <w:szCs w:val="24"/>
        </w:rPr>
      </w:pPr>
    </w:p>
    <w:p w:rsidRPr="00463949" w:rsidR="00DA5A57" w:rsidP="00D045E0" w:rsidRDefault="00DA5A57" w14:paraId="6825BA50" w14:textId="040774E5">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1</w:t>
      </w:r>
      <w:r w:rsidRPr="00463949" w:rsidR="00412774">
        <w:rPr>
          <w:rFonts w:ascii="Times New Roman" w:hAnsi="Times New Roman" w:cs="Times New Roman"/>
          <w:i/>
          <w:iCs/>
          <w:sz w:val="24"/>
          <w:szCs w:val="24"/>
        </w:rPr>
        <w:t>; vervaltermijn van 10 jaar</w:t>
      </w:r>
    </w:p>
    <w:p w:rsidRPr="00463949" w:rsidR="00DA5A57" w:rsidP="00D045E0" w:rsidRDefault="00DA5A57" w14:paraId="5A8A61FC" w14:textId="77777777">
      <w:pPr>
        <w:spacing w:after="0" w:line="276" w:lineRule="auto"/>
        <w:rPr>
          <w:rFonts w:ascii="Times New Roman" w:hAnsi="Times New Roman" w:cs="Times New Roman"/>
          <w:sz w:val="24"/>
          <w:szCs w:val="24"/>
        </w:rPr>
      </w:pPr>
    </w:p>
    <w:p w:rsidRPr="00463949" w:rsidR="00412774" w:rsidP="00D045E0" w:rsidRDefault="00B32DB2" w14:paraId="14C1C888" w14:textId="284494EA">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1 implementeert </w:t>
      </w:r>
      <w:r w:rsidRPr="00463949" w:rsidR="00412774">
        <w:rPr>
          <w:rFonts w:ascii="Times New Roman" w:hAnsi="Times New Roman" w:cs="Times New Roman"/>
          <w:sz w:val="24"/>
          <w:szCs w:val="24"/>
        </w:rPr>
        <w:t>artikel 17 lid 1</w:t>
      </w:r>
      <w:r w:rsidRPr="00463949" w:rsidR="006D63B6">
        <w:rPr>
          <w:rFonts w:ascii="Times New Roman" w:hAnsi="Times New Roman" w:cs="Times New Roman"/>
          <w:sz w:val="24"/>
          <w:szCs w:val="24"/>
        </w:rPr>
        <w:t xml:space="preserve"> van de</w:t>
      </w:r>
      <w:r w:rsidRPr="00463949" w:rsidR="00412774">
        <w:rPr>
          <w:rFonts w:ascii="Times New Roman" w:hAnsi="Times New Roman" w:cs="Times New Roman"/>
          <w:sz w:val="24"/>
          <w:szCs w:val="24"/>
        </w:rPr>
        <w:t xml:space="preserve"> Richtlijn.</w:t>
      </w:r>
      <w:r w:rsidRPr="00463949">
        <w:rPr>
          <w:rFonts w:ascii="Times New Roman" w:hAnsi="Times New Roman" w:cs="Times New Roman"/>
          <w:sz w:val="24"/>
          <w:szCs w:val="24"/>
        </w:rPr>
        <w:t xml:space="preserve"> </w:t>
      </w:r>
      <w:r w:rsidRPr="00463949" w:rsidR="004952D9">
        <w:rPr>
          <w:rFonts w:ascii="Times New Roman" w:hAnsi="Times New Roman" w:cs="Times New Roman"/>
          <w:sz w:val="24"/>
          <w:szCs w:val="24"/>
        </w:rPr>
        <w:t xml:space="preserve">Die </w:t>
      </w:r>
      <w:r w:rsidRPr="00463949" w:rsidR="00BF1BC9">
        <w:rPr>
          <w:rFonts w:ascii="Times New Roman" w:hAnsi="Times New Roman" w:cs="Times New Roman"/>
          <w:sz w:val="24"/>
          <w:szCs w:val="24"/>
        </w:rPr>
        <w:t xml:space="preserve">voorgestelde </w:t>
      </w:r>
      <w:r w:rsidRPr="00463949" w:rsidR="004952D9">
        <w:rPr>
          <w:rFonts w:ascii="Times New Roman" w:hAnsi="Times New Roman" w:cs="Times New Roman"/>
          <w:sz w:val="24"/>
          <w:szCs w:val="24"/>
        </w:rPr>
        <w:t>bepaling bevat</w:t>
      </w:r>
      <w:r w:rsidRPr="00463949" w:rsidR="00BF1BC9">
        <w:rPr>
          <w:rFonts w:ascii="Times New Roman" w:hAnsi="Times New Roman" w:cs="Times New Roman"/>
          <w:sz w:val="24"/>
          <w:szCs w:val="24"/>
        </w:rPr>
        <w:t xml:space="preserve"> een vervaltermijn van tien jaar</w:t>
      </w:r>
      <w:r w:rsidRPr="00463949" w:rsidR="004952D9">
        <w:rPr>
          <w:rFonts w:ascii="Times New Roman" w:hAnsi="Times New Roman" w:cs="Times New Roman"/>
          <w:sz w:val="24"/>
          <w:szCs w:val="24"/>
        </w:rPr>
        <w:t>, n</w:t>
      </w:r>
      <w:r w:rsidRPr="00463949">
        <w:rPr>
          <w:rFonts w:ascii="Times New Roman" w:hAnsi="Times New Roman" w:cs="Times New Roman"/>
          <w:sz w:val="24"/>
          <w:szCs w:val="24"/>
        </w:rPr>
        <w:t xml:space="preserve">et als </w:t>
      </w:r>
      <w:r w:rsidRPr="00463949" w:rsidR="006D63B6">
        <w:rPr>
          <w:rFonts w:ascii="Times New Roman" w:hAnsi="Times New Roman" w:cs="Times New Roman"/>
          <w:sz w:val="24"/>
          <w:szCs w:val="24"/>
        </w:rPr>
        <w:t xml:space="preserve">Richtlijn 85/374 </w:t>
      </w:r>
      <w:r w:rsidRPr="00463949" w:rsidR="00BF1BC9">
        <w:rPr>
          <w:rFonts w:ascii="Times New Roman" w:hAnsi="Times New Roman" w:cs="Times New Roman"/>
          <w:sz w:val="24"/>
          <w:szCs w:val="24"/>
        </w:rPr>
        <w:t xml:space="preserve">en </w:t>
      </w:r>
      <w:r w:rsidRPr="00463949" w:rsidR="006D63B6">
        <w:rPr>
          <w:rFonts w:ascii="Times New Roman" w:hAnsi="Times New Roman" w:cs="Times New Roman"/>
          <w:sz w:val="24"/>
          <w:szCs w:val="24"/>
        </w:rPr>
        <w:t>de huidige regeling in het</w:t>
      </w:r>
      <w:r w:rsidRPr="00463949" w:rsidR="00BF1BC9">
        <w:rPr>
          <w:rFonts w:ascii="Times New Roman" w:hAnsi="Times New Roman" w:cs="Times New Roman"/>
          <w:sz w:val="24"/>
          <w:szCs w:val="24"/>
        </w:rPr>
        <w:t xml:space="preserve"> BW.</w:t>
      </w:r>
      <w:r w:rsidRPr="00463949" w:rsidR="00B92AFE">
        <w:rPr>
          <w:rStyle w:val="Voetnootmarkering"/>
          <w:rFonts w:ascii="Times New Roman" w:hAnsi="Times New Roman" w:cs="Times New Roman"/>
          <w:sz w:val="24"/>
          <w:szCs w:val="24"/>
        </w:rPr>
        <w:footnoteReference w:id="87"/>
      </w:r>
      <w:r w:rsidRPr="00463949">
        <w:rPr>
          <w:rFonts w:ascii="Times New Roman" w:hAnsi="Times New Roman" w:cs="Times New Roman"/>
          <w:sz w:val="24"/>
          <w:szCs w:val="24"/>
        </w:rPr>
        <w:t xml:space="preserve"> </w:t>
      </w:r>
      <w:r w:rsidRPr="00463949" w:rsidR="001E277E">
        <w:rPr>
          <w:rFonts w:ascii="Times New Roman" w:hAnsi="Times New Roman" w:cs="Times New Roman"/>
          <w:sz w:val="24"/>
          <w:szCs w:val="24"/>
        </w:rPr>
        <w:t xml:space="preserve">In </w:t>
      </w:r>
      <w:r w:rsidRPr="00463949" w:rsidR="00BF1BC9">
        <w:rPr>
          <w:rFonts w:ascii="Times New Roman" w:hAnsi="Times New Roman" w:cs="Times New Roman"/>
          <w:sz w:val="24"/>
          <w:szCs w:val="24"/>
        </w:rPr>
        <w:t xml:space="preserve">de preambule </w:t>
      </w:r>
      <w:r w:rsidRPr="00463949" w:rsidR="001E277E">
        <w:rPr>
          <w:rFonts w:ascii="Times New Roman" w:hAnsi="Times New Roman" w:cs="Times New Roman"/>
          <w:sz w:val="24"/>
          <w:szCs w:val="24"/>
        </w:rPr>
        <w:t>is toegelicht dat het onredelijk</w:t>
      </w:r>
      <w:r w:rsidRPr="00463949" w:rsidR="000B0A56">
        <w:rPr>
          <w:rFonts w:ascii="Times New Roman" w:hAnsi="Times New Roman" w:cs="Times New Roman"/>
          <w:sz w:val="24"/>
          <w:szCs w:val="24"/>
        </w:rPr>
        <w:t xml:space="preserve"> zou</w:t>
      </w:r>
      <w:r w:rsidRPr="00463949" w:rsidR="001E277E">
        <w:rPr>
          <w:rFonts w:ascii="Times New Roman" w:hAnsi="Times New Roman" w:cs="Times New Roman"/>
          <w:sz w:val="24"/>
          <w:szCs w:val="24"/>
        </w:rPr>
        <w:t xml:space="preserve"> zijn de marktdeelnemer voor een onbeperkte periode risicoaansprakelijk te stellen voor de gebrekkigheid van zijn producten</w:t>
      </w:r>
      <w:r w:rsidRPr="00463949" w:rsidR="00BF1BC9">
        <w:rPr>
          <w:rFonts w:ascii="Times New Roman" w:hAnsi="Times New Roman" w:cs="Times New Roman"/>
          <w:sz w:val="24"/>
          <w:szCs w:val="24"/>
        </w:rPr>
        <w:t>;</w:t>
      </w:r>
      <w:r w:rsidRPr="00463949" w:rsidR="001E277E">
        <w:rPr>
          <w:rFonts w:ascii="Times New Roman" w:hAnsi="Times New Roman" w:cs="Times New Roman"/>
          <w:sz w:val="24"/>
          <w:szCs w:val="24"/>
        </w:rPr>
        <w:t xml:space="preserve"> </w:t>
      </w:r>
      <w:r w:rsidRPr="00463949" w:rsidR="004952D9">
        <w:rPr>
          <w:rFonts w:ascii="Times New Roman" w:hAnsi="Times New Roman" w:cs="Times New Roman"/>
          <w:sz w:val="24"/>
          <w:szCs w:val="24"/>
        </w:rPr>
        <w:t xml:space="preserve">producten </w:t>
      </w:r>
      <w:r w:rsidRPr="00463949" w:rsidR="001704FA">
        <w:rPr>
          <w:rFonts w:ascii="Times New Roman" w:hAnsi="Times New Roman" w:cs="Times New Roman"/>
          <w:sz w:val="24"/>
          <w:szCs w:val="24"/>
        </w:rPr>
        <w:t xml:space="preserve">zijn immers </w:t>
      </w:r>
      <w:r w:rsidRPr="00463949" w:rsidR="004952D9">
        <w:rPr>
          <w:rFonts w:ascii="Times New Roman" w:hAnsi="Times New Roman" w:cs="Times New Roman"/>
          <w:sz w:val="24"/>
          <w:szCs w:val="24"/>
        </w:rPr>
        <w:t xml:space="preserve">in de loop van de tijd aan slijtage onderhevig en er </w:t>
      </w:r>
      <w:r w:rsidRPr="00463949" w:rsidR="001704FA">
        <w:rPr>
          <w:rFonts w:ascii="Times New Roman" w:hAnsi="Times New Roman" w:cs="Times New Roman"/>
          <w:sz w:val="24"/>
          <w:szCs w:val="24"/>
        </w:rPr>
        <w:t xml:space="preserve">worden </w:t>
      </w:r>
      <w:r w:rsidRPr="00463949" w:rsidR="004952D9">
        <w:rPr>
          <w:rFonts w:ascii="Times New Roman" w:hAnsi="Times New Roman" w:cs="Times New Roman"/>
          <w:sz w:val="24"/>
          <w:szCs w:val="24"/>
        </w:rPr>
        <w:t>strengere veiligheidsnormen ontwikkeld naarmate de wetenschappelijke en technische kennis vooruitgaat</w:t>
      </w:r>
      <w:r w:rsidRPr="00463949" w:rsidR="001E277E">
        <w:rPr>
          <w:rFonts w:ascii="Times New Roman" w:hAnsi="Times New Roman" w:cs="Times New Roman"/>
          <w:sz w:val="24"/>
          <w:szCs w:val="24"/>
        </w:rPr>
        <w:t xml:space="preserve">. </w:t>
      </w:r>
      <w:r w:rsidRPr="00463949">
        <w:rPr>
          <w:rFonts w:ascii="Times New Roman" w:hAnsi="Times New Roman" w:cs="Times New Roman"/>
          <w:sz w:val="24"/>
          <w:szCs w:val="24"/>
        </w:rPr>
        <w:t xml:space="preserve">Voor de marktdeelnemer betekent de vervaltermijn </w:t>
      </w:r>
      <w:r w:rsidRPr="00463949" w:rsidR="004952D9">
        <w:rPr>
          <w:rFonts w:ascii="Times New Roman" w:hAnsi="Times New Roman" w:cs="Times New Roman"/>
          <w:sz w:val="24"/>
          <w:szCs w:val="24"/>
        </w:rPr>
        <w:t xml:space="preserve">dan ook </w:t>
      </w:r>
      <w:r w:rsidRPr="00463949">
        <w:rPr>
          <w:rFonts w:ascii="Times New Roman" w:hAnsi="Times New Roman" w:cs="Times New Roman"/>
          <w:sz w:val="24"/>
          <w:szCs w:val="24"/>
        </w:rPr>
        <w:t xml:space="preserve">dat hij er na verloop van tijd op aan kan dat hij niet meer op grond van de </w:t>
      </w:r>
      <w:r w:rsidRPr="00463949" w:rsidR="004952D9">
        <w:rPr>
          <w:rFonts w:ascii="Times New Roman" w:hAnsi="Times New Roman" w:cs="Times New Roman"/>
          <w:sz w:val="24"/>
          <w:szCs w:val="24"/>
        </w:rPr>
        <w:t xml:space="preserve">Richtlijn </w:t>
      </w:r>
      <w:r w:rsidRPr="00463949">
        <w:rPr>
          <w:rFonts w:ascii="Times New Roman" w:hAnsi="Times New Roman" w:cs="Times New Roman"/>
          <w:sz w:val="24"/>
          <w:szCs w:val="24"/>
        </w:rPr>
        <w:t>kan worden aangesproken</w:t>
      </w:r>
      <w:r w:rsidRPr="00463949" w:rsidR="001704FA">
        <w:rPr>
          <w:rFonts w:ascii="Times New Roman" w:hAnsi="Times New Roman" w:cs="Times New Roman"/>
          <w:sz w:val="24"/>
          <w:szCs w:val="24"/>
        </w:rPr>
        <w:t xml:space="preserve"> (zie overweging 57)</w:t>
      </w:r>
      <w:r w:rsidRPr="00463949">
        <w:rPr>
          <w:rFonts w:ascii="Times New Roman" w:hAnsi="Times New Roman" w:cs="Times New Roman"/>
          <w:sz w:val="24"/>
          <w:szCs w:val="24"/>
        </w:rPr>
        <w:t xml:space="preserve">. </w:t>
      </w:r>
      <w:r w:rsidRPr="00463949" w:rsidR="001704FA">
        <w:rPr>
          <w:rFonts w:ascii="Times New Roman" w:hAnsi="Times New Roman" w:cs="Times New Roman"/>
          <w:sz w:val="24"/>
          <w:szCs w:val="24"/>
        </w:rPr>
        <w:t xml:space="preserve">Het voorgestelde artikel 6:191a lid 1, onderdeel a, </w:t>
      </w:r>
      <w:r w:rsidRPr="00463949">
        <w:rPr>
          <w:rFonts w:ascii="Times New Roman" w:hAnsi="Times New Roman" w:cs="Times New Roman"/>
          <w:sz w:val="24"/>
          <w:szCs w:val="24"/>
        </w:rPr>
        <w:t>bepaalt dat de verval</w:t>
      </w:r>
      <w:r w:rsidRPr="00463949" w:rsidR="00412774">
        <w:rPr>
          <w:rFonts w:ascii="Times New Roman" w:hAnsi="Times New Roman" w:cs="Times New Roman"/>
          <w:sz w:val="24"/>
          <w:szCs w:val="24"/>
        </w:rPr>
        <w:t xml:space="preserve">termijn </w:t>
      </w:r>
      <w:r w:rsidRPr="00463949">
        <w:rPr>
          <w:rFonts w:ascii="Times New Roman" w:hAnsi="Times New Roman" w:cs="Times New Roman"/>
          <w:sz w:val="24"/>
          <w:szCs w:val="24"/>
        </w:rPr>
        <w:t xml:space="preserve">ingaat op </w:t>
      </w:r>
      <w:r w:rsidRPr="00463949" w:rsidR="00412774">
        <w:rPr>
          <w:rFonts w:ascii="Times New Roman" w:hAnsi="Times New Roman" w:cs="Times New Roman"/>
          <w:sz w:val="24"/>
          <w:szCs w:val="24"/>
        </w:rPr>
        <w:t>de datum waarop het gebrekkige product dat de schade heeft veroorzaakt, in de handel werd gebracht of in gebruik werd gesteld</w:t>
      </w:r>
      <w:r w:rsidRPr="00463949">
        <w:rPr>
          <w:rFonts w:ascii="Times New Roman" w:hAnsi="Times New Roman" w:cs="Times New Roman"/>
          <w:sz w:val="24"/>
          <w:szCs w:val="24"/>
        </w:rPr>
        <w:t xml:space="preserve">. </w:t>
      </w:r>
      <w:r w:rsidRPr="00463949" w:rsidR="00E51DE8">
        <w:rPr>
          <w:rFonts w:ascii="Times New Roman" w:hAnsi="Times New Roman" w:cs="Times New Roman"/>
          <w:sz w:val="24"/>
          <w:szCs w:val="24"/>
        </w:rPr>
        <w:t xml:space="preserve">Aangezien het bij ingrijpend gewijzigde producten in wezen om nieuwe producten gaat, </w:t>
      </w:r>
      <w:r w:rsidRPr="00463949" w:rsidR="00FB4EC1">
        <w:rPr>
          <w:rFonts w:ascii="Times New Roman" w:hAnsi="Times New Roman" w:cs="Times New Roman"/>
          <w:sz w:val="24"/>
          <w:szCs w:val="24"/>
        </w:rPr>
        <w:t xml:space="preserve">bepaalt </w:t>
      </w:r>
      <w:r w:rsidRPr="00463949" w:rsidR="001704FA">
        <w:rPr>
          <w:rFonts w:ascii="Times New Roman" w:hAnsi="Times New Roman" w:cs="Times New Roman"/>
          <w:sz w:val="24"/>
          <w:szCs w:val="24"/>
        </w:rPr>
        <w:t xml:space="preserve">het voorgestelde onderdeel b van artikel 6:191a BW </w:t>
      </w:r>
      <w:r w:rsidRPr="00463949" w:rsidR="001E277E">
        <w:rPr>
          <w:rFonts w:ascii="Times New Roman" w:hAnsi="Times New Roman" w:cs="Times New Roman"/>
          <w:sz w:val="24"/>
          <w:szCs w:val="24"/>
        </w:rPr>
        <w:t xml:space="preserve">dat </w:t>
      </w:r>
      <w:r w:rsidRPr="00463949" w:rsidR="00E51DE8">
        <w:rPr>
          <w:rFonts w:ascii="Times New Roman" w:hAnsi="Times New Roman" w:cs="Times New Roman"/>
          <w:sz w:val="24"/>
          <w:szCs w:val="24"/>
        </w:rPr>
        <w:t>de vervaltermijn</w:t>
      </w:r>
      <w:r w:rsidRPr="00463949" w:rsidR="004952D9">
        <w:rPr>
          <w:rFonts w:ascii="Times New Roman" w:hAnsi="Times New Roman" w:cs="Times New Roman"/>
          <w:sz w:val="24"/>
          <w:szCs w:val="24"/>
        </w:rPr>
        <w:t xml:space="preserve"> </w:t>
      </w:r>
      <w:r w:rsidRPr="00463949" w:rsidR="003C2C0A">
        <w:rPr>
          <w:rFonts w:ascii="Times New Roman" w:hAnsi="Times New Roman" w:cs="Times New Roman"/>
          <w:sz w:val="24"/>
          <w:szCs w:val="24"/>
        </w:rPr>
        <w:t xml:space="preserve">in dat geval </w:t>
      </w:r>
      <w:r w:rsidRPr="00463949" w:rsidR="00FB4EC1">
        <w:rPr>
          <w:rFonts w:ascii="Times New Roman" w:hAnsi="Times New Roman" w:cs="Times New Roman"/>
          <w:sz w:val="24"/>
          <w:szCs w:val="24"/>
        </w:rPr>
        <w:t xml:space="preserve">ingaat </w:t>
      </w:r>
      <w:r w:rsidRPr="00463949">
        <w:rPr>
          <w:rFonts w:ascii="Times New Roman" w:hAnsi="Times New Roman" w:cs="Times New Roman"/>
          <w:sz w:val="24"/>
          <w:szCs w:val="24"/>
        </w:rPr>
        <w:t xml:space="preserve">op </w:t>
      </w:r>
      <w:r w:rsidRPr="00463949" w:rsidR="00412774">
        <w:rPr>
          <w:rFonts w:ascii="Times New Roman" w:hAnsi="Times New Roman" w:cs="Times New Roman"/>
          <w:sz w:val="24"/>
          <w:szCs w:val="24"/>
        </w:rPr>
        <w:t xml:space="preserve">de datum waarop dat product na de ingrijpende wijziging </w:t>
      </w:r>
      <w:r w:rsidRPr="00463949" w:rsidR="003C2C0A">
        <w:rPr>
          <w:rFonts w:ascii="Times New Roman" w:hAnsi="Times New Roman" w:cs="Times New Roman"/>
          <w:sz w:val="24"/>
          <w:szCs w:val="24"/>
        </w:rPr>
        <w:t xml:space="preserve">ervan </w:t>
      </w:r>
      <w:r w:rsidRPr="00463949" w:rsidR="00412774">
        <w:rPr>
          <w:rFonts w:ascii="Times New Roman" w:hAnsi="Times New Roman" w:cs="Times New Roman"/>
          <w:sz w:val="24"/>
          <w:szCs w:val="24"/>
        </w:rPr>
        <w:t>op de markt werd aangeboden of in gebruik werd gesteld</w:t>
      </w:r>
      <w:r w:rsidRPr="00463949" w:rsidR="003C2C0A">
        <w:rPr>
          <w:rFonts w:ascii="Times New Roman" w:hAnsi="Times New Roman" w:cs="Times New Roman"/>
          <w:sz w:val="24"/>
          <w:szCs w:val="24"/>
        </w:rPr>
        <w:t xml:space="preserve"> (bijvoorbeeld als gevolg van revisie)</w:t>
      </w:r>
      <w:r w:rsidRPr="00463949" w:rsidR="00412774">
        <w:rPr>
          <w:rFonts w:ascii="Times New Roman" w:hAnsi="Times New Roman" w:cs="Times New Roman"/>
          <w:sz w:val="24"/>
          <w:szCs w:val="24"/>
        </w:rPr>
        <w:t>.</w:t>
      </w:r>
      <w:r w:rsidRPr="00463949" w:rsidR="003C2C0A">
        <w:rPr>
          <w:rFonts w:ascii="Times New Roman" w:hAnsi="Times New Roman" w:cs="Times New Roman"/>
          <w:sz w:val="24"/>
          <w:szCs w:val="24"/>
        </w:rPr>
        <w:t xml:space="preserve"> </w:t>
      </w:r>
      <w:r w:rsidRPr="00463949" w:rsidR="00226ACE">
        <w:rPr>
          <w:rFonts w:ascii="Times New Roman" w:hAnsi="Times New Roman" w:cs="Times New Roman"/>
          <w:sz w:val="24"/>
          <w:szCs w:val="24"/>
        </w:rPr>
        <w:t>U</w:t>
      </w:r>
      <w:r w:rsidRPr="00463949" w:rsidR="003C2C0A">
        <w:rPr>
          <w:rFonts w:ascii="Times New Roman" w:hAnsi="Times New Roman" w:cs="Times New Roman"/>
          <w:sz w:val="24"/>
          <w:szCs w:val="24"/>
        </w:rPr>
        <w:t xml:space="preserve">pdates of upgrades die </w:t>
      </w:r>
      <w:r w:rsidRPr="00463949" w:rsidR="003C2C0A">
        <w:rPr>
          <w:rFonts w:ascii="Times New Roman" w:hAnsi="Times New Roman" w:cs="Times New Roman"/>
          <w:i/>
          <w:iCs/>
          <w:sz w:val="24"/>
          <w:szCs w:val="24"/>
        </w:rPr>
        <w:t>niet</w:t>
      </w:r>
      <w:r w:rsidRPr="00463949" w:rsidR="003C2C0A">
        <w:rPr>
          <w:rFonts w:ascii="Times New Roman" w:hAnsi="Times New Roman" w:cs="Times New Roman"/>
          <w:sz w:val="24"/>
          <w:szCs w:val="24"/>
        </w:rPr>
        <w:t xml:space="preserve"> neerkomen op een ingrijpende wijziging van het product</w:t>
      </w:r>
      <w:r w:rsidRPr="00463949" w:rsidR="00226ACE">
        <w:rPr>
          <w:rFonts w:ascii="Times New Roman" w:hAnsi="Times New Roman" w:cs="Times New Roman"/>
          <w:sz w:val="24"/>
          <w:szCs w:val="24"/>
        </w:rPr>
        <w:t>, hebben geen</w:t>
      </w:r>
      <w:r w:rsidRPr="00463949" w:rsidR="003C2C0A">
        <w:rPr>
          <w:rFonts w:ascii="Times New Roman" w:hAnsi="Times New Roman" w:cs="Times New Roman"/>
          <w:sz w:val="24"/>
          <w:szCs w:val="24"/>
        </w:rPr>
        <w:t xml:space="preserve"> invloed op de vervaltermijn die van toepassing is op het oorspronkelijke product</w:t>
      </w:r>
      <w:r w:rsidRPr="00463949" w:rsidR="00226ACE">
        <w:rPr>
          <w:rFonts w:ascii="Times New Roman" w:hAnsi="Times New Roman" w:cs="Times New Roman"/>
          <w:sz w:val="24"/>
          <w:szCs w:val="24"/>
        </w:rPr>
        <w:t xml:space="preserve"> (zie overweging 58)</w:t>
      </w:r>
      <w:r w:rsidRPr="00463949" w:rsidR="003C2C0A">
        <w:rPr>
          <w:rFonts w:ascii="Times New Roman" w:hAnsi="Times New Roman" w:cs="Times New Roman"/>
          <w:sz w:val="24"/>
          <w:szCs w:val="24"/>
        </w:rPr>
        <w:t>.</w:t>
      </w:r>
      <w:r w:rsidRPr="00463949">
        <w:rPr>
          <w:rFonts w:ascii="Times New Roman" w:hAnsi="Times New Roman" w:cs="Times New Roman"/>
          <w:sz w:val="24"/>
          <w:szCs w:val="24"/>
        </w:rPr>
        <w:t xml:space="preserve"> </w:t>
      </w:r>
      <w:r w:rsidRPr="00463949" w:rsidR="005C69A7">
        <w:rPr>
          <w:rFonts w:ascii="Times New Roman" w:hAnsi="Times New Roman" w:cs="Times New Roman"/>
          <w:sz w:val="24"/>
          <w:szCs w:val="24"/>
        </w:rPr>
        <w:t>De tenzij-bepaling in artikel 17 lid 1 (“tenzij die benadeelde tijdens die termijn een procedure heeft ingeleid tegen een marktdeelnemer die op grond van artikel 8 aansprakelijk kan worden gesteld”) is niet overgenomen. De vervaltermijn beoogt te voorkomen dat de benadeelde een vordering</w:t>
      </w:r>
      <w:r w:rsidRPr="00463949" w:rsidR="00084062">
        <w:rPr>
          <w:rFonts w:ascii="Times New Roman" w:hAnsi="Times New Roman" w:cs="Times New Roman"/>
          <w:sz w:val="24"/>
          <w:szCs w:val="24"/>
        </w:rPr>
        <w:t xml:space="preserve"> tot schadevergoeding</w:t>
      </w:r>
      <w:r w:rsidRPr="00463949" w:rsidR="005C69A7">
        <w:rPr>
          <w:rFonts w:ascii="Times New Roman" w:hAnsi="Times New Roman" w:cs="Times New Roman"/>
          <w:sz w:val="24"/>
          <w:szCs w:val="24"/>
        </w:rPr>
        <w:t xml:space="preserve"> kan instellen nadat tien ja</w:t>
      </w:r>
      <w:r w:rsidRPr="00463949" w:rsidR="00023538">
        <w:rPr>
          <w:rFonts w:ascii="Times New Roman" w:hAnsi="Times New Roman" w:cs="Times New Roman"/>
          <w:sz w:val="24"/>
          <w:szCs w:val="24"/>
        </w:rPr>
        <w:t>ren</w:t>
      </w:r>
      <w:r w:rsidRPr="00463949" w:rsidR="005C69A7">
        <w:rPr>
          <w:rFonts w:ascii="Times New Roman" w:hAnsi="Times New Roman" w:cs="Times New Roman"/>
          <w:sz w:val="24"/>
          <w:szCs w:val="24"/>
        </w:rPr>
        <w:t xml:space="preserve"> zijn verstreken</w:t>
      </w:r>
      <w:r w:rsidRPr="00463949" w:rsidR="00023538">
        <w:rPr>
          <w:rFonts w:ascii="Times New Roman" w:hAnsi="Times New Roman" w:cs="Times New Roman"/>
          <w:sz w:val="24"/>
          <w:szCs w:val="24"/>
        </w:rPr>
        <w:t xml:space="preserve"> na het in de handel brengen of in gebruik stellen van het product</w:t>
      </w:r>
      <w:r w:rsidRPr="00463949" w:rsidR="005C69A7">
        <w:rPr>
          <w:rFonts w:ascii="Times New Roman" w:hAnsi="Times New Roman" w:cs="Times New Roman"/>
          <w:sz w:val="24"/>
          <w:szCs w:val="24"/>
        </w:rPr>
        <w:t>. Hieruit vloeit logischerwijze voort dat wanneer de benadeelde binnen die termijn een procedure</w:t>
      </w:r>
      <w:r w:rsidRPr="00463949" w:rsidR="00B92AFE">
        <w:rPr>
          <w:rFonts w:ascii="Times New Roman" w:hAnsi="Times New Roman" w:cs="Times New Roman"/>
          <w:sz w:val="24"/>
          <w:szCs w:val="24"/>
        </w:rPr>
        <w:t xml:space="preserve"> is begonnen</w:t>
      </w:r>
      <w:r w:rsidRPr="00463949" w:rsidR="005C69A7">
        <w:rPr>
          <w:rFonts w:ascii="Times New Roman" w:hAnsi="Times New Roman" w:cs="Times New Roman"/>
          <w:sz w:val="24"/>
          <w:szCs w:val="24"/>
        </w:rPr>
        <w:t xml:space="preserve">, het verstrijken van de vervaltermijn tijdens die procedure niet meer van invloed </w:t>
      </w:r>
      <w:r w:rsidRPr="00463949" w:rsidR="005C69A7">
        <w:rPr>
          <w:rFonts w:ascii="Times New Roman" w:hAnsi="Times New Roman" w:cs="Times New Roman"/>
          <w:sz w:val="24"/>
          <w:szCs w:val="24"/>
        </w:rPr>
        <w:lastRenderedPageBreak/>
        <w:t xml:space="preserve">kan zijn op het verloop daarvan. Met andere woorden, het verstrijken van de vervaltermijn kan </w:t>
      </w:r>
      <w:r w:rsidRPr="00463949" w:rsidR="004952D9">
        <w:rPr>
          <w:rFonts w:ascii="Times New Roman" w:hAnsi="Times New Roman" w:cs="Times New Roman"/>
          <w:sz w:val="24"/>
          <w:szCs w:val="24"/>
        </w:rPr>
        <w:t xml:space="preserve">in dat geval </w:t>
      </w:r>
      <w:r w:rsidRPr="00463949" w:rsidR="005C69A7">
        <w:rPr>
          <w:rFonts w:ascii="Times New Roman" w:hAnsi="Times New Roman" w:cs="Times New Roman"/>
          <w:sz w:val="24"/>
          <w:szCs w:val="24"/>
        </w:rPr>
        <w:t>niet aan de benadeelde worden tegengeworpen.</w:t>
      </w:r>
      <w:r w:rsidRPr="00463949" w:rsidR="00EB55BD">
        <w:rPr>
          <w:rStyle w:val="Voetnootmarkering"/>
          <w:rFonts w:ascii="Times New Roman" w:hAnsi="Times New Roman" w:cs="Times New Roman"/>
          <w:sz w:val="24"/>
          <w:szCs w:val="24"/>
        </w:rPr>
        <w:footnoteReference w:id="88"/>
      </w:r>
    </w:p>
    <w:p w:rsidRPr="00463949" w:rsidR="00B32DB2" w:rsidP="00D045E0" w:rsidRDefault="00B32DB2" w14:paraId="77C5F320" w14:textId="77777777">
      <w:pPr>
        <w:spacing w:after="0" w:line="276" w:lineRule="auto"/>
        <w:rPr>
          <w:rFonts w:ascii="Times New Roman" w:hAnsi="Times New Roman" w:cs="Times New Roman"/>
          <w:sz w:val="24"/>
          <w:szCs w:val="24"/>
        </w:rPr>
      </w:pPr>
    </w:p>
    <w:p w:rsidRPr="00463949" w:rsidR="00DA5A57" w:rsidP="00D045E0" w:rsidRDefault="00DA5A57" w14:paraId="717F0869" w14:textId="5CBD23D2">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2</w:t>
      </w:r>
      <w:r w:rsidRPr="00463949" w:rsidR="00412774">
        <w:rPr>
          <w:rFonts w:ascii="Times New Roman" w:hAnsi="Times New Roman" w:cs="Times New Roman"/>
          <w:i/>
          <w:iCs/>
          <w:sz w:val="24"/>
          <w:szCs w:val="24"/>
        </w:rPr>
        <w:t>; vervaltermijn van 25 jaar bij laten</w:t>
      </w:r>
      <w:r w:rsidRPr="00463949" w:rsidR="008A72EA">
        <w:rPr>
          <w:rFonts w:ascii="Times New Roman" w:hAnsi="Times New Roman" w:cs="Times New Roman"/>
          <w:i/>
          <w:iCs/>
          <w:sz w:val="24"/>
          <w:szCs w:val="24"/>
        </w:rPr>
        <w:t>t</w:t>
      </w:r>
      <w:r w:rsidRPr="00463949" w:rsidR="00412774">
        <w:rPr>
          <w:rFonts w:ascii="Times New Roman" w:hAnsi="Times New Roman" w:cs="Times New Roman"/>
          <w:i/>
          <w:iCs/>
          <w:sz w:val="24"/>
          <w:szCs w:val="24"/>
        </w:rPr>
        <w:t>e gezondheidsschade</w:t>
      </w:r>
    </w:p>
    <w:p w:rsidRPr="00463949" w:rsidR="00DA5A57" w:rsidP="00D045E0" w:rsidRDefault="00DA5A57" w14:paraId="0C54ED21" w14:textId="77777777">
      <w:pPr>
        <w:spacing w:after="0" w:line="276" w:lineRule="auto"/>
        <w:rPr>
          <w:rFonts w:ascii="Times New Roman" w:hAnsi="Times New Roman" w:cs="Times New Roman"/>
          <w:i/>
          <w:iCs/>
          <w:sz w:val="24"/>
          <w:szCs w:val="24"/>
        </w:rPr>
      </w:pPr>
    </w:p>
    <w:p w:rsidRPr="00463949" w:rsidR="00A14F70" w:rsidP="00D045E0" w:rsidRDefault="00A14F70" w14:paraId="5B31CA76" w14:textId="173B251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Lid 2 implementeert artikel 17 lid 2 Richtlijn. </w:t>
      </w:r>
      <w:r w:rsidRPr="00463949" w:rsidR="001704FA">
        <w:rPr>
          <w:rFonts w:ascii="Times New Roman" w:hAnsi="Times New Roman" w:cs="Times New Roman"/>
          <w:sz w:val="24"/>
          <w:szCs w:val="24"/>
        </w:rPr>
        <w:t xml:space="preserve">Ingevolge het voorgestelde lid </w:t>
      </w:r>
      <w:r w:rsidRPr="00463949" w:rsidR="00BC112A">
        <w:rPr>
          <w:rFonts w:ascii="Times New Roman" w:hAnsi="Times New Roman" w:cs="Times New Roman"/>
          <w:sz w:val="24"/>
          <w:szCs w:val="24"/>
        </w:rPr>
        <w:t>wordt</w:t>
      </w:r>
      <w:r w:rsidRPr="00463949" w:rsidR="001704FA">
        <w:rPr>
          <w:rFonts w:ascii="Times New Roman" w:hAnsi="Times New Roman" w:cs="Times New Roman"/>
          <w:sz w:val="24"/>
          <w:szCs w:val="24"/>
        </w:rPr>
        <w:t xml:space="preserve"> de vervaltermijn</w:t>
      </w:r>
      <w:r w:rsidRPr="00463949" w:rsidR="00BC112A">
        <w:rPr>
          <w:rFonts w:ascii="Times New Roman" w:hAnsi="Times New Roman" w:cs="Times New Roman"/>
          <w:sz w:val="24"/>
          <w:szCs w:val="24"/>
        </w:rPr>
        <w:t xml:space="preserve"> verlengd tot 25 jaar</w:t>
      </w:r>
      <w:r w:rsidRPr="00463949" w:rsidR="001704FA">
        <w:rPr>
          <w:rFonts w:ascii="Times New Roman" w:hAnsi="Times New Roman" w:cs="Times New Roman"/>
          <w:sz w:val="24"/>
          <w:szCs w:val="24"/>
        </w:rPr>
        <w:t>,</w:t>
      </w:r>
      <w:r w:rsidRPr="00463949" w:rsidR="00BC112A">
        <w:rPr>
          <w:rFonts w:ascii="Times New Roman" w:hAnsi="Times New Roman" w:cs="Times New Roman"/>
          <w:sz w:val="24"/>
          <w:szCs w:val="24"/>
        </w:rPr>
        <w:t xml:space="preserve"> als een benadeelde vanwege de latentietijd van een lichamelijk letsel niet in staat was binnen tien jaar een procedure in te leiden. </w:t>
      </w:r>
      <w:r w:rsidRPr="00463949" w:rsidR="00226ACE">
        <w:rPr>
          <w:rFonts w:ascii="Times New Roman" w:hAnsi="Times New Roman" w:cs="Times New Roman"/>
          <w:sz w:val="24"/>
          <w:szCs w:val="24"/>
        </w:rPr>
        <w:t xml:space="preserve">Daarbij </w:t>
      </w:r>
      <w:r w:rsidRPr="00463949" w:rsidR="00BC112A">
        <w:rPr>
          <w:rFonts w:ascii="Times New Roman" w:hAnsi="Times New Roman" w:cs="Times New Roman"/>
          <w:sz w:val="24"/>
          <w:szCs w:val="24"/>
        </w:rPr>
        <w:t>gaat</w:t>
      </w:r>
      <w:r w:rsidRPr="00463949" w:rsidR="00226ACE">
        <w:rPr>
          <w:rFonts w:ascii="Times New Roman" w:hAnsi="Times New Roman" w:cs="Times New Roman"/>
          <w:sz w:val="24"/>
          <w:szCs w:val="24"/>
        </w:rPr>
        <w:t xml:space="preserve"> het</w:t>
      </w:r>
      <w:r w:rsidRPr="00463949" w:rsidR="00BC112A">
        <w:rPr>
          <w:rFonts w:ascii="Times New Roman" w:hAnsi="Times New Roman" w:cs="Times New Roman"/>
          <w:sz w:val="24"/>
          <w:szCs w:val="24"/>
        </w:rPr>
        <w:t xml:space="preserve"> om gevallen </w:t>
      </w:r>
      <w:r w:rsidRPr="00463949" w:rsidR="00980008">
        <w:rPr>
          <w:rFonts w:ascii="Times New Roman" w:hAnsi="Times New Roman" w:cs="Times New Roman"/>
          <w:sz w:val="24"/>
          <w:szCs w:val="24"/>
        </w:rPr>
        <w:t>waarin uit medische bewijsstukken blijkt dat de symptomen van een lichamelijk letsel langzaam opkomen</w:t>
      </w:r>
      <w:r w:rsidRPr="00463949" w:rsidR="00226ACE">
        <w:rPr>
          <w:rFonts w:ascii="Times New Roman" w:hAnsi="Times New Roman" w:cs="Times New Roman"/>
          <w:sz w:val="24"/>
          <w:szCs w:val="24"/>
        </w:rPr>
        <w:t xml:space="preserve"> (zie overweging 57)</w:t>
      </w:r>
      <w:r w:rsidRPr="00463949" w:rsidR="00980008">
        <w:rPr>
          <w:rFonts w:ascii="Times New Roman" w:hAnsi="Times New Roman" w:cs="Times New Roman"/>
          <w:sz w:val="24"/>
          <w:szCs w:val="24"/>
        </w:rPr>
        <w:t xml:space="preserve">. De tenzij-bepaling in artikel 17 lid 2 Richtlijn is </w:t>
      </w:r>
      <w:r w:rsidRPr="00463949" w:rsidR="00500E8C">
        <w:rPr>
          <w:rFonts w:ascii="Times New Roman" w:hAnsi="Times New Roman" w:cs="Times New Roman"/>
          <w:sz w:val="24"/>
          <w:szCs w:val="24"/>
        </w:rPr>
        <w:t xml:space="preserve">niet </w:t>
      </w:r>
      <w:r w:rsidRPr="00463949" w:rsidR="00980008">
        <w:rPr>
          <w:rFonts w:ascii="Times New Roman" w:hAnsi="Times New Roman" w:cs="Times New Roman"/>
          <w:sz w:val="24"/>
          <w:szCs w:val="24"/>
        </w:rPr>
        <w:t>overgenomen</w:t>
      </w:r>
      <w:r w:rsidRPr="00463949" w:rsidR="00226ACE">
        <w:rPr>
          <w:rFonts w:ascii="Times New Roman" w:hAnsi="Times New Roman" w:cs="Times New Roman"/>
          <w:sz w:val="24"/>
          <w:szCs w:val="24"/>
        </w:rPr>
        <w:t xml:space="preserve"> </w:t>
      </w:r>
      <w:r w:rsidRPr="00463949" w:rsidR="00FA6FCB">
        <w:rPr>
          <w:rFonts w:ascii="Times New Roman" w:hAnsi="Times New Roman" w:cs="Times New Roman"/>
          <w:sz w:val="24"/>
          <w:szCs w:val="24"/>
        </w:rPr>
        <w:t xml:space="preserve">om de hiervoor genoemde reden </w:t>
      </w:r>
      <w:r w:rsidRPr="00463949" w:rsidR="00226ACE">
        <w:rPr>
          <w:rFonts w:ascii="Times New Roman" w:hAnsi="Times New Roman" w:cs="Times New Roman"/>
          <w:sz w:val="24"/>
          <w:szCs w:val="24"/>
        </w:rPr>
        <w:t xml:space="preserve">(zie toelichting op </w:t>
      </w:r>
      <w:r w:rsidRPr="00463949" w:rsidR="001704FA">
        <w:rPr>
          <w:rFonts w:ascii="Times New Roman" w:hAnsi="Times New Roman" w:cs="Times New Roman"/>
          <w:sz w:val="24"/>
          <w:szCs w:val="24"/>
        </w:rPr>
        <w:t xml:space="preserve">artikel 6:191a </w:t>
      </w:r>
      <w:r w:rsidRPr="00463949" w:rsidR="00226ACE">
        <w:rPr>
          <w:rFonts w:ascii="Times New Roman" w:hAnsi="Times New Roman" w:cs="Times New Roman"/>
          <w:sz w:val="24"/>
          <w:szCs w:val="24"/>
        </w:rPr>
        <w:t>lid 1</w:t>
      </w:r>
      <w:r w:rsidRPr="00463949" w:rsidR="001704FA">
        <w:rPr>
          <w:rFonts w:ascii="Times New Roman" w:hAnsi="Times New Roman" w:cs="Times New Roman"/>
          <w:sz w:val="24"/>
          <w:szCs w:val="24"/>
        </w:rPr>
        <w:t xml:space="preserve"> (slot)</w:t>
      </w:r>
      <w:r w:rsidRPr="00463949" w:rsidR="00226ACE">
        <w:rPr>
          <w:rFonts w:ascii="Times New Roman" w:hAnsi="Times New Roman" w:cs="Times New Roman"/>
          <w:sz w:val="24"/>
          <w:szCs w:val="24"/>
        </w:rPr>
        <w:t>)</w:t>
      </w:r>
      <w:r w:rsidRPr="00463949" w:rsidR="00980008">
        <w:rPr>
          <w:rFonts w:ascii="Times New Roman" w:hAnsi="Times New Roman" w:cs="Times New Roman"/>
          <w:sz w:val="24"/>
          <w:szCs w:val="24"/>
        </w:rPr>
        <w:t>.</w:t>
      </w:r>
    </w:p>
    <w:p w:rsidRPr="00463949" w:rsidR="001F4691" w:rsidP="00D045E0" w:rsidRDefault="001F4691" w14:paraId="416D0728" w14:textId="77777777">
      <w:pPr>
        <w:spacing w:after="0" w:line="276" w:lineRule="auto"/>
        <w:rPr>
          <w:rFonts w:ascii="Times New Roman" w:hAnsi="Times New Roman" w:cs="Times New Roman"/>
          <w:sz w:val="24"/>
          <w:szCs w:val="24"/>
        </w:rPr>
      </w:pPr>
    </w:p>
    <w:p w:rsidRPr="00463949" w:rsidR="001F4691" w:rsidP="00D045E0" w:rsidRDefault="001F4691" w14:paraId="0AD12E3A" w14:textId="47EA9301">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Lid 3; vervaltermijnen ook van toepassing op regresrecht medeaansprakelijke derde</w:t>
      </w:r>
    </w:p>
    <w:p w:rsidRPr="00463949" w:rsidR="00BC112A" w:rsidP="00D045E0" w:rsidRDefault="00BC112A" w14:paraId="6B194BA9" w14:textId="77777777">
      <w:pPr>
        <w:spacing w:after="0" w:line="276" w:lineRule="auto"/>
        <w:rPr>
          <w:rFonts w:ascii="Times New Roman" w:hAnsi="Times New Roman" w:cs="Times New Roman"/>
          <w:sz w:val="24"/>
          <w:szCs w:val="24"/>
        </w:rPr>
      </w:pPr>
    </w:p>
    <w:p w:rsidRPr="00463949" w:rsidR="001F4691" w:rsidP="00D045E0" w:rsidRDefault="00E03C35" w14:paraId="7E7F6308" w14:textId="7BDF2BD0">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lid 3 is de bepaling </w:t>
      </w:r>
      <w:r w:rsidRPr="00463949" w:rsidR="0092731D">
        <w:rPr>
          <w:rFonts w:ascii="Times New Roman" w:hAnsi="Times New Roman" w:cs="Times New Roman"/>
          <w:sz w:val="24"/>
          <w:szCs w:val="24"/>
        </w:rPr>
        <w:t>uit het huidige</w:t>
      </w:r>
      <w:r w:rsidRPr="00463949">
        <w:rPr>
          <w:rFonts w:ascii="Times New Roman" w:hAnsi="Times New Roman" w:cs="Times New Roman"/>
          <w:sz w:val="24"/>
          <w:szCs w:val="24"/>
        </w:rPr>
        <w:t xml:space="preserve"> artikel 6:19</w:t>
      </w:r>
      <w:r w:rsidRPr="00463949" w:rsidR="001F79BF">
        <w:rPr>
          <w:rFonts w:ascii="Times New Roman" w:hAnsi="Times New Roman" w:cs="Times New Roman"/>
          <w:sz w:val="24"/>
          <w:szCs w:val="24"/>
        </w:rPr>
        <w:t>1</w:t>
      </w:r>
      <w:r w:rsidRPr="00463949">
        <w:rPr>
          <w:rFonts w:ascii="Times New Roman" w:hAnsi="Times New Roman" w:cs="Times New Roman"/>
          <w:sz w:val="24"/>
          <w:szCs w:val="24"/>
        </w:rPr>
        <w:t xml:space="preserve"> lid 2, laatste volzin, overgenomen. Deze bepaling is van nationale origine</w:t>
      </w:r>
      <w:r w:rsidRPr="00463949" w:rsidR="000B087A">
        <w:rPr>
          <w:rFonts w:ascii="Times New Roman" w:hAnsi="Times New Roman" w:cs="Times New Roman"/>
          <w:sz w:val="24"/>
          <w:szCs w:val="24"/>
        </w:rPr>
        <w:t xml:space="preserve"> en</w:t>
      </w:r>
      <w:r w:rsidRPr="00463949">
        <w:rPr>
          <w:rFonts w:ascii="Times New Roman" w:hAnsi="Times New Roman" w:cs="Times New Roman"/>
          <w:sz w:val="24"/>
          <w:szCs w:val="24"/>
        </w:rPr>
        <w:t xml:space="preserve"> betreft het verval van het regresrecht van een derde die mede voor de schade aansprakelijk is, jegens de marktdeelnemer. Door de vervaltermijnen voor het regresrecht eveneens op tien respectievelijk </w:t>
      </w:r>
      <w:r w:rsidRPr="00463949" w:rsidR="0092731D">
        <w:rPr>
          <w:rFonts w:ascii="Times New Roman" w:hAnsi="Times New Roman" w:cs="Times New Roman"/>
          <w:sz w:val="24"/>
          <w:szCs w:val="24"/>
        </w:rPr>
        <w:t xml:space="preserve">25 jaar </w:t>
      </w:r>
      <w:r w:rsidRPr="00463949">
        <w:rPr>
          <w:rFonts w:ascii="Times New Roman" w:hAnsi="Times New Roman" w:cs="Times New Roman"/>
          <w:sz w:val="24"/>
          <w:szCs w:val="24"/>
        </w:rPr>
        <w:t>te stellen, wordt bereikt dat de marktdeelnemer nadien ook niet meer op grond van zijn regresplicht kan worden aangesproken.</w:t>
      </w:r>
      <w:r w:rsidRPr="00463949">
        <w:rPr>
          <w:rStyle w:val="Voetnootmarkering"/>
          <w:rFonts w:ascii="Times New Roman" w:hAnsi="Times New Roman" w:cs="Times New Roman"/>
          <w:sz w:val="24"/>
          <w:szCs w:val="24"/>
        </w:rPr>
        <w:footnoteReference w:id="89"/>
      </w:r>
    </w:p>
    <w:p w:rsidRPr="00463949" w:rsidR="00EB3562" w:rsidP="00D045E0" w:rsidRDefault="00EB3562" w14:paraId="06F0096E" w14:textId="77777777">
      <w:pPr>
        <w:spacing w:after="0" w:line="276" w:lineRule="auto"/>
        <w:rPr>
          <w:rFonts w:ascii="Times New Roman" w:hAnsi="Times New Roman" w:cs="Times New Roman"/>
          <w:sz w:val="24"/>
          <w:szCs w:val="24"/>
        </w:rPr>
      </w:pPr>
    </w:p>
    <w:p w:rsidRPr="00463949" w:rsidR="00877F5E" w:rsidP="00D045E0" w:rsidRDefault="00877F5E" w14:paraId="282CD41D" w14:textId="3B0298CC">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L, wijziging artikel 192</w:t>
      </w:r>
      <w:r w:rsidRPr="00463949" w:rsidR="0099476D">
        <w:rPr>
          <w:rFonts w:ascii="Times New Roman" w:hAnsi="Times New Roman" w:cs="Times New Roman"/>
          <w:i/>
          <w:iCs/>
          <w:sz w:val="24"/>
          <w:szCs w:val="24"/>
        </w:rPr>
        <w:t xml:space="preserve"> (uitsluiting of beperking van aansprakelijkheid)</w:t>
      </w:r>
    </w:p>
    <w:p w:rsidRPr="00463949" w:rsidR="00877F5E" w:rsidP="00D045E0" w:rsidRDefault="00877F5E" w14:paraId="61233D5C" w14:textId="77777777">
      <w:pPr>
        <w:spacing w:after="0" w:line="276" w:lineRule="auto"/>
        <w:rPr>
          <w:rFonts w:ascii="Times New Roman" w:hAnsi="Times New Roman" w:cs="Times New Roman"/>
          <w:i/>
          <w:iCs/>
          <w:sz w:val="24"/>
          <w:szCs w:val="24"/>
        </w:rPr>
      </w:pPr>
    </w:p>
    <w:p w:rsidRPr="00463949" w:rsidR="00F5473A" w:rsidP="00D045E0" w:rsidRDefault="00556909" w14:paraId="500795E3" w14:textId="6510F1DC">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Dit onderdeel voert twee </w:t>
      </w:r>
      <w:r w:rsidRPr="00463949" w:rsidR="00FA6FCB">
        <w:rPr>
          <w:rFonts w:ascii="Times New Roman" w:hAnsi="Times New Roman" w:cs="Times New Roman"/>
          <w:sz w:val="24"/>
          <w:szCs w:val="24"/>
        </w:rPr>
        <w:t xml:space="preserve">redactionele </w:t>
      </w:r>
      <w:r w:rsidRPr="00463949">
        <w:rPr>
          <w:rFonts w:ascii="Times New Roman" w:hAnsi="Times New Roman" w:cs="Times New Roman"/>
          <w:sz w:val="24"/>
          <w:szCs w:val="24"/>
        </w:rPr>
        <w:t xml:space="preserve">wijzigingen door in artikel 6:192 BW. </w:t>
      </w:r>
    </w:p>
    <w:p w:rsidRPr="00463949" w:rsidR="00877F5E" w:rsidP="00D045E0" w:rsidRDefault="00FA6FCB" w14:paraId="49BF9D9D" w14:textId="5710605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In lid 1, dat </w:t>
      </w:r>
      <w:r w:rsidRPr="00463949" w:rsidR="00966764">
        <w:rPr>
          <w:rFonts w:ascii="Times New Roman" w:hAnsi="Times New Roman" w:cs="Times New Roman"/>
          <w:sz w:val="24"/>
          <w:szCs w:val="24"/>
        </w:rPr>
        <w:t>reeds in overeenstemming met artikel 15 van de Richtlijn</w:t>
      </w:r>
      <w:r w:rsidRPr="00463949">
        <w:rPr>
          <w:rStyle w:val="Voetnootmarkering"/>
          <w:rFonts w:ascii="Times New Roman" w:hAnsi="Times New Roman" w:cs="Times New Roman"/>
          <w:sz w:val="24"/>
          <w:szCs w:val="24"/>
        </w:rPr>
        <w:footnoteReference w:id="90"/>
      </w:r>
      <w:r w:rsidRPr="00463949">
        <w:rPr>
          <w:rFonts w:ascii="Times New Roman" w:hAnsi="Times New Roman" w:cs="Times New Roman"/>
          <w:sz w:val="24"/>
          <w:szCs w:val="24"/>
        </w:rPr>
        <w:t xml:space="preserve">, wordt </w:t>
      </w:r>
      <w:r w:rsidRPr="00463949" w:rsidR="00556909">
        <w:rPr>
          <w:rFonts w:ascii="Times New Roman" w:hAnsi="Times New Roman" w:cs="Times New Roman"/>
          <w:sz w:val="24"/>
          <w:szCs w:val="24"/>
        </w:rPr>
        <w:t>“de producent” vervangen door “de marktdeelnemer”.</w:t>
      </w:r>
      <w:r w:rsidRPr="00463949" w:rsidR="00966764">
        <w:rPr>
          <w:rFonts w:ascii="Times New Roman" w:hAnsi="Times New Roman" w:cs="Times New Roman"/>
          <w:sz w:val="24"/>
          <w:szCs w:val="24"/>
        </w:rPr>
        <w:t xml:space="preserve"> </w:t>
      </w:r>
      <w:r w:rsidRPr="00463949" w:rsidR="00D02D01">
        <w:rPr>
          <w:rFonts w:ascii="Times New Roman" w:hAnsi="Times New Roman" w:cs="Times New Roman"/>
          <w:sz w:val="24"/>
          <w:szCs w:val="24"/>
        </w:rPr>
        <w:t xml:space="preserve">Verder </w:t>
      </w:r>
      <w:r w:rsidRPr="00463949" w:rsidR="00354E8B">
        <w:rPr>
          <w:rFonts w:ascii="Times New Roman" w:hAnsi="Times New Roman" w:cs="Times New Roman"/>
          <w:sz w:val="24"/>
          <w:szCs w:val="24"/>
        </w:rPr>
        <w:t xml:space="preserve">wordt van de gelegenheid gebruik gemaakt om </w:t>
      </w:r>
      <w:r w:rsidRPr="00463949" w:rsidR="00676342">
        <w:rPr>
          <w:rFonts w:ascii="Times New Roman" w:hAnsi="Times New Roman" w:cs="Times New Roman"/>
          <w:sz w:val="24"/>
          <w:szCs w:val="24"/>
        </w:rPr>
        <w:t xml:space="preserve">ouderwetse spelling te vervangen </w:t>
      </w:r>
      <w:r w:rsidRPr="00463949" w:rsidR="00D02D01">
        <w:rPr>
          <w:rFonts w:ascii="Times New Roman" w:hAnsi="Times New Roman" w:cs="Times New Roman"/>
          <w:sz w:val="24"/>
          <w:szCs w:val="24"/>
        </w:rPr>
        <w:t xml:space="preserve">in lid 2 </w:t>
      </w:r>
      <w:r w:rsidRPr="00463949" w:rsidR="00676342">
        <w:rPr>
          <w:rFonts w:ascii="Times New Roman" w:hAnsi="Times New Roman" w:cs="Times New Roman"/>
          <w:sz w:val="24"/>
          <w:szCs w:val="24"/>
        </w:rPr>
        <w:t>(“produ</w:t>
      </w:r>
      <w:r w:rsidRPr="00463949" w:rsidR="00403188">
        <w:rPr>
          <w:rFonts w:ascii="Times New Roman" w:hAnsi="Times New Roman" w:cs="Times New Roman"/>
          <w:sz w:val="24"/>
          <w:szCs w:val="24"/>
        </w:rPr>
        <w:t>k</w:t>
      </w:r>
      <w:r w:rsidRPr="00463949" w:rsidR="00676342">
        <w:rPr>
          <w:rFonts w:ascii="Times New Roman" w:hAnsi="Times New Roman" w:cs="Times New Roman"/>
          <w:sz w:val="24"/>
          <w:szCs w:val="24"/>
        </w:rPr>
        <w:t xml:space="preserve">t” wordt vervangen door “product”). </w:t>
      </w:r>
      <w:r w:rsidRPr="00463949" w:rsidR="00100EAD">
        <w:rPr>
          <w:rFonts w:ascii="Times New Roman" w:hAnsi="Times New Roman" w:cs="Times New Roman"/>
          <w:sz w:val="24"/>
          <w:szCs w:val="24"/>
        </w:rPr>
        <w:t xml:space="preserve">Lid </w:t>
      </w:r>
      <w:r w:rsidRPr="00463949" w:rsidR="00676342">
        <w:rPr>
          <w:rFonts w:ascii="Times New Roman" w:hAnsi="Times New Roman" w:cs="Times New Roman"/>
          <w:sz w:val="24"/>
          <w:szCs w:val="24"/>
        </w:rPr>
        <w:t>2</w:t>
      </w:r>
      <w:r w:rsidRPr="00463949" w:rsidR="00D02D01">
        <w:rPr>
          <w:rFonts w:ascii="Times New Roman" w:hAnsi="Times New Roman" w:cs="Times New Roman"/>
          <w:sz w:val="24"/>
          <w:szCs w:val="24"/>
        </w:rPr>
        <w:t xml:space="preserve"> kent een nationale oorsprong</w:t>
      </w:r>
      <w:r w:rsidRPr="00463949" w:rsidR="00100EAD">
        <w:rPr>
          <w:rStyle w:val="Voetnootmarkering"/>
          <w:rFonts w:ascii="Times New Roman" w:hAnsi="Times New Roman" w:cs="Times New Roman"/>
          <w:sz w:val="24"/>
          <w:szCs w:val="24"/>
        </w:rPr>
        <w:footnoteReference w:id="91"/>
      </w:r>
      <w:r w:rsidRPr="00463949" w:rsidR="00676342">
        <w:rPr>
          <w:rFonts w:ascii="Times New Roman" w:hAnsi="Times New Roman" w:cs="Times New Roman"/>
          <w:sz w:val="24"/>
          <w:szCs w:val="24"/>
        </w:rPr>
        <w:t xml:space="preserve"> </w:t>
      </w:r>
      <w:r w:rsidRPr="00463949" w:rsidR="007B0DB9">
        <w:rPr>
          <w:rFonts w:ascii="Times New Roman" w:hAnsi="Times New Roman" w:cs="Times New Roman"/>
          <w:sz w:val="24"/>
          <w:szCs w:val="24"/>
        </w:rPr>
        <w:t xml:space="preserve">en </w:t>
      </w:r>
      <w:r w:rsidRPr="00463949" w:rsidR="00100EAD">
        <w:rPr>
          <w:rFonts w:ascii="Times New Roman" w:hAnsi="Times New Roman" w:cs="Times New Roman"/>
          <w:sz w:val="24"/>
          <w:szCs w:val="24"/>
        </w:rPr>
        <w:t xml:space="preserve">betreft </w:t>
      </w:r>
      <w:r w:rsidRPr="00463949" w:rsidR="007B0DB9">
        <w:rPr>
          <w:rFonts w:ascii="Times New Roman" w:hAnsi="Times New Roman" w:cs="Times New Roman"/>
          <w:sz w:val="24"/>
          <w:szCs w:val="24"/>
        </w:rPr>
        <w:t xml:space="preserve">de situatie dat, behalve de producent, ook een derde </w:t>
      </w:r>
      <w:r w:rsidRPr="00463949" w:rsidR="006006CB">
        <w:rPr>
          <w:rFonts w:ascii="Times New Roman" w:hAnsi="Times New Roman" w:cs="Times New Roman"/>
          <w:sz w:val="24"/>
          <w:szCs w:val="24"/>
        </w:rPr>
        <w:t>die het product niet gebruikt in de uitoefening van een beroep of bedrijf jegens de benadeelde aansprakelijk is</w:t>
      </w:r>
      <w:r w:rsidRPr="00463949" w:rsidR="007B0DB9">
        <w:rPr>
          <w:rFonts w:ascii="Times New Roman" w:hAnsi="Times New Roman" w:cs="Times New Roman"/>
          <w:sz w:val="24"/>
          <w:szCs w:val="24"/>
        </w:rPr>
        <w:t>.</w:t>
      </w:r>
      <w:r w:rsidRPr="00463949" w:rsidR="007B0DB9">
        <w:rPr>
          <w:rStyle w:val="Voetnootmarkering"/>
          <w:rFonts w:ascii="Times New Roman" w:hAnsi="Times New Roman" w:cs="Times New Roman"/>
          <w:sz w:val="24"/>
          <w:szCs w:val="24"/>
        </w:rPr>
        <w:footnoteReference w:id="92"/>
      </w:r>
      <w:r w:rsidRPr="00463949" w:rsidR="007B0DB9">
        <w:rPr>
          <w:rFonts w:ascii="Times New Roman" w:hAnsi="Times New Roman" w:cs="Times New Roman"/>
          <w:sz w:val="24"/>
          <w:szCs w:val="24"/>
        </w:rPr>
        <w:t xml:space="preserve"> Voor </w:t>
      </w:r>
      <w:r w:rsidRPr="00463949" w:rsidR="00304186">
        <w:rPr>
          <w:rFonts w:ascii="Times New Roman" w:hAnsi="Times New Roman" w:cs="Times New Roman"/>
          <w:sz w:val="24"/>
          <w:szCs w:val="24"/>
        </w:rPr>
        <w:t xml:space="preserve">dat geval </w:t>
      </w:r>
      <w:r w:rsidRPr="00463949" w:rsidR="007B0DB9">
        <w:rPr>
          <w:rFonts w:ascii="Times New Roman" w:hAnsi="Times New Roman" w:cs="Times New Roman"/>
          <w:sz w:val="24"/>
          <w:szCs w:val="24"/>
        </w:rPr>
        <w:t>bepaalt lid 2 dat niet ten nadele van die derde kan worden afgewe</w:t>
      </w:r>
      <w:r w:rsidRPr="00463949" w:rsidR="006006CB">
        <w:rPr>
          <w:rFonts w:ascii="Times New Roman" w:hAnsi="Times New Roman" w:cs="Times New Roman"/>
          <w:sz w:val="24"/>
          <w:szCs w:val="24"/>
        </w:rPr>
        <w:t>k</w:t>
      </w:r>
      <w:r w:rsidRPr="00463949" w:rsidR="007B0DB9">
        <w:rPr>
          <w:rFonts w:ascii="Times New Roman" w:hAnsi="Times New Roman" w:cs="Times New Roman"/>
          <w:sz w:val="24"/>
          <w:szCs w:val="24"/>
        </w:rPr>
        <w:t xml:space="preserve">en </w:t>
      </w:r>
      <w:r w:rsidRPr="00463949" w:rsidR="006006CB">
        <w:rPr>
          <w:rFonts w:ascii="Times New Roman" w:hAnsi="Times New Roman" w:cs="Times New Roman"/>
          <w:sz w:val="24"/>
          <w:szCs w:val="24"/>
        </w:rPr>
        <w:t xml:space="preserve">van </w:t>
      </w:r>
      <w:r w:rsidRPr="00463949" w:rsidR="007B0DB9">
        <w:rPr>
          <w:rFonts w:ascii="Times New Roman" w:hAnsi="Times New Roman" w:cs="Times New Roman"/>
          <w:sz w:val="24"/>
          <w:szCs w:val="24"/>
        </w:rPr>
        <w:t>de regels inzake het regre</w:t>
      </w:r>
      <w:r w:rsidRPr="00463949" w:rsidR="00346D6F">
        <w:rPr>
          <w:rFonts w:ascii="Times New Roman" w:hAnsi="Times New Roman" w:cs="Times New Roman"/>
          <w:sz w:val="24"/>
          <w:szCs w:val="24"/>
        </w:rPr>
        <w:t xml:space="preserve">s. Daarmee maakt lid 2 </w:t>
      </w:r>
      <w:r w:rsidRPr="00463949" w:rsidR="00CC1290">
        <w:rPr>
          <w:rFonts w:ascii="Times New Roman" w:hAnsi="Times New Roman" w:cs="Times New Roman"/>
          <w:sz w:val="24"/>
          <w:szCs w:val="24"/>
        </w:rPr>
        <w:t xml:space="preserve">een </w:t>
      </w:r>
      <w:r w:rsidRPr="00463949" w:rsidR="00346D6F">
        <w:rPr>
          <w:rFonts w:ascii="Times New Roman" w:hAnsi="Times New Roman" w:cs="Times New Roman"/>
          <w:sz w:val="24"/>
          <w:szCs w:val="24"/>
        </w:rPr>
        <w:t xml:space="preserve">afwijking van </w:t>
      </w:r>
      <w:r w:rsidRPr="00463949" w:rsidR="006006CB">
        <w:rPr>
          <w:rFonts w:ascii="Times New Roman" w:hAnsi="Times New Roman" w:cs="Times New Roman"/>
          <w:sz w:val="24"/>
          <w:szCs w:val="24"/>
        </w:rPr>
        <w:t>artikel 6:102 in verbinding met artikel 6:101 BW</w:t>
      </w:r>
      <w:r w:rsidRPr="00463949" w:rsidR="00346D6F">
        <w:rPr>
          <w:rFonts w:ascii="Times New Roman" w:hAnsi="Times New Roman" w:cs="Times New Roman"/>
          <w:sz w:val="24"/>
          <w:szCs w:val="24"/>
        </w:rPr>
        <w:t xml:space="preserve"> ten nadele van </w:t>
      </w:r>
      <w:r w:rsidRPr="00463949" w:rsidR="00403188">
        <w:rPr>
          <w:rFonts w:ascii="Times New Roman" w:hAnsi="Times New Roman" w:cs="Times New Roman"/>
          <w:sz w:val="24"/>
          <w:szCs w:val="24"/>
        </w:rPr>
        <w:t xml:space="preserve">die </w:t>
      </w:r>
      <w:r w:rsidRPr="00463949" w:rsidR="00346D6F">
        <w:rPr>
          <w:rFonts w:ascii="Times New Roman" w:hAnsi="Times New Roman" w:cs="Times New Roman"/>
          <w:sz w:val="24"/>
          <w:szCs w:val="24"/>
        </w:rPr>
        <w:t xml:space="preserve">derde onmogelijk. </w:t>
      </w:r>
      <w:r w:rsidRPr="00463949" w:rsidR="001A4E77">
        <w:rPr>
          <w:rFonts w:ascii="Times New Roman" w:hAnsi="Times New Roman" w:cs="Times New Roman"/>
          <w:sz w:val="24"/>
          <w:szCs w:val="24"/>
        </w:rPr>
        <w:t>D</w:t>
      </w:r>
      <w:r w:rsidRPr="00463949" w:rsidR="00304186">
        <w:rPr>
          <w:rFonts w:ascii="Times New Roman" w:hAnsi="Times New Roman" w:cs="Times New Roman"/>
          <w:sz w:val="24"/>
          <w:szCs w:val="24"/>
        </w:rPr>
        <w:t>e Richtlijn</w:t>
      </w:r>
      <w:r w:rsidRPr="00463949" w:rsidR="001A4E77">
        <w:rPr>
          <w:rFonts w:ascii="Times New Roman" w:hAnsi="Times New Roman" w:cs="Times New Roman"/>
          <w:sz w:val="24"/>
          <w:szCs w:val="24"/>
        </w:rPr>
        <w:t xml:space="preserve"> staat</w:t>
      </w:r>
      <w:r w:rsidRPr="00463949" w:rsidR="00304186">
        <w:rPr>
          <w:rFonts w:ascii="Times New Roman" w:hAnsi="Times New Roman" w:cs="Times New Roman"/>
          <w:sz w:val="24"/>
          <w:szCs w:val="24"/>
        </w:rPr>
        <w:t xml:space="preserve"> </w:t>
      </w:r>
      <w:r w:rsidRPr="00463949" w:rsidR="00C61C7A">
        <w:rPr>
          <w:rFonts w:ascii="Times New Roman" w:hAnsi="Times New Roman" w:cs="Times New Roman"/>
          <w:sz w:val="24"/>
          <w:szCs w:val="24"/>
        </w:rPr>
        <w:t>niet in de weg</w:t>
      </w:r>
      <w:r w:rsidRPr="00463949" w:rsidR="00304186">
        <w:rPr>
          <w:rFonts w:ascii="Times New Roman" w:hAnsi="Times New Roman" w:cs="Times New Roman"/>
          <w:sz w:val="24"/>
          <w:szCs w:val="24"/>
        </w:rPr>
        <w:t xml:space="preserve"> </w:t>
      </w:r>
      <w:r w:rsidRPr="00463949" w:rsidR="00C61C7A">
        <w:rPr>
          <w:rFonts w:ascii="Times New Roman" w:hAnsi="Times New Roman" w:cs="Times New Roman"/>
          <w:sz w:val="24"/>
          <w:szCs w:val="24"/>
        </w:rPr>
        <w:t xml:space="preserve">aan handhaving van deze </w:t>
      </w:r>
      <w:r w:rsidRPr="00463949" w:rsidR="00100EAD">
        <w:rPr>
          <w:rFonts w:ascii="Times New Roman" w:hAnsi="Times New Roman" w:cs="Times New Roman"/>
          <w:sz w:val="24"/>
          <w:szCs w:val="24"/>
        </w:rPr>
        <w:t>bepaling</w:t>
      </w:r>
      <w:r w:rsidRPr="00463949" w:rsidR="00346D6F">
        <w:rPr>
          <w:rFonts w:ascii="Times New Roman" w:hAnsi="Times New Roman" w:cs="Times New Roman"/>
          <w:sz w:val="24"/>
          <w:szCs w:val="24"/>
        </w:rPr>
        <w:t>.</w:t>
      </w:r>
      <w:r w:rsidRPr="00463949" w:rsidR="00346D6F">
        <w:rPr>
          <w:rStyle w:val="Voetnootmarkering"/>
          <w:rFonts w:ascii="Times New Roman" w:hAnsi="Times New Roman" w:cs="Times New Roman"/>
          <w:sz w:val="24"/>
          <w:szCs w:val="24"/>
        </w:rPr>
        <w:footnoteReference w:id="93"/>
      </w:r>
    </w:p>
    <w:p w:rsidRPr="00463949" w:rsidR="00556909" w:rsidP="00D045E0" w:rsidRDefault="00556909" w14:paraId="376CE8EF" w14:textId="001A5D01">
      <w:pPr>
        <w:spacing w:after="0" w:line="276" w:lineRule="auto"/>
        <w:rPr>
          <w:rFonts w:ascii="Times New Roman" w:hAnsi="Times New Roman" w:cs="Times New Roman"/>
          <w:sz w:val="24"/>
          <w:szCs w:val="24"/>
        </w:rPr>
      </w:pPr>
    </w:p>
    <w:p w:rsidRPr="00463949" w:rsidR="00ED52F9" w:rsidP="00D045E0" w:rsidRDefault="00ED52F9" w14:paraId="32397C4E" w14:textId="25C28575">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M, wijziging artikel 193</w:t>
      </w:r>
      <w:r w:rsidRPr="00463949" w:rsidR="0099476D">
        <w:rPr>
          <w:rFonts w:ascii="Times New Roman" w:hAnsi="Times New Roman" w:cs="Times New Roman"/>
          <w:i/>
          <w:iCs/>
          <w:sz w:val="24"/>
          <w:szCs w:val="24"/>
        </w:rPr>
        <w:t xml:space="preserve"> (verhouding tot nationale aansprakelijkheidsregels)</w:t>
      </w:r>
    </w:p>
    <w:p w:rsidRPr="00463949" w:rsidR="00ED52F9" w:rsidP="00D045E0" w:rsidRDefault="00ED52F9" w14:paraId="563CA827" w14:textId="77777777">
      <w:pPr>
        <w:spacing w:after="0" w:line="276" w:lineRule="auto"/>
        <w:rPr>
          <w:rFonts w:ascii="Times New Roman" w:hAnsi="Times New Roman" w:cs="Times New Roman"/>
          <w:sz w:val="24"/>
          <w:szCs w:val="24"/>
        </w:rPr>
      </w:pPr>
    </w:p>
    <w:p w:rsidRPr="00463949" w:rsidR="00ED52F9" w:rsidP="00D045E0" w:rsidRDefault="00ED52F9" w14:paraId="0EA09CBF" w14:textId="34199DE1">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Dit onderdeel</w:t>
      </w:r>
      <w:r w:rsidRPr="00463949" w:rsidR="00304186">
        <w:rPr>
          <w:rFonts w:ascii="Times New Roman" w:hAnsi="Times New Roman" w:cs="Times New Roman"/>
          <w:sz w:val="24"/>
          <w:szCs w:val="24"/>
        </w:rPr>
        <w:t xml:space="preserve"> voert twee redactionele wijzigingen door in artikel 6:193 BW. Dit artikel is in overeenstemming met </w:t>
      </w:r>
      <w:r w:rsidRPr="00463949">
        <w:rPr>
          <w:rFonts w:ascii="Times New Roman" w:hAnsi="Times New Roman" w:cs="Times New Roman"/>
          <w:sz w:val="24"/>
          <w:szCs w:val="24"/>
        </w:rPr>
        <w:t>artikel 2 lid 4, onder</w:t>
      </w:r>
      <w:r w:rsidRPr="00463949" w:rsidR="006414EB">
        <w:rPr>
          <w:rFonts w:ascii="Times New Roman" w:hAnsi="Times New Roman" w:cs="Times New Roman"/>
          <w:sz w:val="24"/>
          <w:szCs w:val="24"/>
        </w:rPr>
        <w:t>deel</w:t>
      </w:r>
      <w:r w:rsidRPr="00463949">
        <w:rPr>
          <w:rFonts w:ascii="Times New Roman" w:hAnsi="Times New Roman" w:cs="Times New Roman"/>
          <w:sz w:val="24"/>
          <w:szCs w:val="24"/>
        </w:rPr>
        <w:t xml:space="preserve"> b, Richtlijn. </w:t>
      </w:r>
      <w:r w:rsidRPr="00463949" w:rsidR="00304186">
        <w:rPr>
          <w:rFonts w:ascii="Times New Roman" w:hAnsi="Times New Roman" w:cs="Times New Roman"/>
          <w:sz w:val="24"/>
          <w:szCs w:val="24"/>
        </w:rPr>
        <w:t xml:space="preserve">Die richtlijnbepaling houdt in </w:t>
      </w:r>
      <w:r w:rsidRPr="00463949">
        <w:rPr>
          <w:rFonts w:ascii="Times New Roman" w:hAnsi="Times New Roman" w:cs="Times New Roman"/>
          <w:sz w:val="24"/>
          <w:szCs w:val="24"/>
        </w:rPr>
        <w:t xml:space="preserve">dat de Richtlijn geen afbreuk doet aan de rechten die een benadeelde ontleent aan nationale regels inzake contractuele aansprakelijkheid of buitencontractuele aansprakelijkheid op andere gronden dan </w:t>
      </w:r>
      <w:r w:rsidRPr="00463949" w:rsidR="000E08A5">
        <w:rPr>
          <w:rFonts w:ascii="Times New Roman" w:hAnsi="Times New Roman" w:cs="Times New Roman"/>
          <w:sz w:val="24"/>
          <w:szCs w:val="24"/>
        </w:rPr>
        <w:t xml:space="preserve">het gebrek </w:t>
      </w:r>
      <w:r w:rsidRPr="00463949">
        <w:rPr>
          <w:rFonts w:ascii="Times New Roman" w:hAnsi="Times New Roman" w:cs="Times New Roman"/>
          <w:sz w:val="24"/>
          <w:szCs w:val="24"/>
        </w:rPr>
        <w:t xml:space="preserve">van het product, zoals vastgesteld in de Richtlijn, waaronder de ter uitvoering van het Unierecht vastgestelde regels. </w:t>
      </w:r>
      <w:r w:rsidRPr="00463949" w:rsidR="006D63B6">
        <w:rPr>
          <w:rFonts w:ascii="Times New Roman" w:hAnsi="Times New Roman" w:cs="Times New Roman"/>
          <w:sz w:val="24"/>
          <w:szCs w:val="24"/>
        </w:rPr>
        <w:t xml:space="preserve">Richtlijn 85/374 </w:t>
      </w:r>
      <w:r w:rsidRPr="00463949">
        <w:rPr>
          <w:rFonts w:ascii="Times New Roman" w:hAnsi="Times New Roman" w:cs="Times New Roman"/>
          <w:sz w:val="24"/>
          <w:szCs w:val="24"/>
        </w:rPr>
        <w:t>bevat een vergelijkbare bepaling</w:t>
      </w:r>
      <w:r w:rsidRPr="00463949" w:rsidR="002B3265">
        <w:rPr>
          <w:rStyle w:val="Voetnootmarkering"/>
          <w:rFonts w:ascii="Times New Roman" w:hAnsi="Times New Roman" w:cs="Times New Roman"/>
          <w:sz w:val="24"/>
          <w:szCs w:val="24"/>
        </w:rPr>
        <w:footnoteReference w:id="94"/>
      </w:r>
      <w:r w:rsidRPr="00463949" w:rsidR="00304186">
        <w:rPr>
          <w:rFonts w:ascii="Times New Roman" w:hAnsi="Times New Roman" w:cs="Times New Roman"/>
          <w:sz w:val="24"/>
          <w:szCs w:val="24"/>
        </w:rPr>
        <w:t xml:space="preserve"> (geïmplementeerd in artikel 6:193 BW)</w:t>
      </w:r>
      <w:r w:rsidRPr="00463949" w:rsidR="00D631E1">
        <w:rPr>
          <w:rFonts w:ascii="Times New Roman" w:hAnsi="Times New Roman" w:cs="Times New Roman"/>
          <w:sz w:val="24"/>
          <w:szCs w:val="24"/>
        </w:rPr>
        <w:t xml:space="preserve">. </w:t>
      </w:r>
      <w:r w:rsidRPr="00463949" w:rsidR="001476F5">
        <w:rPr>
          <w:rFonts w:ascii="Times New Roman" w:hAnsi="Times New Roman" w:cs="Times New Roman"/>
          <w:sz w:val="24"/>
          <w:szCs w:val="24"/>
        </w:rPr>
        <w:t xml:space="preserve">De eerste wijziging betreft het vervangen van “de producent” door “de marktdeelnemer”. De tweede wijziging betreft het </w:t>
      </w:r>
      <w:r w:rsidRPr="00463949" w:rsidR="00304186">
        <w:rPr>
          <w:rFonts w:ascii="Times New Roman" w:hAnsi="Times New Roman" w:cs="Times New Roman"/>
          <w:sz w:val="24"/>
          <w:szCs w:val="24"/>
        </w:rPr>
        <w:t>toe</w:t>
      </w:r>
      <w:r w:rsidRPr="00463949" w:rsidR="001476F5">
        <w:rPr>
          <w:rFonts w:ascii="Times New Roman" w:hAnsi="Times New Roman" w:cs="Times New Roman"/>
          <w:sz w:val="24"/>
          <w:szCs w:val="24"/>
        </w:rPr>
        <w:t xml:space="preserve">voegen van de zinsnede “op andere gronden dan </w:t>
      </w:r>
      <w:r w:rsidRPr="00463949" w:rsidR="000E08A5">
        <w:rPr>
          <w:rFonts w:ascii="Times New Roman" w:hAnsi="Times New Roman" w:cs="Times New Roman"/>
          <w:sz w:val="24"/>
          <w:szCs w:val="24"/>
        </w:rPr>
        <w:t xml:space="preserve">het gebrek </w:t>
      </w:r>
      <w:r w:rsidRPr="00463949" w:rsidR="001476F5">
        <w:rPr>
          <w:rFonts w:ascii="Times New Roman" w:hAnsi="Times New Roman" w:cs="Times New Roman"/>
          <w:sz w:val="24"/>
          <w:szCs w:val="24"/>
        </w:rPr>
        <w:t xml:space="preserve">van het product”. </w:t>
      </w:r>
      <w:r w:rsidRPr="00463949" w:rsidR="006414EB">
        <w:rPr>
          <w:rFonts w:ascii="Times New Roman" w:hAnsi="Times New Roman" w:cs="Times New Roman"/>
          <w:sz w:val="24"/>
          <w:szCs w:val="24"/>
        </w:rPr>
        <w:t xml:space="preserve">Hiermee wordt </w:t>
      </w:r>
      <w:r w:rsidRPr="00463949" w:rsidR="00C426BB">
        <w:rPr>
          <w:rFonts w:ascii="Times New Roman" w:hAnsi="Times New Roman" w:cs="Times New Roman"/>
          <w:sz w:val="24"/>
          <w:szCs w:val="24"/>
        </w:rPr>
        <w:t xml:space="preserve">ook </w:t>
      </w:r>
      <w:r w:rsidRPr="00463949" w:rsidR="006414EB">
        <w:rPr>
          <w:rFonts w:ascii="Times New Roman" w:hAnsi="Times New Roman" w:cs="Times New Roman"/>
          <w:sz w:val="24"/>
          <w:szCs w:val="24"/>
        </w:rPr>
        <w:t xml:space="preserve">aangesloten bij </w:t>
      </w:r>
      <w:r w:rsidRPr="00463949" w:rsidR="00D631E1">
        <w:rPr>
          <w:rFonts w:ascii="Times New Roman" w:hAnsi="Times New Roman" w:cs="Times New Roman"/>
          <w:sz w:val="24"/>
          <w:szCs w:val="24"/>
        </w:rPr>
        <w:t>rechtspraak van het Hof van Justitie van de</w:t>
      </w:r>
      <w:r w:rsidRPr="00463949" w:rsidR="006414EB">
        <w:rPr>
          <w:rFonts w:ascii="Times New Roman" w:hAnsi="Times New Roman" w:cs="Times New Roman"/>
          <w:sz w:val="24"/>
          <w:szCs w:val="24"/>
        </w:rPr>
        <w:t xml:space="preserve"> EU</w:t>
      </w:r>
      <w:r w:rsidRPr="00463949" w:rsidR="00D631E1">
        <w:rPr>
          <w:rFonts w:ascii="Times New Roman" w:hAnsi="Times New Roman" w:cs="Times New Roman"/>
          <w:sz w:val="24"/>
          <w:szCs w:val="24"/>
        </w:rPr>
        <w:t>.</w:t>
      </w:r>
      <w:r w:rsidRPr="00463949" w:rsidR="00D631E1">
        <w:rPr>
          <w:rStyle w:val="Voetnootmarkering"/>
          <w:rFonts w:ascii="Times New Roman" w:hAnsi="Times New Roman" w:cs="Times New Roman"/>
          <w:sz w:val="24"/>
          <w:szCs w:val="24"/>
        </w:rPr>
        <w:footnoteReference w:id="95"/>
      </w:r>
    </w:p>
    <w:p w:rsidRPr="00463949" w:rsidR="008A72EA" w:rsidP="00D045E0" w:rsidRDefault="008A72EA" w14:paraId="1990D9A2" w14:textId="77777777">
      <w:pPr>
        <w:spacing w:after="0" w:line="276" w:lineRule="auto"/>
        <w:rPr>
          <w:rFonts w:ascii="Times New Roman" w:hAnsi="Times New Roman" w:cs="Times New Roman"/>
          <w:sz w:val="24"/>
          <w:szCs w:val="24"/>
        </w:rPr>
      </w:pPr>
    </w:p>
    <w:p w:rsidRPr="00463949" w:rsidR="000A19A6" w:rsidP="00D045E0" w:rsidRDefault="000A19A6" w14:paraId="287BA97D" w14:textId="77777777">
      <w:pPr>
        <w:spacing w:after="0" w:line="276" w:lineRule="auto"/>
        <w:rPr>
          <w:rFonts w:ascii="Times New Roman" w:hAnsi="Times New Roman" w:cs="Times New Roman"/>
          <w:sz w:val="24"/>
          <w:szCs w:val="24"/>
        </w:rPr>
      </w:pPr>
    </w:p>
    <w:p w:rsidRPr="00463949" w:rsidR="008A72EA" w:rsidP="00D045E0" w:rsidRDefault="008A72EA" w14:paraId="5ED2D857" w14:textId="46E0D971">
      <w:pPr>
        <w:spacing w:after="0" w:line="276" w:lineRule="auto"/>
        <w:rPr>
          <w:rFonts w:ascii="Times New Roman" w:hAnsi="Times New Roman" w:cs="Times New Roman"/>
          <w:i/>
          <w:iCs/>
          <w:sz w:val="24"/>
          <w:szCs w:val="24"/>
        </w:rPr>
      </w:pPr>
      <w:r w:rsidRPr="00463949">
        <w:rPr>
          <w:rFonts w:ascii="Times New Roman" w:hAnsi="Times New Roman" w:cs="Times New Roman"/>
          <w:i/>
          <w:iCs/>
          <w:sz w:val="24"/>
          <w:szCs w:val="24"/>
        </w:rPr>
        <w:t>Onderdeel N, wijziging artikel 197</w:t>
      </w:r>
      <w:r w:rsidRPr="00463949" w:rsidR="0099476D">
        <w:rPr>
          <w:rFonts w:ascii="Times New Roman" w:hAnsi="Times New Roman" w:cs="Times New Roman"/>
          <w:i/>
          <w:iCs/>
          <w:sz w:val="24"/>
          <w:szCs w:val="24"/>
        </w:rPr>
        <w:t xml:space="preserve"> (aanpassing Tijdelijke regeling verhaalsrechten)</w:t>
      </w:r>
    </w:p>
    <w:p w:rsidRPr="00463949" w:rsidR="00042CB5" w:rsidP="00D045E0" w:rsidRDefault="00042CB5" w14:paraId="5064B46B" w14:textId="77777777">
      <w:pPr>
        <w:spacing w:after="0" w:line="276" w:lineRule="auto"/>
        <w:rPr>
          <w:rFonts w:ascii="Times New Roman" w:hAnsi="Times New Roman" w:cs="Times New Roman"/>
          <w:sz w:val="24"/>
          <w:szCs w:val="24"/>
        </w:rPr>
      </w:pPr>
    </w:p>
    <w:p w:rsidRPr="00463949" w:rsidR="009602E1" w:rsidP="00D045E0" w:rsidRDefault="00304186" w14:paraId="59D667DE" w14:textId="2D7C4C03">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Artikel 5 lid 2, onderdeel a, </w:t>
      </w:r>
      <w:r w:rsidRPr="00463949" w:rsidR="00042CB5">
        <w:rPr>
          <w:rFonts w:ascii="Times New Roman" w:hAnsi="Times New Roman" w:cs="Times New Roman"/>
          <w:sz w:val="24"/>
          <w:szCs w:val="24"/>
        </w:rPr>
        <w:t>Richtlijn</w:t>
      </w:r>
      <w:r w:rsidRPr="00463949" w:rsidR="001A4E77">
        <w:rPr>
          <w:rFonts w:ascii="Times New Roman" w:hAnsi="Times New Roman" w:cs="Times New Roman"/>
          <w:sz w:val="24"/>
          <w:szCs w:val="24"/>
        </w:rPr>
        <w:t xml:space="preserve"> bepaalt dat vorderingen tot schadevergoeding op grond van de Richtlijn ook moeten kunnen worden ingesteld door een persoon die krachtens het Unie- of nationale recht of krachtens een overeenkomst in de rechten van de benadeelde is getreden of in diens rechten is gesubrogeerd. Deze bepaling dient te worden gelezen in het licht van de doelstellingen van de Richtlijn, waaronder het waarborgen van de werking van de interne markt</w:t>
      </w:r>
      <w:r w:rsidRPr="00463949" w:rsidR="002105B0">
        <w:rPr>
          <w:rFonts w:ascii="Times New Roman" w:hAnsi="Times New Roman" w:cs="Times New Roman"/>
          <w:sz w:val="24"/>
          <w:szCs w:val="24"/>
        </w:rPr>
        <w:t xml:space="preserve"> en de onvervalste mededing</w:t>
      </w:r>
      <w:r w:rsidRPr="00463949" w:rsidR="00790ECD">
        <w:rPr>
          <w:rFonts w:ascii="Times New Roman" w:hAnsi="Times New Roman" w:cs="Times New Roman"/>
          <w:sz w:val="24"/>
          <w:szCs w:val="24"/>
        </w:rPr>
        <w:t>ing</w:t>
      </w:r>
      <w:r w:rsidRPr="00463949" w:rsidR="001A4E77">
        <w:rPr>
          <w:rFonts w:ascii="Times New Roman" w:hAnsi="Times New Roman" w:cs="Times New Roman"/>
          <w:sz w:val="24"/>
          <w:szCs w:val="24"/>
        </w:rPr>
        <w:t xml:space="preserve">. </w:t>
      </w:r>
      <w:r w:rsidRPr="00463949" w:rsidR="00177A78">
        <w:rPr>
          <w:rFonts w:ascii="Times New Roman" w:hAnsi="Times New Roman" w:cs="Times New Roman"/>
          <w:sz w:val="24"/>
          <w:szCs w:val="24"/>
        </w:rPr>
        <w:t xml:space="preserve">De </w:t>
      </w:r>
      <w:r w:rsidRPr="00463949" w:rsidR="00614957">
        <w:rPr>
          <w:rFonts w:ascii="Times New Roman" w:hAnsi="Times New Roman" w:cs="Times New Roman"/>
          <w:sz w:val="24"/>
          <w:szCs w:val="24"/>
        </w:rPr>
        <w:t xml:space="preserve">Tijdelijke regeling verhaalsrechten </w:t>
      </w:r>
      <w:r w:rsidRPr="00463949" w:rsidR="008E5FD1">
        <w:rPr>
          <w:rFonts w:ascii="Times New Roman" w:hAnsi="Times New Roman" w:cs="Times New Roman"/>
          <w:sz w:val="24"/>
          <w:szCs w:val="24"/>
        </w:rPr>
        <w:t xml:space="preserve">(TRV) </w:t>
      </w:r>
      <w:r w:rsidRPr="00463949" w:rsidR="00177A78">
        <w:rPr>
          <w:rFonts w:ascii="Times New Roman" w:hAnsi="Times New Roman" w:cs="Times New Roman"/>
          <w:sz w:val="24"/>
          <w:szCs w:val="24"/>
        </w:rPr>
        <w:t>staat hiermee op gespannen voet</w:t>
      </w:r>
      <w:r w:rsidRPr="00463949" w:rsidR="00614957">
        <w:rPr>
          <w:rFonts w:ascii="Times New Roman" w:hAnsi="Times New Roman" w:cs="Times New Roman"/>
          <w:sz w:val="24"/>
          <w:szCs w:val="24"/>
        </w:rPr>
        <w:t>.</w:t>
      </w:r>
      <w:r w:rsidRPr="00463949" w:rsidR="004B4565">
        <w:rPr>
          <w:rFonts w:ascii="Times New Roman" w:hAnsi="Times New Roman" w:cs="Times New Roman"/>
          <w:sz w:val="24"/>
          <w:szCs w:val="24"/>
        </w:rPr>
        <w:t xml:space="preserve"> </w:t>
      </w:r>
      <w:r w:rsidRPr="00463949" w:rsidR="001172EB">
        <w:rPr>
          <w:rFonts w:ascii="Times New Roman" w:hAnsi="Times New Roman" w:cs="Times New Roman"/>
          <w:sz w:val="24"/>
          <w:szCs w:val="24"/>
        </w:rPr>
        <w:t xml:space="preserve">Deze regeling </w:t>
      </w:r>
      <w:r w:rsidRPr="00463949" w:rsidR="00177A78">
        <w:rPr>
          <w:rFonts w:ascii="Times New Roman" w:hAnsi="Times New Roman" w:cs="Times New Roman"/>
          <w:sz w:val="24"/>
          <w:szCs w:val="24"/>
        </w:rPr>
        <w:t xml:space="preserve">is opgenomen in artikel 6:197 BW en </w:t>
      </w:r>
      <w:r w:rsidRPr="00463949" w:rsidR="001172EB">
        <w:rPr>
          <w:rFonts w:ascii="Times New Roman" w:hAnsi="Times New Roman" w:cs="Times New Roman"/>
          <w:sz w:val="24"/>
          <w:szCs w:val="24"/>
        </w:rPr>
        <w:t xml:space="preserve">houdt, kort samengevat, in </w:t>
      </w:r>
      <w:r w:rsidRPr="00463949" w:rsidR="004B4565">
        <w:rPr>
          <w:rFonts w:ascii="Times New Roman" w:hAnsi="Times New Roman" w:cs="Times New Roman"/>
          <w:sz w:val="24"/>
          <w:szCs w:val="24"/>
        </w:rPr>
        <w:t xml:space="preserve">dat </w:t>
      </w:r>
      <w:r w:rsidRPr="00463949" w:rsidR="008E5FD1">
        <w:rPr>
          <w:rFonts w:ascii="Times New Roman" w:hAnsi="Times New Roman" w:cs="Times New Roman"/>
          <w:sz w:val="24"/>
          <w:szCs w:val="24"/>
        </w:rPr>
        <w:t xml:space="preserve">de risicoaansprakelijkheden in het BW buiten toepassing blijven in het kader van de uitoefening van verhaalsrechten door sociale en particuliere verzekeraars en door de overheid. De TRV geldt ook voor de productaansprakelijkheid. </w:t>
      </w:r>
      <w:r w:rsidRPr="00463949" w:rsidR="00177A78">
        <w:rPr>
          <w:rFonts w:ascii="Times New Roman" w:hAnsi="Times New Roman" w:cs="Times New Roman"/>
          <w:sz w:val="24"/>
          <w:szCs w:val="24"/>
        </w:rPr>
        <w:t xml:space="preserve">Dit betekent dat </w:t>
      </w:r>
      <w:r w:rsidRPr="00463949" w:rsidR="008E5FD1">
        <w:rPr>
          <w:rFonts w:ascii="Times New Roman" w:hAnsi="Times New Roman" w:cs="Times New Roman"/>
          <w:sz w:val="24"/>
          <w:szCs w:val="24"/>
        </w:rPr>
        <w:t>een schadeverzekeraar</w:t>
      </w:r>
      <w:r w:rsidRPr="00463949" w:rsidR="00177A78">
        <w:rPr>
          <w:rFonts w:ascii="Times New Roman" w:hAnsi="Times New Roman" w:cs="Times New Roman"/>
          <w:sz w:val="24"/>
          <w:szCs w:val="24"/>
        </w:rPr>
        <w:t>,</w:t>
      </w:r>
      <w:r w:rsidRPr="00463949" w:rsidR="008E5FD1">
        <w:rPr>
          <w:rFonts w:ascii="Times New Roman" w:hAnsi="Times New Roman" w:cs="Times New Roman"/>
          <w:sz w:val="24"/>
          <w:szCs w:val="24"/>
        </w:rPr>
        <w:t xml:space="preserve"> die de schade van haar verzekerde (de benadeelde) heeft vergoed</w:t>
      </w:r>
      <w:r w:rsidRPr="00463949" w:rsidR="00177A78">
        <w:rPr>
          <w:rFonts w:ascii="Times New Roman" w:hAnsi="Times New Roman" w:cs="Times New Roman"/>
          <w:sz w:val="24"/>
          <w:szCs w:val="24"/>
        </w:rPr>
        <w:t>,</w:t>
      </w:r>
      <w:r w:rsidRPr="00463949" w:rsidR="008E5FD1">
        <w:rPr>
          <w:rFonts w:ascii="Times New Roman" w:hAnsi="Times New Roman" w:cs="Times New Roman"/>
          <w:sz w:val="24"/>
          <w:szCs w:val="24"/>
        </w:rPr>
        <w:t xml:space="preserve"> niet op grond </w:t>
      </w:r>
      <w:r w:rsidRPr="00463949" w:rsidR="00177A78">
        <w:rPr>
          <w:rFonts w:ascii="Times New Roman" w:hAnsi="Times New Roman" w:cs="Times New Roman"/>
          <w:sz w:val="24"/>
          <w:szCs w:val="24"/>
        </w:rPr>
        <w:t>van artikel 7:962 BW subrogeert in de rechten van haar verzekerde op grond van</w:t>
      </w:r>
      <w:r w:rsidRPr="00463949" w:rsidR="009602E1">
        <w:rPr>
          <w:rFonts w:ascii="Times New Roman" w:hAnsi="Times New Roman" w:cs="Times New Roman"/>
          <w:sz w:val="24"/>
          <w:szCs w:val="24"/>
        </w:rPr>
        <w:t xml:space="preserve"> afdeling 6.3.3 BW</w:t>
      </w:r>
      <w:r w:rsidRPr="00463949" w:rsidR="00177A78">
        <w:rPr>
          <w:rFonts w:ascii="Times New Roman" w:hAnsi="Times New Roman" w:cs="Times New Roman"/>
          <w:sz w:val="24"/>
          <w:szCs w:val="24"/>
        </w:rPr>
        <w:t xml:space="preserve">. </w:t>
      </w:r>
      <w:r w:rsidRPr="00463949" w:rsidR="009602E1">
        <w:rPr>
          <w:rFonts w:ascii="Times New Roman" w:hAnsi="Times New Roman" w:cs="Times New Roman"/>
          <w:sz w:val="24"/>
          <w:szCs w:val="24"/>
        </w:rPr>
        <w:t xml:space="preserve">Dit heeft tot gevolg </w:t>
      </w:r>
      <w:r w:rsidRPr="00463949" w:rsidR="00177A78">
        <w:rPr>
          <w:rFonts w:ascii="Times New Roman" w:hAnsi="Times New Roman" w:cs="Times New Roman"/>
          <w:sz w:val="24"/>
          <w:szCs w:val="24"/>
        </w:rPr>
        <w:t>dat d</w:t>
      </w:r>
      <w:r w:rsidRPr="00463949" w:rsidR="00877EB5">
        <w:rPr>
          <w:rFonts w:ascii="Times New Roman" w:hAnsi="Times New Roman" w:cs="Times New Roman"/>
          <w:sz w:val="24"/>
          <w:szCs w:val="24"/>
        </w:rPr>
        <w:t>i</w:t>
      </w:r>
      <w:r w:rsidRPr="00463949" w:rsidR="00177A78">
        <w:rPr>
          <w:rFonts w:ascii="Times New Roman" w:hAnsi="Times New Roman" w:cs="Times New Roman"/>
          <w:sz w:val="24"/>
          <w:szCs w:val="24"/>
        </w:rPr>
        <w:t xml:space="preserve">e schadeverzekeraar </w:t>
      </w:r>
      <w:r w:rsidRPr="00463949" w:rsidR="0014089D">
        <w:rPr>
          <w:rFonts w:ascii="Times New Roman" w:hAnsi="Times New Roman" w:cs="Times New Roman"/>
          <w:sz w:val="24"/>
          <w:szCs w:val="24"/>
        </w:rPr>
        <w:t xml:space="preserve">geen verhaal kan nemen op de producent (de schadeveroorzakende partij) </w:t>
      </w:r>
      <w:r w:rsidRPr="00463949" w:rsidR="00177A78">
        <w:rPr>
          <w:rFonts w:ascii="Times New Roman" w:hAnsi="Times New Roman" w:cs="Times New Roman"/>
          <w:sz w:val="24"/>
          <w:szCs w:val="24"/>
        </w:rPr>
        <w:t>op grond van de risicoaansprakelijkheid in artikel 6:185 BW</w:t>
      </w:r>
      <w:r w:rsidRPr="00463949" w:rsidR="008E5FD1">
        <w:rPr>
          <w:rFonts w:ascii="Times New Roman" w:hAnsi="Times New Roman" w:cs="Times New Roman"/>
          <w:sz w:val="24"/>
          <w:szCs w:val="24"/>
        </w:rPr>
        <w:t>.</w:t>
      </w:r>
      <w:r w:rsidRPr="00463949" w:rsidR="002105B0">
        <w:rPr>
          <w:rStyle w:val="Voetnootmarkering"/>
          <w:rFonts w:ascii="Times New Roman" w:hAnsi="Times New Roman" w:cs="Times New Roman"/>
          <w:sz w:val="24"/>
          <w:szCs w:val="24"/>
        </w:rPr>
        <w:footnoteReference w:id="96"/>
      </w:r>
    </w:p>
    <w:p w:rsidRPr="00463949" w:rsidR="009602E1" w:rsidP="00D045E0" w:rsidRDefault="009602E1" w14:paraId="7F5D3616" w14:textId="77777777">
      <w:pPr>
        <w:spacing w:after="0" w:line="276" w:lineRule="auto"/>
        <w:rPr>
          <w:rFonts w:ascii="Times New Roman" w:hAnsi="Times New Roman" w:cs="Times New Roman"/>
          <w:sz w:val="24"/>
          <w:szCs w:val="24"/>
        </w:rPr>
      </w:pPr>
    </w:p>
    <w:p w:rsidRPr="00463949" w:rsidR="001476F5" w:rsidP="00D045E0" w:rsidRDefault="009602E1" w14:paraId="0249A62E" w14:textId="322D9ACF">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Om strijd met artikel 5 lid 2, onderdeel a, Richtlijn, althans de doelstellingen van de Richtlijn</w:t>
      </w:r>
      <w:r w:rsidRPr="00463949" w:rsidR="00877EB5">
        <w:rPr>
          <w:rFonts w:ascii="Times New Roman" w:hAnsi="Times New Roman" w:cs="Times New Roman"/>
          <w:sz w:val="24"/>
          <w:szCs w:val="24"/>
        </w:rPr>
        <w:t>,</w:t>
      </w:r>
      <w:r w:rsidRPr="00463949">
        <w:rPr>
          <w:rFonts w:ascii="Times New Roman" w:hAnsi="Times New Roman" w:cs="Times New Roman"/>
          <w:sz w:val="24"/>
          <w:szCs w:val="24"/>
        </w:rPr>
        <w:t xml:space="preserve"> te voorkomen, wordt voorgesteld </w:t>
      </w:r>
      <w:r w:rsidRPr="00463949" w:rsidR="00C632D9">
        <w:rPr>
          <w:rFonts w:ascii="Times New Roman" w:hAnsi="Times New Roman" w:cs="Times New Roman"/>
          <w:sz w:val="24"/>
          <w:szCs w:val="24"/>
        </w:rPr>
        <w:t xml:space="preserve">om </w:t>
      </w:r>
      <w:r w:rsidRPr="00463949" w:rsidR="00A9527F">
        <w:rPr>
          <w:rFonts w:ascii="Times New Roman" w:hAnsi="Times New Roman" w:cs="Times New Roman"/>
          <w:sz w:val="24"/>
          <w:szCs w:val="24"/>
        </w:rPr>
        <w:t xml:space="preserve">in artikel 6:197 leden 1 en 2 BW </w:t>
      </w:r>
      <w:r w:rsidRPr="00463949" w:rsidR="008E5FD1">
        <w:rPr>
          <w:rFonts w:ascii="Times New Roman" w:hAnsi="Times New Roman" w:cs="Times New Roman"/>
          <w:sz w:val="24"/>
          <w:szCs w:val="24"/>
        </w:rPr>
        <w:t xml:space="preserve">de verwijzing naar </w:t>
      </w:r>
      <w:r w:rsidRPr="00463949" w:rsidR="009A0B86">
        <w:rPr>
          <w:rFonts w:ascii="Times New Roman" w:hAnsi="Times New Roman" w:cs="Times New Roman"/>
          <w:sz w:val="24"/>
          <w:szCs w:val="24"/>
        </w:rPr>
        <w:lastRenderedPageBreak/>
        <w:t xml:space="preserve">artikel 6:185 </w:t>
      </w:r>
      <w:r w:rsidRPr="00463949" w:rsidR="00C632D9">
        <w:rPr>
          <w:rFonts w:ascii="Times New Roman" w:hAnsi="Times New Roman" w:cs="Times New Roman"/>
          <w:sz w:val="24"/>
          <w:szCs w:val="24"/>
        </w:rPr>
        <w:t xml:space="preserve">BW </w:t>
      </w:r>
      <w:r w:rsidRPr="00463949" w:rsidR="00A9527F">
        <w:rPr>
          <w:rFonts w:ascii="Times New Roman" w:hAnsi="Times New Roman" w:cs="Times New Roman"/>
          <w:sz w:val="24"/>
          <w:szCs w:val="24"/>
        </w:rPr>
        <w:t>te schrappen</w:t>
      </w:r>
      <w:r w:rsidRPr="00463949" w:rsidR="008E5FD1">
        <w:rPr>
          <w:rFonts w:ascii="Times New Roman" w:hAnsi="Times New Roman" w:cs="Times New Roman"/>
          <w:sz w:val="24"/>
          <w:szCs w:val="24"/>
        </w:rPr>
        <w:t>.</w:t>
      </w:r>
      <w:r w:rsidRPr="00463949" w:rsidR="00A9527F">
        <w:rPr>
          <w:rStyle w:val="Voetnootmarkering"/>
          <w:rFonts w:ascii="Times New Roman" w:hAnsi="Times New Roman" w:cs="Times New Roman"/>
          <w:sz w:val="24"/>
          <w:szCs w:val="24"/>
        </w:rPr>
        <w:footnoteReference w:id="97"/>
      </w:r>
      <w:r w:rsidRPr="00463949" w:rsidR="008E5FD1">
        <w:rPr>
          <w:rFonts w:ascii="Times New Roman" w:hAnsi="Times New Roman" w:cs="Times New Roman"/>
          <w:sz w:val="24"/>
          <w:szCs w:val="24"/>
        </w:rPr>
        <w:t xml:space="preserve"> </w:t>
      </w:r>
      <w:r w:rsidRPr="00463949" w:rsidR="009A0B86">
        <w:rPr>
          <w:rFonts w:ascii="Times New Roman" w:hAnsi="Times New Roman" w:cs="Times New Roman"/>
          <w:sz w:val="24"/>
          <w:szCs w:val="24"/>
        </w:rPr>
        <w:t>Dit b</w:t>
      </w:r>
      <w:r w:rsidRPr="00463949" w:rsidR="006414EB">
        <w:rPr>
          <w:rFonts w:ascii="Times New Roman" w:hAnsi="Times New Roman" w:cs="Times New Roman"/>
          <w:sz w:val="24"/>
          <w:szCs w:val="24"/>
        </w:rPr>
        <w:t>rengt mee</w:t>
      </w:r>
      <w:r w:rsidRPr="00463949" w:rsidR="009A0B86">
        <w:rPr>
          <w:rFonts w:ascii="Times New Roman" w:hAnsi="Times New Roman" w:cs="Times New Roman"/>
          <w:sz w:val="24"/>
          <w:szCs w:val="24"/>
        </w:rPr>
        <w:t xml:space="preserve"> dat </w:t>
      </w:r>
      <w:r w:rsidRPr="00463949" w:rsidR="004B4565">
        <w:rPr>
          <w:rFonts w:ascii="Times New Roman" w:hAnsi="Times New Roman" w:cs="Times New Roman"/>
          <w:sz w:val="24"/>
          <w:szCs w:val="24"/>
        </w:rPr>
        <w:t xml:space="preserve">een schadeverzekeraar die de door een gebrekkig product veroorzaakte schade van </w:t>
      </w:r>
      <w:r w:rsidRPr="00463949" w:rsidR="00042CB5">
        <w:rPr>
          <w:rFonts w:ascii="Times New Roman" w:hAnsi="Times New Roman" w:cs="Times New Roman"/>
          <w:sz w:val="24"/>
          <w:szCs w:val="24"/>
        </w:rPr>
        <w:t xml:space="preserve">haar verzekerde (de benadeelde) </w:t>
      </w:r>
      <w:r w:rsidRPr="00463949" w:rsidR="004B4565">
        <w:rPr>
          <w:rFonts w:ascii="Times New Roman" w:hAnsi="Times New Roman" w:cs="Times New Roman"/>
          <w:sz w:val="24"/>
          <w:szCs w:val="24"/>
        </w:rPr>
        <w:t>heeft vergoed</w:t>
      </w:r>
      <w:r w:rsidRPr="00463949" w:rsidR="008E5FD1">
        <w:rPr>
          <w:rFonts w:ascii="Times New Roman" w:hAnsi="Times New Roman" w:cs="Times New Roman"/>
          <w:sz w:val="24"/>
          <w:szCs w:val="24"/>
        </w:rPr>
        <w:t xml:space="preserve"> voortaan</w:t>
      </w:r>
      <w:r w:rsidRPr="00463949" w:rsidR="002105B0">
        <w:rPr>
          <w:rFonts w:ascii="Times New Roman" w:hAnsi="Times New Roman" w:cs="Times New Roman"/>
          <w:sz w:val="24"/>
          <w:szCs w:val="24"/>
        </w:rPr>
        <w:t xml:space="preserve"> </w:t>
      </w:r>
      <w:r w:rsidRPr="00463949" w:rsidR="00877EB5">
        <w:rPr>
          <w:rFonts w:ascii="Times New Roman" w:hAnsi="Times New Roman" w:cs="Times New Roman"/>
          <w:sz w:val="24"/>
          <w:szCs w:val="24"/>
        </w:rPr>
        <w:t xml:space="preserve">(ook) </w:t>
      </w:r>
      <w:r w:rsidRPr="00463949" w:rsidR="004B4565">
        <w:rPr>
          <w:rFonts w:ascii="Times New Roman" w:hAnsi="Times New Roman" w:cs="Times New Roman"/>
          <w:sz w:val="24"/>
          <w:szCs w:val="24"/>
        </w:rPr>
        <w:t xml:space="preserve">op grond van de </w:t>
      </w:r>
      <w:r w:rsidRPr="00463949">
        <w:rPr>
          <w:rFonts w:ascii="Times New Roman" w:hAnsi="Times New Roman" w:cs="Times New Roman"/>
          <w:sz w:val="24"/>
          <w:szCs w:val="24"/>
        </w:rPr>
        <w:t xml:space="preserve">risicoaansprakelijkheid </w:t>
      </w:r>
      <w:r w:rsidRPr="00463949" w:rsidR="002105B0">
        <w:rPr>
          <w:rFonts w:ascii="Times New Roman" w:hAnsi="Times New Roman" w:cs="Times New Roman"/>
          <w:sz w:val="24"/>
          <w:szCs w:val="24"/>
        </w:rPr>
        <w:t xml:space="preserve">in afdeling 6.3.3 BW </w:t>
      </w:r>
      <w:r w:rsidRPr="00463949" w:rsidR="004B4565">
        <w:rPr>
          <w:rFonts w:ascii="Times New Roman" w:hAnsi="Times New Roman" w:cs="Times New Roman"/>
          <w:sz w:val="24"/>
          <w:szCs w:val="24"/>
        </w:rPr>
        <w:t xml:space="preserve">verhaal </w:t>
      </w:r>
      <w:r w:rsidRPr="00463949" w:rsidR="00042CB5">
        <w:rPr>
          <w:rFonts w:ascii="Times New Roman" w:hAnsi="Times New Roman" w:cs="Times New Roman"/>
          <w:sz w:val="24"/>
          <w:szCs w:val="24"/>
        </w:rPr>
        <w:t xml:space="preserve">kan </w:t>
      </w:r>
      <w:r w:rsidRPr="00463949" w:rsidR="004B4565">
        <w:rPr>
          <w:rFonts w:ascii="Times New Roman" w:hAnsi="Times New Roman" w:cs="Times New Roman"/>
          <w:sz w:val="24"/>
          <w:szCs w:val="24"/>
        </w:rPr>
        <w:t>nemen op de aansprakelijke marktdeelnemer (en in voorkomend geval zijn aansprakelijkheidsverzekeraar).</w:t>
      </w:r>
    </w:p>
    <w:p w:rsidRPr="00463949" w:rsidR="00614957" w:rsidP="00D045E0" w:rsidRDefault="00614957" w14:paraId="3594A354" w14:textId="77777777">
      <w:pPr>
        <w:spacing w:after="0" w:line="276" w:lineRule="auto"/>
        <w:rPr>
          <w:rFonts w:ascii="Times New Roman" w:hAnsi="Times New Roman" w:cs="Times New Roman"/>
          <w:sz w:val="24"/>
          <w:szCs w:val="24"/>
        </w:rPr>
      </w:pPr>
    </w:p>
    <w:p w:rsidRPr="00463949" w:rsidR="00057757" w:rsidP="00D045E0" w:rsidRDefault="00057757" w14:paraId="189C3732" w14:textId="099801DE">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 xml:space="preserve">Artikel II (wijziging </w:t>
      </w:r>
      <w:r w:rsidRPr="00463949" w:rsidR="008D09CE">
        <w:rPr>
          <w:rFonts w:ascii="Times New Roman" w:hAnsi="Times New Roman" w:cs="Times New Roman"/>
          <w:b/>
          <w:bCs/>
          <w:sz w:val="24"/>
          <w:szCs w:val="24"/>
        </w:rPr>
        <w:t xml:space="preserve">kanalisatiebepaling in </w:t>
      </w:r>
      <w:r w:rsidRPr="00463949">
        <w:rPr>
          <w:rFonts w:ascii="Times New Roman" w:hAnsi="Times New Roman" w:cs="Times New Roman"/>
          <w:b/>
          <w:bCs/>
          <w:sz w:val="24"/>
          <w:szCs w:val="24"/>
        </w:rPr>
        <w:t xml:space="preserve">artikel 7:24 </w:t>
      </w:r>
      <w:r w:rsidRPr="00463949" w:rsidR="003078D8">
        <w:rPr>
          <w:rFonts w:ascii="Times New Roman" w:hAnsi="Times New Roman" w:cs="Times New Roman"/>
          <w:b/>
          <w:bCs/>
          <w:sz w:val="24"/>
          <w:szCs w:val="24"/>
        </w:rPr>
        <w:t xml:space="preserve">lid 2 </w:t>
      </w:r>
      <w:r w:rsidRPr="00463949">
        <w:rPr>
          <w:rFonts w:ascii="Times New Roman" w:hAnsi="Times New Roman" w:cs="Times New Roman"/>
          <w:b/>
          <w:bCs/>
          <w:sz w:val="24"/>
          <w:szCs w:val="24"/>
        </w:rPr>
        <w:t>BW)</w:t>
      </w:r>
    </w:p>
    <w:p w:rsidRPr="00463949" w:rsidR="00057757" w:rsidP="00D045E0" w:rsidRDefault="00057757" w14:paraId="524C5A1E" w14:textId="77777777">
      <w:pPr>
        <w:spacing w:after="0" w:line="276" w:lineRule="auto"/>
        <w:rPr>
          <w:rFonts w:ascii="Times New Roman" w:hAnsi="Times New Roman" w:cs="Times New Roman"/>
          <w:b/>
          <w:bCs/>
          <w:sz w:val="24"/>
          <w:szCs w:val="24"/>
        </w:rPr>
      </w:pPr>
    </w:p>
    <w:p w:rsidRPr="00463949" w:rsidR="00BE62E9" w:rsidP="00D045E0" w:rsidRDefault="00324D96" w14:paraId="77EA9BFF" w14:textId="422DD15E">
      <w:pPr>
        <w:spacing w:after="0" w:line="276" w:lineRule="auto"/>
        <w:rPr>
          <w:rFonts w:ascii="Times New Roman" w:hAnsi="Times New Roman" w:cs="Times New Roman"/>
          <w:sz w:val="24"/>
          <w:szCs w:val="24"/>
        </w:rPr>
      </w:pPr>
      <w:bookmarkStart w:name="_Hlk188624151" w:id="16"/>
      <w:r w:rsidRPr="00463949">
        <w:rPr>
          <w:rFonts w:ascii="Times New Roman" w:hAnsi="Times New Roman" w:cs="Times New Roman"/>
          <w:sz w:val="24"/>
          <w:szCs w:val="24"/>
        </w:rPr>
        <w:t>Vanwege het vervallen van de franchise voor zaakschade</w:t>
      </w:r>
      <w:r w:rsidRPr="00463949" w:rsidR="00776CA8">
        <w:rPr>
          <w:rStyle w:val="Voetnootmarkering"/>
          <w:rFonts w:ascii="Times New Roman" w:hAnsi="Times New Roman" w:cs="Times New Roman"/>
          <w:sz w:val="24"/>
          <w:szCs w:val="24"/>
        </w:rPr>
        <w:footnoteReference w:id="98"/>
      </w:r>
      <w:r w:rsidRPr="00463949">
        <w:rPr>
          <w:rFonts w:ascii="Times New Roman" w:hAnsi="Times New Roman" w:cs="Times New Roman"/>
          <w:sz w:val="24"/>
          <w:szCs w:val="24"/>
        </w:rPr>
        <w:t>, dient</w:t>
      </w:r>
      <w:r w:rsidRPr="00463949" w:rsidR="00614957">
        <w:rPr>
          <w:rFonts w:ascii="Times New Roman" w:hAnsi="Times New Roman" w:cs="Times New Roman"/>
          <w:sz w:val="24"/>
          <w:szCs w:val="24"/>
        </w:rPr>
        <w:t xml:space="preserve"> </w:t>
      </w:r>
      <w:r w:rsidRPr="00463949">
        <w:rPr>
          <w:rFonts w:ascii="Times New Roman" w:hAnsi="Times New Roman" w:cs="Times New Roman"/>
          <w:sz w:val="24"/>
          <w:szCs w:val="24"/>
        </w:rPr>
        <w:t xml:space="preserve">de kanalisatiebepaling bij consumentenkoop in </w:t>
      </w:r>
      <w:r w:rsidRPr="00463949" w:rsidR="00BE62E9">
        <w:rPr>
          <w:rFonts w:ascii="Times New Roman" w:hAnsi="Times New Roman" w:cs="Times New Roman"/>
          <w:sz w:val="24"/>
          <w:szCs w:val="24"/>
        </w:rPr>
        <w:t>artikel 7:24 lid 2 BW te worden</w:t>
      </w:r>
      <w:r w:rsidRPr="00463949">
        <w:rPr>
          <w:rFonts w:ascii="Times New Roman" w:hAnsi="Times New Roman" w:cs="Times New Roman"/>
          <w:sz w:val="24"/>
          <w:szCs w:val="24"/>
        </w:rPr>
        <w:t xml:space="preserve"> aangepast</w:t>
      </w:r>
      <w:r w:rsidRPr="00463949" w:rsidR="00BE62E9">
        <w:rPr>
          <w:rFonts w:ascii="Times New Roman" w:hAnsi="Times New Roman" w:cs="Times New Roman"/>
          <w:sz w:val="24"/>
          <w:szCs w:val="24"/>
        </w:rPr>
        <w:t xml:space="preserve">. </w:t>
      </w:r>
      <w:r w:rsidRPr="00463949" w:rsidR="003078D8">
        <w:rPr>
          <w:rFonts w:ascii="Times New Roman" w:hAnsi="Times New Roman" w:cs="Times New Roman"/>
          <w:sz w:val="24"/>
          <w:szCs w:val="24"/>
        </w:rPr>
        <w:t xml:space="preserve">Deze </w:t>
      </w:r>
      <w:r w:rsidRPr="00463949">
        <w:rPr>
          <w:rFonts w:ascii="Times New Roman" w:hAnsi="Times New Roman" w:cs="Times New Roman"/>
          <w:sz w:val="24"/>
          <w:szCs w:val="24"/>
        </w:rPr>
        <w:t xml:space="preserve">bepaling </w:t>
      </w:r>
      <w:r w:rsidRPr="00463949" w:rsidR="003078D8">
        <w:rPr>
          <w:rFonts w:ascii="Times New Roman" w:hAnsi="Times New Roman" w:cs="Times New Roman"/>
          <w:sz w:val="24"/>
          <w:szCs w:val="24"/>
        </w:rPr>
        <w:t>regelt dat</w:t>
      </w:r>
      <w:r w:rsidRPr="00463949">
        <w:rPr>
          <w:rFonts w:ascii="Times New Roman" w:hAnsi="Times New Roman" w:cs="Times New Roman"/>
          <w:sz w:val="24"/>
          <w:szCs w:val="24"/>
        </w:rPr>
        <w:t xml:space="preserve"> </w:t>
      </w:r>
      <w:r w:rsidRPr="00463949" w:rsidR="00BE62E9">
        <w:rPr>
          <w:rFonts w:ascii="Times New Roman" w:hAnsi="Times New Roman" w:cs="Times New Roman"/>
          <w:sz w:val="24"/>
          <w:szCs w:val="24"/>
        </w:rPr>
        <w:t xml:space="preserve">de verkoper </w:t>
      </w:r>
      <w:r w:rsidRPr="00463949" w:rsidR="00C14EA8">
        <w:rPr>
          <w:rFonts w:ascii="Times New Roman" w:hAnsi="Times New Roman" w:cs="Times New Roman"/>
          <w:sz w:val="24"/>
          <w:szCs w:val="24"/>
        </w:rPr>
        <w:t xml:space="preserve">in het geval van non-conformiteit </w:t>
      </w:r>
      <w:r w:rsidRPr="00463949" w:rsidR="00204718">
        <w:rPr>
          <w:rFonts w:ascii="Times New Roman" w:hAnsi="Times New Roman" w:cs="Times New Roman"/>
          <w:sz w:val="24"/>
          <w:szCs w:val="24"/>
        </w:rPr>
        <w:t xml:space="preserve">niet aansprakelijk </w:t>
      </w:r>
      <w:r w:rsidRPr="00463949" w:rsidR="003078D8">
        <w:rPr>
          <w:rFonts w:ascii="Times New Roman" w:hAnsi="Times New Roman" w:cs="Times New Roman"/>
          <w:sz w:val="24"/>
          <w:szCs w:val="24"/>
        </w:rPr>
        <w:t xml:space="preserve">is </w:t>
      </w:r>
      <w:r w:rsidRPr="00463949" w:rsidR="00204718">
        <w:rPr>
          <w:rFonts w:ascii="Times New Roman" w:hAnsi="Times New Roman" w:cs="Times New Roman"/>
          <w:sz w:val="24"/>
          <w:szCs w:val="24"/>
        </w:rPr>
        <w:t xml:space="preserve">voor </w:t>
      </w:r>
      <w:r w:rsidRPr="00463949" w:rsidR="00BE62E9">
        <w:rPr>
          <w:rFonts w:ascii="Times New Roman" w:hAnsi="Times New Roman" w:cs="Times New Roman"/>
          <w:sz w:val="24"/>
          <w:szCs w:val="24"/>
        </w:rPr>
        <w:t>schade</w:t>
      </w:r>
      <w:r w:rsidRPr="00463949" w:rsidR="003078D8">
        <w:rPr>
          <w:rFonts w:ascii="Times New Roman" w:hAnsi="Times New Roman" w:cs="Times New Roman"/>
          <w:sz w:val="24"/>
          <w:szCs w:val="24"/>
        </w:rPr>
        <w:t xml:space="preserve"> </w:t>
      </w:r>
      <w:r w:rsidRPr="00463949" w:rsidR="00C14EA8">
        <w:rPr>
          <w:rFonts w:ascii="Times New Roman" w:hAnsi="Times New Roman" w:cs="Times New Roman"/>
          <w:sz w:val="24"/>
          <w:szCs w:val="24"/>
        </w:rPr>
        <w:t xml:space="preserve">als bedoeld in afdeling </w:t>
      </w:r>
      <w:r w:rsidRPr="00463949" w:rsidR="00614957">
        <w:rPr>
          <w:rFonts w:ascii="Times New Roman" w:hAnsi="Times New Roman" w:cs="Times New Roman"/>
          <w:sz w:val="24"/>
          <w:szCs w:val="24"/>
        </w:rPr>
        <w:t xml:space="preserve">6.3.3 BW </w:t>
      </w:r>
      <w:r w:rsidRPr="00463949" w:rsidR="00790ECD">
        <w:rPr>
          <w:rFonts w:ascii="Times New Roman" w:hAnsi="Times New Roman" w:cs="Times New Roman"/>
          <w:sz w:val="24"/>
          <w:szCs w:val="24"/>
        </w:rPr>
        <w:t xml:space="preserve">als </w:t>
      </w:r>
      <w:r w:rsidRPr="00463949" w:rsidR="00BE62E9">
        <w:rPr>
          <w:rFonts w:ascii="Times New Roman" w:hAnsi="Times New Roman" w:cs="Times New Roman"/>
          <w:sz w:val="24"/>
          <w:szCs w:val="24"/>
        </w:rPr>
        <w:t xml:space="preserve">de tekortkoming bestaat in een </w:t>
      </w:r>
      <w:r w:rsidRPr="00463949" w:rsidR="00204718">
        <w:rPr>
          <w:rFonts w:ascii="Times New Roman" w:hAnsi="Times New Roman" w:cs="Times New Roman"/>
          <w:sz w:val="24"/>
          <w:szCs w:val="24"/>
        </w:rPr>
        <w:t xml:space="preserve">gebrek </w:t>
      </w:r>
      <w:r w:rsidRPr="00463949" w:rsidR="00BE62E9">
        <w:rPr>
          <w:rFonts w:ascii="Times New Roman" w:hAnsi="Times New Roman" w:cs="Times New Roman"/>
          <w:sz w:val="24"/>
          <w:szCs w:val="24"/>
        </w:rPr>
        <w:t>als bedoeld in</w:t>
      </w:r>
      <w:r w:rsidRPr="00463949" w:rsidR="00C14EA8">
        <w:rPr>
          <w:rFonts w:ascii="Times New Roman" w:hAnsi="Times New Roman" w:cs="Times New Roman"/>
          <w:sz w:val="24"/>
          <w:szCs w:val="24"/>
        </w:rPr>
        <w:t xml:space="preserve"> die afdeling</w:t>
      </w:r>
      <w:r w:rsidRPr="00463949" w:rsidR="00BE62E9">
        <w:rPr>
          <w:rFonts w:ascii="Times New Roman" w:hAnsi="Times New Roman" w:cs="Times New Roman"/>
          <w:sz w:val="24"/>
          <w:szCs w:val="24"/>
        </w:rPr>
        <w:t xml:space="preserve">. In dat geval wordt de aansprakelijkheid gekanaliseerd naar de producent. </w:t>
      </w:r>
      <w:r w:rsidRPr="00463949" w:rsidR="00C14EA8">
        <w:rPr>
          <w:rFonts w:ascii="Times New Roman" w:hAnsi="Times New Roman" w:cs="Times New Roman"/>
          <w:sz w:val="24"/>
          <w:szCs w:val="24"/>
        </w:rPr>
        <w:t xml:space="preserve">Hierop </w:t>
      </w:r>
      <w:r w:rsidRPr="00463949" w:rsidR="00F07115">
        <w:rPr>
          <w:rFonts w:ascii="Times New Roman" w:hAnsi="Times New Roman" w:cs="Times New Roman"/>
          <w:sz w:val="24"/>
          <w:szCs w:val="24"/>
        </w:rPr>
        <w:t xml:space="preserve">wordt een </w:t>
      </w:r>
      <w:r w:rsidRPr="00463949" w:rsidR="00C14EA8">
        <w:rPr>
          <w:rFonts w:ascii="Times New Roman" w:hAnsi="Times New Roman" w:cs="Times New Roman"/>
          <w:sz w:val="24"/>
          <w:szCs w:val="24"/>
        </w:rPr>
        <w:t>uitzondering</w:t>
      </w:r>
      <w:r w:rsidRPr="00463949" w:rsidR="00F07115">
        <w:rPr>
          <w:rFonts w:ascii="Times New Roman" w:hAnsi="Times New Roman" w:cs="Times New Roman"/>
          <w:sz w:val="24"/>
          <w:szCs w:val="24"/>
        </w:rPr>
        <w:t xml:space="preserve"> gemaakt</w:t>
      </w:r>
      <w:r w:rsidRPr="00463949" w:rsidR="00C14EA8">
        <w:rPr>
          <w:rFonts w:ascii="Times New Roman" w:hAnsi="Times New Roman" w:cs="Times New Roman"/>
          <w:sz w:val="24"/>
          <w:szCs w:val="24"/>
        </w:rPr>
        <w:t xml:space="preserve"> (geen kanalisatie naar de producent</w:t>
      </w:r>
      <w:r w:rsidRPr="00463949" w:rsidR="00C426BB">
        <w:rPr>
          <w:rFonts w:ascii="Times New Roman" w:hAnsi="Times New Roman" w:cs="Times New Roman"/>
          <w:sz w:val="24"/>
          <w:szCs w:val="24"/>
        </w:rPr>
        <w:t>; verkoper wel aansprakelijk</w:t>
      </w:r>
      <w:r w:rsidRPr="00463949" w:rsidR="00C14EA8">
        <w:rPr>
          <w:rFonts w:ascii="Times New Roman" w:hAnsi="Times New Roman" w:cs="Times New Roman"/>
          <w:sz w:val="24"/>
          <w:szCs w:val="24"/>
        </w:rPr>
        <w:t xml:space="preserve">) </w:t>
      </w:r>
      <w:r w:rsidRPr="00463949" w:rsidR="00BE62E9">
        <w:rPr>
          <w:rFonts w:ascii="Times New Roman" w:hAnsi="Times New Roman" w:cs="Times New Roman"/>
          <w:sz w:val="24"/>
          <w:szCs w:val="24"/>
        </w:rPr>
        <w:t xml:space="preserve">als de verkoper het gebrek kende of behoorde te kennen (onderdeel a), hij de afwezigheid van het gebrek heeft toegezegd (onderdeel b) of als het zaakschade betreft waarvan krachtens afdeling </w:t>
      </w:r>
      <w:r w:rsidRPr="00463949" w:rsidR="00614957">
        <w:rPr>
          <w:rFonts w:ascii="Times New Roman" w:hAnsi="Times New Roman" w:cs="Times New Roman"/>
          <w:sz w:val="24"/>
          <w:szCs w:val="24"/>
        </w:rPr>
        <w:t xml:space="preserve">6.3.3 </w:t>
      </w:r>
      <w:r w:rsidRPr="00463949" w:rsidR="00BE62E9">
        <w:rPr>
          <w:rFonts w:ascii="Times New Roman" w:hAnsi="Times New Roman" w:cs="Times New Roman"/>
          <w:sz w:val="24"/>
          <w:szCs w:val="24"/>
        </w:rPr>
        <w:t xml:space="preserve">BW geen recht op vergoeding bestaat op grond van de in die afdeling geregelde franchise (onderdeel c). </w:t>
      </w:r>
      <w:r w:rsidRPr="00463949">
        <w:rPr>
          <w:rFonts w:ascii="Times New Roman" w:hAnsi="Times New Roman" w:cs="Times New Roman"/>
          <w:sz w:val="24"/>
          <w:szCs w:val="24"/>
        </w:rPr>
        <w:t xml:space="preserve">Artikel II regelt dat onderdeel c komt te vervallen. </w:t>
      </w:r>
      <w:r w:rsidRPr="00463949" w:rsidR="005A0293">
        <w:rPr>
          <w:rFonts w:ascii="Times New Roman" w:hAnsi="Times New Roman" w:cs="Times New Roman"/>
          <w:sz w:val="24"/>
          <w:szCs w:val="24"/>
        </w:rPr>
        <w:t xml:space="preserve">Dit betekent dat voortaan ook </w:t>
      </w:r>
      <w:r w:rsidRPr="00463949" w:rsidR="003078D8">
        <w:rPr>
          <w:rFonts w:ascii="Times New Roman" w:hAnsi="Times New Roman" w:cs="Times New Roman"/>
          <w:sz w:val="24"/>
          <w:szCs w:val="24"/>
        </w:rPr>
        <w:t xml:space="preserve">de aansprakelijkheid voor </w:t>
      </w:r>
      <w:r w:rsidRPr="00463949">
        <w:rPr>
          <w:rFonts w:ascii="Times New Roman" w:hAnsi="Times New Roman" w:cs="Times New Roman"/>
          <w:sz w:val="24"/>
          <w:szCs w:val="24"/>
        </w:rPr>
        <w:t xml:space="preserve">zaakschade onder de € 500,- </w:t>
      </w:r>
      <w:r w:rsidRPr="00463949" w:rsidR="005A0293">
        <w:rPr>
          <w:rFonts w:ascii="Times New Roman" w:hAnsi="Times New Roman" w:cs="Times New Roman"/>
          <w:sz w:val="24"/>
          <w:szCs w:val="24"/>
        </w:rPr>
        <w:t xml:space="preserve">wordt </w:t>
      </w:r>
      <w:r w:rsidRPr="00463949">
        <w:rPr>
          <w:rFonts w:ascii="Times New Roman" w:hAnsi="Times New Roman" w:cs="Times New Roman"/>
          <w:sz w:val="24"/>
          <w:szCs w:val="24"/>
        </w:rPr>
        <w:t>gekanaliseerd naar de marktdeelnemer</w:t>
      </w:r>
      <w:r w:rsidRPr="00463949" w:rsidR="003078D8">
        <w:rPr>
          <w:rFonts w:ascii="Times New Roman" w:hAnsi="Times New Roman" w:cs="Times New Roman"/>
          <w:sz w:val="24"/>
          <w:szCs w:val="24"/>
        </w:rPr>
        <w:t xml:space="preserve"> </w:t>
      </w:r>
      <w:r w:rsidRPr="00463949" w:rsidR="00646692">
        <w:rPr>
          <w:rFonts w:ascii="Times New Roman" w:hAnsi="Times New Roman" w:cs="Times New Roman"/>
          <w:sz w:val="24"/>
          <w:szCs w:val="24"/>
        </w:rPr>
        <w:t xml:space="preserve">als </w:t>
      </w:r>
      <w:r w:rsidRPr="00463949">
        <w:rPr>
          <w:rFonts w:ascii="Times New Roman" w:hAnsi="Times New Roman" w:cs="Times New Roman"/>
          <w:sz w:val="24"/>
          <w:szCs w:val="24"/>
        </w:rPr>
        <w:t>bedoeld in artikel 6:187 BW</w:t>
      </w:r>
      <w:r w:rsidRPr="00463949" w:rsidR="00304186">
        <w:rPr>
          <w:rFonts w:ascii="Times New Roman" w:hAnsi="Times New Roman" w:cs="Times New Roman"/>
          <w:sz w:val="24"/>
          <w:szCs w:val="24"/>
        </w:rPr>
        <w:t xml:space="preserve"> (</w:t>
      </w:r>
      <w:r w:rsidRPr="00463949" w:rsidR="00F07115">
        <w:rPr>
          <w:rFonts w:ascii="Times New Roman" w:hAnsi="Times New Roman" w:cs="Times New Roman"/>
          <w:sz w:val="24"/>
          <w:szCs w:val="24"/>
        </w:rPr>
        <w:t xml:space="preserve">mits </w:t>
      </w:r>
      <w:r w:rsidRPr="00463949" w:rsidR="00F55076">
        <w:rPr>
          <w:rFonts w:ascii="Times New Roman" w:hAnsi="Times New Roman" w:cs="Times New Roman"/>
          <w:sz w:val="24"/>
          <w:szCs w:val="24"/>
        </w:rPr>
        <w:t xml:space="preserve">aan </w:t>
      </w:r>
      <w:r w:rsidRPr="00463949" w:rsidR="001A4E77">
        <w:rPr>
          <w:rFonts w:ascii="Times New Roman" w:hAnsi="Times New Roman" w:cs="Times New Roman"/>
          <w:sz w:val="24"/>
          <w:szCs w:val="24"/>
        </w:rPr>
        <w:t>de v</w:t>
      </w:r>
      <w:r w:rsidRPr="00463949" w:rsidR="003078D8">
        <w:rPr>
          <w:rFonts w:ascii="Times New Roman" w:hAnsi="Times New Roman" w:cs="Times New Roman"/>
          <w:sz w:val="24"/>
          <w:szCs w:val="24"/>
        </w:rPr>
        <w:t>oorwaarden van artikel 7:24 BW is voldaan</w:t>
      </w:r>
      <w:r w:rsidRPr="00463949" w:rsidR="00304186">
        <w:rPr>
          <w:rFonts w:ascii="Times New Roman" w:hAnsi="Times New Roman" w:cs="Times New Roman"/>
          <w:sz w:val="24"/>
          <w:szCs w:val="24"/>
        </w:rPr>
        <w:t>)</w:t>
      </w:r>
      <w:r w:rsidRPr="00463949" w:rsidR="003078D8">
        <w:rPr>
          <w:rFonts w:ascii="Times New Roman" w:hAnsi="Times New Roman" w:cs="Times New Roman"/>
          <w:sz w:val="24"/>
          <w:szCs w:val="24"/>
        </w:rPr>
        <w:t>. De overige wijzigingen van artikel 7:24 lid 2 BW zijn</w:t>
      </w:r>
      <w:r w:rsidRPr="00463949" w:rsidR="00C426BB">
        <w:rPr>
          <w:rFonts w:ascii="Times New Roman" w:hAnsi="Times New Roman" w:cs="Times New Roman"/>
          <w:sz w:val="24"/>
          <w:szCs w:val="24"/>
        </w:rPr>
        <w:t xml:space="preserve"> </w:t>
      </w:r>
      <w:r w:rsidRPr="00463949" w:rsidR="00CF5B2A">
        <w:rPr>
          <w:rFonts w:ascii="Times New Roman" w:hAnsi="Times New Roman" w:cs="Times New Roman"/>
          <w:sz w:val="24"/>
          <w:szCs w:val="24"/>
        </w:rPr>
        <w:t xml:space="preserve">uitsluitend </w:t>
      </w:r>
      <w:r w:rsidRPr="00463949" w:rsidR="003078D8">
        <w:rPr>
          <w:rFonts w:ascii="Times New Roman" w:hAnsi="Times New Roman" w:cs="Times New Roman"/>
          <w:sz w:val="24"/>
          <w:szCs w:val="24"/>
        </w:rPr>
        <w:t>redactioneel van aard</w:t>
      </w:r>
      <w:r w:rsidRPr="00463949" w:rsidR="00C14EA8">
        <w:rPr>
          <w:rFonts w:ascii="Times New Roman" w:hAnsi="Times New Roman" w:cs="Times New Roman"/>
          <w:sz w:val="24"/>
          <w:szCs w:val="24"/>
        </w:rPr>
        <w:t>.</w:t>
      </w:r>
    </w:p>
    <w:bookmarkEnd w:id="16"/>
    <w:p w:rsidRPr="00463949" w:rsidR="00057757" w:rsidP="00D045E0" w:rsidRDefault="00057757" w14:paraId="245EDA95" w14:textId="77777777">
      <w:pPr>
        <w:spacing w:after="0" w:line="276" w:lineRule="auto"/>
        <w:rPr>
          <w:rFonts w:ascii="Times New Roman" w:hAnsi="Times New Roman" w:cs="Times New Roman"/>
          <w:b/>
          <w:bCs/>
          <w:sz w:val="24"/>
          <w:szCs w:val="24"/>
        </w:rPr>
      </w:pPr>
    </w:p>
    <w:p w:rsidRPr="00463949" w:rsidR="00440B94" w:rsidP="00D045E0" w:rsidRDefault="00440B94" w14:paraId="54CEBF5B" w14:textId="3BFE430B">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 xml:space="preserve">Artikel </w:t>
      </w:r>
      <w:r w:rsidRPr="00463949" w:rsidR="00057757">
        <w:rPr>
          <w:rFonts w:ascii="Times New Roman" w:hAnsi="Times New Roman" w:cs="Times New Roman"/>
          <w:b/>
          <w:bCs/>
          <w:sz w:val="24"/>
          <w:szCs w:val="24"/>
        </w:rPr>
        <w:t>III</w:t>
      </w:r>
      <w:r w:rsidRPr="00463949" w:rsidR="004B7CA1">
        <w:rPr>
          <w:rFonts w:ascii="Times New Roman" w:hAnsi="Times New Roman" w:cs="Times New Roman"/>
          <w:b/>
          <w:bCs/>
          <w:sz w:val="24"/>
          <w:szCs w:val="24"/>
        </w:rPr>
        <w:t xml:space="preserve"> (overgangsrecht)</w:t>
      </w:r>
    </w:p>
    <w:p w:rsidRPr="00463949" w:rsidR="00440B94" w:rsidP="00D045E0" w:rsidRDefault="00440B94" w14:paraId="7F4D4274" w14:textId="77777777">
      <w:pPr>
        <w:spacing w:after="0" w:line="276" w:lineRule="auto"/>
        <w:rPr>
          <w:rFonts w:ascii="Times New Roman" w:hAnsi="Times New Roman" w:cs="Times New Roman"/>
          <w:sz w:val="24"/>
          <w:szCs w:val="24"/>
        </w:rPr>
      </w:pPr>
    </w:p>
    <w:p w:rsidRPr="00463949" w:rsidR="00440B94" w:rsidP="00D045E0" w:rsidRDefault="004B7CA1" w14:paraId="32ADD22B" w14:textId="416CF38A">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Dit artikel regelt het overgangsrecht voor de wijzigingen in </w:t>
      </w:r>
      <w:r w:rsidRPr="00463949" w:rsidR="00057757">
        <w:rPr>
          <w:rFonts w:ascii="Times New Roman" w:hAnsi="Times New Roman" w:cs="Times New Roman"/>
          <w:sz w:val="24"/>
          <w:szCs w:val="24"/>
        </w:rPr>
        <w:t xml:space="preserve">de Boeken 6 en 7 </w:t>
      </w:r>
      <w:r w:rsidRPr="00463949">
        <w:rPr>
          <w:rFonts w:ascii="Times New Roman" w:hAnsi="Times New Roman" w:cs="Times New Roman"/>
          <w:sz w:val="24"/>
          <w:szCs w:val="24"/>
        </w:rPr>
        <w:t>BW. Artikelen 2 lid 1 en 21 Richtlijn harmoniseren het overgangsrecht. De lidstaten moeten de bepalingen van de Richtlijn, zoals omgezet in het nationale recht, vanaf 9 december 2026 toepassen. De bepalingen zijn van toepassing op producten die op of na 9 december 2026 in de handel zijn gebracht of in gebruik zijn gesteld. Het nieuwe artikel 189aa van de Overgangswet nieuw B</w:t>
      </w:r>
      <w:r w:rsidRPr="00463949" w:rsidR="00057757">
        <w:rPr>
          <w:rFonts w:ascii="Times New Roman" w:hAnsi="Times New Roman" w:cs="Times New Roman"/>
          <w:sz w:val="24"/>
          <w:szCs w:val="24"/>
        </w:rPr>
        <w:t>W</w:t>
      </w:r>
      <w:r w:rsidRPr="00463949">
        <w:rPr>
          <w:rFonts w:ascii="Times New Roman" w:hAnsi="Times New Roman" w:cs="Times New Roman"/>
          <w:sz w:val="24"/>
          <w:szCs w:val="24"/>
        </w:rPr>
        <w:t xml:space="preserve"> implementeert </w:t>
      </w:r>
      <w:r w:rsidRPr="00463949" w:rsidR="00057757">
        <w:rPr>
          <w:rFonts w:ascii="Times New Roman" w:hAnsi="Times New Roman" w:cs="Times New Roman"/>
          <w:sz w:val="24"/>
          <w:szCs w:val="24"/>
        </w:rPr>
        <w:t xml:space="preserve">de </w:t>
      </w:r>
      <w:r w:rsidRPr="00463949">
        <w:rPr>
          <w:rFonts w:ascii="Times New Roman" w:hAnsi="Times New Roman" w:cs="Times New Roman"/>
          <w:sz w:val="24"/>
          <w:szCs w:val="24"/>
        </w:rPr>
        <w:t>artikel</w:t>
      </w:r>
      <w:r w:rsidRPr="00463949" w:rsidR="00057757">
        <w:rPr>
          <w:rFonts w:ascii="Times New Roman" w:hAnsi="Times New Roman" w:cs="Times New Roman"/>
          <w:sz w:val="24"/>
          <w:szCs w:val="24"/>
        </w:rPr>
        <w:t>en 2 lid 1 en</w:t>
      </w:r>
      <w:r w:rsidRPr="00463949">
        <w:rPr>
          <w:rFonts w:ascii="Times New Roman" w:hAnsi="Times New Roman" w:cs="Times New Roman"/>
          <w:sz w:val="24"/>
          <w:szCs w:val="24"/>
        </w:rPr>
        <w:t xml:space="preserve"> 21 Richtlijn. </w:t>
      </w:r>
      <w:r w:rsidRPr="00463949" w:rsidR="00057757">
        <w:rPr>
          <w:rFonts w:ascii="Times New Roman" w:hAnsi="Times New Roman" w:cs="Times New Roman"/>
          <w:sz w:val="24"/>
          <w:szCs w:val="24"/>
        </w:rPr>
        <w:t>Op</w:t>
      </w:r>
      <w:r w:rsidRPr="00463949">
        <w:rPr>
          <w:rFonts w:ascii="Times New Roman" w:hAnsi="Times New Roman" w:cs="Times New Roman"/>
          <w:sz w:val="24"/>
          <w:szCs w:val="24"/>
        </w:rPr>
        <w:t xml:space="preserve"> producten die vóór 9 december </w:t>
      </w:r>
      <w:r w:rsidRPr="00463949">
        <w:rPr>
          <w:rFonts w:ascii="Times New Roman" w:hAnsi="Times New Roman" w:cs="Times New Roman"/>
          <w:sz w:val="24"/>
          <w:szCs w:val="24"/>
        </w:rPr>
        <w:lastRenderedPageBreak/>
        <w:t>2026 in de handel zijn gebracht of in gebruik zijn gesteld blijven de v</w:t>
      </w:r>
      <w:r w:rsidRPr="00463949" w:rsidR="00057757">
        <w:rPr>
          <w:rFonts w:ascii="Times New Roman" w:hAnsi="Times New Roman" w:cs="Times New Roman"/>
          <w:sz w:val="24"/>
          <w:szCs w:val="24"/>
        </w:rPr>
        <w:t>óó</w:t>
      </w:r>
      <w:r w:rsidRPr="00463949">
        <w:rPr>
          <w:rFonts w:ascii="Times New Roman" w:hAnsi="Times New Roman" w:cs="Times New Roman"/>
          <w:sz w:val="24"/>
          <w:szCs w:val="24"/>
        </w:rPr>
        <w:t xml:space="preserve">r die datum geldende afdelingen </w:t>
      </w:r>
      <w:r w:rsidRPr="00463949" w:rsidR="00813D7A">
        <w:rPr>
          <w:rFonts w:ascii="Times New Roman" w:hAnsi="Times New Roman" w:cs="Times New Roman"/>
          <w:sz w:val="24"/>
          <w:szCs w:val="24"/>
        </w:rPr>
        <w:t>6.3.</w:t>
      </w:r>
      <w:r w:rsidRPr="00463949">
        <w:rPr>
          <w:rFonts w:ascii="Times New Roman" w:hAnsi="Times New Roman" w:cs="Times New Roman"/>
          <w:sz w:val="24"/>
          <w:szCs w:val="24"/>
        </w:rPr>
        <w:t xml:space="preserve">3 en </w:t>
      </w:r>
      <w:r w:rsidRPr="00463949" w:rsidR="00813D7A">
        <w:rPr>
          <w:rFonts w:ascii="Times New Roman" w:hAnsi="Times New Roman" w:cs="Times New Roman"/>
          <w:sz w:val="24"/>
          <w:szCs w:val="24"/>
        </w:rPr>
        <w:t>6.3.</w:t>
      </w:r>
      <w:r w:rsidRPr="00463949">
        <w:rPr>
          <w:rFonts w:ascii="Times New Roman" w:hAnsi="Times New Roman" w:cs="Times New Roman"/>
          <w:sz w:val="24"/>
          <w:szCs w:val="24"/>
        </w:rPr>
        <w:t xml:space="preserve">5 BW en </w:t>
      </w:r>
      <w:r w:rsidRPr="00463949" w:rsidR="00790ECD">
        <w:rPr>
          <w:rFonts w:ascii="Times New Roman" w:hAnsi="Times New Roman" w:cs="Times New Roman"/>
          <w:sz w:val="24"/>
          <w:szCs w:val="24"/>
        </w:rPr>
        <w:t xml:space="preserve">de </w:t>
      </w:r>
      <w:r w:rsidRPr="00463949">
        <w:rPr>
          <w:rFonts w:ascii="Times New Roman" w:hAnsi="Times New Roman" w:cs="Times New Roman"/>
          <w:sz w:val="24"/>
          <w:szCs w:val="24"/>
        </w:rPr>
        <w:t>v</w:t>
      </w:r>
      <w:r w:rsidRPr="00463949" w:rsidR="00057757">
        <w:rPr>
          <w:rFonts w:ascii="Times New Roman" w:hAnsi="Times New Roman" w:cs="Times New Roman"/>
          <w:sz w:val="24"/>
          <w:szCs w:val="24"/>
        </w:rPr>
        <w:t>óó</w:t>
      </w:r>
      <w:r w:rsidRPr="00463949">
        <w:rPr>
          <w:rFonts w:ascii="Times New Roman" w:hAnsi="Times New Roman" w:cs="Times New Roman"/>
          <w:sz w:val="24"/>
          <w:szCs w:val="24"/>
        </w:rPr>
        <w:t>r die datum geldende artikel</w:t>
      </w:r>
      <w:r w:rsidRPr="00463949" w:rsidR="00790ECD">
        <w:rPr>
          <w:rFonts w:ascii="Times New Roman" w:hAnsi="Times New Roman" w:cs="Times New Roman"/>
          <w:sz w:val="24"/>
          <w:szCs w:val="24"/>
        </w:rPr>
        <w:t>en 6:173 lid 2 en</w:t>
      </w:r>
      <w:r w:rsidRPr="00463949">
        <w:rPr>
          <w:rFonts w:ascii="Times New Roman" w:hAnsi="Times New Roman" w:cs="Times New Roman"/>
          <w:sz w:val="24"/>
          <w:szCs w:val="24"/>
        </w:rPr>
        <w:t xml:space="preserve"> </w:t>
      </w:r>
      <w:r w:rsidRPr="00463949" w:rsidR="00AB15E9">
        <w:rPr>
          <w:rFonts w:ascii="Times New Roman" w:hAnsi="Times New Roman" w:cs="Times New Roman"/>
          <w:sz w:val="24"/>
          <w:szCs w:val="24"/>
        </w:rPr>
        <w:t xml:space="preserve">7:24 lid 2 BW </w:t>
      </w:r>
      <w:r w:rsidRPr="00463949" w:rsidR="00057757">
        <w:rPr>
          <w:rFonts w:ascii="Times New Roman" w:hAnsi="Times New Roman" w:cs="Times New Roman"/>
          <w:sz w:val="24"/>
          <w:szCs w:val="24"/>
        </w:rPr>
        <w:t>van toepassing.</w:t>
      </w:r>
    </w:p>
    <w:p w:rsidRPr="00463949" w:rsidR="004B7CA1" w:rsidP="00D045E0" w:rsidRDefault="004B7CA1" w14:paraId="7631B195" w14:textId="77777777">
      <w:pPr>
        <w:spacing w:after="0" w:line="276" w:lineRule="auto"/>
        <w:rPr>
          <w:rFonts w:ascii="Times New Roman" w:hAnsi="Times New Roman" w:cs="Times New Roman"/>
          <w:sz w:val="24"/>
          <w:szCs w:val="24"/>
        </w:rPr>
      </w:pPr>
    </w:p>
    <w:p w:rsidRPr="00463949" w:rsidR="009660CD" w:rsidP="00D045E0" w:rsidRDefault="009660CD" w14:paraId="480E81B4" w14:textId="546798C9">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 xml:space="preserve">Artikel </w:t>
      </w:r>
      <w:r w:rsidRPr="00463949" w:rsidR="00057757">
        <w:rPr>
          <w:rFonts w:ascii="Times New Roman" w:hAnsi="Times New Roman" w:cs="Times New Roman"/>
          <w:b/>
          <w:bCs/>
          <w:sz w:val="24"/>
          <w:szCs w:val="24"/>
        </w:rPr>
        <w:t>IV</w:t>
      </w:r>
      <w:r w:rsidRPr="00463949">
        <w:rPr>
          <w:rFonts w:ascii="Times New Roman" w:hAnsi="Times New Roman" w:cs="Times New Roman"/>
          <w:b/>
          <w:bCs/>
          <w:sz w:val="24"/>
          <w:szCs w:val="24"/>
        </w:rPr>
        <w:t xml:space="preserve"> en </w:t>
      </w:r>
      <w:r w:rsidRPr="00463949" w:rsidR="00057757">
        <w:rPr>
          <w:rFonts w:ascii="Times New Roman" w:hAnsi="Times New Roman" w:cs="Times New Roman"/>
          <w:b/>
          <w:bCs/>
          <w:sz w:val="24"/>
          <w:szCs w:val="24"/>
        </w:rPr>
        <w:t>V</w:t>
      </w:r>
      <w:r w:rsidRPr="00463949" w:rsidR="00334963">
        <w:rPr>
          <w:rFonts w:ascii="Times New Roman" w:hAnsi="Times New Roman" w:cs="Times New Roman"/>
          <w:b/>
          <w:bCs/>
          <w:sz w:val="24"/>
          <w:szCs w:val="24"/>
        </w:rPr>
        <w:t xml:space="preserve"> (inwerkingtreding en citeertitel)</w:t>
      </w:r>
    </w:p>
    <w:p w:rsidRPr="00463949" w:rsidR="009660CD" w:rsidP="00D045E0" w:rsidRDefault="009660CD" w14:paraId="3481CA9A" w14:textId="77777777">
      <w:pPr>
        <w:spacing w:after="0" w:line="276" w:lineRule="auto"/>
        <w:rPr>
          <w:rFonts w:ascii="Times New Roman" w:hAnsi="Times New Roman" w:cs="Times New Roman"/>
          <w:sz w:val="24"/>
          <w:szCs w:val="24"/>
        </w:rPr>
      </w:pPr>
    </w:p>
    <w:p w:rsidRPr="00463949" w:rsidR="009660CD" w:rsidP="00D045E0" w:rsidRDefault="009660CD" w14:paraId="0A36D452" w14:textId="043DBABB">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 xml:space="preserve">Deze artikelen regelen de inwerkingtreding en de citeertitel. Artikel 22 Richtlijn schrijft dwingend voor dat de wettelijke en bestuursrechtelijke bepalingen op 9 december 2026 moeten zijn vastgesteld. Uit de artikelen </w:t>
      </w:r>
      <w:r w:rsidRPr="00463949" w:rsidR="00440B94">
        <w:rPr>
          <w:rFonts w:ascii="Times New Roman" w:hAnsi="Times New Roman" w:cs="Times New Roman"/>
          <w:sz w:val="24"/>
          <w:szCs w:val="24"/>
        </w:rPr>
        <w:t>2 lid 1 en 21</w:t>
      </w:r>
      <w:r w:rsidRPr="00463949">
        <w:rPr>
          <w:rFonts w:ascii="Times New Roman" w:hAnsi="Times New Roman" w:cs="Times New Roman"/>
          <w:sz w:val="24"/>
          <w:szCs w:val="24"/>
        </w:rPr>
        <w:t xml:space="preserve"> volgt dat de bepalingen van toepassing zijn op producten die </w:t>
      </w:r>
      <w:r w:rsidRPr="00463949" w:rsidR="00440B94">
        <w:rPr>
          <w:rFonts w:ascii="Times New Roman" w:hAnsi="Times New Roman" w:cs="Times New Roman"/>
          <w:sz w:val="24"/>
          <w:szCs w:val="24"/>
        </w:rPr>
        <w:t xml:space="preserve">op of </w:t>
      </w:r>
      <w:r w:rsidRPr="00463949">
        <w:rPr>
          <w:rFonts w:ascii="Times New Roman" w:hAnsi="Times New Roman" w:cs="Times New Roman"/>
          <w:sz w:val="24"/>
          <w:szCs w:val="24"/>
        </w:rPr>
        <w:t>na 9 december 2026 in de handel zijn gebracht of in gebruik zijn gesteld. Omdat de Richtlijn dwingend de vaststelling en toepassing van de bepalingen daarin voorschrijft, wordt afgeweken van de vaste verandermomenten (Ar 4.17 lid 5, uitzonderingsgrond d).</w:t>
      </w:r>
    </w:p>
    <w:p w:rsidRPr="00463949" w:rsidR="00497302" w:rsidP="00D045E0" w:rsidRDefault="00497302" w14:paraId="717D4841" w14:textId="77777777">
      <w:pPr>
        <w:spacing w:after="0" w:line="276" w:lineRule="auto"/>
        <w:rPr>
          <w:rFonts w:ascii="Times New Roman" w:hAnsi="Times New Roman" w:cs="Times New Roman"/>
          <w:sz w:val="24"/>
          <w:szCs w:val="24"/>
        </w:rPr>
      </w:pPr>
    </w:p>
    <w:p w:rsidRPr="00463949" w:rsidR="00497302" w:rsidP="00D045E0" w:rsidRDefault="00497302" w14:paraId="1D85DF51" w14:textId="77777777">
      <w:pPr>
        <w:spacing w:after="0" w:line="276" w:lineRule="auto"/>
        <w:rPr>
          <w:rFonts w:ascii="Times New Roman" w:hAnsi="Times New Roman" w:cs="Times New Roman"/>
          <w:sz w:val="24"/>
          <w:szCs w:val="24"/>
        </w:rPr>
      </w:pPr>
    </w:p>
    <w:p w:rsidRPr="00463949" w:rsidR="00705CDF" w:rsidP="00497302" w:rsidRDefault="00497302" w14:paraId="482A4F88" w14:textId="5311B983">
      <w:pPr>
        <w:spacing w:after="0" w:line="276" w:lineRule="auto"/>
        <w:rPr>
          <w:rFonts w:ascii="Times New Roman" w:hAnsi="Times New Roman" w:cs="Times New Roman"/>
          <w:sz w:val="24"/>
          <w:szCs w:val="24"/>
        </w:rPr>
      </w:pPr>
      <w:r w:rsidRPr="00463949">
        <w:rPr>
          <w:rFonts w:ascii="Times New Roman" w:hAnsi="Times New Roman" w:cs="Times New Roman"/>
          <w:sz w:val="24"/>
          <w:szCs w:val="24"/>
        </w:rPr>
        <w:t>Deze memorie van toelichting wordt ondertekend mede namens de Minister van Economische Zaken.</w:t>
      </w:r>
    </w:p>
    <w:p w:rsidRPr="00463949" w:rsidR="00705CDF" w:rsidP="00705CDF" w:rsidRDefault="00705CDF" w14:paraId="046011DE" w14:textId="77777777">
      <w:pPr>
        <w:spacing w:after="0"/>
        <w:rPr>
          <w:rFonts w:ascii="Times New Roman" w:hAnsi="Times New Roman" w:cs="Times New Roman"/>
          <w:sz w:val="24"/>
          <w:szCs w:val="24"/>
        </w:rPr>
      </w:pPr>
    </w:p>
    <w:p w:rsidRPr="00463949" w:rsidR="000A19A6" w:rsidP="00705CDF" w:rsidRDefault="000A19A6" w14:paraId="4DD88578" w14:textId="77777777">
      <w:pPr>
        <w:spacing w:after="0"/>
        <w:rPr>
          <w:rFonts w:ascii="Times New Roman" w:hAnsi="Times New Roman" w:cs="Times New Roman"/>
          <w:sz w:val="24"/>
          <w:szCs w:val="24"/>
        </w:rPr>
      </w:pPr>
    </w:p>
    <w:p w:rsidR="00705CDF" w:rsidP="00705CDF" w:rsidRDefault="00705CDF" w14:paraId="1A39E029" w14:textId="6963DF7B">
      <w:pPr>
        <w:spacing w:after="0"/>
        <w:rPr>
          <w:rFonts w:ascii="Times New Roman" w:hAnsi="Times New Roman" w:cs="Times New Roman"/>
          <w:sz w:val="24"/>
          <w:szCs w:val="24"/>
        </w:rPr>
      </w:pPr>
      <w:r w:rsidRPr="00463949">
        <w:rPr>
          <w:rFonts w:ascii="Times New Roman" w:hAnsi="Times New Roman" w:cs="Times New Roman"/>
          <w:sz w:val="24"/>
          <w:szCs w:val="24"/>
        </w:rPr>
        <w:t xml:space="preserve">De </w:t>
      </w:r>
      <w:r w:rsidRPr="00463949" w:rsidR="00507268">
        <w:rPr>
          <w:rFonts w:ascii="Times New Roman" w:hAnsi="Times New Roman" w:cs="Times New Roman"/>
          <w:sz w:val="24"/>
          <w:szCs w:val="24"/>
        </w:rPr>
        <w:t>Staatssecretaris</w:t>
      </w:r>
      <w:r w:rsidRPr="00463949" w:rsidR="00467DCC">
        <w:rPr>
          <w:rFonts w:ascii="Times New Roman" w:hAnsi="Times New Roman" w:cs="Times New Roman"/>
          <w:sz w:val="24"/>
          <w:szCs w:val="24"/>
        </w:rPr>
        <w:t xml:space="preserve"> </w:t>
      </w:r>
      <w:r w:rsidRPr="00463949">
        <w:rPr>
          <w:rFonts w:ascii="Times New Roman" w:hAnsi="Times New Roman" w:cs="Times New Roman"/>
          <w:sz w:val="24"/>
          <w:szCs w:val="24"/>
        </w:rPr>
        <w:t>van Justitie en Veiligheid</w:t>
      </w:r>
      <w:r w:rsidRPr="00463949" w:rsidR="000544DA">
        <w:rPr>
          <w:rFonts w:ascii="Times New Roman" w:hAnsi="Times New Roman" w:cs="Times New Roman"/>
          <w:sz w:val="24"/>
          <w:szCs w:val="24"/>
        </w:rPr>
        <w:t>,</w:t>
      </w:r>
    </w:p>
    <w:p w:rsidRPr="00463949" w:rsidR="00463949" w:rsidP="00705CDF" w:rsidRDefault="00463949" w14:paraId="768D5CAF" w14:textId="0392A73B">
      <w:pPr>
        <w:spacing w:after="0"/>
        <w:rPr>
          <w:rFonts w:ascii="Times New Roman" w:hAnsi="Times New Roman" w:cs="Times New Roman"/>
          <w:sz w:val="24"/>
          <w:szCs w:val="24"/>
        </w:rPr>
      </w:pPr>
      <w:r w:rsidRPr="00463949">
        <w:rPr>
          <w:rFonts w:ascii="Times New Roman" w:hAnsi="Times New Roman" w:cs="Times New Roman"/>
          <w:sz w:val="24"/>
          <w:szCs w:val="24"/>
        </w:rPr>
        <w:t>A.C.L. Rutte</w:t>
      </w:r>
    </w:p>
    <w:p w:rsidRPr="00463949" w:rsidR="00806232" w:rsidP="00705CDF" w:rsidRDefault="00806232" w14:paraId="4B986603" w14:textId="27AB1A7C">
      <w:pPr>
        <w:spacing w:after="0"/>
        <w:rPr>
          <w:rFonts w:ascii="Times New Roman" w:hAnsi="Times New Roman" w:cs="Times New Roman"/>
          <w:b/>
          <w:bCs/>
          <w:sz w:val="24"/>
          <w:szCs w:val="24"/>
        </w:rPr>
      </w:pPr>
    </w:p>
    <w:p w:rsidRPr="00463949" w:rsidR="00705CDF" w:rsidRDefault="00705CDF" w14:paraId="69EE49E3" w14:textId="77777777">
      <w:pPr>
        <w:rPr>
          <w:rFonts w:ascii="Times New Roman" w:hAnsi="Times New Roman" w:cs="Times New Roman"/>
          <w:b/>
          <w:bCs/>
          <w:sz w:val="24"/>
          <w:szCs w:val="24"/>
        </w:rPr>
      </w:pPr>
      <w:r w:rsidRPr="00463949">
        <w:rPr>
          <w:rFonts w:ascii="Times New Roman" w:hAnsi="Times New Roman" w:cs="Times New Roman"/>
          <w:b/>
          <w:bCs/>
          <w:sz w:val="24"/>
          <w:szCs w:val="24"/>
        </w:rPr>
        <w:br w:type="page"/>
      </w:r>
    </w:p>
    <w:p w:rsidRPr="00463949" w:rsidR="009660CD" w:rsidP="00D045E0" w:rsidRDefault="00A40441" w14:paraId="3C2667A4" w14:textId="56392932">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lastRenderedPageBreak/>
        <w:t xml:space="preserve">Bijlage: </w:t>
      </w:r>
      <w:r w:rsidRPr="00463949" w:rsidR="009660CD">
        <w:rPr>
          <w:rFonts w:ascii="Times New Roman" w:hAnsi="Times New Roman" w:cs="Times New Roman"/>
          <w:b/>
          <w:bCs/>
          <w:sz w:val="24"/>
          <w:szCs w:val="24"/>
        </w:rPr>
        <w:t>Transponeringstabel</w:t>
      </w:r>
    </w:p>
    <w:p w:rsidRPr="00463949" w:rsidR="00573AC9" w:rsidP="00D045E0" w:rsidRDefault="00573AC9" w14:paraId="552FE7A8" w14:textId="77777777">
      <w:pPr>
        <w:spacing w:after="0" w:line="276" w:lineRule="auto"/>
        <w:rPr>
          <w:rFonts w:ascii="Times New Roman" w:hAnsi="Times New Roman" w:cs="Times New Roman"/>
          <w:b/>
          <w:bCs/>
          <w:sz w:val="24"/>
          <w:szCs w:val="24"/>
        </w:rPr>
      </w:pPr>
    </w:p>
    <w:p w:rsidRPr="00463949" w:rsidR="00573AC9" w:rsidP="00D045E0" w:rsidRDefault="00573AC9" w14:paraId="37573AAF" w14:textId="5B8F8591">
      <w:pPr>
        <w:spacing w:after="0" w:line="276" w:lineRule="auto"/>
        <w:rPr>
          <w:rFonts w:ascii="Times New Roman" w:hAnsi="Times New Roman" w:cs="Times New Roman"/>
          <w:b/>
          <w:bCs/>
          <w:sz w:val="24"/>
          <w:szCs w:val="24"/>
        </w:rPr>
      </w:pPr>
      <w:r w:rsidRPr="00463949">
        <w:rPr>
          <w:rFonts w:ascii="Times New Roman" w:hAnsi="Times New Roman" w:cs="Times New Roman"/>
          <w:b/>
          <w:bCs/>
          <w:sz w:val="24"/>
          <w:szCs w:val="24"/>
        </w:rPr>
        <w:t>Transponeringstabel in verband met de implementatie van de bepalingen van Richtlijn (EU) 2024/2853</w:t>
      </w:r>
    </w:p>
    <w:p w:rsidRPr="00463949" w:rsidR="009660CD" w:rsidP="00D045E0" w:rsidRDefault="009660CD" w14:paraId="6269C96C" w14:textId="77777777">
      <w:pPr>
        <w:spacing w:after="0" w:line="276" w:lineRule="auto"/>
        <w:rPr>
          <w:rFonts w:ascii="Times New Roman" w:hAnsi="Times New Roman" w:cs="Times New Roman"/>
          <w:b/>
          <w:bCs/>
          <w:sz w:val="24"/>
          <w:szCs w:val="24"/>
        </w:rPr>
      </w:pPr>
    </w:p>
    <w:tbl>
      <w:tblPr>
        <w:tblStyle w:val="Tabelraster"/>
        <w:tblW w:w="0" w:type="auto"/>
        <w:tblLook w:val="04A0" w:firstRow="1" w:lastRow="0" w:firstColumn="1" w:lastColumn="0" w:noHBand="0" w:noVBand="1"/>
      </w:tblPr>
      <w:tblGrid>
        <w:gridCol w:w="1807"/>
        <w:gridCol w:w="2643"/>
        <w:gridCol w:w="2643"/>
        <w:gridCol w:w="1924"/>
      </w:tblGrid>
      <w:tr w:rsidRPr="00463949" w:rsidR="002E0668" w:rsidTr="00C76B32" w14:paraId="0F834C8E" w14:textId="77777777">
        <w:tc>
          <w:tcPr>
            <w:tcW w:w="1807" w:type="dxa"/>
          </w:tcPr>
          <w:p w:rsidRPr="00463949" w:rsidR="006F6EFB" w:rsidP="00C76B32" w:rsidRDefault="006F6EFB" w14:paraId="17217A90" w14:textId="77777777">
            <w:pPr>
              <w:spacing w:line="276" w:lineRule="auto"/>
              <w:rPr>
                <w:rFonts w:ascii="Times New Roman" w:hAnsi="Times New Roman" w:cs="Times New Roman"/>
                <w:b/>
                <w:bCs/>
                <w:sz w:val="20"/>
                <w:szCs w:val="20"/>
              </w:rPr>
            </w:pPr>
          </w:p>
          <w:p w:rsidRPr="00463949" w:rsidR="006F6EFB" w:rsidP="00C76B32" w:rsidRDefault="006F6EFB" w14:paraId="7788BDC1" w14:textId="77777777">
            <w:pPr>
              <w:spacing w:line="276" w:lineRule="auto"/>
              <w:rPr>
                <w:rFonts w:ascii="Times New Roman" w:hAnsi="Times New Roman" w:cs="Times New Roman"/>
                <w:b/>
                <w:bCs/>
                <w:sz w:val="20"/>
                <w:szCs w:val="20"/>
              </w:rPr>
            </w:pPr>
          </w:p>
          <w:p w:rsidRPr="00463949" w:rsidR="006F6EFB" w:rsidP="00C76B32" w:rsidRDefault="00573AC9" w14:paraId="777FCE89" w14:textId="55C7A3BA">
            <w:pPr>
              <w:spacing w:line="276" w:lineRule="auto"/>
              <w:rPr>
                <w:rFonts w:ascii="Times New Roman" w:hAnsi="Times New Roman" w:cs="Times New Roman"/>
                <w:b/>
                <w:bCs/>
                <w:sz w:val="20"/>
                <w:szCs w:val="20"/>
              </w:rPr>
            </w:pPr>
            <w:r w:rsidRPr="00463949">
              <w:rPr>
                <w:rFonts w:ascii="Times New Roman" w:hAnsi="Times New Roman" w:cs="Times New Roman"/>
                <w:b/>
                <w:bCs/>
                <w:spacing w:val="-2"/>
                <w:sz w:val="20"/>
                <w:szCs w:val="20"/>
              </w:rPr>
              <w:t>Bepaling Richtlijn (EU) 2024/2853</w:t>
            </w:r>
          </w:p>
        </w:tc>
        <w:tc>
          <w:tcPr>
            <w:tcW w:w="2643" w:type="dxa"/>
          </w:tcPr>
          <w:p w:rsidRPr="00463949" w:rsidR="006F6EFB" w:rsidP="00C76B32" w:rsidRDefault="006F6EFB" w14:paraId="37067B8E" w14:textId="77777777">
            <w:pPr>
              <w:spacing w:line="276" w:lineRule="auto"/>
              <w:rPr>
                <w:rFonts w:ascii="Times New Roman" w:hAnsi="Times New Roman" w:cs="Times New Roman"/>
                <w:b/>
                <w:bCs/>
                <w:spacing w:val="-2"/>
                <w:sz w:val="20"/>
                <w:szCs w:val="20"/>
              </w:rPr>
            </w:pPr>
          </w:p>
          <w:p w:rsidRPr="00463949" w:rsidR="006F6EFB" w:rsidP="00C76B32" w:rsidRDefault="006F6EFB" w14:paraId="452FC6BB" w14:textId="77777777">
            <w:pPr>
              <w:spacing w:line="276" w:lineRule="auto"/>
              <w:rPr>
                <w:rFonts w:ascii="Times New Roman" w:hAnsi="Times New Roman" w:cs="Times New Roman"/>
                <w:b/>
                <w:bCs/>
                <w:spacing w:val="-2"/>
                <w:sz w:val="20"/>
                <w:szCs w:val="20"/>
              </w:rPr>
            </w:pPr>
          </w:p>
          <w:p w:rsidRPr="00463949" w:rsidR="006F6EFB" w:rsidP="00C76B32" w:rsidRDefault="00573AC9" w14:paraId="38E84717" w14:textId="05C2F057">
            <w:pPr>
              <w:spacing w:line="276" w:lineRule="auto"/>
              <w:rPr>
                <w:rFonts w:ascii="Times New Roman" w:hAnsi="Times New Roman" w:cs="Times New Roman"/>
                <w:b/>
                <w:bCs/>
                <w:spacing w:val="-2"/>
                <w:sz w:val="20"/>
                <w:szCs w:val="20"/>
              </w:rPr>
            </w:pPr>
            <w:r w:rsidRPr="00463949">
              <w:rPr>
                <w:rFonts w:ascii="Times New Roman" w:hAnsi="Times New Roman" w:cs="Times New Roman"/>
                <w:b/>
                <w:bCs/>
                <w:spacing w:val="-2"/>
                <w:sz w:val="20"/>
                <w:szCs w:val="20"/>
              </w:rPr>
              <w:t>Bepaling in implementatieregeling of bestaande regeling</w:t>
            </w:r>
          </w:p>
          <w:p w:rsidRPr="00463949" w:rsidR="00573AC9" w:rsidP="00C76B32" w:rsidRDefault="00573AC9" w14:paraId="001B1EF1" w14:textId="77777777">
            <w:pPr>
              <w:spacing w:line="276" w:lineRule="auto"/>
              <w:rPr>
                <w:rFonts w:ascii="Times New Roman" w:hAnsi="Times New Roman" w:cs="Times New Roman"/>
                <w:b/>
                <w:bCs/>
                <w:spacing w:val="-2"/>
                <w:sz w:val="20"/>
                <w:szCs w:val="20"/>
              </w:rPr>
            </w:pPr>
          </w:p>
          <w:p w:rsidRPr="00463949" w:rsidR="00573AC9" w:rsidP="00C76B32" w:rsidRDefault="00573AC9" w14:paraId="7D23616A" w14:textId="757496CA">
            <w:pPr>
              <w:spacing w:line="276" w:lineRule="auto"/>
              <w:rPr>
                <w:rFonts w:ascii="Times New Roman" w:hAnsi="Times New Roman" w:cs="Times New Roman"/>
                <w:b/>
                <w:bCs/>
                <w:spacing w:val="-2"/>
                <w:sz w:val="20"/>
                <w:szCs w:val="20"/>
              </w:rPr>
            </w:pPr>
            <w:r w:rsidRPr="00463949">
              <w:rPr>
                <w:rFonts w:ascii="Times New Roman" w:hAnsi="Times New Roman" w:cs="Times New Roman"/>
                <w:b/>
                <w:bCs/>
                <w:spacing w:val="-2"/>
                <w:sz w:val="20"/>
                <w:szCs w:val="20"/>
              </w:rPr>
              <w:t>Toelichting indien niet geïmplementeerd of naar zijn aard geen implementatie behoeft</w:t>
            </w:r>
          </w:p>
        </w:tc>
        <w:tc>
          <w:tcPr>
            <w:tcW w:w="2643" w:type="dxa"/>
          </w:tcPr>
          <w:p w:rsidRPr="00463949" w:rsidR="006F6EFB" w:rsidP="00C76B32" w:rsidRDefault="006F6EFB" w14:paraId="01F2E271" w14:textId="77777777">
            <w:pPr>
              <w:spacing w:line="276" w:lineRule="auto"/>
              <w:rPr>
                <w:rFonts w:ascii="Times New Roman" w:hAnsi="Times New Roman" w:cs="Times New Roman"/>
                <w:b/>
                <w:bCs/>
                <w:spacing w:val="-2"/>
                <w:sz w:val="20"/>
                <w:szCs w:val="20"/>
              </w:rPr>
            </w:pPr>
          </w:p>
          <w:p w:rsidRPr="00463949" w:rsidR="006F6EFB" w:rsidP="00C76B32" w:rsidRDefault="006F6EFB" w14:paraId="53ABFFA1" w14:textId="77777777">
            <w:pPr>
              <w:spacing w:line="276" w:lineRule="auto"/>
              <w:rPr>
                <w:rFonts w:ascii="Times New Roman" w:hAnsi="Times New Roman" w:cs="Times New Roman"/>
                <w:b/>
                <w:bCs/>
                <w:spacing w:val="-2"/>
                <w:sz w:val="20"/>
                <w:szCs w:val="20"/>
              </w:rPr>
            </w:pPr>
          </w:p>
          <w:p w:rsidRPr="00463949" w:rsidR="006F6EFB" w:rsidP="00C76B32" w:rsidRDefault="00573AC9" w14:paraId="515D2541" w14:textId="5F500615">
            <w:pPr>
              <w:rPr>
                <w:rFonts w:ascii="Times New Roman" w:hAnsi="Times New Roman" w:cs="Times New Roman"/>
                <w:b/>
                <w:bCs/>
                <w:sz w:val="20"/>
                <w:szCs w:val="20"/>
              </w:rPr>
            </w:pPr>
            <w:r w:rsidRPr="00463949">
              <w:rPr>
                <w:rFonts w:ascii="Times New Roman" w:hAnsi="Times New Roman" w:cs="Times New Roman"/>
                <w:b/>
                <w:bCs/>
                <w:spacing w:val="-2"/>
                <w:sz w:val="20"/>
                <w:szCs w:val="20"/>
              </w:rPr>
              <w:t>Omschrijving beleidsruimte</w:t>
            </w:r>
          </w:p>
        </w:tc>
        <w:tc>
          <w:tcPr>
            <w:tcW w:w="1924" w:type="dxa"/>
          </w:tcPr>
          <w:p w:rsidRPr="00463949" w:rsidR="006F6EFB" w:rsidP="00C76B32" w:rsidRDefault="006F6EFB" w14:paraId="3E438416" w14:textId="4BA74045">
            <w:pPr>
              <w:spacing w:line="276" w:lineRule="auto"/>
              <w:rPr>
                <w:rFonts w:ascii="Times New Roman" w:hAnsi="Times New Roman" w:cs="Times New Roman"/>
                <w:b/>
                <w:bCs/>
                <w:spacing w:val="-2"/>
                <w:sz w:val="20"/>
                <w:szCs w:val="20"/>
              </w:rPr>
            </w:pPr>
          </w:p>
          <w:p w:rsidRPr="00463949" w:rsidR="006F6EFB" w:rsidP="00C76B32" w:rsidRDefault="006F6EFB" w14:paraId="09FC74B7" w14:textId="77777777">
            <w:pPr>
              <w:spacing w:line="276" w:lineRule="auto"/>
              <w:rPr>
                <w:rFonts w:ascii="Times New Roman" w:hAnsi="Times New Roman" w:cs="Times New Roman"/>
                <w:b/>
                <w:bCs/>
                <w:spacing w:val="-2"/>
                <w:sz w:val="20"/>
                <w:szCs w:val="20"/>
              </w:rPr>
            </w:pPr>
          </w:p>
          <w:p w:rsidRPr="00463949" w:rsidR="006F6EFB" w:rsidP="00C76B32" w:rsidRDefault="006F6EFB" w14:paraId="7D6B114A" w14:textId="5BBA4F7B">
            <w:pPr>
              <w:spacing w:line="276" w:lineRule="auto"/>
              <w:rPr>
                <w:rFonts w:ascii="Times New Roman" w:hAnsi="Times New Roman" w:cs="Times New Roman"/>
                <w:b/>
                <w:bCs/>
                <w:sz w:val="20"/>
                <w:szCs w:val="20"/>
              </w:rPr>
            </w:pPr>
            <w:r w:rsidRPr="00463949">
              <w:rPr>
                <w:rFonts w:ascii="Times New Roman" w:hAnsi="Times New Roman" w:cs="Times New Roman"/>
                <w:b/>
                <w:bCs/>
                <w:spacing w:val="-2"/>
                <w:sz w:val="20"/>
                <w:szCs w:val="20"/>
              </w:rPr>
              <w:t xml:space="preserve">Toelichting op </w:t>
            </w:r>
            <w:r w:rsidRPr="00463949" w:rsidR="00573AC9">
              <w:rPr>
                <w:rFonts w:ascii="Times New Roman" w:hAnsi="Times New Roman" w:cs="Times New Roman"/>
                <w:b/>
                <w:bCs/>
                <w:spacing w:val="-2"/>
                <w:sz w:val="20"/>
                <w:szCs w:val="20"/>
              </w:rPr>
              <w:t>de keuze(n) bij de invulling van de beleidsruimte</w:t>
            </w:r>
          </w:p>
        </w:tc>
      </w:tr>
      <w:tr w:rsidRPr="00463949" w:rsidR="002E0668" w:rsidTr="00C76B32" w14:paraId="71F9ADCC" w14:textId="77777777">
        <w:tc>
          <w:tcPr>
            <w:tcW w:w="1807" w:type="dxa"/>
          </w:tcPr>
          <w:p w:rsidRPr="00463949" w:rsidR="006F6EFB" w:rsidP="00C76B32" w:rsidRDefault="006F6EFB" w14:paraId="7A67C743" w14:textId="77777777">
            <w:pPr>
              <w:spacing w:line="276" w:lineRule="auto"/>
              <w:rPr>
                <w:rFonts w:ascii="Times New Roman" w:hAnsi="Times New Roman" w:cs="Times New Roman"/>
                <w:sz w:val="20"/>
                <w:szCs w:val="20"/>
              </w:rPr>
            </w:pPr>
          </w:p>
          <w:p w:rsidRPr="00463949" w:rsidR="00D31F62" w:rsidP="00C76B32" w:rsidRDefault="00D31F62" w14:paraId="673CC74E" w14:textId="729DBAD7">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w:t>
            </w:r>
          </w:p>
          <w:p w:rsidRPr="00463949" w:rsidR="006F6EFB" w:rsidP="00C76B32" w:rsidRDefault="006F6EFB" w14:paraId="3B1CA30D" w14:textId="77777777">
            <w:pPr>
              <w:spacing w:line="276" w:lineRule="auto"/>
              <w:rPr>
                <w:rFonts w:ascii="Times New Roman" w:hAnsi="Times New Roman" w:cs="Times New Roman"/>
                <w:sz w:val="20"/>
                <w:szCs w:val="20"/>
              </w:rPr>
            </w:pPr>
          </w:p>
        </w:tc>
        <w:tc>
          <w:tcPr>
            <w:tcW w:w="2643" w:type="dxa"/>
          </w:tcPr>
          <w:p w:rsidRPr="00463949" w:rsidR="006F6EFB" w:rsidP="00C76B32" w:rsidRDefault="006F6EFB" w14:paraId="63C8EF6E" w14:textId="77777777">
            <w:pPr>
              <w:spacing w:line="276" w:lineRule="auto"/>
              <w:rPr>
                <w:rFonts w:ascii="Times New Roman" w:hAnsi="Times New Roman" w:cs="Times New Roman"/>
                <w:sz w:val="20"/>
                <w:szCs w:val="20"/>
              </w:rPr>
            </w:pPr>
          </w:p>
          <w:p w:rsidRPr="00463949" w:rsidR="00930E06" w:rsidP="00C76B32" w:rsidRDefault="0058654E" w14:paraId="30D91F27"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Behoeft naar zijn aard geen implementatie, omdat deze bepaling het onderwerp en doel van de Richtlijn betreft. </w:t>
            </w:r>
          </w:p>
          <w:p w:rsidRPr="00463949" w:rsidR="00930E06" w:rsidP="00C76B32" w:rsidRDefault="00930E06" w14:paraId="7AEE69F1" w14:textId="77777777">
            <w:pPr>
              <w:spacing w:line="276" w:lineRule="auto"/>
              <w:rPr>
                <w:rFonts w:ascii="Times New Roman" w:hAnsi="Times New Roman" w:cs="Times New Roman"/>
                <w:sz w:val="20"/>
                <w:szCs w:val="20"/>
              </w:rPr>
            </w:pPr>
          </w:p>
          <w:p w:rsidRPr="00463949" w:rsidR="00D31F62" w:rsidP="00C76B32" w:rsidRDefault="0058654E" w14:paraId="069C7177" w14:textId="708D5C66">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In Artikel I, onderdeel D, (wijziging van artikel 6:185 </w:t>
            </w:r>
            <w:r w:rsidRPr="00463949" w:rsidR="00930E06">
              <w:rPr>
                <w:rFonts w:ascii="Times New Roman" w:hAnsi="Times New Roman" w:cs="Times New Roman"/>
                <w:sz w:val="20"/>
                <w:szCs w:val="20"/>
              </w:rPr>
              <w:t xml:space="preserve">lid 1 </w:t>
            </w:r>
            <w:r w:rsidRPr="00463949">
              <w:rPr>
                <w:rFonts w:ascii="Times New Roman" w:hAnsi="Times New Roman" w:cs="Times New Roman"/>
                <w:sz w:val="20"/>
                <w:szCs w:val="20"/>
              </w:rPr>
              <w:t xml:space="preserve">BW) is </w:t>
            </w:r>
            <w:r w:rsidRPr="00463949" w:rsidR="004033DD">
              <w:rPr>
                <w:rFonts w:ascii="Times New Roman" w:hAnsi="Times New Roman" w:cs="Times New Roman"/>
                <w:sz w:val="20"/>
                <w:szCs w:val="20"/>
              </w:rPr>
              <w:t xml:space="preserve">wel verduidelijkt </w:t>
            </w:r>
            <w:r w:rsidRPr="00463949">
              <w:rPr>
                <w:rFonts w:ascii="Times New Roman" w:hAnsi="Times New Roman" w:cs="Times New Roman"/>
                <w:sz w:val="20"/>
                <w:szCs w:val="20"/>
              </w:rPr>
              <w:t>dat de aansprakelijkheid ziet op schade van “natuurlijke personen”</w:t>
            </w:r>
            <w:r w:rsidRPr="00463949" w:rsidR="008B1C1E">
              <w:rPr>
                <w:rFonts w:ascii="Times New Roman" w:hAnsi="Times New Roman" w:cs="Times New Roman"/>
                <w:sz w:val="20"/>
                <w:szCs w:val="20"/>
              </w:rPr>
              <w:t>.</w:t>
            </w:r>
          </w:p>
          <w:p w:rsidRPr="00463949" w:rsidR="0058654E" w:rsidP="00C76B32" w:rsidRDefault="0058654E" w14:paraId="54A7FDCB" w14:textId="7446272C">
            <w:pPr>
              <w:spacing w:line="276" w:lineRule="auto"/>
              <w:rPr>
                <w:rFonts w:ascii="Times New Roman" w:hAnsi="Times New Roman" w:cs="Times New Roman"/>
                <w:sz w:val="20"/>
                <w:szCs w:val="20"/>
              </w:rPr>
            </w:pPr>
          </w:p>
        </w:tc>
        <w:tc>
          <w:tcPr>
            <w:tcW w:w="2643" w:type="dxa"/>
          </w:tcPr>
          <w:p w:rsidRPr="00463949" w:rsidR="006F6EFB" w:rsidP="00C76B32" w:rsidRDefault="006F6EFB" w14:paraId="56C9B70B" w14:textId="77777777">
            <w:pPr>
              <w:spacing w:line="276" w:lineRule="auto"/>
              <w:rPr>
                <w:rFonts w:ascii="Times New Roman" w:hAnsi="Times New Roman" w:cs="Times New Roman"/>
                <w:sz w:val="20"/>
                <w:szCs w:val="20"/>
              </w:rPr>
            </w:pPr>
          </w:p>
          <w:p w:rsidRPr="00463949" w:rsidR="00D31F62" w:rsidP="00C76B32" w:rsidRDefault="00D31F62" w14:paraId="4BC026F1" w14:textId="3DE4461A">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r w:rsidRPr="00463949" w:rsidR="00930E06">
              <w:rPr>
                <w:rFonts w:ascii="Times New Roman" w:hAnsi="Times New Roman" w:cs="Times New Roman"/>
                <w:sz w:val="20"/>
                <w:szCs w:val="20"/>
              </w:rPr>
              <w:t>.</w:t>
            </w:r>
          </w:p>
        </w:tc>
        <w:tc>
          <w:tcPr>
            <w:tcW w:w="1924" w:type="dxa"/>
          </w:tcPr>
          <w:p w:rsidRPr="00463949" w:rsidR="006F6EFB" w:rsidP="00C76B32" w:rsidRDefault="006F6EFB" w14:paraId="190FB3F1" w14:textId="77777777">
            <w:pPr>
              <w:spacing w:line="276" w:lineRule="auto"/>
              <w:rPr>
                <w:rFonts w:ascii="Times New Roman" w:hAnsi="Times New Roman" w:cs="Times New Roman"/>
                <w:sz w:val="20"/>
                <w:szCs w:val="20"/>
              </w:rPr>
            </w:pPr>
          </w:p>
          <w:p w:rsidRPr="00463949" w:rsidR="0058654E" w:rsidP="00C76B32" w:rsidRDefault="0058654E" w14:paraId="7F9990ED"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p w:rsidRPr="00463949" w:rsidR="0058654E" w:rsidP="00C76B32" w:rsidRDefault="0058654E" w14:paraId="25A2CF5B" w14:textId="0A76F2B4">
            <w:pPr>
              <w:spacing w:line="276" w:lineRule="auto"/>
              <w:rPr>
                <w:rFonts w:ascii="Times New Roman" w:hAnsi="Times New Roman" w:cs="Times New Roman"/>
                <w:sz w:val="20"/>
                <w:szCs w:val="20"/>
              </w:rPr>
            </w:pPr>
          </w:p>
        </w:tc>
      </w:tr>
      <w:tr w:rsidRPr="00463949" w:rsidR="002E0668" w:rsidTr="00C76B32" w14:paraId="4E6E03F5" w14:textId="77777777">
        <w:tc>
          <w:tcPr>
            <w:tcW w:w="1807" w:type="dxa"/>
          </w:tcPr>
          <w:p w:rsidRPr="00463949" w:rsidR="006F6EFB" w:rsidP="00C76B32" w:rsidRDefault="006F6EFB" w14:paraId="0CED2F14" w14:textId="77777777">
            <w:pPr>
              <w:spacing w:line="276" w:lineRule="auto"/>
              <w:rPr>
                <w:rFonts w:ascii="Times New Roman" w:hAnsi="Times New Roman" w:cs="Times New Roman"/>
                <w:sz w:val="20"/>
                <w:szCs w:val="20"/>
              </w:rPr>
            </w:pPr>
          </w:p>
          <w:p w:rsidRPr="00463949" w:rsidR="0058654E" w:rsidP="00C76B32" w:rsidRDefault="0058654E" w14:paraId="2F26B4A7" w14:textId="639F66FD">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2 lid 1 </w:t>
            </w:r>
          </w:p>
          <w:p w:rsidRPr="00463949" w:rsidR="006F6EFB" w:rsidP="00C76B32" w:rsidRDefault="006F6EFB" w14:paraId="128D5FDA" w14:textId="77777777">
            <w:pPr>
              <w:spacing w:line="276" w:lineRule="auto"/>
              <w:rPr>
                <w:rFonts w:ascii="Times New Roman" w:hAnsi="Times New Roman" w:cs="Times New Roman"/>
                <w:sz w:val="20"/>
                <w:szCs w:val="20"/>
              </w:rPr>
            </w:pPr>
          </w:p>
        </w:tc>
        <w:tc>
          <w:tcPr>
            <w:tcW w:w="2643" w:type="dxa"/>
          </w:tcPr>
          <w:p w:rsidRPr="00463949" w:rsidR="006F6EFB" w:rsidP="00C76B32" w:rsidRDefault="006F6EFB" w14:paraId="097C9C56" w14:textId="77777777">
            <w:pPr>
              <w:spacing w:line="276" w:lineRule="auto"/>
              <w:rPr>
                <w:rFonts w:ascii="Times New Roman" w:hAnsi="Times New Roman" w:cs="Times New Roman"/>
                <w:sz w:val="20"/>
                <w:szCs w:val="20"/>
              </w:rPr>
            </w:pPr>
          </w:p>
          <w:p w:rsidRPr="00463949" w:rsidR="0058654E" w:rsidP="00C76B32" w:rsidRDefault="0058654E" w14:paraId="71BF2DF6" w14:textId="5842B551">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Behoeft naar zijn aard geen implementatie, </w:t>
            </w:r>
            <w:r w:rsidRPr="00463949" w:rsidR="004033DD">
              <w:rPr>
                <w:rFonts w:ascii="Times New Roman" w:hAnsi="Times New Roman" w:cs="Times New Roman"/>
                <w:sz w:val="20"/>
                <w:szCs w:val="20"/>
              </w:rPr>
              <w:t xml:space="preserve">omdat de bepaling het </w:t>
            </w:r>
            <w:r w:rsidRPr="00463949">
              <w:rPr>
                <w:rFonts w:ascii="Times New Roman" w:hAnsi="Times New Roman" w:cs="Times New Roman"/>
                <w:sz w:val="20"/>
                <w:szCs w:val="20"/>
              </w:rPr>
              <w:t xml:space="preserve">temporele toepassingsbereik van de </w:t>
            </w:r>
            <w:r w:rsidRPr="00463949" w:rsidR="006D63B6">
              <w:rPr>
                <w:rFonts w:ascii="Times New Roman" w:hAnsi="Times New Roman" w:cs="Times New Roman"/>
                <w:sz w:val="20"/>
                <w:szCs w:val="20"/>
              </w:rPr>
              <w:t>R</w:t>
            </w:r>
            <w:r w:rsidRPr="00463949">
              <w:rPr>
                <w:rFonts w:ascii="Times New Roman" w:hAnsi="Times New Roman" w:cs="Times New Roman"/>
                <w:sz w:val="20"/>
                <w:szCs w:val="20"/>
              </w:rPr>
              <w:t>ichtlijn</w:t>
            </w:r>
            <w:r w:rsidRPr="00463949" w:rsidR="004033DD">
              <w:rPr>
                <w:rFonts w:ascii="Times New Roman" w:hAnsi="Times New Roman" w:cs="Times New Roman"/>
                <w:sz w:val="20"/>
                <w:szCs w:val="20"/>
              </w:rPr>
              <w:t xml:space="preserve"> betreft</w:t>
            </w:r>
            <w:r w:rsidRPr="00463949" w:rsidR="0003575F">
              <w:rPr>
                <w:rFonts w:ascii="Times New Roman" w:hAnsi="Times New Roman" w:cs="Times New Roman"/>
                <w:sz w:val="20"/>
                <w:szCs w:val="20"/>
              </w:rPr>
              <w:t>.</w:t>
            </w:r>
          </w:p>
          <w:p w:rsidRPr="00463949" w:rsidR="0058654E" w:rsidP="00C76B32" w:rsidRDefault="0058654E" w14:paraId="54A2E1AC" w14:textId="5A59BCB8">
            <w:pPr>
              <w:spacing w:line="276" w:lineRule="auto"/>
              <w:rPr>
                <w:rFonts w:ascii="Times New Roman" w:hAnsi="Times New Roman" w:cs="Times New Roman"/>
                <w:sz w:val="20"/>
                <w:szCs w:val="20"/>
              </w:rPr>
            </w:pPr>
          </w:p>
        </w:tc>
        <w:tc>
          <w:tcPr>
            <w:tcW w:w="2643" w:type="dxa"/>
          </w:tcPr>
          <w:p w:rsidRPr="00463949" w:rsidR="006F6EFB" w:rsidP="00C76B32" w:rsidRDefault="006F6EFB" w14:paraId="67D4A2A1" w14:textId="77777777">
            <w:pPr>
              <w:spacing w:line="276" w:lineRule="auto"/>
              <w:rPr>
                <w:rFonts w:ascii="Times New Roman" w:hAnsi="Times New Roman" w:cs="Times New Roman"/>
                <w:sz w:val="20"/>
                <w:szCs w:val="20"/>
              </w:rPr>
            </w:pPr>
          </w:p>
          <w:p w:rsidRPr="00463949" w:rsidR="0058654E" w:rsidP="00C76B32" w:rsidRDefault="0058654E" w14:paraId="07B85529" w14:textId="796229AF">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r w:rsidRPr="00463949" w:rsidR="00930E06">
              <w:rPr>
                <w:rFonts w:ascii="Times New Roman" w:hAnsi="Times New Roman" w:cs="Times New Roman"/>
                <w:sz w:val="20"/>
                <w:szCs w:val="20"/>
              </w:rPr>
              <w:t>.</w:t>
            </w:r>
          </w:p>
        </w:tc>
        <w:tc>
          <w:tcPr>
            <w:tcW w:w="1924" w:type="dxa"/>
          </w:tcPr>
          <w:p w:rsidRPr="00463949" w:rsidR="006F6EFB" w:rsidP="00C76B32" w:rsidRDefault="006F6EFB" w14:paraId="243C3E27" w14:textId="77777777">
            <w:pPr>
              <w:spacing w:line="276" w:lineRule="auto"/>
              <w:rPr>
                <w:rFonts w:ascii="Times New Roman" w:hAnsi="Times New Roman" w:cs="Times New Roman"/>
                <w:sz w:val="20"/>
                <w:szCs w:val="20"/>
              </w:rPr>
            </w:pPr>
          </w:p>
          <w:p w:rsidRPr="00463949" w:rsidR="0058654E" w:rsidP="00C76B32" w:rsidRDefault="0058654E" w14:paraId="45A7B8EC" w14:textId="36291311">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3C3CA561" w14:textId="77777777">
        <w:tc>
          <w:tcPr>
            <w:tcW w:w="1807" w:type="dxa"/>
          </w:tcPr>
          <w:p w:rsidRPr="00463949" w:rsidR="006F6EFB" w:rsidP="00C76B32" w:rsidRDefault="006F6EFB" w14:paraId="18B14AA1" w14:textId="77777777">
            <w:pPr>
              <w:spacing w:line="276" w:lineRule="auto"/>
              <w:rPr>
                <w:rFonts w:ascii="Times New Roman" w:hAnsi="Times New Roman" w:cs="Times New Roman"/>
                <w:sz w:val="20"/>
                <w:szCs w:val="20"/>
              </w:rPr>
            </w:pPr>
          </w:p>
          <w:p w:rsidRPr="00463949" w:rsidR="0058654E" w:rsidP="00C76B32" w:rsidRDefault="0058654E" w14:paraId="406F1459" w14:textId="702917F6">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 lid 2</w:t>
            </w:r>
          </w:p>
          <w:p w:rsidRPr="00463949" w:rsidR="006F6EFB" w:rsidP="00C76B32" w:rsidRDefault="006F6EFB" w14:paraId="6D9AC01E" w14:textId="77777777">
            <w:pPr>
              <w:spacing w:line="276" w:lineRule="auto"/>
              <w:rPr>
                <w:rFonts w:ascii="Times New Roman" w:hAnsi="Times New Roman" w:cs="Times New Roman"/>
                <w:sz w:val="20"/>
                <w:szCs w:val="20"/>
              </w:rPr>
            </w:pPr>
          </w:p>
        </w:tc>
        <w:tc>
          <w:tcPr>
            <w:tcW w:w="2643" w:type="dxa"/>
          </w:tcPr>
          <w:p w:rsidRPr="00463949" w:rsidR="006F6EFB" w:rsidP="00C76B32" w:rsidRDefault="006F6EFB" w14:paraId="6F410DC1" w14:textId="77777777">
            <w:pPr>
              <w:spacing w:line="276" w:lineRule="auto"/>
              <w:rPr>
                <w:rFonts w:ascii="Times New Roman" w:hAnsi="Times New Roman" w:cs="Times New Roman"/>
                <w:sz w:val="20"/>
                <w:szCs w:val="20"/>
              </w:rPr>
            </w:pPr>
          </w:p>
          <w:p w:rsidRPr="00463949" w:rsidR="0058654E" w:rsidP="00C76B32" w:rsidRDefault="0058654E" w14:paraId="2D7C94DA" w14:textId="77985A2F">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I, onderdeel </w:t>
            </w:r>
            <w:r w:rsidRPr="00463949" w:rsidR="00930E06">
              <w:rPr>
                <w:rFonts w:ascii="Times New Roman" w:hAnsi="Times New Roman" w:cs="Times New Roman"/>
                <w:sz w:val="20"/>
                <w:szCs w:val="20"/>
              </w:rPr>
              <w:t>C</w:t>
            </w:r>
            <w:r w:rsidRPr="00463949">
              <w:rPr>
                <w:rFonts w:ascii="Times New Roman" w:hAnsi="Times New Roman" w:cs="Times New Roman"/>
                <w:sz w:val="20"/>
                <w:szCs w:val="20"/>
              </w:rPr>
              <w:t>,</w:t>
            </w:r>
            <w:r w:rsidRPr="00463949" w:rsidR="00930E06">
              <w:rPr>
                <w:rFonts w:ascii="Times New Roman" w:hAnsi="Times New Roman" w:cs="Times New Roman"/>
                <w:sz w:val="20"/>
                <w:szCs w:val="20"/>
              </w:rPr>
              <w:t xml:space="preserve"> (invoeging artikel 6:184a lid </w:t>
            </w:r>
            <w:r w:rsidRPr="00463949" w:rsidR="00032C75">
              <w:rPr>
                <w:rFonts w:ascii="Times New Roman" w:hAnsi="Times New Roman" w:cs="Times New Roman"/>
                <w:sz w:val="20"/>
                <w:szCs w:val="20"/>
              </w:rPr>
              <w:t>3</w:t>
            </w:r>
            <w:r w:rsidRPr="00463949" w:rsidR="00930E06">
              <w:rPr>
                <w:rFonts w:ascii="Times New Roman" w:hAnsi="Times New Roman" w:cs="Times New Roman"/>
                <w:sz w:val="20"/>
                <w:szCs w:val="20"/>
              </w:rPr>
              <w:t>, onder</w:t>
            </w:r>
            <w:r w:rsidRPr="00463949" w:rsidR="00A81F3C">
              <w:rPr>
                <w:rFonts w:ascii="Times New Roman" w:hAnsi="Times New Roman" w:cs="Times New Roman"/>
                <w:sz w:val="20"/>
                <w:szCs w:val="20"/>
              </w:rPr>
              <w:t>deel</w:t>
            </w:r>
            <w:r w:rsidRPr="00463949" w:rsidR="00930E06">
              <w:rPr>
                <w:rFonts w:ascii="Times New Roman" w:hAnsi="Times New Roman" w:cs="Times New Roman"/>
                <w:sz w:val="20"/>
                <w:szCs w:val="20"/>
              </w:rPr>
              <w:t xml:space="preserve"> a, BW)</w:t>
            </w:r>
            <w:r w:rsidRPr="00463949" w:rsidR="008B1C1E">
              <w:rPr>
                <w:rFonts w:ascii="Times New Roman" w:hAnsi="Times New Roman" w:cs="Times New Roman"/>
                <w:sz w:val="20"/>
                <w:szCs w:val="20"/>
              </w:rPr>
              <w:t>.</w:t>
            </w:r>
          </w:p>
          <w:p w:rsidRPr="00463949" w:rsidR="0058654E" w:rsidP="00C76B32" w:rsidRDefault="0058654E" w14:paraId="64C9313D" w14:textId="12B8C522">
            <w:pPr>
              <w:spacing w:line="276" w:lineRule="auto"/>
              <w:rPr>
                <w:rFonts w:ascii="Times New Roman" w:hAnsi="Times New Roman" w:cs="Times New Roman"/>
                <w:sz w:val="20"/>
                <w:szCs w:val="20"/>
              </w:rPr>
            </w:pPr>
          </w:p>
        </w:tc>
        <w:tc>
          <w:tcPr>
            <w:tcW w:w="2643" w:type="dxa"/>
          </w:tcPr>
          <w:p w:rsidRPr="00463949" w:rsidR="006F6EFB" w:rsidP="00C76B32" w:rsidRDefault="006F6EFB" w14:paraId="409612AC" w14:textId="77777777">
            <w:pPr>
              <w:spacing w:line="276" w:lineRule="auto"/>
              <w:rPr>
                <w:rFonts w:ascii="Times New Roman" w:hAnsi="Times New Roman" w:cs="Times New Roman"/>
                <w:sz w:val="20"/>
                <w:szCs w:val="20"/>
              </w:rPr>
            </w:pPr>
          </w:p>
          <w:p w:rsidRPr="00463949" w:rsidR="0058654E" w:rsidP="00C76B32" w:rsidRDefault="0058654E" w14:paraId="1572D232" w14:textId="45E62166">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r w:rsidRPr="00463949" w:rsidR="00930E06">
              <w:rPr>
                <w:rFonts w:ascii="Times New Roman" w:hAnsi="Times New Roman" w:cs="Times New Roman"/>
                <w:sz w:val="20"/>
                <w:szCs w:val="20"/>
              </w:rPr>
              <w:t>.</w:t>
            </w:r>
          </w:p>
        </w:tc>
        <w:tc>
          <w:tcPr>
            <w:tcW w:w="1924" w:type="dxa"/>
          </w:tcPr>
          <w:p w:rsidRPr="00463949" w:rsidR="006F6EFB" w:rsidP="00C76B32" w:rsidRDefault="006F6EFB" w14:paraId="1831EC6D" w14:textId="77777777">
            <w:pPr>
              <w:spacing w:line="276" w:lineRule="auto"/>
              <w:rPr>
                <w:rFonts w:ascii="Times New Roman" w:hAnsi="Times New Roman" w:cs="Times New Roman"/>
                <w:sz w:val="20"/>
                <w:szCs w:val="20"/>
              </w:rPr>
            </w:pPr>
          </w:p>
          <w:p w:rsidRPr="00463949" w:rsidR="0058654E" w:rsidP="00C76B32" w:rsidRDefault="0058654E" w14:paraId="70F68441" w14:textId="4E47CDEA">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35818465" w14:textId="77777777">
        <w:tc>
          <w:tcPr>
            <w:tcW w:w="1807" w:type="dxa"/>
          </w:tcPr>
          <w:p w:rsidRPr="00463949" w:rsidR="006F6EFB" w:rsidP="00C76B32" w:rsidRDefault="006F6EFB" w14:paraId="6A9FFA14" w14:textId="77777777">
            <w:pPr>
              <w:spacing w:line="276" w:lineRule="auto"/>
              <w:rPr>
                <w:rFonts w:ascii="Times New Roman" w:hAnsi="Times New Roman" w:cs="Times New Roman"/>
                <w:sz w:val="20"/>
                <w:szCs w:val="20"/>
              </w:rPr>
            </w:pPr>
          </w:p>
          <w:p w:rsidRPr="00463949" w:rsidR="006F6EFB" w:rsidP="00C76B32" w:rsidRDefault="006F6EFB" w14:paraId="284D9587" w14:textId="77777777">
            <w:pPr>
              <w:spacing w:line="276" w:lineRule="auto"/>
              <w:rPr>
                <w:rFonts w:ascii="Times New Roman" w:hAnsi="Times New Roman" w:cs="Times New Roman"/>
                <w:sz w:val="20"/>
                <w:szCs w:val="20"/>
              </w:rPr>
            </w:pPr>
          </w:p>
          <w:p w:rsidRPr="00463949" w:rsidR="00930E06" w:rsidP="00C76B32" w:rsidRDefault="00930E06" w14:paraId="730813F2" w14:textId="730258F4">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 lid 3</w:t>
            </w:r>
          </w:p>
          <w:p w:rsidRPr="00463949" w:rsidR="00930E06" w:rsidP="00C76B32" w:rsidRDefault="00930E06" w14:paraId="7DA14623" w14:textId="77777777">
            <w:pPr>
              <w:spacing w:line="276" w:lineRule="auto"/>
              <w:rPr>
                <w:rFonts w:ascii="Times New Roman" w:hAnsi="Times New Roman" w:cs="Times New Roman"/>
                <w:sz w:val="20"/>
                <w:szCs w:val="20"/>
              </w:rPr>
            </w:pPr>
          </w:p>
        </w:tc>
        <w:tc>
          <w:tcPr>
            <w:tcW w:w="2643" w:type="dxa"/>
          </w:tcPr>
          <w:p w:rsidRPr="00463949" w:rsidR="006F6EFB" w:rsidP="00C76B32" w:rsidRDefault="006F6EFB" w14:paraId="03782505" w14:textId="77777777">
            <w:pPr>
              <w:spacing w:line="276" w:lineRule="auto"/>
              <w:rPr>
                <w:rFonts w:ascii="Times New Roman" w:hAnsi="Times New Roman" w:cs="Times New Roman"/>
                <w:sz w:val="20"/>
                <w:szCs w:val="20"/>
              </w:rPr>
            </w:pPr>
          </w:p>
          <w:p w:rsidRPr="00463949" w:rsidR="00930E06" w:rsidP="00C76B32" w:rsidRDefault="00930E06" w14:paraId="7736F175" w14:textId="77777777">
            <w:pPr>
              <w:spacing w:line="276" w:lineRule="auto"/>
              <w:rPr>
                <w:rFonts w:ascii="Times New Roman" w:hAnsi="Times New Roman" w:cs="Times New Roman"/>
                <w:sz w:val="20"/>
                <w:szCs w:val="20"/>
              </w:rPr>
            </w:pPr>
          </w:p>
          <w:p w:rsidRPr="00463949" w:rsidR="00930E06" w:rsidP="00C76B32" w:rsidRDefault="00930E06" w14:paraId="3D37B206"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C,</w:t>
            </w:r>
          </w:p>
          <w:p w:rsidRPr="00463949" w:rsidR="00930E06" w:rsidP="00C76B32" w:rsidRDefault="00930E06" w14:paraId="449DE33F" w14:textId="17ECA1AC">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(invoeging artikel 6:184a lid </w:t>
            </w:r>
            <w:r w:rsidRPr="00463949" w:rsidR="00032C75">
              <w:rPr>
                <w:rFonts w:ascii="Times New Roman" w:hAnsi="Times New Roman" w:cs="Times New Roman"/>
                <w:sz w:val="20"/>
                <w:szCs w:val="20"/>
              </w:rPr>
              <w:t>3</w:t>
            </w:r>
            <w:r w:rsidRPr="00463949">
              <w:rPr>
                <w:rFonts w:ascii="Times New Roman" w:hAnsi="Times New Roman" w:cs="Times New Roman"/>
                <w:sz w:val="20"/>
                <w:szCs w:val="20"/>
              </w:rPr>
              <w:t>, onder</w:t>
            </w:r>
            <w:r w:rsidRPr="00463949" w:rsidR="00A81F3C">
              <w:rPr>
                <w:rFonts w:ascii="Times New Roman" w:hAnsi="Times New Roman" w:cs="Times New Roman"/>
                <w:sz w:val="20"/>
                <w:szCs w:val="20"/>
              </w:rPr>
              <w:t>deel</w:t>
            </w:r>
            <w:r w:rsidRPr="00463949">
              <w:rPr>
                <w:rFonts w:ascii="Times New Roman" w:hAnsi="Times New Roman" w:cs="Times New Roman"/>
                <w:sz w:val="20"/>
                <w:szCs w:val="20"/>
              </w:rPr>
              <w:t xml:space="preserve"> b, BW)</w:t>
            </w:r>
            <w:r w:rsidRPr="00463949" w:rsidR="008B1C1E">
              <w:rPr>
                <w:rFonts w:ascii="Times New Roman" w:hAnsi="Times New Roman" w:cs="Times New Roman"/>
                <w:sz w:val="20"/>
                <w:szCs w:val="20"/>
              </w:rPr>
              <w:t>.</w:t>
            </w:r>
          </w:p>
          <w:p w:rsidRPr="00463949" w:rsidR="00930E06" w:rsidP="00C76B32" w:rsidRDefault="00930E06" w14:paraId="2F0CACFE" w14:textId="56D20BB1">
            <w:pPr>
              <w:spacing w:line="276" w:lineRule="auto"/>
              <w:rPr>
                <w:rFonts w:ascii="Times New Roman" w:hAnsi="Times New Roman" w:cs="Times New Roman"/>
                <w:sz w:val="20"/>
                <w:szCs w:val="20"/>
              </w:rPr>
            </w:pPr>
          </w:p>
        </w:tc>
        <w:tc>
          <w:tcPr>
            <w:tcW w:w="2643" w:type="dxa"/>
          </w:tcPr>
          <w:p w:rsidRPr="00463949" w:rsidR="006F6EFB" w:rsidP="00C76B32" w:rsidRDefault="006F6EFB" w14:paraId="1080BA96" w14:textId="77777777">
            <w:pPr>
              <w:spacing w:line="276" w:lineRule="auto"/>
              <w:rPr>
                <w:rFonts w:ascii="Times New Roman" w:hAnsi="Times New Roman" w:cs="Times New Roman"/>
                <w:sz w:val="20"/>
                <w:szCs w:val="20"/>
              </w:rPr>
            </w:pPr>
          </w:p>
          <w:p w:rsidRPr="00463949" w:rsidR="00930E06" w:rsidP="00C76B32" w:rsidRDefault="00930E06" w14:paraId="77DCB2CB" w14:textId="77777777">
            <w:pPr>
              <w:spacing w:line="276" w:lineRule="auto"/>
              <w:rPr>
                <w:rFonts w:ascii="Times New Roman" w:hAnsi="Times New Roman" w:cs="Times New Roman"/>
                <w:sz w:val="20"/>
                <w:szCs w:val="20"/>
              </w:rPr>
            </w:pPr>
          </w:p>
          <w:p w:rsidRPr="00463949" w:rsidR="00930E06" w:rsidP="00C76B32" w:rsidRDefault="00930E06" w14:paraId="145564EB" w14:textId="289C2597">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6F6EFB" w:rsidP="00C76B32" w:rsidRDefault="006F6EFB" w14:paraId="025CD5EC" w14:textId="77777777">
            <w:pPr>
              <w:spacing w:line="276" w:lineRule="auto"/>
              <w:rPr>
                <w:rFonts w:ascii="Times New Roman" w:hAnsi="Times New Roman" w:cs="Times New Roman"/>
                <w:sz w:val="20"/>
                <w:szCs w:val="20"/>
              </w:rPr>
            </w:pPr>
          </w:p>
          <w:p w:rsidRPr="00463949" w:rsidR="00930E06" w:rsidP="00C76B32" w:rsidRDefault="00930E06" w14:paraId="6F2F3C87" w14:textId="77777777">
            <w:pPr>
              <w:spacing w:line="276" w:lineRule="auto"/>
              <w:rPr>
                <w:rFonts w:ascii="Times New Roman" w:hAnsi="Times New Roman" w:cs="Times New Roman"/>
                <w:sz w:val="20"/>
                <w:szCs w:val="20"/>
              </w:rPr>
            </w:pPr>
          </w:p>
          <w:p w:rsidRPr="00463949" w:rsidR="00930E06" w:rsidP="00C76B32" w:rsidRDefault="00930E06" w14:paraId="2B0D3A47" w14:textId="0231FB09">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61F9B203" w14:textId="77777777">
        <w:tc>
          <w:tcPr>
            <w:tcW w:w="1807" w:type="dxa"/>
          </w:tcPr>
          <w:p w:rsidRPr="00463949" w:rsidR="006F6EFB" w:rsidP="00C76B32" w:rsidRDefault="006F6EFB" w14:paraId="24D109FD" w14:textId="77777777">
            <w:pPr>
              <w:spacing w:line="276" w:lineRule="auto"/>
              <w:rPr>
                <w:rFonts w:ascii="Times New Roman" w:hAnsi="Times New Roman" w:cs="Times New Roman"/>
                <w:sz w:val="20"/>
                <w:szCs w:val="20"/>
              </w:rPr>
            </w:pPr>
          </w:p>
          <w:p w:rsidRPr="00463949" w:rsidR="00930E06" w:rsidP="00C76B32" w:rsidRDefault="00930E06" w14:paraId="467FE948" w14:textId="11F29EB7">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 lid 4 onder a</w:t>
            </w:r>
          </w:p>
          <w:p w:rsidRPr="00463949" w:rsidR="00930E06" w:rsidP="00C76B32" w:rsidRDefault="00930E06" w14:paraId="44C0DEEC" w14:textId="77777777">
            <w:pPr>
              <w:spacing w:line="276" w:lineRule="auto"/>
              <w:rPr>
                <w:rFonts w:ascii="Times New Roman" w:hAnsi="Times New Roman" w:cs="Times New Roman"/>
                <w:sz w:val="20"/>
                <w:szCs w:val="20"/>
              </w:rPr>
            </w:pPr>
          </w:p>
        </w:tc>
        <w:tc>
          <w:tcPr>
            <w:tcW w:w="2643" w:type="dxa"/>
          </w:tcPr>
          <w:p w:rsidRPr="00463949" w:rsidR="006F6EFB" w:rsidP="00C76B32" w:rsidRDefault="006F6EFB" w14:paraId="064C10A0" w14:textId="77777777">
            <w:pPr>
              <w:spacing w:line="276" w:lineRule="auto"/>
              <w:rPr>
                <w:rFonts w:ascii="Times New Roman" w:hAnsi="Times New Roman" w:cs="Times New Roman"/>
                <w:sz w:val="20"/>
                <w:szCs w:val="20"/>
              </w:rPr>
            </w:pPr>
          </w:p>
          <w:p w:rsidRPr="00463949" w:rsidR="00930E06" w:rsidP="00C76B32" w:rsidRDefault="00930E06" w14:paraId="1B649AAD"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Behoeft naar zijn aard geen implementatie, omdat de bepaling geen verplichtingen oplegt aan de lidstaten.</w:t>
            </w:r>
          </w:p>
          <w:p w:rsidRPr="00463949" w:rsidR="00930E06" w:rsidP="00C76B32" w:rsidRDefault="00930E06" w14:paraId="3634E178" w14:textId="7CE9767B">
            <w:pPr>
              <w:spacing w:line="276" w:lineRule="auto"/>
              <w:rPr>
                <w:rFonts w:ascii="Times New Roman" w:hAnsi="Times New Roman" w:cs="Times New Roman"/>
                <w:sz w:val="20"/>
                <w:szCs w:val="20"/>
              </w:rPr>
            </w:pPr>
          </w:p>
        </w:tc>
        <w:tc>
          <w:tcPr>
            <w:tcW w:w="2643" w:type="dxa"/>
          </w:tcPr>
          <w:p w:rsidRPr="00463949" w:rsidR="006F6EFB" w:rsidP="00C76B32" w:rsidRDefault="006F6EFB" w14:paraId="7DB8185D" w14:textId="77777777">
            <w:pPr>
              <w:spacing w:line="276" w:lineRule="auto"/>
              <w:rPr>
                <w:rFonts w:ascii="Times New Roman" w:hAnsi="Times New Roman" w:cs="Times New Roman"/>
                <w:sz w:val="20"/>
                <w:szCs w:val="20"/>
              </w:rPr>
            </w:pPr>
          </w:p>
          <w:p w:rsidRPr="00463949" w:rsidR="00930E06" w:rsidP="00C76B32" w:rsidRDefault="00930E06" w14:paraId="25BA9B5A" w14:textId="44C38C2A">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6F6EFB" w:rsidP="00C76B32" w:rsidRDefault="006F6EFB" w14:paraId="17009DEC" w14:textId="77777777">
            <w:pPr>
              <w:spacing w:line="276" w:lineRule="auto"/>
              <w:rPr>
                <w:rFonts w:ascii="Times New Roman" w:hAnsi="Times New Roman" w:cs="Times New Roman"/>
                <w:sz w:val="20"/>
                <w:szCs w:val="20"/>
              </w:rPr>
            </w:pPr>
          </w:p>
          <w:p w:rsidRPr="00463949" w:rsidR="00930E06" w:rsidP="00C76B32" w:rsidRDefault="00930E06" w14:paraId="02E68E9C" w14:textId="0DB72A2C">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5CBC0D1C" w14:textId="77777777">
        <w:tc>
          <w:tcPr>
            <w:tcW w:w="1807" w:type="dxa"/>
          </w:tcPr>
          <w:p w:rsidRPr="00463949" w:rsidR="006F6EFB" w:rsidP="00C76B32" w:rsidRDefault="006F6EFB" w14:paraId="762C781F" w14:textId="77777777">
            <w:pPr>
              <w:spacing w:line="276" w:lineRule="auto"/>
              <w:rPr>
                <w:rFonts w:ascii="Times New Roman" w:hAnsi="Times New Roman" w:cs="Times New Roman"/>
                <w:sz w:val="20"/>
                <w:szCs w:val="20"/>
              </w:rPr>
            </w:pPr>
          </w:p>
          <w:p w:rsidRPr="00463949" w:rsidR="00930E06" w:rsidP="00C76B32" w:rsidRDefault="00933AD5" w14:paraId="651F82D3" w14:textId="111EC809">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 lid 4 onder b</w:t>
            </w:r>
          </w:p>
          <w:p w:rsidRPr="00463949" w:rsidR="00930E06" w:rsidP="00C76B32" w:rsidRDefault="00930E06" w14:paraId="40321F5F" w14:textId="77777777">
            <w:pPr>
              <w:spacing w:line="276" w:lineRule="auto"/>
              <w:rPr>
                <w:rFonts w:ascii="Times New Roman" w:hAnsi="Times New Roman" w:cs="Times New Roman"/>
                <w:sz w:val="20"/>
                <w:szCs w:val="20"/>
              </w:rPr>
            </w:pPr>
          </w:p>
          <w:p w:rsidRPr="00463949" w:rsidR="006F6EFB" w:rsidP="00C76B32" w:rsidRDefault="006F6EFB" w14:paraId="432F17E6" w14:textId="77777777">
            <w:pPr>
              <w:spacing w:line="276" w:lineRule="auto"/>
              <w:rPr>
                <w:rFonts w:ascii="Times New Roman" w:hAnsi="Times New Roman" w:cs="Times New Roman"/>
                <w:sz w:val="20"/>
                <w:szCs w:val="20"/>
              </w:rPr>
            </w:pPr>
          </w:p>
        </w:tc>
        <w:tc>
          <w:tcPr>
            <w:tcW w:w="2643" w:type="dxa"/>
          </w:tcPr>
          <w:p w:rsidRPr="00463949" w:rsidR="006F6EFB" w:rsidP="00C76B32" w:rsidRDefault="006F6EFB" w14:paraId="69E71DA6" w14:textId="77777777">
            <w:pPr>
              <w:spacing w:line="276" w:lineRule="auto"/>
              <w:rPr>
                <w:rFonts w:ascii="Times New Roman" w:hAnsi="Times New Roman" w:cs="Times New Roman"/>
                <w:sz w:val="20"/>
                <w:szCs w:val="20"/>
              </w:rPr>
            </w:pPr>
          </w:p>
          <w:p w:rsidRPr="00463949" w:rsidR="00833A5F" w:rsidP="00C76B32" w:rsidRDefault="00833A5F" w14:paraId="1DE646B1"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N</w:t>
            </w:r>
            <w:r w:rsidRPr="00463949" w:rsidR="00933AD5">
              <w:rPr>
                <w:rFonts w:ascii="Times New Roman" w:hAnsi="Times New Roman" w:cs="Times New Roman"/>
                <w:sz w:val="20"/>
                <w:szCs w:val="20"/>
              </w:rPr>
              <w:t>iet geïmplementeerd, bestaand recht in artikel 6:193 BW</w:t>
            </w:r>
            <w:r w:rsidRPr="00463949">
              <w:rPr>
                <w:rFonts w:ascii="Times New Roman" w:hAnsi="Times New Roman" w:cs="Times New Roman"/>
                <w:sz w:val="20"/>
                <w:szCs w:val="20"/>
              </w:rPr>
              <w:t xml:space="preserve">. </w:t>
            </w:r>
          </w:p>
          <w:p w:rsidRPr="00463949" w:rsidR="00833A5F" w:rsidP="00C76B32" w:rsidRDefault="00833A5F" w14:paraId="7FD714E9" w14:textId="77777777">
            <w:pPr>
              <w:spacing w:line="276" w:lineRule="auto"/>
              <w:rPr>
                <w:rFonts w:ascii="Times New Roman" w:hAnsi="Times New Roman" w:cs="Times New Roman"/>
                <w:sz w:val="20"/>
                <w:szCs w:val="20"/>
              </w:rPr>
            </w:pPr>
          </w:p>
          <w:p w:rsidRPr="00463949" w:rsidR="00933AD5" w:rsidP="00C76B32" w:rsidRDefault="00833A5F" w14:paraId="16A6CCE3" w14:textId="528E3B23">
            <w:pPr>
              <w:spacing w:line="276" w:lineRule="auto"/>
              <w:rPr>
                <w:rFonts w:ascii="Times New Roman" w:hAnsi="Times New Roman" w:cs="Times New Roman"/>
                <w:sz w:val="20"/>
                <w:szCs w:val="20"/>
              </w:rPr>
            </w:pPr>
            <w:r w:rsidRPr="00463949">
              <w:rPr>
                <w:rFonts w:ascii="Times New Roman" w:hAnsi="Times New Roman" w:cs="Times New Roman"/>
                <w:sz w:val="20"/>
                <w:szCs w:val="20"/>
              </w:rPr>
              <w:t>Met A</w:t>
            </w:r>
            <w:r w:rsidRPr="00463949" w:rsidR="00933AD5">
              <w:rPr>
                <w:rFonts w:ascii="Times New Roman" w:hAnsi="Times New Roman" w:cs="Times New Roman"/>
                <w:sz w:val="20"/>
                <w:szCs w:val="20"/>
              </w:rPr>
              <w:t>rtikel I, onderdeel M</w:t>
            </w:r>
            <w:r w:rsidRPr="00463949">
              <w:rPr>
                <w:rFonts w:ascii="Times New Roman" w:hAnsi="Times New Roman" w:cs="Times New Roman"/>
                <w:sz w:val="20"/>
                <w:szCs w:val="20"/>
              </w:rPr>
              <w:t xml:space="preserve">, worden uitsluitend redactionele wijzigingen doorgevoerd (het </w:t>
            </w:r>
            <w:r w:rsidRPr="00463949" w:rsidR="00933AD5">
              <w:rPr>
                <w:rFonts w:ascii="Times New Roman" w:hAnsi="Times New Roman" w:cs="Times New Roman"/>
                <w:sz w:val="20"/>
                <w:szCs w:val="20"/>
              </w:rPr>
              <w:t xml:space="preserve">vervangen van ”de producent” door “de marktdeelnemer” en </w:t>
            </w:r>
            <w:r w:rsidRPr="00463949">
              <w:rPr>
                <w:rFonts w:ascii="Times New Roman" w:hAnsi="Times New Roman" w:cs="Times New Roman"/>
                <w:sz w:val="20"/>
                <w:szCs w:val="20"/>
              </w:rPr>
              <w:t xml:space="preserve">het </w:t>
            </w:r>
            <w:r w:rsidRPr="00463949" w:rsidR="00933AD5">
              <w:rPr>
                <w:rFonts w:ascii="Times New Roman" w:hAnsi="Times New Roman" w:cs="Times New Roman"/>
                <w:sz w:val="20"/>
                <w:szCs w:val="20"/>
              </w:rPr>
              <w:t xml:space="preserve">invoegen van de zinsnede “op andere gronden dan </w:t>
            </w:r>
            <w:r w:rsidRPr="00463949" w:rsidR="000E08A5">
              <w:rPr>
                <w:rFonts w:ascii="Times New Roman" w:hAnsi="Times New Roman" w:cs="Times New Roman"/>
                <w:sz w:val="20"/>
                <w:szCs w:val="20"/>
              </w:rPr>
              <w:t xml:space="preserve">het gebrek </w:t>
            </w:r>
            <w:r w:rsidRPr="00463949" w:rsidR="00933AD5">
              <w:rPr>
                <w:rFonts w:ascii="Times New Roman" w:hAnsi="Times New Roman" w:cs="Times New Roman"/>
                <w:sz w:val="20"/>
                <w:szCs w:val="20"/>
              </w:rPr>
              <w:t>van het product bedoeld in deze afdeling”</w:t>
            </w:r>
            <w:r w:rsidRPr="00463949">
              <w:rPr>
                <w:rFonts w:ascii="Times New Roman" w:hAnsi="Times New Roman" w:cs="Times New Roman"/>
                <w:sz w:val="20"/>
                <w:szCs w:val="20"/>
              </w:rPr>
              <w:t>)</w:t>
            </w:r>
            <w:r w:rsidRPr="00463949" w:rsidR="00933AD5">
              <w:rPr>
                <w:rFonts w:ascii="Times New Roman" w:hAnsi="Times New Roman" w:cs="Times New Roman"/>
                <w:sz w:val="20"/>
                <w:szCs w:val="20"/>
              </w:rPr>
              <w:t xml:space="preserve">. </w:t>
            </w:r>
          </w:p>
          <w:p w:rsidRPr="00463949" w:rsidR="00933AD5" w:rsidP="00C76B32" w:rsidRDefault="00933AD5" w14:paraId="00B4B83D" w14:textId="50950737">
            <w:pPr>
              <w:spacing w:line="276" w:lineRule="auto"/>
              <w:rPr>
                <w:rFonts w:ascii="Times New Roman" w:hAnsi="Times New Roman" w:cs="Times New Roman"/>
                <w:sz w:val="20"/>
                <w:szCs w:val="20"/>
              </w:rPr>
            </w:pPr>
          </w:p>
        </w:tc>
        <w:tc>
          <w:tcPr>
            <w:tcW w:w="2643" w:type="dxa"/>
          </w:tcPr>
          <w:p w:rsidRPr="00463949" w:rsidR="006F6EFB" w:rsidP="00C76B32" w:rsidRDefault="006F6EFB" w14:paraId="0E32EA15" w14:textId="77777777">
            <w:pPr>
              <w:spacing w:line="276" w:lineRule="auto"/>
              <w:rPr>
                <w:rFonts w:ascii="Times New Roman" w:hAnsi="Times New Roman" w:cs="Times New Roman"/>
                <w:sz w:val="20"/>
                <w:szCs w:val="20"/>
              </w:rPr>
            </w:pPr>
          </w:p>
          <w:p w:rsidRPr="00463949" w:rsidR="00933AD5" w:rsidP="00C76B32" w:rsidRDefault="00933AD5" w14:paraId="300C9BEE" w14:textId="5F76A260">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6F6EFB" w:rsidP="00C76B32" w:rsidRDefault="006F6EFB" w14:paraId="69941B0B" w14:textId="77777777">
            <w:pPr>
              <w:spacing w:line="276" w:lineRule="auto"/>
              <w:rPr>
                <w:rFonts w:ascii="Times New Roman" w:hAnsi="Times New Roman" w:cs="Times New Roman"/>
                <w:sz w:val="20"/>
                <w:szCs w:val="20"/>
              </w:rPr>
            </w:pPr>
          </w:p>
          <w:p w:rsidRPr="00463949" w:rsidR="00933AD5" w:rsidP="00C76B32" w:rsidRDefault="00933AD5" w14:paraId="6EC6D3E6" w14:textId="71DE6191">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7134C5F9" w14:textId="77777777">
        <w:tc>
          <w:tcPr>
            <w:tcW w:w="1807" w:type="dxa"/>
          </w:tcPr>
          <w:p w:rsidRPr="00463949" w:rsidR="006F6EFB" w:rsidP="00C76B32" w:rsidRDefault="006F6EFB" w14:paraId="3290C3E5" w14:textId="77777777">
            <w:pPr>
              <w:spacing w:line="276" w:lineRule="auto"/>
              <w:rPr>
                <w:rFonts w:ascii="Times New Roman" w:hAnsi="Times New Roman" w:cs="Times New Roman"/>
                <w:sz w:val="20"/>
                <w:szCs w:val="20"/>
              </w:rPr>
            </w:pPr>
          </w:p>
          <w:p w:rsidRPr="00463949" w:rsidR="0003575F" w:rsidP="00C76B32" w:rsidRDefault="0003575F" w14:paraId="097C35C8" w14:textId="5DFE9B24">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 lid 4 onder c</w:t>
            </w:r>
          </w:p>
          <w:p w:rsidRPr="00463949" w:rsidR="006F6EFB" w:rsidP="00C76B32" w:rsidRDefault="006F6EFB" w14:paraId="354FD8A5" w14:textId="77777777">
            <w:pPr>
              <w:spacing w:line="276" w:lineRule="auto"/>
              <w:rPr>
                <w:rFonts w:ascii="Times New Roman" w:hAnsi="Times New Roman" w:cs="Times New Roman"/>
                <w:sz w:val="20"/>
                <w:szCs w:val="20"/>
              </w:rPr>
            </w:pPr>
          </w:p>
        </w:tc>
        <w:tc>
          <w:tcPr>
            <w:tcW w:w="2643" w:type="dxa"/>
          </w:tcPr>
          <w:p w:rsidRPr="00463949" w:rsidR="006F6EFB" w:rsidP="00C76B32" w:rsidRDefault="006F6EFB" w14:paraId="12216D9D" w14:textId="77777777">
            <w:pPr>
              <w:spacing w:line="276" w:lineRule="auto"/>
              <w:rPr>
                <w:rFonts w:ascii="Times New Roman" w:hAnsi="Times New Roman" w:cs="Times New Roman"/>
                <w:sz w:val="20"/>
                <w:szCs w:val="20"/>
              </w:rPr>
            </w:pPr>
          </w:p>
          <w:p w:rsidRPr="00463949" w:rsidR="0003575F" w:rsidP="00C76B32" w:rsidRDefault="0003575F" w14:paraId="7D2060AE"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Niet geïmplementeerd, omdat deze situatie zich in Nederland niet voordoet.</w:t>
            </w:r>
          </w:p>
          <w:p w:rsidRPr="00463949" w:rsidR="0003575F" w:rsidP="00C76B32" w:rsidRDefault="0003575F" w14:paraId="5336F3E1" w14:textId="301F9EB9">
            <w:pPr>
              <w:spacing w:line="276" w:lineRule="auto"/>
              <w:rPr>
                <w:rFonts w:ascii="Times New Roman" w:hAnsi="Times New Roman" w:cs="Times New Roman"/>
                <w:sz w:val="20"/>
                <w:szCs w:val="20"/>
              </w:rPr>
            </w:pPr>
          </w:p>
        </w:tc>
        <w:tc>
          <w:tcPr>
            <w:tcW w:w="2643" w:type="dxa"/>
          </w:tcPr>
          <w:p w:rsidRPr="00463949" w:rsidR="006F6EFB" w:rsidP="00C76B32" w:rsidRDefault="006F6EFB" w14:paraId="09E4E143" w14:textId="77777777">
            <w:pPr>
              <w:spacing w:line="276" w:lineRule="auto"/>
              <w:rPr>
                <w:rFonts w:ascii="Times New Roman" w:hAnsi="Times New Roman" w:cs="Times New Roman"/>
                <w:sz w:val="20"/>
                <w:szCs w:val="20"/>
              </w:rPr>
            </w:pPr>
          </w:p>
          <w:p w:rsidRPr="00463949" w:rsidR="0003575F" w:rsidP="00C76B32" w:rsidRDefault="0003575F" w14:paraId="7E36D294" w14:textId="48F4A656">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6F6EFB" w:rsidP="00C76B32" w:rsidRDefault="006F6EFB" w14:paraId="089A1998" w14:textId="77777777">
            <w:pPr>
              <w:spacing w:line="276" w:lineRule="auto"/>
              <w:rPr>
                <w:rFonts w:ascii="Times New Roman" w:hAnsi="Times New Roman" w:cs="Times New Roman"/>
                <w:sz w:val="20"/>
                <w:szCs w:val="20"/>
              </w:rPr>
            </w:pPr>
          </w:p>
          <w:p w:rsidRPr="00463949" w:rsidR="0003575F" w:rsidP="00C76B32" w:rsidRDefault="0003575F" w14:paraId="183981C9" w14:textId="1AD49518">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33693E02" w14:textId="77777777">
        <w:tc>
          <w:tcPr>
            <w:tcW w:w="1807" w:type="dxa"/>
          </w:tcPr>
          <w:p w:rsidRPr="00463949" w:rsidR="006F6EFB" w:rsidP="00C76B32" w:rsidRDefault="006F6EFB" w14:paraId="0B72273F" w14:textId="77777777">
            <w:pPr>
              <w:spacing w:line="276" w:lineRule="auto"/>
              <w:rPr>
                <w:rFonts w:ascii="Times New Roman" w:hAnsi="Times New Roman" w:cs="Times New Roman"/>
                <w:sz w:val="20"/>
                <w:szCs w:val="20"/>
              </w:rPr>
            </w:pPr>
          </w:p>
          <w:p w:rsidRPr="00463949" w:rsidR="006F6EFB" w:rsidP="00C76B32" w:rsidRDefault="0003575F" w14:paraId="086B91C3" w14:textId="51F78CEB">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3</w:t>
            </w:r>
          </w:p>
          <w:p w:rsidRPr="00463949" w:rsidR="0003575F" w:rsidP="00C76B32" w:rsidRDefault="0003575F" w14:paraId="6FD603F2" w14:textId="77777777">
            <w:pPr>
              <w:spacing w:line="276" w:lineRule="auto"/>
              <w:rPr>
                <w:rFonts w:ascii="Times New Roman" w:hAnsi="Times New Roman" w:cs="Times New Roman"/>
                <w:sz w:val="20"/>
                <w:szCs w:val="20"/>
              </w:rPr>
            </w:pPr>
          </w:p>
        </w:tc>
        <w:tc>
          <w:tcPr>
            <w:tcW w:w="2643" w:type="dxa"/>
          </w:tcPr>
          <w:p w:rsidRPr="00463949" w:rsidR="006F6EFB" w:rsidP="00C76B32" w:rsidRDefault="006F6EFB" w14:paraId="339B5652" w14:textId="77777777">
            <w:pPr>
              <w:spacing w:line="276" w:lineRule="auto"/>
              <w:rPr>
                <w:rFonts w:ascii="Times New Roman" w:hAnsi="Times New Roman" w:cs="Times New Roman"/>
                <w:sz w:val="20"/>
                <w:szCs w:val="20"/>
              </w:rPr>
            </w:pPr>
          </w:p>
          <w:p w:rsidRPr="00463949" w:rsidR="0003575F" w:rsidP="00C76B32" w:rsidRDefault="0003575F" w14:paraId="0D1D68BF" w14:textId="40F07A68">
            <w:pPr>
              <w:spacing w:line="276" w:lineRule="auto"/>
              <w:rPr>
                <w:rFonts w:ascii="Times New Roman" w:hAnsi="Times New Roman" w:cs="Times New Roman"/>
                <w:sz w:val="20"/>
                <w:szCs w:val="20"/>
              </w:rPr>
            </w:pPr>
            <w:r w:rsidRPr="00463949">
              <w:rPr>
                <w:rFonts w:ascii="Times New Roman" w:hAnsi="Times New Roman" w:cs="Times New Roman"/>
                <w:sz w:val="20"/>
                <w:szCs w:val="20"/>
              </w:rPr>
              <w:t>Niet geïmplementeerd</w:t>
            </w:r>
            <w:r w:rsidRPr="00463949" w:rsidR="004033DD">
              <w:rPr>
                <w:rFonts w:ascii="Times New Roman" w:hAnsi="Times New Roman" w:cs="Times New Roman"/>
                <w:sz w:val="20"/>
                <w:szCs w:val="20"/>
              </w:rPr>
              <w:t xml:space="preserve">, omdat deze bepaling het </w:t>
            </w:r>
            <w:r w:rsidRPr="00463949">
              <w:rPr>
                <w:rFonts w:ascii="Times New Roman" w:hAnsi="Times New Roman" w:cs="Times New Roman"/>
                <w:sz w:val="20"/>
                <w:szCs w:val="20"/>
              </w:rPr>
              <w:t xml:space="preserve">harmonisatieniveau van de </w:t>
            </w:r>
            <w:r w:rsidRPr="00463949" w:rsidR="006D63B6">
              <w:rPr>
                <w:rFonts w:ascii="Times New Roman" w:hAnsi="Times New Roman" w:cs="Times New Roman"/>
                <w:sz w:val="20"/>
                <w:szCs w:val="20"/>
              </w:rPr>
              <w:t>R</w:t>
            </w:r>
            <w:r w:rsidRPr="00463949">
              <w:rPr>
                <w:rFonts w:ascii="Times New Roman" w:hAnsi="Times New Roman" w:cs="Times New Roman"/>
                <w:sz w:val="20"/>
                <w:szCs w:val="20"/>
              </w:rPr>
              <w:t>ichtlijn</w:t>
            </w:r>
            <w:r w:rsidRPr="00463949" w:rsidR="004033DD">
              <w:rPr>
                <w:rFonts w:ascii="Times New Roman" w:hAnsi="Times New Roman" w:cs="Times New Roman"/>
                <w:sz w:val="20"/>
                <w:szCs w:val="20"/>
              </w:rPr>
              <w:t xml:space="preserve"> betreft</w:t>
            </w:r>
            <w:r w:rsidRPr="00463949">
              <w:rPr>
                <w:rFonts w:ascii="Times New Roman" w:hAnsi="Times New Roman" w:cs="Times New Roman"/>
                <w:sz w:val="20"/>
                <w:szCs w:val="20"/>
              </w:rPr>
              <w:t>.</w:t>
            </w:r>
          </w:p>
          <w:p w:rsidRPr="00463949" w:rsidR="0003575F" w:rsidP="00C76B32" w:rsidRDefault="0003575F" w14:paraId="00623E7F" w14:textId="57573578">
            <w:pPr>
              <w:spacing w:line="276" w:lineRule="auto"/>
              <w:rPr>
                <w:rFonts w:ascii="Times New Roman" w:hAnsi="Times New Roman" w:cs="Times New Roman"/>
                <w:sz w:val="20"/>
                <w:szCs w:val="20"/>
              </w:rPr>
            </w:pPr>
          </w:p>
        </w:tc>
        <w:tc>
          <w:tcPr>
            <w:tcW w:w="2643" w:type="dxa"/>
          </w:tcPr>
          <w:p w:rsidRPr="00463949" w:rsidR="006F6EFB" w:rsidP="00C76B32" w:rsidRDefault="006F6EFB" w14:paraId="33A05474" w14:textId="77777777">
            <w:pPr>
              <w:spacing w:line="276" w:lineRule="auto"/>
              <w:rPr>
                <w:rFonts w:ascii="Times New Roman" w:hAnsi="Times New Roman" w:cs="Times New Roman"/>
                <w:sz w:val="20"/>
                <w:szCs w:val="20"/>
              </w:rPr>
            </w:pPr>
          </w:p>
          <w:p w:rsidRPr="00463949" w:rsidR="0003575F" w:rsidP="00C76B32" w:rsidRDefault="0003575F" w14:paraId="5404510C" w14:textId="74EAED3D">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6F6EFB" w:rsidP="00C76B32" w:rsidRDefault="006F6EFB" w14:paraId="4B3742A7" w14:textId="77777777">
            <w:pPr>
              <w:spacing w:line="276" w:lineRule="auto"/>
              <w:rPr>
                <w:rFonts w:ascii="Times New Roman" w:hAnsi="Times New Roman" w:cs="Times New Roman"/>
                <w:sz w:val="20"/>
                <w:szCs w:val="20"/>
              </w:rPr>
            </w:pPr>
          </w:p>
          <w:p w:rsidRPr="00463949" w:rsidR="0003575F" w:rsidP="00C76B32" w:rsidRDefault="0003575F" w14:paraId="44A61B11" w14:textId="2204D99C">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3502A073" w14:textId="77777777">
        <w:tc>
          <w:tcPr>
            <w:tcW w:w="1807" w:type="dxa"/>
          </w:tcPr>
          <w:p w:rsidRPr="00463949" w:rsidR="0003575F" w:rsidP="00C76B32" w:rsidRDefault="0003575F" w14:paraId="2B086054" w14:textId="77777777">
            <w:pPr>
              <w:spacing w:line="276" w:lineRule="auto"/>
              <w:rPr>
                <w:rFonts w:ascii="Times New Roman" w:hAnsi="Times New Roman" w:cs="Times New Roman"/>
                <w:sz w:val="20"/>
                <w:szCs w:val="20"/>
              </w:rPr>
            </w:pPr>
          </w:p>
          <w:p w:rsidRPr="00463949" w:rsidR="0003575F" w:rsidP="00C76B32" w:rsidRDefault="0003575F" w14:paraId="4FA2A4CD" w14:textId="55FA2568">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4</w:t>
            </w:r>
          </w:p>
          <w:p w:rsidRPr="00463949" w:rsidR="0003575F" w:rsidP="00C76B32" w:rsidRDefault="0003575F" w14:paraId="0DE2947B" w14:textId="77777777">
            <w:pPr>
              <w:spacing w:line="276" w:lineRule="auto"/>
              <w:rPr>
                <w:rFonts w:ascii="Times New Roman" w:hAnsi="Times New Roman" w:cs="Times New Roman"/>
                <w:sz w:val="20"/>
                <w:szCs w:val="20"/>
              </w:rPr>
            </w:pPr>
          </w:p>
        </w:tc>
        <w:tc>
          <w:tcPr>
            <w:tcW w:w="2643" w:type="dxa"/>
          </w:tcPr>
          <w:p w:rsidRPr="00463949" w:rsidR="0003575F" w:rsidP="00C76B32" w:rsidRDefault="0003575F" w14:paraId="79658601" w14:textId="77777777">
            <w:pPr>
              <w:spacing w:line="276" w:lineRule="auto"/>
              <w:rPr>
                <w:rFonts w:ascii="Times New Roman" w:hAnsi="Times New Roman" w:cs="Times New Roman"/>
                <w:sz w:val="20"/>
                <w:szCs w:val="20"/>
              </w:rPr>
            </w:pPr>
          </w:p>
          <w:p w:rsidRPr="00463949" w:rsidR="0003575F" w:rsidP="00C76B32" w:rsidRDefault="0003575F" w14:paraId="655BF619" w14:textId="3B2DC591">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I, onderdeel C, (invoeging artikel 184a </w:t>
            </w:r>
            <w:r w:rsidRPr="00463949" w:rsidR="00032C75">
              <w:rPr>
                <w:rFonts w:ascii="Times New Roman" w:hAnsi="Times New Roman" w:cs="Times New Roman"/>
                <w:sz w:val="20"/>
                <w:szCs w:val="20"/>
              </w:rPr>
              <w:t xml:space="preserve">leden </w:t>
            </w:r>
            <w:r w:rsidRPr="00463949">
              <w:rPr>
                <w:rFonts w:ascii="Times New Roman" w:hAnsi="Times New Roman" w:cs="Times New Roman"/>
                <w:sz w:val="20"/>
                <w:szCs w:val="20"/>
              </w:rPr>
              <w:t>1</w:t>
            </w:r>
            <w:r w:rsidRPr="00463949" w:rsidR="00032C75">
              <w:rPr>
                <w:rFonts w:ascii="Times New Roman" w:hAnsi="Times New Roman" w:cs="Times New Roman"/>
                <w:sz w:val="20"/>
                <w:szCs w:val="20"/>
              </w:rPr>
              <w:t>-2</w:t>
            </w:r>
            <w:r w:rsidRPr="00463949">
              <w:rPr>
                <w:rFonts w:ascii="Times New Roman" w:hAnsi="Times New Roman" w:cs="Times New Roman"/>
                <w:sz w:val="20"/>
                <w:szCs w:val="20"/>
              </w:rPr>
              <w:t xml:space="preserve"> BW)</w:t>
            </w:r>
            <w:r w:rsidRPr="00463949" w:rsidR="008B1C1E">
              <w:rPr>
                <w:rFonts w:ascii="Times New Roman" w:hAnsi="Times New Roman" w:cs="Times New Roman"/>
                <w:sz w:val="20"/>
                <w:szCs w:val="20"/>
              </w:rPr>
              <w:t>.</w:t>
            </w:r>
          </w:p>
          <w:p w:rsidRPr="00463949" w:rsidR="0003575F" w:rsidP="00C76B32" w:rsidRDefault="0003575F" w14:paraId="4866FD16" w14:textId="4C3BF2AD">
            <w:pPr>
              <w:spacing w:line="276" w:lineRule="auto"/>
              <w:rPr>
                <w:rFonts w:ascii="Times New Roman" w:hAnsi="Times New Roman" w:cs="Times New Roman"/>
                <w:sz w:val="20"/>
                <w:szCs w:val="20"/>
              </w:rPr>
            </w:pPr>
          </w:p>
        </w:tc>
        <w:tc>
          <w:tcPr>
            <w:tcW w:w="2643" w:type="dxa"/>
          </w:tcPr>
          <w:p w:rsidRPr="00463949" w:rsidR="0003575F" w:rsidP="00C76B32" w:rsidRDefault="0003575F" w14:paraId="6D0F1115" w14:textId="77777777">
            <w:pPr>
              <w:spacing w:line="276" w:lineRule="auto"/>
              <w:rPr>
                <w:rFonts w:ascii="Times New Roman" w:hAnsi="Times New Roman" w:cs="Times New Roman"/>
                <w:sz w:val="20"/>
                <w:szCs w:val="20"/>
              </w:rPr>
            </w:pPr>
          </w:p>
          <w:p w:rsidRPr="00463949" w:rsidR="0003575F" w:rsidP="00C76B32" w:rsidRDefault="0003575F" w14:paraId="32081CFE" w14:textId="3A9E9BF1">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03575F" w:rsidP="00C76B32" w:rsidRDefault="0003575F" w14:paraId="01E87A23" w14:textId="77777777">
            <w:pPr>
              <w:spacing w:line="276" w:lineRule="auto"/>
              <w:rPr>
                <w:rFonts w:ascii="Times New Roman" w:hAnsi="Times New Roman" w:cs="Times New Roman"/>
                <w:sz w:val="20"/>
                <w:szCs w:val="20"/>
              </w:rPr>
            </w:pPr>
          </w:p>
          <w:p w:rsidRPr="00463949" w:rsidR="0003575F" w:rsidP="00C76B32" w:rsidRDefault="0003575F" w14:paraId="7C4D1A9B" w14:textId="4EA244F0">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7C128A6F" w14:textId="77777777">
        <w:tc>
          <w:tcPr>
            <w:tcW w:w="1807" w:type="dxa"/>
          </w:tcPr>
          <w:p w:rsidRPr="00463949" w:rsidR="0003575F" w:rsidP="00C76B32" w:rsidRDefault="0003575F" w14:paraId="6B02F2D5" w14:textId="77777777">
            <w:pPr>
              <w:spacing w:line="276" w:lineRule="auto"/>
              <w:rPr>
                <w:rFonts w:ascii="Times New Roman" w:hAnsi="Times New Roman" w:cs="Times New Roman"/>
                <w:sz w:val="20"/>
                <w:szCs w:val="20"/>
              </w:rPr>
            </w:pPr>
          </w:p>
          <w:p w:rsidRPr="00463949" w:rsidR="0003575F" w:rsidP="00C76B32" w:rsidRDefault="0003575F" w14:paraId="609EFCEF" w14:textId="4B829946">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5 lid 1</w:t>
            </w:r>
          </w:p>
          <w:p w:rsidRPr="00463949" w:rsidR="0003575F" w:rsidP="00C76B32" w:rsidRDefault="0003575F" w14:paraId="1204B3E3" w14:textId="77777777">
            <w:pPr>
              <w:spacing w:line="276" w:lineRule="auto"/>
              <w:rPr>
                <w:rFonts w:ascii="Times New Roman" w:hAnsi="Times New Roman" w:cs="Times New Roman"/>
                <w:sz w:val="20"/>
                <w:szCs w:val="20"/>
              </w:rPr>
            </w:pPr>
          </w:p>
        </w:tc>
        <w:tc>
          <w:tcPr>
            <w:tcW w:w="2643" w:type="dxa"/>
          </w:tcPr>
          <w:p w:rsidRPr="00463949" w:rsidR="0003575F" w:rsidP="00C76B32" w:rsidRDefault="0003575F" w14:paraId="168C6284" w14:textId="77777777">
            <w:pPr>
              <w:spacing w:line="276" w:lineRule="auto"/>
              <w:rPr>
                <w:rFonts w:ascii="Times New Roman" w:hAnsi="Times New Roman" w:cs="Times New Roman"/>
                <w:sz w:val="20"/>
                <w:szCs w:val="20"/>
              </w:rPr>
            </w:pPr>
          </w:p>
          <w:p w:rsidRPr="00463949" w:rsidR="003D6837" w:rsidP="00C76B32" w:rsidRDefault="003D6837" w14:paraId="33539695" w14:textId="37E461C6">
            <w:pPr>
              <w:spacing w:line="276" w:lineRule="auto"/>
              <w:rPr>
                <w:rFonts w:ascii="Times New Roman" w:hAnsi="Times New Roman" w:cs="Times New Roman"/>
                <w:spacing w:val="-2"/>
                <w:sz w:val="20"/>
                <w:szCs w:val="20"/>
              </w:rPr>
            </w:pPr>
            <w:r w:rsidRPr="00463949">
              <w:rPr>
                <w:rFonts w:ascii="Times New Roman" w:hAnsi="Times New Roman" w:cs="Times New Roman"/>
                <w:sz w:val="20"/>
                <w:szCs w:val="20"/>
              </w:rPr>
              <w:t>Niet (afzonderlijk) geïmplementeerd, omdat het recht op schadevergoeding a</w:t>
            </w:r>
            <w:r w:rsidRPr="00463949" w:rsidR="004033DD">
              <w:rPr>
                <w:rFonts w:ascii="Times New Roman" w:hAnsi="Times New Roman" w:cs="Times New Roman"/>
                <w:sz w:val="20"/>
                <w:szCs w:val="20"/>
              </w:rPr>
              <w:t>l</w:t>
            </w:r>
            <w:r w:rsidRPr="00463949">
              <w:rPr>
                <w:rFonts w:ascii="Times New Roman" w:hAnsi="Times New Roman" w:cs="Times New Roman"/>
                <w:sz w:val="20"/>
                <w:szCs w:val="20"/>
              </w:rPr>
              <w:t xml:space="preserve"> voortvloeit uit de huidige regeling in afdeling 3 van titel 3 van Boek 6 BW, zoals gewijzigd door de implementatie van de overige bepalingen van Richtlijn </w:t>
            </w:r>
            <w:r w:rsidRPr="00463949">
              <w:rPr>
                <w:rFonts w:ascii="Times New Roman" w:hAnsi="Times New Roman" w:cs="Times New Roman"/>
                <w:spacing w:val="-2"/>
                <w:sz w:val="20"/>
                <w:szCs w:val="20"/>
              </w:rPr>
              <w:t>(EU) 2024/2853</w:t>
            </w:r>
            <w:r w:rsidRPr="00463949" w:rsidR="008B1C1E">
              <w:rPr>
                <w:rFonts w:ascii="Times New Roman" w:hAnsi="Times New Roman" w:cs="Times New Roman"/>
                <w:spacing w:val="-2"/>
                <w:sz w:val="20"/>
                <w:szCs w:val="20"/>
              </w:rPr>
              <w:t>.</w:t>
            </w:r>
          </w:p>
          <w:p w:rsidRPr="00463949" w:rsidR="003D6837" w:rsidP="00C76B32" w:rsidRDefault="003D6837" w14:paraId="5975B799" w14:textId="4C44223A">
            <w:pPr>
              <w:spacing w:line="276" w:lineRule="auto"/>
              <w:rPr>
                <w:rFonts w:ascii="Times New Roman" w:hAnsi="Times New Roman" w:cs="Times New Roman"/>
                <w:sz w:val="20"/>
                <w:szCs w:val="20"/>
              </w:rPr>
            </w:pPr>
          </w:p>
        </w:tc>
        <w:tc>
          <w:tcPr>
            <w:tcW w:w="2643" w:type="dxa"/>
          </w:tcPr>
          <w:p w:rsidRPr="00463949" w:rsidR="0003575F" w:rsidP="00C76B32" w:rsidRDefault="0003575F" w14:paraId="19CCF460" w14:textId="77777777">
            <w:pPr>
              <w:spacing w:line="276" w:lineRule="auto"/>
              <w:rPr>
                <w:rFonts w:ascii="Times New Roman" w:hAnsi="Times New Roman" w:cs="Times New Roman"/>
                <w:sz w:val="20"/>
                <w:szCs w:val="20"/>
              </w:rPr>
            </w:pPr>
          </w:p>
          <w:p w:rsidRPr="00463949" w:rsidR="003D6837" w:rsidP="00C76B32" w:rsidRDefault="003D6837" w14:paraId="141141E6" w14:textId="388CB4E2">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03575F" w:rsidP="00C76B32" w:rsidRDefault="0003575F" w14:paraId="7C326F6B" w14:textId="77777777">
            <w:pPr>
              <w:spacing w:line="276" w:lineRule="auto"/>
              <w:rPr>
                <w:rFonts w:ascii="Times New Roman" w:hAnsi="Times New Roman" w:cs="Times New Roman"/>
                <w:sz w:val="20"/>
                <w:szCs w:val="20"/>
              </w:rPr>
            </w:pPr>
          </w:p>
          <w:p w:rsidRPr="00463949" w:rsidR="003D6837" w:rsidP="00C76B32" w:rsidRDefault="003D6837" w14:paraId="7519DBCF" w14:textId="35E966A4">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32CC45CA" w14:textId="77777777">
        <w:tc>
          <w:tcPr>
            <w:tcW w:w="1807" w:type="dxa"/>
          </w:tcPr>
          <w:p w:rsidRPr="00463949" w:rsidR="0003575F" w:rsidP="00C76B32" w:rsidRDefault="0003575F" w14:paraId="5C1704B3" w14:textId="77777777">
            <w:pPr>
              <w:spacing w:line="276" w:lineRule="auto"/>
              <w:rPr>
                <w:rFonts w:ascii="Times New Roman" w:hAnsi="Times New Roman" w:cs="Times New Roman"/>
                <w:sz w:val="20"/>
                <w:szCs w:val="20"/>
              </w:rPr>
            </w:pPr>
          </w:p>
          <w:p w:rsidRPr="00463949" w:rsidR="003D6837" w:rsidP="00C76B32" w:rsidRDefault="003D6837" w14:paraId="6E410066" w14:textId="23349C1D">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5 lid 2 onder a</w:t>
            </w:r>
            <w:r w:rsidRPr="00463949" w:rsidR="00340059">
              <w:rPr>
                <w:rFonts w:ascii="Times New Roman" w:hAnsi="Times New Roman" w:cs="Times New Roman"/>
                <w:sz w:val="20"/>
                <w:szCs w:val="20"/>
              </w:rPr>
              <w:t xml:space="preserve"> (bezien in licht doelstellingen Richtlijn)</w:t>
            </w:r>
          </w:p>
          <w:p w:rsidRPr="00463949" w:rsidR="0003575F" w:rsidP="00C76B32" w:rsidRDefault="0003575F" w14:paraId="2608A098" w14:textId="77777777">
            <w:pPr>
              <w:spacing w:line="276" w:lineRule="auto"/>
              <w:rPr>
                <w:rFonts w:ascii="Times New Roman" w:hAnsi="Times New Roman" w:cs="Times New Roman"/>
                <w:sz w:val="20"/>
                <w:szCs w:val="20"/>
              </w:rPr>
            </w:pPr>
          </w:p>
          <w:p w:rsidRPr="00463949" w:rsidR="0003575F" w:rsidP="00C76B32" w:rsidRDefault="0003575F" w14:paraId="70817915" w14:textId="77777777">
            <w:pPr>
              <w:spacing w:line="276" w:lineRule="auto"/>
              <w:rPr>
                <w:rFonts w:ascii="Times New Roman" w:hAnsi="Times New Roman" w:cs="Times New Roman"/>
                <w:sz w:val="20"/>
                <w:szCs w:val="20"/>
              </w:rPr>
            </w:pPr>
          </w:p>
        </w:tc>
        <w:tc>
          <w:tcPr>
            <w:tcW w:w="2643" w:type="dxa"/>
          </w:tcPr>
          <w:p w:rsidRPr="00463949" w:rsidR="0003575F" w:rsidP="00C76B32" w:rsidRDefault="0003575F" w14:paraId="3560C7C0" w14:textId="77777777">
            <w:pPr>
              <w:spacing w:line="276" w:lineRule="auto"/>
              <w:rPr>
                <w:rFonts w:ascii="Times New Roman" w:hAnsi="Times New Roman" w:cs="Times New Roman"/>
                <w:sz w:val="20"/>
                <w:szCs w:val="20"/>
              </w:rPr>
            </w:pPr>
          </w:p>
          <w:p w:rsidRPr="00463949" w:rsidR="003D6837" w:rsidP="00C76B32" w:rsidRDefault="003D6837" w14:paraId="320EFE0F" w14:textId="2273686A">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N, (wijziging artikel 6:197 leden 1-2 BW)</w:t>
            </w:r>
            <w:r w:rsidRPr="00463949" w:rsidR="008B1C1E">
              <w:rPr>
                <w:rFonts w:ascii="Times New Roman" w:hAnsi="Times New Roman" w:cs="Times New Roman"/>
                <w:sz w:val="20"/>
                <w:szCs w:val="20"/>
              </w:rPr>
              <w:t>.</w:t>
            </w:r>
          </w:p>
        </w:tc>
        <w:tc>
          <w:tcPr>
            <w:tcW w:w="2643" w:type="dxa"/>
          </w:tcPr>
          <w:p w:rsidRPr="00463949" w:rsidR="0003575F" w:rsidP="00C76B32" w:rsidRDefault="0003575F" w14:paraId="3EB22C4A" w14:textId="77777777">
            <w:pPr>
              <w:spacing w:line="276" w:lineRule="auto"/>
              <w:rPr>
                <w:rFonts w:ascii="Times New Roman" w:hAnsi="Times New Roman" w:cs="Times New Roman"/>
                <w:sz w:val="20"/>
                <w:szCs w:val="20"/>
              </w:rPr>
            </w:pPr>
          </w:p>
          <w:p w:rsidRPr="00463949" w:rsidR="003D6837" w:rsidP="00C76B32" w:rsidRDefault="003D6837" w14:paraId="043560CA" w14:textId="2CF09212">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03575F" w:rsidP="00C76B32" w:rsidRDefault="0003575F" w14:paraId="0FCE8914" w14:textId="77777777">
            <w:pPr>
              <w:spacing w:line="276" w:lineRule="auto"/>
              <w:rPr>
                <w:rFonts w:ascii="Times New Roman" w:hAnsi="Times New Roman" w:cs="Times New Roman"/>
                <w:sz w:val="20"/>
                <w:szCs w:val="20"/>
              </w:rPr>
            </w:pPr>
          </w:p>
          <w:p w:rsidRPr="00463949" w:rsidR="003D6837" w:rsidP="00C76B32" w:rsidRDefault="003D6837" w14:paraId="0ECEE8F9" w14:textId="016D87B5">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3A12D164" w14:textId="77777777">
        <w:tc>
          <w:tcPr>
            <w:tcW w:w="1807" w:type="dxa"/>
          </w:tcPr>
          <w:p w:rsidRPr="00463949" w:rsidR="0003575F" w:rsidP="00C76B32" w:rsidRDefault="0003575F" w14:paraId="5B7BB1BE" w14:textId="77777777">
            <w:pPr>
              <w:spacing w:line="276" w:lineRule="auto"/>
              <w:rPr>
                <w:rFonts w:ascii="Times New Roman" w:hAnsi="Times New Roman" w:cs="Times New Roman"/>
                <w:sz w:val="20"/>
                <w:szCs w:val="20"/>
              </w:rPr>
            </w:pPr>
          </w:p>
          <w:p w:rsidRPr="00463949" w:rsidR="003D6837" w:rsidP="00C76B32" w:rsidRDefault="003D6837" w14:paraId="3F63E9BA" w14:textId="4E48967B">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5 lid 2 onder b </w:t>
            </w:r>
          </w:p>
          <w:p w:rsidRPr="00463949" w:rsidR="0003575F" w:rsidP="00C76B32" w:rsidRDefault="0003575F" w14:paraId="5021F337" w14:textId="77777777">
            <w:pPr>
              <w:spacing w:line="276" w:lineRule="auto"/>
              <w:rPr>
                <w:rFonts w:ascii="Times New Roman" w:hAnsi="Times New Roman" w:cs="Times New Roman"/>
                <w:sz w:val="20"/>
                <w:szCs w:val="20"/>
              </w:rPr>
            </w:pPr>
          </w:p>
          <w:p w:rsidRPr="00463949" w:rsidR="0003575F" w:rsidP="00C76B32" w:rsidRDefault="0003575F" w14:paraId="06F256F1" w14:textId="77777777">
            <w:pPr>
              <w:spacing w:line="276" w:lineRule="auto"/>
              <w:rPr>
                <w:rFonts w:ascii="Times New Roman" w:hAnsi="Times New Roman" w:cs="Times New Roman"/>
                <w:sz w:val="20"/>
                <w:szCs w:val="20"/>
              </w:rPr>
            </w:pPr>
          </w:p>
        </w:tc>
        <w:tc>
          <w:tcPr>
            <w:tcW w:w="2643" w:type="dxa"/>
          </w:tcPr>
          <w:p w:rsidRPr="00463949" w:rsidR="0003575F" w:rsidP="00C76B32" w:rsidRDefault="0003575F" w14:paraId="11A4D775" w14:textId="77777777">
            <w:pPr>
              <w:spacing w:line="276" w:lineRule="auto"/>
              <w:rPr>
                <w:rFonts w:ascii="Times New Roman" w:hAnsi="Times New Roman" w:cs="Times New Roman"/>
                <w:sz w:val="20"/>
                <w:szCs w:val="20"/>
              </w:rPr>
            </w:pPr>
          </w:p>
          <w:p w:rsidRPr="00463949" w:rsidR="003D6837" w:rsidP="00C76B32" w:rsidRDefault="003D6837" w14:paraId="22966A46"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Niet geïmplementeerd, bestaand recht in artikel 3:305a e.v. BW.</w:t>
            </w:r>
          </w:p>
          <w:p w:rsidRPr="00463949" w:rsidR="003D6837" w:rsidP="00C76B32" w:rsidRDefault="003D6837" w14:paraId="19FE15EC" w14:textId="58ECCE14">
            <w:pPr>
              <w:spacing w:line="276" w:lineRule="auto"/>
              <w:rPr>
                <w:rFonts w:ascii="Times New Roman" w:hAnsi="Times New Roman" w:cs="Times New Roman"/>
                <w:sz w:val="20"/>
                <w:szCs w:val="20"/>
              </w:rPr>
            </w:pPr>
          </w:p>
        </w:tc>
        <w:tc>
          <w:tcPr>
            <w:tcW w:w="2643" w:type="dxa"/>
          </w:tcPr>
          <w:p w:rsidRPr="00463949" w:rsidR="0003575F" w:rsidP="00C76B32" w:rsidRDefault="0003575F" w14:paraId="32DFC8DD" w14:textId="77777777">
            <w:pPr>
              <w:spacing w:line="276" w:lineRule="auto"/>
              <w:rPr>
                <w:rFonts w:ascii="Times New Roman" w:hAnsi="Times New Roman" w:cs="Times New Roman"/>
                <w:sz w:val="20"/>
                <w:szCs w:val="20"/>
              </w:rPr>
            </w:pPr>
          </w:p>
          <w:p w:rsidRPr="00463949" w:rsidR="003D6837" w:rsidP="00C76B32" w:rsidRDefault="003D6837" w14:paraId="439BC551" w14:textId="02EFC2B4">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03575F" w:rsidP="00C76B32" w:rsidRDefault="0003575F" w14:paraId="6C846E35" w14:textId="77777777">
            <w:pPr>
              <w:spacing w:line="276" w:lineRule="auto"/>
              <w:rPr>
                <w:rFonts w:ascii="Times New Roman" w:hAnsi="Times New Roman" w:cs="Times New Roman"/>
                <w:sz w:val="20"/>
                <w:szCs w:val="20"/>
              </w:rPr>
            </w:pPr>
          </w:p>
          <w:p w:rsidRPr="00463949" w:rsidR="003D6837" w:rsidP="00C76B32" w:rsidRDefault="003D6837" w14:paraId="49ED9250" w14:textId="2F84C97C">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3DA7F06A" w14:textId="77777777">
        <w:tc>
          <w:tcPr>
            <w:tcW w:w="1807" w:type="dxa"/>
          </w:tcPr>
          <w:p w:rsidRPr="00463949" w:rsidR="0003575F" w:rsidP="00C76B32" w:rsidRDefault="0003575F" w14:paraId="5C796282" w14:textId="77777777">
            <w:pPr>
              <w:spacing w:line="276" w:lineRule="auto"/>
              <w:rPr>
                <w:rFonts w:ascii="Times New Roman" w:hAnsi="Times New Roman" w:cs="Times New Roman"/>
                <w:sz w:val="20"/>
                <w:szCs w:val="20"/>
              </w:rPr>
            </w:pPr>
          </w:p>
          <w:p w:rsidRPr="00463949" w:rsidR="003D6837" w:rsidP="00C76B32" w:rsidRDefault="003D6837" w14:paraId="6F581457" w14:textId="51313DA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6 lid 1</w:t>
            </w:r>
          </w:p>
          <w:p w:rsidRPr="00463949" w:rsidR="0003575F" w:rsidP="00C76B32" w:rsidRDefault="0003575F" w14:paraId="1DC5BACB" w14:textId="77777777">
            <w:pPr>
              <w:spacing w:line="276" w:lineRule="auto"/>
              <w:rPr>
                <w:rFonts w:ascii="Times New Roman" w:hAnsi="Times New Roman" w:cs="Times New Roman"/>
                <w:sz w:val="20"/>
                <w:szCs w:val="20"/>
              </w:rPr>
            </w:pPr>
          </w:p>
          <w:p w:rsidRPr="00463949" w:rsidR="0003575F" w:rsidP="00C76B32" w:rsidRDefault="0003575F" w14:paraId="4640A2A3" w14:textId="77777777">
            <w:pPr>
              <w:spacing w:line="276" w:lineRule="auto"/>
              <w:rPr>
                <w:rFonts w:ascii="Times New Roman" w:hAnsi="Times New Roman" w:cs="Times New Roman"/>
                <w:sz w:val="20"/>
                <w:szCs w:val="20"/>
              </w:rPr>
            </w:pPr>
          </w:p>
        </w:tc>
        <w:tc>
          <w:tcPr>
            <w:tcW w:w="2643" w:type="dxa"/>
          </w:tcPr>
          <w:p w:rsidRPr="00463949" w:rsidR="0003575F" w:rsidP="00C76B32" w:rsidRDefault="0003575F" w14:paraId="16CB2057" w14:textId="77777777">
            <w:pPr>
              <w:spacing w:line="276" w:lineRule="auto"/>
              <w:rPr>
                <w:rFonts w:ascii="Times New Roman" w:hAnsi="Times New Roman" w:cs="Times New Roman"/>
                <w:sz w:val="20"/>
                <w:szCs w:val="20"/>
              </w:rPr>
            </w:pPr>
          </w:p>
          <w:p w:rsidRPr="00463949" w:rsidR="003D6837" w:rsidP="00C76B32" w:rsidRDefault="003D6837" w14:paraId="0C0F2B50" w14:textId="4307AA5C">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Deels niet geïmplementeerd, bestaand recht in artikel 6:190 BW; deels wel geïmplementeerd in </w:t>
            </w:r>
            <w:r w:rsidRPr="00463949" w:rsidR="00486E14">
              <w:rPr>
                <w:rFonts w:ascii="Times New Roman" w:hAnsi="Times New Roman" w:cs="Times New Roman"/>
                <w:sz w:val="20"/>
                <w:szCs w:val="20"/>
              </w:rPr>
              <w:t xml:space="preserve">Artikel I, onderdeel </w:t>
            </w:r>
            <w:r w:rsidRPr="00463949" w:rsidR="00EB17CA">
              <w:rPr>
                <w:rFonts w:ascii="Times New Roman" w:hAnsi="Times New Roman" w:cs="Times New Roman"/>
                <w:sz w:val="20"/>
                <w:szCs w:val="20"/>
              </w:rPr>
              <w:t>I</w:t>
            </w:r>
            <w:r w:rsidRPr="00463949" w:rsidR="00486E14">
              <w:rPr>
                <w:rFonts w:ascii="Times New Roman" w:hAnsi="Times New Roman" w:cs="Times New Roman"/>
                <w:sz w:val="20"/>
                <w:szCs w:val="20"/>
              </w:rPr>
              <w:t>, (wijziging artikel 6:190 BW)</w:t>
            </w:r>
            <w:r w:rsidRPr="00463949" w:rsidR="008B1C1E">
              <w:rPr>
                <w:rFonts w:ascii="Times New Roman" w:hAnsi="Times New Roman" w:cs="Times New Roman"/>
                <w:sz w:val="20"/>
                <w:szCs w:val="20"/>
              </w:rPr>
              <w:t>.</w:t>
            </w:r>
          </w:p>
          <w:p w:rsidRPr="00463949" w:rsidR="003D6837" w:rsidP="00C76B32" w:rsidRDefault="003D6837" w14:paraId="38AC0F26" w14:textId="5C41BBBC">
            <w:pPr>
              <w:spacing w:line="276" w:lineRule="auto"/>
              <w:rPr>
                <w:rFonts w:ascii="Times New Roman" w:hAnsi="Times New Roman" w:cs="Times New Roman"/>
                <w:sz w:val="20"/>
                <w:szCs w:val="20"/>
              </w:rPr>
            </w:pPr>
          </w:p>
        </w:tc>
        <w:tc>
          <w:tcPr>
            <w:tcW w:w="2643" w:type="dxa"/>
          </w:tcPr>
          <w:p w:rsidRPr="00463949" w:rsidR="0003575F" w:rsidP="00C76B32" w:rsidRDefault="0003575F" w14:paraId="2D5DDB9A" w14:textId="77777777">
            <w:pPr>
              <w:spacing w:line="276" w:lineRule="auto"/>
              <w:rPr>
                <w:rFonts w:ascii="Times New Roman" w:hAnsi="Times New Roman" w:cs="Times New Roman"/>
                <w:sz w:val="20"/>
                <w:szCs w:val="20"/>
              </w:rPr>
            </w:pPr>
          </w:p>
          <w:p w:rsidRPr="00463949" w:rsidR="00486E14" w:rsidP="00C76B32" w:rsidRDefault="00486E14" w14:paraId="3BCDE6AB" w14:textId="017C5281">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03575F" w:rsidP="00C76B32" w:rsidRDefault="0003575F" w14:paraId="57EDC6F5" w14:textId="77777777">
            <w:pPr>
              <w:spacing w:line="276" w:lineRule="auto"/>
              <w:rPr>
                <w:rFonts w:ascii="Times New Roman" w:hAnsi="Times New Roman" w:cs="Times New Roman"/>
                <w:sz w:val="20"/>
                <w:szCs w:val="20"/>
              </w:rPr>
            </w:pPr>
          </w:p>
          <w:p w:rsidRPr="00463949" w:rsidR="00486E14" w:rsidP="00C76B32" w:rsidRDefault="00486E14" w14:paraId="6516FAFF" w14:textId="57F6991B">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6F5DBDB9" w14:textId="77777777">
        <w:tc>
          <w:tcPr>
            <w:tcW w:w="1807" w:type="dxa"/>
          </w:tcPr>
          <w:p w:rsidRPr="00463949" w:rsidR="0003575F" w:rsidP="00C76B32" w:rsidRDefault="0003575F" w14:paraId="016923B1" w14:textId="77777777">
            <w:pPr>
              <w:spacing w:line="276" w:lineRule="auto"/>
              <w:rPr>
                <w:rFonts w:ascii="Times New Roman" w:hAnsi="Times New Roman" w:cs="Times New Roman"/>
                <w:sz w:val="20"/>
                <w:szCs w:val="20"/>
              </w:rPr>
            </w:pPr>
          </w:p>
          <w:p w:rsidRPr="00463949" w:rsidR="0003575F" w:rsidP="00C76B32" w:rsidRDefault="00486E14" w14:paraId="23C502A3" w14:textId="471AFC2D">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6 lid 2</w:t>
            </w:r>
          </w:p>
          <w:p w:rsidRPr="00463949" w:rsidR="0003575F" w:rsidP="00C76B32" w:rsidRDefault="0003575F" w14:paraId="53DEA003" w14:textId="77777777">
            <w:pPr>
              <w:spacing w:line="276" w:lineRule="auto"/>
              <w:rPr>
                <w:rFonts w:ascii="Times New Roman" w:hAnsi="Times New Roman" w:cs="Times New Roman"/>
                <w:sz w:val="20"/>
                <w:szCs w:val="20"/>
              </w:rPr>
            </w:pPr>
          </w:p>
        </w:tc>
        <w:tc>
          <w:tcPr>
            <w:tcW w:w="2643" w:type="dxa"/>
          </w:tcPr>
          <w:p w:rsidRPr="00463949" w:rsidR="0003575F" w:rsidP="00C76B32" w:rsidRDefault="0003575F" w14:paraId="1FD581E7" w14:textId="77777777">
            <w:pPr>
              <w:spacing w:line="276" w:lineRule="auto"/>
              <w:rPr>
                <w:rFonts w:ascii="Times New Roman" w:hAnsi="Times New Roman" w:cs="Times New Roman"/>
                <w:sz w:val="20"/>
                <w:szCs w:val="20"/>
              </w:rPr>
            </w:pPr>
          </w:p>
          <w:p w:rsidRPr="00463949" w:rsidR="00486E14" w:rsidP="00C76B32" w:rsidRDefault="00D71076" w14:paraId="750BF6DC" w14:textId="12C7FCFE">
            <w:pPr>
              <w:spacing w:line="276" w:lineRule="auto"/>
              <w:rPr>
                <w:rFonts w:ascii="Times New Roman" w:hAnsi="Times New Roman" w:cs="Times New Roman"/>
                <w:sz w:val="20"/>
                <w:szCs w:val="20"/>
              </w:rPr>
            </w:pPr>
            <w:r w:rsidRPr="00463949">
              <w:rPr>
                <w:rFonts w:ascii="Times New Roman" w:hAnsi="Times New Roman" w:cs="Times New Roman"/>
                <w:sz w:val="20"/>
                <w:szCs w:val="20"/>
              </w:rPr>
              <w:t>Niet geïmplementeerd, bestaand recht in de artikelen 6:95, 6:106 BW</w:t>
            </w:r>
          </w:p>
          <w:p w:rsidRPr="00463949" w:rsidR="00D71076" w:rsidP="00C76B32" w:rsidRDefault="00D71076" w14:paraId="1EAD6789" w14:textId="28262AA0">
            <w:pPr>
              <w:spacing w:line="276" w:lineRule="auto"/>
              <w:rPr>
                <w:rFonts w:ascii="Times New Roman" w:hAnsi="Times New Roman" w:cs="Times New Roman"/>
                <w:sz w:val="20"/>
                <w:szCs w:val="20"/>
              </w:rPr>
            </w:pPr>
          </w:p>
        </w:tc>
        <w:tc>
          <w:tcPr>
            <w:tcW w:w="2643" w:type="dxa"/>
          </w:tcPr>
          <w:p w:rsidRPr="00463949" w:rsidR="0003575F" w:rsidP="00C76B32" w:rsidRDefault="0003575F" w14:paraId="25613282" w14:textId="77777777">
            <w:pPr>
              <w:spacing w:line="276" w:lineRule="auto"/>
              <w:rPr>
                <w:rFonts w:ascii="Times New Roman" w:hAnsi="Times New Roman" w:cs="Times New Roman"/>
                <w:sz w:val="20"/>
                <w:szCs w:val="20"/>
              </w:rPr>
            </w:pPr>
          </w:p>
          <w:p w:rsidRPr="00463949" w:rsidR="00486E14" w:rsidP="00C76B32" w:rsidRDefault="00486E14" w14:paraId="7D69C171" w14:textId="5B1B8320">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03575F" w:rsidP="00C76B32" w:rsidRDefault="0003575F" w14:paraId="2727F271" w14:textId="77777777">
            <w:pPr>
              <w:spacing w:line="276" w:lineRule="auto"/>
              <w:rPr>
                <w:rFonts w:ascii="Times New Roman" w:hAnsi="Times New Roman" w:cs="Times New Roman"/>
                <w:sz w:val="20"/>
                <w:szCs w:val="20"/>
              </w:rPr>
            </w:pPr>
          </w:p>
          <w:p w:rsidRPr="00463949" w:rsidR="00486E14" w:rsidP="00C76B32" w:rsidRDefault="00486E14" w14:paraId="5D2F019D" w14:textId="428CB3DD">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2807DEEF" w14:textId="77777777">
        <w:tc>
          <w:tcPr>
            <w:tcW w:w="1807" w:type="dxa"/>
          </w:tcPr>
          <w:p w:rsidRPr="00463949" w:rsidR="0003575F" w:rsidP="00C76B32" w:rsidRDefault="0003575F" w14:paraId="05AE2EE0" w14:textId="77777777">
            <w:pPr>
              <w:spacing w:line="276" w:lineRule="auto"/>
              <w:rPr>
                <w:rFonts w:ascii="Times New Roman" w:hAnsi="Times New Roman" w:cs="Times New Roman"/>
                <w:sz w:val="20"/>
                <w:szCs w:val="20"/>
              </w:rPr>
            </w:pPr>
          </w:p>
          <w:p w:rsidRPr="00463949" w:rsidR="0003575F" w:rsidP="00C76B32" w:rsidRDefault="00486E14" w14:paraId="3833F5B9" w14:textId="6EC2DD9C">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6 lid 3</w:t>
            </w:r>
          </w:p>
          <w:p w:rsidRPr="00463949" w:rsidR="0003575F" w:rsidP="00C76B32" w:rsidRDefault="0003575F" w14:paraId="0CFC7FB0" w14:textId="77777777">
            <w:pPr>
              <w:spacing w:line="276" w:lineRule="auto"/>
              <w:rPr>
                <w:rFonts w:ascii="Times New Roman" w:hAnsi="Times New Roman" w:cs="Times New Roman"/>
                <w:sz w:val="20"/>
                <w:szCs w:val="20"/>
              </w:rPr>
            </w:pPr>
          </w:p>
        </w:tc>
        <w:tc>
          <w:tcPr>
            <w:tcW w:w="2643" w:type="dxa"/>
          </w:tcPr>
          <w:p w:rsidRPr="00463949" w:rsidR="0003575F" w:rsidP="00C76B32" w:rsidRDefault="0003575F" w14:paraId="14384EDA" w14:textId="77777777">
            <w:pPr>
              <w:spacing w:line="276" w:lineRule="auto"/>
              <w:rPr>
                <w:rFonts w:ascii="Times New Roman" w:hAnsi="Times New Roman" w:cs="Times New Roman"/>
                <w:sz w:val="20"/>
                <w:szCs w:val="20"/>
              </w:rPr>
            </w:pPr>
          </w:p>
          <w:p w:rsidRPr="00463949" w:rsidR="00492D3A" w:rsidP="00C76B32" w:rsidRDefault="00492D3A" w14:paraId="709BC61B" w14:textId="56238935">
            <w:pPr>
              <w:spacing w:line="276" w:lineRule="auto"/>
              <w:rPr>
                <w:rFonts w:ascii="Times New Roman" w:hAnsi="Times New Roman" w:cs="Times New Roman"/>
                <w:sz w:val="20"/>
                <w:szCs w:val="20"/>
              </w:rPr>
            </w:pPr>
            <w:r w:rsidRPr="00463949">
              <w:rPr>
                <w:rFonts w:ascii="Times New Roman" w:hAnsi="Times New Roman" w:cs="Times New Roman"/>
                <w:sz w:val="20"/>
                <w:szCs w:val="20"/>
              </w:rPr>
              <w:t>Niet geïmplementeerd, bestaand recht in artikel 6:193 BW.</w:t>
            </w:r>
          </w:p>
          <w:p w:rsidRPr="00463949" w:rsidR="00492D3A" w:rsidP="00C76B32" w:rsidRDefault="00492D3A" w14:paraId="1ABBF3FD" w14:textId="77777777">
            <w:pPr>
              <w:spacing w:line="276" w:lineRule="auto"/>
              <w:rPr>
                <w:rFonts w:ascii="Times New Roman" w:hAnsi="Times New Roman" w:cs="Times New Roman"/>
                <w:sz w:val="20"/>
                <w:szCs w:val="20"/>
              </w:rPr>
            </w:pPr>
          </w:p>
          <w:p w:rsidRPr="00463949" w:rsidR="00492D3A" w:rsidP="00C76B32" w:rsidRDefault="00492D3A" w14:paraId="569BB6B2" w14:textId="0E409E81">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Met Artikel I, onderdeel M, worden uitsluitend redactionele wijzigingen doorgevoerd (het vervangen van ”de producent” door “de marktdeelnemer” en het invoegen van de zinsnede “op andere gronden dan </w:t>
            </w:r>
            <w:r w:rsidRPr="00463949" w:rsidR="000E08A5">
              <w:rPr>
                <w:rFonts w:ascii="Times New Roman" w:hAnsi="Times New Roman" w:cs="Times New Roman"/>
                <w:sz w:val="20"/>
                <w:szCs w:val="20"/>
              </w:rPr>
              <w:t xml:space="preserve">het gebrek </w:t>
            </w:r>
            <w:r w:rsidRPr="00463949">
              <w:rPr>
                <w:rFonts w:ascii="Times New Roman" w:hAnsi="Times New Roman" w:cs="Times New Roman"/>
                <w:sz w:val="20"/>
                <w:szCs w:val="20"/>
              </w:rPr>
              <w:t>van het product bedoeld in deze afdeling”).</w:t>
            </w:r>
          </w:p>
          <w:p w:rsidRPr="00463949" w:rsidR="00486E14" w:rsidP="00492D3A" w:rsidRDefault="00486E14" w14:paraId="4DBB3D88" w14:textId="5FEBF15D">
            <w:pPr>
              <w:spacing w:line="276" w:lineRule="auto"/>
              <w:rPr>
                <w:rFonts w:ascii="Times New Roman" w:hAnsi="Times New Roman" w:cs="Times New Roman"/>
                <w:sz w:val="20"/>
                <w:szCs w:val="20"/>
              </w:rPr>
            </w:pPr>
          </w:p>
        </w:tc>
        <w:tc>
          <w:tcPr>
            <w:tcW w:w="2643" w:type="dxa"/>
          </w:tcPr>
          <w:p w:rsidRPr="00463949" w:rsidR="0003575F" w:rsidP="00C76B32" w:rsidRDefault="0003575F" w14:paraId="24A2386A" w14:textId="77777777">
            <w:pPr>
              <w:spacing w:line="276" w:lineRule="auto"/>
              <w:rPr>
                <w:rFonts w:ascii="Times New Roman" w:hAnsi="Times New Roman" w:cs="Times New Roman"/>
                <w:sz w:val="20"/>
                <w:szCs w:val="20"/>
              </w:rPr>
            </w:pPr>
          </w:p>
          <w:p w:rsidRPr="00463949" w:rsidR="00486E14" w:rsidP="00C76B32" w:rsidRDefault="00486E14" w14:paraId="233465E5" w14:textId="7F9DA157">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03575F" w:rsidP="00C76B32" w:rsidRDefault="0003575F" w14:paraId="03B9D7D0" w14:textId="77777777">
            <w:pPr>
              <w:spacing w:line="276" w:lineRule="auto"/>
              <w:rPr>
                <w:rFonts w:ascii="Times New Roman" w:hAnsi="Times New Roman" w:cs="Times New Roman"/>
                <w:sz w:val="20"/>
                <w:szCs w:val="20"/>
              </w:rPr>
            </w:pPr>
          </w:p>
          <w:p w:rsidRPr="00463949" w:rsidR="00486E14" w:rsidP="00C76B32" w:rsidRDefault="00486E14" w14:paraId="2C35D3B7" w14:textId="0B98FF5D">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101310" w14:paraId="5B9E3241" w14:textId="77777777">
        <w:tc>
          <w:tcPr>
            <w:tcW w:w="1807" w:type="dxa"/>
          </w:tcPr>
          <w:p w:rsidRPr="00463949" w:rsidR="0003575F" w:rsidP="00C76B32" w:rsidRDefault="0003575F" w14:paraId="4475D71D" w14:textId="77777777">
            <w:pPr>
              <w:spacing w:line="276" w:lineRule="auto"/>
              <w:rPr>
                <w:rFonts w:ascii="Times New Roman" w:hAnsi="Times New Roman" w:cs="Times New Roman"/>
                <w:sz w:val="20"/>
                <w:szCs w:val="20"/>
              </w:rPr>
            </w:pPr>
          </w:p>
          <w:p w:rsidRPr="00463949" w:rsidR="0003575F" w:rsidP="00C76B32" w:rsidRDefault="00486E14" w14:paraId="24246EC9" w14:textId="79C27913">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7 lid 1</w:t>
            </w:r>
          </w:p>
          <w:p w:rsidRPr="00463949" w:rsidR="0003575F" w:rsidP="00C76B32" w:rsidRDefault="0003575F" w14:paraId="1A4F2176" w14:textId="77777777">
            <w:pPr>
              <w:spacing w:line="276" w:lineRule="auto"/>
              <w:rPr>
                <w:rFonts w:ascii="Times New Roman" w:hAnsi="Times New Roman" w:cs="Times New Roman"/>
                <w:sz w:val="20"/>
                <w:szCs w:val="20"/>
              </w:rPr>
            </w:pPr>
          </w:p>
        </w:tc>
        <w:tc>
          <w:tcPr>
            <w:tcW w:w="2643" w:type="dxa"/>
          </w:tcPr>
          <w:p w:rsidRPr="00463949" w:rsidR="0003575F" w:rsidP="00C76B32" w:rsidRDefault="0003575F" w14:paraId="72B6FA76" w14:textId="77777777">
            <w:pPr>
              <w:spacing w:line="276" w:lineRule="auto"/>
              <w:rPr>
                <w:rFonts w:ascii="Times New Roman" w:hAnsi="Times New Roman" w:cs="Times New Roman"/>
                <w:sz w:val="20"/>
                <w:szCs w:val="20"/>
              </w:rPr>
            </w:pPr>
          </w:p>
          <w:p w:rsidRPr="00463949" w:rsidR="00486E14" w:rsidP="00C76B32" w:rsidRDefault="00486E14" w14:paraId="4BB0703D" w14:textId="0C704EB4">
            <w:pPr>
              <w:spacing w:line="276" w:lineRule="auto"/>
              <w:rPr>
                <w:rFonts w:ascii="Times New Roman" w:hAnsi="Times New Roman" w:cs="Times New Roman"/>
                <w:sz w:val="20"/>
                <w:szCs w:val="20"/>
              </w:rPr>
            </w:pPr>
            <w:r w:rsidRPr="00463949">
              <w:rPr>
                <w:rFonts w:ascii="Times New Roman" w:hAnsi="Times New Roman" w:cs="Times New Roman"/>
                <w:sz w:val="20"/>
                <w:szCs w:val="20"/>
              </w:rPr>
              <w:t>Deels niet geïmplementeerd, bestaand recht in artikel 6:186 lid 1 BW; deels wel geïmplementeerd in Artikel I, onderdeel E, (wijziging artikel 6:186 lid 1 BW)</w:t>
            </w:r>
            <w:r w:rsidRPr="00463949" w:rsidR="008B1C1E">
              <w:rPr>
                <w:rFonts w:ascii="Times New Roman" w:hAnsi="Times New Roman" w:cs="Times New Roman"/>
                <w:sz w:val="20"/>
                <w:szCs w:val="20"/>
              </w:rPr>
              <w:t>.</w:t>
            </w:r>
            <w:r w:rsidRPr="00463949">
              <w:rPr>
                <w:rFonts w:ascii="Times New Roman" w:hAnsi="Times New Roman" w:cs="Times New Roman"/>
                <w:sz w:val="20"/>
                <w:szCs w:val="20"/>
              </w:rPr>
              <w:t xml:space="preserve"> </w:t>
            </w:r>
          </w:p>
          <w:p w:rsidRPr="00463949" w:rsidR="00486E14" w:rsidP="00C76B32" w:rsidRDefault="00486E14" w14:paraId="68C36303" w14:textId="6F412381">
            <w:pPr>
              <w:spacing w:line="276" w:lineRule="auto"/>
              <w:rPr>
                <w:rFonts w:ascii="Times New Roman" w:hAnsi="Times New Roman" w:cs="Times New Roman"/>
                <w:sz w:val="20"/>
                <w:szCs w:val="20"/>
              </w:rPr>
            </w:pPr>
          </w:p>
        </w:tc>
        <w:tc>
          <w:tcPr>
            <w:tcW w:w="2643" w:type="dxa"/>
          </w:tcPr>
          <w:p w:rsidRPr="00463949" w:rsidR="0003575F" w:rsidP="00C76B32" w:rsidRDefault="0003575F" w14:paraId="081D7853" w14:textId="77777777">
            <w:pPr>
              <w:spacing w:line="276" w:lineRule="auto"/>
              <w:rPr>
                <w:rFonts w:ascii="Times New Roman" w:hAnsi="Times New Roman" w:cs="Times New Roman"/>
                <w:sz w:val="20"/>
                <w:szCs w:val="20"/>
              </w:rPr>
            </w:pPr>
          </w:p>
          <w:p w:rsidRPr="00463949" w:rsidR="008B1C1E" w:rsidP="00C76B32" w:rsidRDefault="008B1C1E" w14:paraId="2ABA5E4E" w14:textId="4F8845AD">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03575F" w:rsidP="00C76B32" w:rsidRDefault="0003575F" w14:paraId="43EED152" w14:textId="77777777">
            <w:pPr>
              <w:spacing w:line="276" w:lineRule="auto"/>
              <w:rPr>
                <w:rFonts w:ascii="Times New Roman" w:hAnsi="Times New Roman" w:cs="Times New Roman"/>
                <w:sz w:val="20"/>
                <w:szCs w:val="20"/>
              </w:rPr>
            </w:pPr>
          </w:p>
          <w:p w:rsidRPr="00463949" w:rsidR="008B1C1E" w:rsidP="00C76B32" w:rsidRDefault="008B1C1E" w14:paraId="4AC0A59C" w14:textId="3BE11CFE">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101310" w14:paraId="56EC3826" w14:textId="77777777">
        <w:tc>
          <w:tcPr>
            <w:tcW w:w="1807" w:type="dxa"/>
          </w:tcPr>
          <w:p w:rsidRPr="00463949" w:rsidR="00486E14" w:rsidP="00C76B32" w:rsidRDefault="00486E14" w14:paraId="205B3C21" w14:textId="77777777">
            <w:pPr>
              <w:spacing w:line="276" w:lineRule="auto"/>
              <w:rPr>
                <w:rFonts w:ascii="Times New Roman" w:hAnsi="Times New Roman" w:cs="Times New Roman"/>
                <w:sz w:val="20"/>
                <w:szCs w:val="20"/>
              </w:rPr>
            </w:pPr>
          </w:p>
          <w:p w:rsidRPr="00463949" w:rsidR="00486E14" w:rsidP="00C76B32" w:rsidRDefault="00486E14" w14:paraId="19188FB2" w14:textId="37BF99E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7 lid 2</w:t>
            </w:r>
          </w:p>
          <w:p w:rsidRPr="00463949" w:rsidR="00486E14" w:rsidP="00C76B32" w:rsidRDefault="00486E14" w14:paraId="0BE40A39"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6FCE066D" w14:textId="77777777">
            <w:pPr>
              <w:spacing w:line="276" w:lineRule="auto"/>
              <w:rPr>
                <w:rFonts w:ascii="Times New Roman" w:hAnsi="Times New Roman" w:cs="Times New Roman"/>
                <w:sz w:val="20"/>
                <w:szCs w:val="20"/>
              </w:rPr>
            </w:pPr>
          </w:p>
          <w:p w:rsidRPr="00463949" w:rsidR="00486E14" w:rsidP="00C76B32" w:rsidRDefault="00486E14" w14:paraId="4DD97C3B" w14:textId="4B88069D">
            <w:pPr>
              <w:spacing w:line="276" w:lineRule="auto"/>
              <w:rPr>
                <w:rFonts w:ascii="Times New Roman" w:hAnsi="Times New Roman" w:cs="Times New Roman"/>
                <w:sz w:val="20"/>
                <w:szCs w:val="20"/>
              </w:rPr>
            </w:pPr>
            <w:r w:rsidRPr="00463949">
              <w:rPr>
                <w:rFonts w:ascii="Times New Roman" w:hAnsi="Times New Roman" w:cs="Times New Roman"/>
                <w:sz w:val="20"/>
                <w:szCs w:val="20"/>
              </w:rPr>
              <w:t>Deels niet geïmplementeerd, bestaand recht in artikel 6:186 lid 1 BW; deels wel geïmplementeerd in Artikel I, onderdeel E, (wijziging artikel 6:186 lid 1 BW)</w:t>
            </w:r>
            <w:r w:rsidRPr="00463949" w:rsidR="008B1C1E">
              <w:rPr>
                <w:rFonts w:ascii="Times New Roman" w:hAnsi="Times New Roman" w:cs="Times New Roman"/>
                <w:sz w:val="20"/>
                <w:szCs w:val="20"/>
              </w:rPr>
              <w:t>.</w:t>
            </w:r>
            <w:r w:rsidRPr="00463949">
              <w:rPr>
                <w:rFonts w:ascii="Times New Roman" w:hAnsi="Times New Roman" w:cs="Times New Roman"/>
                <w:sz w:val="20"/>
                <w:szCs w:val="20"/>
              </w:rPr>
              <w:t xml:space="preserve"> </w:t>
            </w:r>
          </w:p>
          <w:p w:rsidRPr="00463949" w:rsidR="00486E14" w:rsidP="00C76B32" w:rsidRDefault="00486E14" w14:paraId="4668DB9D"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2352B83F" w14:textId="77777777">
            <w:pPr>
              <w:spacing w:line="276" w:lineRule="auto"/>
              <w:rPr>
                <w:rFonts w:ascii="Times New Roman" w:hAnsi="Times New Roman" w:cs="Times New Roman"/>
                <w:sz w:val="20"/>
                <w:szCs w:val="20"/>
              </w:rPr>
            </w:pPr>
          </w:p>
          <w:p w:rsidRPr="00463949" w:rsidR="008B1C1E" w:rsidP="00C76B32" w:rsidRDefault="008B1C1E" w14:paraId="3FBDE4A3" w14:textId="3222AE13">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0EC5A984" w14:textId="77777777">
            <w:pPr>
              <w:spacing w:line="276" w:lineRule="auto"/>
              <w:rPr>
                <w:rFonts w:ascii="Times New Roman" w:hAnsi="Times New Roman" w:cs="Times New Roman"/>
                <w:sz w:val="20"/>
                <w:szCs w:val="20"/>
              </w:rPr>
            </w:pPr>
          </w:p>
          <w:p w:rsidRPr="00463949" w:rsidR="008B1C1E" w:rsidP="00C76B32" w:rsidRDefault="008B1C1E" w14:paraId="72F90971" w14:textId="5004EE5D">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101310" w14:paraId="1B563E6E" w14:textId="77777777">
        <w:tc>
          <w:tcPr>
            <w:tcW w:w="1807" w:type="dxa"/>
          </w:tcPr>
          <w:p w:rsidRPr="00463949" w:rsidR="00486E14" w:rsidP="00C76B32" w:rsidRDefault="00486E14" w14:paraId="56F723B3" w14:textId="77777777">
            <w:pPr>
              <w:spacing w:line="276" w:lineRule="auto"/>
              <w:rPr>
                <w:rFonts w:ascii="Times New Roman" w:hAnsi="Times New Roman" w:cs="Times New Roman"/>
                <w:sz w:val="20"/>
                <w:szCs w:val="20"/>
              </w:rPr>
            </w:pPr>
          </w:p>
          <w:p w:rsidRPr="00463949" w:rsidR="00486E14" w:rsidP="00C76B32" w:rsidRDefault="00486E14" w14:paraId="359991FA" w14:textId="5591B59B">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7 lid 3 </w:t>
            </w:r>
          </w:p>
          <w:p w:rsidRPr="00463949" w:rsidR="00486E14" w:rsidP="00C76B32" w:rsidRDefault="00486E14" w14:paraId="20BBF6DD"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3EA2F5B6" w14:textId="77777777">
            <w:pPr>
              <w:spacing w:line="276" w:lineRule="auto"/>
              <w:rPr>
                <w:rFonts w:ascii="Times New Roman" w:hAnsi="Times New Roman" w:cs="Times New Roman"/>
                <w:sz w:val="20"/>
                <w:szCs w:val="20"/>
              </w:rPr>
            </w:pPr>
          </w:p>
          <w:p w:rsidRPr="00463949" w:rsidR="00486E14" w:rsidP="00C76B32" w:rsidRDefault="00486E14" w14:paraId="2A66F83B" w14:textId="3C7289DB">
            <w:pPr>
              <w:spacing w:line="276" w:lineRule="auto"/>
              <w:rPr>
                <w:rFonts w:ascii="Times New Roman" w:hAnsi="Times New Roman" w:cs="Times New Roman"/>
                <w:sz w:val="20"/>
                <w:szCs w:val="20"/>
              </w:rPr>
            </w:pPr>
            <w:r w:rsidRPr="00463949">
              <w:rPr>
                <w:rFonts w:ascii="Times New Roman" w:hAnsi="Times New Roman" w:cs="Times New Roman"/>
                <w:sz w:val="20"/>
                <w:szCs w:val="20"/>
              </w:rPr>
              <w:lastRenderedPageBreak/>
              <w:t>Deels niet geïmplementeerd, bestaand recht in artikel 6:186 lid 2 BW; deels wel geïmplementeerd in Artikel I, onderdeel E, (wijziging artikel 6:186 lid 2 BW)</w:t>
            </w:r>
            <w:r w:rsidRPr="00463949" w:rsidR="008B1C1E">
              <w:rPr>
                <w:rFonts w:ascii="Times New Roman" w:hAnsi="Times New Roman" w:cs="Times New Roman"/>
                <w:sz w:val="20"/>
                <w:szCs w:val="20"/>
              </w:rPr>
              <w:t>.</w:t>
            </w:r>
          </w:p>
          <w:p w:rsidRPr="00463949" w:rsidR="00486E14" w:rsidP="00C76B32" w:rsidRDefault="00486E14" w14:paraId="65FA45F0" w14:textId="0D786387">
            <w:pPr>
              <w:spacing w:line="276" w:lineRule="auto"/>
              <w:rPr>
                <w:rFonts w:ascii="Times New Roman" w:hAnsi="Times New Roman" w:cs="Times New Roman"/>
                <w:sz w:val="20"/>
                <w:szCs w:val="20"/>
              </w:rPr>
            </w:pPr>
          </w:p>
        </w:tc>
        <w:tc>
          <w:tcPr>
            <w:tcW w:w="2643" w:type="dxa"/>
          </w:tcPr>
          <w:p w:rsidRPr="00463949" w:rsidR="00486E14" w:rsidP="00C76B32" w:rsidRDefault="00486E14" w14:paraId="7A94E8E7" w14:textId="77777777">
            <w:pPr>
              <w:spacing w:line="276" w:lineRule="auto"/>
              <w:rPr>
                <w:rFonts w:ascii="Times New Roman" w:hAnsi="Times New Roman" w:cs="Times New Roman"/>
                <w:sz w:val="20"/>
                <w:szCs w:val="20"/>
              </w:rPr>
            </w:pPr>
          </w:p>
          <w:p w:rsidRPr="00463949" w:rsidR="008B1C1E" w:rsidP="00C76B32" w:rsidRDefault="008B1C1E" w14:paraId="4D59F73B" w14:textId="5094CC88">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397A50A0" w14:textId="77777777">
            <w:pPr>
              <w:spacing w:line="276" w:lineRule="auto"/>
              <w:rPr>
                <w:rFonts w:ascii="Times New Roman" w:hAnsi="Times New Roman" w:cs="Times New Roman"/>
                <w:sz w:val="20"/>
                <w:szCs w:val="20"/>
              </w:rPr>
            </w:pPr>
          </w:p>
          <w:p w:rsidRPr="00463949" w:rsidR="008B1C1E" w:rsidP="00C76B32" w:rsidRDefault="008B1C1E" w14:paraId="0F6E739E" w14:textId="2473ED8F">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101310" w14:paraId="3B6CCE51" w14:textId="77777777">
        <w:tc>
          <w:tcPr>
            <w:tcW w:w="1807" w:type="dxa"/>
          </w:tcPr>
          <w:p w:rsidRPr="00463949" w:rsidR="00486E14" w:rsidP="00C76B32" w:rsidRDefault="00486E14" w14:paraId="73A8724E" w14:textId="77777777">
            <w:pPr>
              <w:spacing w:line="276" w:lineRule="auto"/>
              <w:rPr>
                <w:rFonts w:ascii="Times New Roman" w:hAnsi="Times New Roman" w:cs="Times New Roman"/>
                <w:sz w:val="20"/>
                <w:szCs w:val="20"/>
              </w:rPr>
            </w:pPr>
          </w:p>
          <w:p w:rsidRPr="00463949" w:rsidR="00486E14" w:rsidP="00C76B32" w:rsidRDefault="00E14C99" w14:paraId="57B605AB" w14:textId="4E837C60">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8 lid 1</w:t>
            </w:r>
          </w:p>
          <w:p w:rsidRPr="00463949" w:rsidR="00486E14" w:rsidP="00C76B32" w:rsidRDefault="00486E14" w14:paraId="30FCC741"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3C445491" w14:textId="77777777">
            <w:pPr>
              <w:spacing w:line="276" w:lineRule="auto"/>
              <w:rPr>
                <w:rFonts w:ascii="Times New Roman" w:hAnsi="Times New Roman" w:cs="Times New Roman"/>
                <w:sz w:val="20"/>
                <w:szCs w:val="20"/>
              </w:rPr>
            </w:pPr>
          </w:p>
          <w:p w:rsidRPr="00463949" w:rsidR="00E14C99" w:rsidP="00C76B32" w:rsidRDefault="00E14C99" w14:paraId="4E409331" w14:textId="111F61B7">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I, onderdeel F, (wijziging artikel </w:t>
            </w:r>
            <w:r w:rsidRPr="00463949" w:rsidR="008B1C1E">
              <w:rPr>
                <w:rFonts w:ascii="Times New Roman" w:hAnsi="Times New Roman" w:cs="Times New Roman"/>
                <w:sz w:val="20"/>
                <w:szCs w:val="20"/>
              </w:rPr>
              <w:t>6:187 lid 1 BW).</w:t>
            </w:r>
          </w:p>
          <w:p w:rsidRPr="00463949" w:rsidR="008B1C1E" w:rsidP="00C76B32" w:rsidRDefault="008B1C1E" w14:paraId="6C74D902" w14:textId="4729BBEA">
            <w:pPr>
              <w:spacing w:line="276" w:lineRule="auto"/>
              <w:rPr>
                <w:rFonts w:ascii="Times New Roman" w:hAnsi="Times New Roman" w:cs="Times New Roman"/>
                <w:sz w:val="20"/>
                <w:szCs w:val="20"/>
              </w:rPr>
            </w:pPr>
          </w:p>
        </w:tc>
        <w:tc>
          <w:tcPr>
            <w:tcW w:w="2643" w:type="dxa"/>
          </w:tcPr>
          <w:p w:rsidRPr="00463949" w:rsidR="00486E14" w:rsidP="00C76B32" w:rsidRDefault="00486E14" w14:paraId="0F9DD6D1" w14:textId="77777777">
            <w:pPr>
              <w:spacing w:line="276" w:lineRule="auto"/>
              <w:rPr>
                <w:rFonts w:ascii="Times New Roman" w:hAnsi="Times New Roman" w:cs="Times New Roman"/>
                <w:sz w:val="20"/>
                <w:szCs w:val="20"/>
              </w:rPr>
            </w:pPr>
          </w:p>
          <w:p w:rsidRPr="00463949" w:rsidR="008B1C1E" w:rsidP="00C76B32" w:rsidRDefault="008B1C1E" w14:paraId="59B61E1B" w14:textId="2D274F91">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026B298B" w14:textId="77777777">
            <w:pPr>
              <w:spacing w:line="276" w:lineRule="auto"/>
              <w:rPr>
                <w:rFonts w:ascii="Times New Roman" w:hAnsi="Times New Roman" w:cs="Times New Roman"/>
                <w:sz w:val="20"/>
                <w:szCs w:val="20"/>
              </w:rPr>
            </w:pPr>
          </w:p>
          <w:p w:rsidRPr="00463949" w:rsidR="008B1C1E" w:rsidP="00C76B32" w:rsidRDefault="008B1C1E" w14:paraId="3AADDFBB" w14:textId="64256FAB">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101310" w14:paraId="048B9193" w14:textId="77777777">
        <w:tc>
          <w:tcPr>
            <w:tcW w:w="1807" w:type="dxa"/>
          </w:tcPr>
          <w:p w:rsidRPr="00463949" w:rsidR="00486E14" w:rsidP="00C76B32" w:rsidRDefault="00486E14" w14:paraId="29942757" w14:textId="77777777">
            <w:pPr>
              <w:spacing w:line="276" w:lineRule="auto"/>
              <w:rPr>
                <w:rFonts w:ascii="Times New Roman" w:hAnsi="Times New Roman" w:cs="Times New Roman"/>
                <w:sz w:val="20"/>
                <w:szCs w:val="20"/>
              </w:rPr>
            </w:pPr>
          </w:p>
          <w:p w:rsidRPr="00463949" w:rsidR="00486E14" w:rsidP="00C76B32" w:rsidRDefault="008B1C1E" w14:paraId="69F3417B" w14:textId="51089AF9">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8 lid 2</w:t>
            </w:r>
          </w:p>
          <w:p w:rsidRPr="00463949" w:rsidR="00486E14" w:rsidP="00C76B32" w:rsidRDefault="00486E14" w14:paraId="0B39F4DB"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0BF1CCD4" w14:textId="77777777">
            <w:pPr>
              <w:spacing w:line="276" w:lineRule="auto"/>
              <w:rPr>
                <w:rFonts w:ascii="Times New Roman" w:hAnsi="Times New Roman" w:cs="Times New Roman"/>
                <w:sz w:val="20"/>
                <w:szCs w:val="20"/>
              </w:rPr>
            </w:pPr>
          </w:p>
          <w:p w:rsidRPr="00463949" w:rsidR="008B1C1E" w:rsidP="00C76B32" w:rsidRDefault="008B1C1E" w14:paraId="63973A9F" w14:textId="7BF4641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F, (wijziging artikel 6:187 lid 2 BW).</w:t>
            </w:r>
          </w:p>
          <w:p w:rsidRPr="00463949" w:rsidR="008B1C1E" w:rsidP="00C76B32" w:rsidRDefault="008B1C1E" w14:paraId="4973236A" w14:textId="4478EC99">
            <w:pPr>
              <w:spacing w:line="276" w:lineRule="auto"/>
              <w:rPr>
                <w:rFonts w:ascii="Times New Roman" w:hAnsi="Times New Roman" w:cs="Times New Roman"/>
                <w:sz w:val="20"/>
                <w:szCs w:val="20"/>
              </w:rPr>
            </w:pPr>
          </w:p>
        </w:tc>
        <w:tc>
          <w:tcPr>
            <w:tcW w:w="2643" w:type="dxa"/>
          </w:tcPr>
          <w:p w:rsidRPr="00463949" w:rsidR="00486E14" w:rsidP="00C76B32" w:rsidRDefault="00486E14" w14:paraId="4558EC72" w14:textId="77777777">
            <w:pPr>
              <w:spacing w:line="276" w:lineRule="auto"/>
              <w:rPr>
                <w:rFonts w:ascii="Times New Roman" w:hAnsi="Times New Roman" w:cs="Times New Roman"/>
                <w:sz w:val="20"/>
                <w:szCs w:val="20"/>
              </w:rPr>
            </w:pPr>
          </w:p>
          <w:p w:rsidRPr="00463949" w:rsidR="008B1C1E" w:rsidP="00C76B32" w:rsidRDefault="008B1C1E" w14:paraId="612279A4" w14:textId="62E67EE3">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r w:rsidRPr="00463949" w:rsidR="007F5541">
              <w:rPr>
                <w:rFonts w:ascii="Times New Roman" w:hAnsi="Times New Roman" w:cs="Times New Roman"/>
                <w:sz w:val="20"/>
                <w:szCs w:val="20"/>
              </w:rPr>
              <w:t>.</w:t>
            </w:r>
          </w:p>
        </w:tc>
        <w:tc>
          <w:tcPr>
            <w:tcW w:w="1924" w:type="dxa"/>
          </w:tcPr>
          <w:p w:rsidRPr="00463949" w:rsidR="00486E14" w:rsidP="00C76B32" w:rsidRDefault="00486E14" w14:paraId="14A88550" w14:textId="77777777">
            <w:pPr>
              <w:spacing w:line="276" w:lineRule="auto"/>
              <w:rPr>
                <w:rFonts w:ascii="Times New Roman" w:hAnsi="Times New Roman" w:cs="Times New Roman"/>
                <w:sz w:val="20"/>
                <w:szCs w:val="20"/>
              </w:rPr>
            </w:pPr>
          </w:p>
          <w:p w:rsidRPr="00463949" w:rsidR="008B1C1E" w:rsidP="00C76B32" w:rsidRDefault="008B1C1E" w14:paraId="02A16425" w14:textId="200F0549">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259FF991" w14:textId="77777777">
        <w:tc>
          <w:tcPr>
            <w:tcW w:w="1807" w:type="dxa"/>
          </w:tcPr>
          <w:p w:rsidRPr="00463949" w:rsidR="00486E14" w:rsidP="00C76B32" w:rsidRDefault="00486E14" w14:paraId="63D7ECEE" w14:textId="77777777">
            <w:pPr>
              <w:spacing w:line="276" w:lineRule="auto"/>
              <w:rPr>
                <w:rFonts w:ascii="Times New Roman" w:hAnsi="Times New Roman" w:cs="Times New Roman"/>
                <w:sz w:val="20"/>
                <w:szCs w:val="20"/>
              </w:rPr>
            </w:pPr>
          </w:p>
          <w:p w:rsidRPr="00463949" w:rsidR="00486E14" w:rsidP="00C76B32" w:rsidRDefault="008B1C1E" w14:paraId="156A29BA" w14:textId="6ABC8D4A">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8 lid 3</w:t>
            </w:r>
          </w:p>
          <w:p w:rsidRPr="00463949" w:rsidR="00486E14" w:rsidP="00C76B32" w:rsidRDefault="00486E14" w14:paraId="0639C8D6"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393EE61B" w14:textId="77777777">
            <w:pPr>
              <w:spacing w:line="276" w:lineRule="auto"/>
              <w:rPr>
                <w:rFonts w:ascii="Times New Roman" w:hAnsi="Times New Roman" w:cs="Times New Roman"/>
                <w:sz w:val="20"/>
                <w:szCs w:val="20"/>
              </w:rPr>
            </w:pPr>
          </w:p>
          <w:p w:rsidRPr="00463949" w:rsidR="008B1C1E" w:rsidP="00C76B32" w:rsidRDefault="008B1C1E" w14:paraId="05AF35F0"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F,</w:t>
            </w:r>
          </w:p>
          <w:p w:rsidRPr="00463949" w:rsidR="008B1C1E" w:rsidP="00C76B32" w:rsidRDefault="008B1C1E" w14:paraId="6CC9696D" w14:textId="69B00863">
            <w:pPr>
              <w:spacing w:line="276" w:lineRule="auto"/>
              <w:rPr>
                <w:rFonts w:ascii="Times New Roman" w:hAnsi="Times New Roman" w:cs="Times New Roman"/>
                <w:sz w:val="20"/>
                <w:szCs w:val="20"/>
              </w:rPr>
            </w:pPr>
            <w:r w:rsidRPr="00463949">
              <w:rPr>
                <w:rFonts w:ascii="Times New Roman" w:hAnsi="Times New Roman" w:cs="Times New Roman"/>
                <w:sz w:val="20"/>
                <w:szCs w:val="20"/>
              </w:rPr>
              <w:t>(wijziging artikel 6:187 lid 3 BW).</w:t>
            </w:r>
          </w:p>
          <w:p w:rsidRPr="00463949" w:rsidR="008B1C1E" w:rsidP="00C76B32" w:rsidRDefault="008B1C1E" w14:paraId="71DA7D7A" w14:textId="46C1A4A5">
            <w:pPr>
              <w:spacing w:line="276" w:lineRule="auto"/>
              <w:rPr>
                <w:rFonts w:ascii="Times New Roman" w:hAnsi="Times New Roman" w:cs="Times New Roman"/>
                <w:sz w:val="20"/>
                <w:szCs w:val="20"/>
              </w:rPr>
            </w:pPr>
          </w:p>
        </w:tc>
        <w:tc>
          <w:tcPr>
            <w:tcW w:w="2643" w:type="dxa"/>
          </w:tcPr>
          <w:p w:rsidRPr="00463949" w:rsidR="00486E14" w:rsidP="00C76B32" w:rsidRDefault="00486E14" w14:paraId="43B5153C" w14:textId="77777777">
            <w:pPr>
              <w:spacing w:line="276" w:lineRule="auto"/>
              <w:rPr>
                <w:rFonts w:ascii="Times New Roman" w:hAnsi="Times New Roman" w:cs="Times New Roman"/>
                <w:sz w:val="20"/>
                <w:szCs w:val="20"/>
              </w:rPr>
            </w:pPr>
          </w:p>
          <w:p w:rsidRPr="00463949" w:rsidR="008B1C1E" w:rsidP="00C76B32" w:rsidRDefault="008B1C1E" w14:paraId="660C92F3" w14:textId="3F9EC63F">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r w:rsidRPr="00463949" w:rsidR="007F5541">
              <w:rPr>
                <w:rFonts w:ascii="Times New Roman" w:hAnsi="Times New Roman" w:cs="Times New Roman"/>
                <w:sz w:val="20"/>
                <w:szCs w:val="20"/>
              </w:rPr>
              <w:t>.</w:t>
            </w:r>
          </w:p>
        </w:tc>
        <w:tc>
          <w:tcPr>
            <w:tcW w:w="1924" w:type="dxa"/>
          </w:tcPr>
          <w:p w:rsidRPr="00463949" w:rsidR="00486E14" w:rsidP="00C76B32" w:rsidRDefault="00486E14" w14:paraId="08F8BD3A" w14:textId="77777777">
            <w:pPr>
              <w:spacing w:line="276" w:lineRule="auto"/>
              <w:rPr>
                <w:rFonts w:ascii="Times New Roman" w:hAnsi="Times New Roman" w:cs="Times New Roman"/>
                <w:sz w:val="20"/>
                <w:szCs w:val="20"/>
              </w:rPr>
            </w:pPr>
          </w:p>
          <w:p w:rsidRPr="00463949" w:rsidR="008B1C1E" w:rsidP="00C76B32" w:rsidRDefault="008B1C1E" w14:paraId="0B6E6832" w14:textId="49801D5B">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5827EAEE" w14:textId="77777777">
        <w:tc>
          <w:tcPr>
            <w:tcW w:w="1807" w:type="dxa"/>
          </w:tcPr>
          <w:p w:rsidRPr="00463949" w:rsidR="00486E14" w:rsidP="00C76B32" w:rsidRDefault="00486E14" w14:paraId="493F935F" w14:textId="77777777">
            <w:pPr>
              <w:spacing w:line="276" w:lineRule="auto"/>
              <w:rPr>
                <w:rFonts w:ascii="Times New Roman" w:hAnsi="Times New Roman" w:cs="Times New Roman"/>
                <w:sz w:val="20"/>
                <w:szCs w:val="20"/>
              </w:rPr>
            </w:pPr>
          </w:p>
          <w:p w:rsidRPr="00463949" w:rsidR="00486E14" w:rsidP="00C76B32" w:rsidRDefault="008B1C1E" w14:paraId="19CBEA2E" w14:textId="273FE8F9">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8 lid 4 </w:t>
            </w:r>
          </w:p>
          <w:p w:rsidRPr="00463949" w:rsidR="00486E14" w:rsidP="00C76B32" w:rsidRDefault="00486E14" w14:paraId="36DC5601"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026DA88A" w14:textId="77777777">
            <w:pPr>
              <w:spacing w:line="276" w:lineRule="auto"/>
              <w:rPr>
                <w:rFonts w:ascii="Times New Roman" w:hAnsi="Times New Roman" w:cs="Times New Roman"/>
                <w:sz w:val="20"/>
                <w:szCs w:val="20"/>
              </w:rPr>
            </w:pPr>
          </w:p>
          <w:p w:rsidRPr="00463949" w:rsidR="008B1C1E" w:rsidP="00C76B32" w:rsidRDefault="008B1C1E" w14:paraId="6AB78208"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F,</w:t>
            </w:r>
          </w:p>
          <w:p w:rsidRPr="00463949" w:rsidR="008B1C1E" w:rsidP="00C76B32" w:rsidRDefault="008B1C1E" w14:paraId="31050E32" w14:textId="213EB5ED">
            <w:pPr>
              <w:spacing w:line="276" w:lineRule="auto"/>
              <w:rPr>
                <w:rFonts w:ascii="Times New Roman" w:hAnsi="Times New Roman" w:cs="Times New Roman"/>
                <w:sz w:val="20"/>
                <w:szCs w:val="20"/>
              </w:rPr>
            </w:pPr>
            <w:r w:rsidRPr="00463949">
              <w:rPr>
                <w:rFonts w:ascii="Times New Roman" w:hAnsi="Times New Roman" w:cs="Times New Roman"/>
                <w:sz w:val="20"/>
                <w:szCs w:val="20"/>
              </w:rPr>
              <w:t>(wijziging artikel 6:187 lid 4 BW).</w:t>
            </w:r>
          </w:p>
          <w:p w:rsidRPr="00463949" w:rsidR="008B1C1E" w:rsidP="00C76B32" w:rsidRDefault="008B1C1E" w14:paraId="3DDC4146" w14:textId="4B5BB583">
            <w:pPr>
              <w:spacing w:line="276" w:lineRule="auto"/>
              <w:rPr>
                <w:rFonts w:ascii="Times New Roman" w:hAnsi="Times New Roman" w:cs="Times New Roman"/>
                <w:sz w:val="20"/>
                <w:szCs w:val="20"/>
              </w:rPr>
            </w:pPr>
          </w:p>
        </w:tc>
        <w:tc>
          <w:tcPr>
            <w:tcW w:w="2643" w:type="dxa"/>
          </w:tcPr>
          <w:p w:rsidRPr="00463949" w:rsidR="00486E14" w:rsidP="00C76B32" w:rsidRDefault="00486E14" w14:paraId="21338983" w14:textId="77777777">
            <w:pPr>
              <w:spacing w:line="276" w:lineRule="auto"/>
              <w:rPr>
                <w:rFonts w:ascii="Times New Roman" w:hAnsi="Times New Roman" w:cs="Times New Roman"/>
                <w:sz w:val="20"/>
                <w:szCs w:val="20"/>
              </w:rPr>
            </w:pPr>
          </w:p>
          <w:p w:rsidRPr="00463949" w:rsidR="008B1C1E" w:rsidP="00C76B32" w:rsidRDefault="008B1C1E" w14:paraId="45C0FD43" w14:textId="49283B6C">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r w:rsidRPr="00463949" w:rsidR="007F5541">
              <w:rPr>
                <w:rFonts w:ascii="Times New Roman" w:hAnsi="Times New Roman" w:cs="Times New Roman"/>
                <w:sz w:val="20"/>
                <w:szCs w:val="20"/>
              </w:rPr>
              <w:t>.</w:t>
            </w:r>
          </w:p>
        </w:tc>
        <w:tc>
          <w:tcPr>
            <w:tcW w:w="1924" w:type="dxa"/>
          </w:tcPr>
          <w:p w:rsidRPr="00463949" w:rsidR="00486E14" w:rsidP="00C76B32" w:rsidRDefault="00486E14" w14:paraId="3C6626CD" w14:textId="77777777">
            <w:pPr>
              <w:spacing w:line="276" w:lineRule="auto"/>
              <w:rPr>
                <w:rFonts w:ascii="Times New Roman" w:hAnsi="Times New Roman" w:cs="Times New Roman"/>
                <w:sz w:val="20"/>
                <w:szCs w:val="20"/>
              </w:rPr>
            </w:pPr>
          </w:p>
          <w:p w:rsidRPr="00463949" w:rsidR="008B1C1E" w:rsidP="00C76B32" w:rsidRDefault="008B1C1E" w14:paraId="17C0BD39" w14:textId="35EB4CFB">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25D15AE5" w14:textId="77777777">
        <w:tc>
          <w:tcPr>
            <w:tcW w:w="1807" w:type="dxa"/>
          </w:tcPr>
          <w:p w:rsidRPr="00463949" w:rsidR="00486E14" w:rsidP="00C76B32" w:rsidRDefault="00486E14" w14:paraId="3CCCF30A" w14:textId="77777777">
            <w:pPr>
              <w:spacing w:line="276" w:lineRule="auto"/>
              <w:rPr>
                <w:rFonts w:ascii="Times New Roman" w:hAnsi="Times New Roman" w:cs="Times New Roman"/>
                <w:sz w:val="20"/>
                <w:szCs w:val="20"/>
              </w:rPr>
            </w:pPr>
          </w:p>
          <w:p w:rsidRPr="00463949" w:rsidR="00486E14" w:rsidP="00C76B32" w:rsidRDefault="008B1C1E" w14:paraId="6B69C1C8" w14:textId="38235654">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8 lid 5</w:t>
            </w:r>
          </w:p>
          <w:p w:rsidRPr="00463949" w:rsidR="00486E14" w:rsidP="00C76B32" w:rsidRDefault="00486E14" w14:paraId="594DE88B"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0EB3250B" w14:textId="77777777">
            <w:pPr>
              <w:spacing w:line="276" w:lineRule="auto"/>
              <w:rPr>
                <w:rFonts w:ascii="Times New Roman" w:hAnsi="Times New Roman" w:cs="Times New Roman"/>
                <w:sz w:val="20"/>
                <w:szCs w:val="20"/>
                <w:highlight w:val="yellow"/>
              </w:rPr>
            </w:pPr>
          </w:p>
          <w:p w:rsidRPr="00463949" w:rsidR="008B1C1E" w:rsidP="00C76B32" w:rsidRDefault="00BC5E3B" w14:paraId="49D21A65"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Behoeft naar zijn aard geen implementatie, omdat de bepaling geen verplichtingen oplegt aan de lidstaten.</w:t>
            </w:r>
          </w:p>
          <w:p w:rsidRPr="00463949" w:rsidR="00BC5E3B" w:rsidP="00C76B32" w:rsidRDefault="00BC5E3B" w14:paraId="1CDEFC1B" w14:textId="7DD0F868">
            <w:pPr>
              <w:spacing w:line="276" w:lineRule="auto"/>
              <w:rPr>
                <w:rFonts w:ascii="Times New Roman" w:hAnsi="Times New Roman" w:cs="Times New Roman"/>
                <w:sz w:val="20"/>
                <w:szCs w:val="20"/>
                <w:highlight w:val="yellow"/>
              </w:rPr>
            </w:pPr>
          </w:p>
        </w:tc>
        <w:tc>
          <w:tcPr>
            <w:tcW w:w="2643" w:type="dxa"/>
          </w:tcPr>
          <w:p w:rsidRPr="00463949" w:rsidR="00486E14" w:rsidP="00C76B32" w:rsidRDefault="00486E14" w14:paraId="6C2CB335" w14:textId="77777777">
            <w:pPr>
              <w:spacing w:line="276" w:lineRule="auto"/>
              <w:rPr>
                <w:rFonts w:ascii="Times New Roman" w:hAnsi="Times New Roman" w:cs="Times New Roman"/>
                <w:sz w:val="20"/>
                <w:szCs w:val="20"/>
              </w:rPr>
            </w:pPr>
          </w:p>
          <w:p w:rsidRPr="00463949" w:rsidR="00E65C76" w:rsidP="00E65C76" w:rsidRDefault="00BC5E3B" w14:paraId="22B5ACD9" w14:textId="3F1B8DD5">
            <w:pPr>
              <w:autoSpaceDN w:val="0"/>
              <w:spacing w:line="240" w:lineRule="atLeast"/>
              <w:contextualSpacing/>
              <w:textAlignment w:val="baseline"/>
              <w:rPr>
                <w:rFonts w:ascii="Times New Roman" w:hAnsi="Times New Roman" w:cs="Times New Roman"/>
                <w:sz w:val="20"/>
                <w:szCs w:val="20"/>
              </w:rPr>
            </w:pPr>
            <w:r w:rsidRPr="00463949">
              <w:rPr>
                <w:rFonts w:ascii="Times New Roman" w:hAnsi="Times New Roman" w:cs="Times New Roman"/>
                <w:sz w:val="20"/>
                <w:szCs w:val="20"/>
              </w:rPr>
              <w:t xml:space="preserve">De </w:t>
            </w:r>
            <w:r w:rsidRPr="00463949" w:rsidR="006D63B6">
              <w:rPr>
                <w:rFonts w:ascii="Times New Roman" w:hAnsi="Times New Roman" w:cs="Times New Roman"/>
                <w:sz w:val="20"/>
                <w:szCs w:val="20"/>
              </w:rPr>
              <w:t>R</w:t>
            </w:r>
            <w:r w:rsidRPr="00463949">
              <w:rPr>
                <w:rFonts w:ascii="Times New Roman" w:hAnsi="Times New Roman" w:cs="Times New Roman"/>
                <w:sz w:val="20"/>
                <w:szCs w:val="20"/>
              </w:rPr>
              <w:t xml:space="preserve">ichtlijn biedt lidstaten de ruimte </w:t>
            </w:r>
            <w:r w:rsidRPr="00463949" w:rsidR="00E65C76">
              <w:rPr>
                <w:rFonts w:ascii="Times New Roman" w:hAnsi="Times New Roman" w:cs="Times New Roman"/>
                <w:sz w:val="20"/>
                <w:szCs w:val="20"/>
              </w:rPr>
              <w:t xml:space="preserve">om </w:t>
            </w:r>
            <w:r w:rsidRPr="00463949">
              <w:rPr>
                <w:rFonts w:ascii="Times New Roman" w:hAnsi="Times New Roman" w:cs="Times New Roman"/>
                <w:sz w:val="20"/>
                <w:szCs w:val="20"/>
              </w:rPr>
              <w:t xml:space="preserve">nationale sectorale compensatieregelingen </w:t>
            </w:r>
            <w:r w:rsidRPr="00463949" w:rsidR="00E65C76">
              <w:rPr>
                <w:rFonts w:ascii="Times New Roman" w:hAnsi="Times New Roman" w:cs="Times New Roman"/>
                <w:sz w:val="20"/>
                <w:szCs w:val="20"/>
              </w:rPr>
              <w:t xml:space="preserve">te handhaven </w:t>
            </w:r>
            <w:r w:rsidRPr="00463949">
              <w:rPr>
                <w:rFonts w:ascii="Times New Roman" w:hAnsi="Times New Roman" w:cs="Times New Roman"/>
                <w:sz w:val="20"/>
                <w:szCs w:val="20"/>
              </w:rPr>
              <w:t xml:space="preserve">of nieuwe regelingen vast te stellen om benadeelden die hun schade niet vergoed krijgen wegens insolventie of het niet meer bestaan van de aansprakelijke marktdeelnemer op een passende wijze te compenseren. </w:t>
            </w:r>
            <w:r w:rsidRPr="00463949" w:rsidR="00E65C76">
              <w:rPr>
                <w:rFonts w:ascii="Times New Roman" w:hAnsi="Times New Roman" w:cs="Times New Roman"/>
                <w:sz w:val="20"/>
                <w:szCs w:val="20"/>
              </w:rPr>
              <w:t>Nederland heeft op dit moment niet een dergelijke compensatieregeling. In lijn met vast kabinetsbeleid</w:t>
            </w:r>
            <w:r w:rsidRPr="00463949" w:rsidR="00D07A67">
              <w:rPr>
                <w:rFonts w:ascii="Times New Roman" w:hAnsi="Times New Roman" w:cs="Times New Roman"/>
                <w:sz w:val="20"/>
                <w:szCs w:val="20"/>
              </w:rPr>
              <w:t xml:space="preserve"> voor de implementatie van Unie-recht</w:t>
            </w:r>
            <w:r w:rsidRPr="00463949" w:rsidR="006E61FC">
              <w:rPr>
                <w:rFonts w:ascii="Times New Roman" w:hAnsi="Times New Roman" w:cs="Times New Roman"/>
                <w:sz w:val="20"/>
                <w:szCs w:val="20"/>
              </w:rPr>
              <w:t xml:space="preserve"> en ter voorkoming van regeldruk</w:t>
            </w:r>
            <w:r w:rsidRPr="00463949" w:rsidR="00E65C76">
              <w:rPr>
                <w:rFonts w:ascii="Times New Roman" w:hAnsi="Times New Roman" w:cs="Times New Roman"/>
                <w:sz w:val="20"/>
                <w:szCs w:val="20"/>
              </w:rPr>
              <w:t xml:space="preserve"> is er daarom voor gekozen om niet alsnog een dergelijke regeling vast te stellen.</w:t>
            </w:r>
          </w:p>
          <w:p w:rsidRPr="00463949" w:rsidR="00BC5E3B" w:rsidP="00C76B32" w:rsidRDefault="00BC5E3B" w14:paraId="317A68F5" w14:textId="6A1F28BD">
            <w:pPr>
              <w:spacing w:line="276" w:lineRule="auto"/>
              <w:rPr>
                <w:rFonts w:ascii="Times New Roman" w:hAnsi="Times New Roman" w:cs="Times New Roman"/>
                <w:sz w:val="20"/>
                <w:szCs w:val="20"/>
              </w:rPr>
            </w:pPr>
          </w:p>
        </w:tc>
        <w:tc>
          <w:tcPr>
            <w:tcW w:w="1924" w:type="dxa"/>
          </w:tcPr>
          <w:p w:rsidRPr="00463949" w:rsidR="00486E14" w:rsidP="00C76B32" w:rsidRDefault="00486E14" w14:paraId="0D7E4F2E" w14:textId="77777777">
            <w:pPr>
              <w:spacing w:line="276" w:lineRule="auto"/>
              <w:rPr>
                <w:rFonts w:ascii="Times New Roman" w:hAnsi="Times New Roman" w:cs="Times New Roman"/>
                <w:sz w:val="20"/>
                <w:szCs w:val="20"/>
                <w:highlight w:val="yellow"/>
              </w:rPr>
            </w:pPr>
          </w:p>
          <w:p w:rsidRPr="00463949" w:rsidR="008B1C1E" w:rsidP="00C76B32" w:rsidRDefault="00BC5E3B" w14:paraId="40194DFB" w14:textId="3CF9247B">
            <w:pPr>
              <w:spacing w:line="276" w:lineRule="auto"/>
              <w:rPr>
                <w:rFonts w:ascii="Times New Roman" w:hAnsi="Times New Roman" w:cs="Times New Roman"/>
                <w:sz w:val="20"/>
                <w:szCs w:val="20"/>
                <w:highlight w:val="yellow"/>
              </w:rPr>
            </w:pPr>
            <w:r w:rsidRPr="00463949">
              <w:rPr>
                <w:rFonts w:ascii="Times New Roman" w:hAnsi="Times New Roman" w:cs="Times New Roman"/>
                <w:sz w:val="20"/>
                <w:szCs w:val="20"/>
              </w:rPr>
              <w:t>-</w:t>
            </w:r>
          </w:p>
        </w:tc>
      </w:tr>
      <w:tr w:rsidRPr="00463949" w:rsidR="002E0668" w:rsidTr="00C76B32" w14:paraId="34C80921" w14:textId="77777777">
        <w:tc>
          <w:tcPr>
            <w:tcW w:w="1807" w:type="dxa"/>
          </w:tcPr>
          <w:p w:rsidRPr="00463949" w:rsidR="00486E14" w:rsidP="00C76B32" w:rsidRDefault="00486E14" w14:paraId="684BEB49" w14:textId="77777777">
            <w:pPr>
              <w:spacing w:line="276" w:lineRule="auto"/>
              <w:rPr>
                <w:rFonts w:ascii="Times New Roman" w:hAnsi="Times New Roman" w:cs="Times New Roman"/>
                <w:sz w:val="20"/>
                <w:szCs w:val="20"/>
              </w:rPr>
            </w:pPr>
          </w:p>
          <w:p w:rsidRPr="00463949" w:rsidR="008B1C1E" w:rsidP="00C76B32" w:rsidRDefault="008B1C1E" w14:paraId="6EB9F875" w14:textId="77777777">
            <w:pPr>
              <w:spacing w:line="276" w:lineRule="auto"/>
              <w:rPr>
                <w:rFonts w:ascii="Times New Roman" w:hAnsi="Times New Roman" w:cs="Times New Roman"/>
                <w:sz w:val="20"/>
                <w:szCs w:val="20"/>
              </w:rPr>
            </w:pPr>
          </w:p>
          <w:p w:rsidRPr="00463949" w:rsidR="008B1C1E" w:rsidP="00C76B32" w:rsidRDefault="008B1C1E" w14:paraId="3FAB0706" w14:textId="35D1CE9A">
            <w:pPr>
              <w:spacing w:line="276" w:lineRule="auto"/>
              <w:rPr>
                <w:rFonts w:ascii="Times New Roman" w:hAnsi="Times New Roman" w:cs="Times New Roman"/>
                <w:sz w:val="20"/>
                <w:szCs w:val="20"/>
              </w:rPr>
            </w:pPr>
            <w:r w:rsidRPr="00463949">
              <w:rPr>
                <w:rFonts w:ascii="Times New Roman" w:hAnsi="Times New Roman" w:cs="Times New Roman"/>
                <w:sz w:val="20"/>
                <w:szCs w:val="20"/>
              </w:rPr>
              <w:lastRenderedPageBreak/>
              <w:t>Artikel 9</w:t>
            </w:r>
            <w:r w:rsidRPr="00463949" w:rsidR="00607A85">
              <w:rPr>
                <w:rFonts w:ascii="Times New Roman" w:hAnsi="Times New Roman" w:cs="Times New Roman"/>
                <w:sz w:val="20"/>
                <w:szCs w:val="20"/>
              </w:rPr>
              <w:t xml:space="preserve"> leden 1 en 2</w:t>
            </w:r>
          </w:p>
          <w:p w:rsidRPr="00463949" w:rsidR="006F07C1" w:rsidP="00C76B32" w:rsidRDefault="006F07C1" w14:paraId="5F6A33BE" w14:textId="19AEC0C0">
            <w:pPr>
              <w:spacing w:line="276" w:lineRule="auto"/>
              <w:rPr>
                <w:rFonts w:ascii="Times New Roman" w:hAnsi="Times New Roman" w:cs="Times New Roman"/>
                <w:sz w:val="20"/>
                <w:szCs w:val="20"/>
              </w:rPr>
            </w:pPr>
          </w:p>
          <w:p w:rsidRPr="00463949" w:rsidR="00486E14" w:rsidP="00C76B32" w:rsidRDefault="00486E14" w14:paraId="32B692F4" w14:textId="77777777">
            <w:pPr>
              <w:spacing w:line="276" w:lineRule="auto"/>
              <w:rPr>
                <w:rFonts w:ascii="Times New Roman" w:hAnsi="Times New Roman" w:cs="Times New Roman"/>
                <w:sz w:val="20"/>
                <w:szCs w:val="20"/>
              </w:rPr>
            </w:pPr>
          </w:p>
          <w:p w:rsidRPr="00463949" w:rsidR="00486E14" w:rsidP="00C76B32" w:rsidRDefault="00486E14" w14:paraId="7911E994"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13D3462F" w14:textId="77777777">
            <w:pPr>
              <w:spacing w:line="276" w:lineRule="auto"/>
              <w:rPr>
                <w:rFonts w:ascii="Times New Roman" w:hAnsi="Times New Roman" w:cs="Times New Roman"/>
                <w:sz w:val="20"/>
                <w:szCs w:val="20"/>
              </w:rPr>
            </w:pPr>
          </w:p>
          <w:p w:rsidRPr="00463949" w:rsidR="007F5541" w:rsidP="00C76B32" w:rsidRDefault="007F5541" w14:paraId="271A377D" w14:textId="77777777">
            <w:pPr>
              <w:spacing w:line="276" w:lineRule="auto"/>
              <w:rPr>
                <w:rFonts w:ascii="Times New Roman" w:hAnsi="Times New Roman" w:cs="Times New Roman"/>
                <w:sz w:val="20"/>
                <w:szCs w:val="20"/>
              </w:rPr>
            </w:pPr>
          </w:p>
          <w:p w:rsidRPr="00463949" w:rsidR="007F5541" w:rsidP="00C76B32" w:rsidRDefault="00607A85" w14:paraId="3F3ABD17" w14:textId="1A8C8EAC">
            <w:pPr>
              <w:spacing w:line="276" w:lineRule="auto"/>
              <w:rPr>
                <w:rFonts w:ascii="Times New Roman" w:hAnsi="Times New Roman" w:cs="Times New Roman"/>
                <w:sz w:val="20"/>
                <w:szCs w:val="20"/>
              </w:rPr>
            </w:pPr>
            <w:r w:rsidRPr="00463949">
              <w:rPr>
                <w:rFonts w:ascii="Times New Roman" w:hAnsi="Times New Roman" w:cs="Times New Roman"/>
                <w:sz w:val="20"/>
                <w:szCs w:val="20"/>
              </w:rPr>
              <w:lastRenderedPageBreak/>
              <w:t xml:space="preserve">Niet geïmplementeerd, bestaand recht in artikel 194 leden 1 en 2 en artikel 195 lid 1 Rv. </w:t>
            </w:r>
          </w:p>
        </w:tc>
        <w:tc>
          <w:tcPr>
            <w:tcW w:w="2643" w:type="dxa"/>
          </w:tcPr>
          <w:p w:rsidRPr="00463949" w:rsidR="00486E14" w:rsidP="00C76B32" w:rsidRDefault="00486E14" w14:paraId="66380D9B" w14:textId="77777777">
            <w:pPr>
              <w:spacing w:line="276" w:lineRule="auto"/>
              <w:rPr>
                <w:rFonts w:ascii="Times New Roman" w:hAnsi="Times New Roman" w:cs="Times New Roman"/>
                <w:sz w:val="20"/>
                <w:szCs w:val="20"/>
              </w:rPr>
            </w:pPr>
          </w:p>
          <w:p w:rsidRPr="00463949" w:rsidR="007F5541" w:rsidP="00C76B32" w:rsidRDefault="007F5541" w14:paraId="28E09B0E" w14:textId="77777777">
            <w:pPr>
              <w:spacing w:line="276" w:lineRule="auto"/>
              <w:rPr>
                <w:rFonts w:ascii="Times New Roman" w:hAnsi="Times New Roman" w:cs="Times New Roman"/>
                <w:sz w:val="20"/>
                <w:szCs w:val="20"/>
              </w:rPr>
            </w:pPr>
          </w:p>
          <w:p w:rsidRPr="00463949" w:rsidR="007F5541" w:rsidP="00C76B32" w:rsidRDefault="00607A85" w14:paraId="4B74EB9A" w14:textId="36DB0C4A">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37D0A928" w14:textId="77777777">
            <w:pPr>
              <w:spacing w:line="276" w:lineRule="auto"/>
              <w:rPr>
                <w:rFonts w:ascii="Times New Roman" w:hAnsi="Times New Roman" w:cs="Times New Roman"/>
                <w:sz w:val="20"/>
                <w:szCs w:val="20"/>
              </w:rPr>
            </w:pPr>
          </w:p>
          <w:p w:rsidRPr="00463949" w:rsidR="007F5541" w:rsidP="00C76B32" w:rsidRDefault="007F5541" w14:paraId="320229AE" w14:textId="77777777">
            <w:pPr>
              <w:spacing w:line="276" w:lineRule="auto"/>
              <w:rPr>
                <w:rFonts w:ascii="Times New Roman" w:hAnsi="Times New Roman" w:cs="Times New Roman"/>
                <w:sz w:val="20"/>
                <w:szCs w:val="20"/>
              </w:rPr>
            </w:pPr>
          </w:p>
          <w:p w:rsidRPr="00463949" w:rsidR="007F5541" w:rsidP="00C76B32" w:rsidRDefault="00607A85" w14:paraId="5F7F6163" w14:textId="052EABEA">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607A85" w:rsidTr="00C76B32" w14:paraId="25CC8C1B" w14:textId="77777777">
        <w:tc>
          <w:tcPr>
            <w:tcW w:w="1807" w:type="dxa"/>
          </w:tcPr>
          <w:p w:rsidRPr="00463949" w:rsidR="00607A85" w:rsidP="00C76B32" w:rsidRDefault="00607A85" w14:paraId="147C8EAA" w14:textId="77777777">
            <w:pPr>
              <w:spacing w:line="276" w:lineRule="auto"/>
              <w:rPr>
                <w:rFonts w:ascii="Times New Roman" w:hAnsi="Times New Roman" w:cs="Times New Roman"/>
                <w:sz w:val="20"/>
                <w:szCs w:val="20"/>
              </w:rPr>
            </w:pPr>
          </w:p>
          <w:p w:rsidRPr="00463949" w:rsidR="00607A85" w:rsidP="00C76B32" w:rsidRDefault="00607A85" w14:paraId="2106F22B" w14:textId="3A5BFF2E">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9 l</w:t>
            </w:r>
            <w:r w:rsidRPr="00463949" w:rsidR="00101310">
              <w:rPr>
                <w:rFonts w:ascii="Times New Roman" w:hAnsi="Times New Roman" w:cs="Times New Roman"/>
                <w:sz w:val="20"/>
                <w:szCs w:val="20"/>
              </w:rPr>
              <w:t xml:space="preserve">eden </w:t>
            </w:r>
            <w:r w:rsidRPr="00463949">
              <w:rPr>
                <w:rFonts w:ascii="Times New Roman" w:hAnsi="Times New Roman" w:cs="Times New Roman"/>
                <w:sz w:val="20"/>
                <w:szCs w:val="20"/>
              </w:rPr>
              <w:t>3</w:t>
            </w:r>
            <w:r w:rsidRPr="00463949" w:rsidR="00101310">
              <w:rPr>
                <w:rFonts w:ascii="Times New Roman" w:hAnsi="Times New Roman" w:cs="Times New Roman"/>
                <w:sz w:val="20"/>
                <w:szCs w:val="20"/>
              </w:rPr>
              <w:t>-6</w:t>
            </w:r>
          </w:p>
          <w:p w:rsidRPr="00463949" w:rsidR="00607A85" w:rsidP="00C76B32" w:rsidRDefault="00607A85" w14:paraId="66561B9B" w14:textId="77777777">
            <w:pPr>
              <w:spacing w:line="276" w:lineRule="auto"/>
              <w:rPr>
                <w:rFonts w:ascii="Times New Roman" w:hAnsi="Times New Roman" w:cs="Times New Roman"/>
                <w:sz w:val="20"/>
                <w:szCs w:val="20"/>
              </w:rPr>
            </w:pPr>
          </w:p>
          <w:p w:rsidRPr="00463949" w:rsidR="00607A85" w:rsidP="00C76B32" w:rsidRDefault="00607A85" w14:paraId="4B9D2482" w14:textId="77777777">
            <w:pPr>
              <w:spacing w:line="276" w:lineRule="auto"/>
              <w:rPr>
                <w:rFonts w:ascii="Times New Roman" w:hAnsi="Times New Roman" w:cs="Times New Roman"/>
                <w:sz w:val="20"/>
                <w:szCs w:val="20"/>
              </w:rPr>
            </w:pPr>
          </w:p>
        </w:tc>
        <w:tc>
          <w:tcPr>
            <w:tcW w:w="2643" w:type="dxa"/>
          </w:tcPr>
          <w:p w:rsidRPr="00463949" w:rsidR="00607A85" w:rsidP="00C76B32" w:rsidRDefault="00607A85" w14:paraId="4D85E191" w14:textId="77777777">
            <w:pPr>
              <w:spacing w:line="276" w:lineRule="auto"/>
              <w:rPr>
                <w:rFonts w:ascii="Times New Roman" w:hAnsi="Times New Roman" w:cs="Times New Roman"/>
                <w:sz w:val="20"/>
                <w:szCs w:val="20"/>
              </w:rPr>
            </w:pPr>
          </w:p>
          <w:p w:rsidRPr="00463949" w:rsidR="00101310" w:rsidP="00C76B32" w:rsidRDefault="00101310" w14:paraId="6A21880E"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Niet geïmplementeerd, bestaand recht in artikel 194 lid 2 en artikel 195 leden 1 en 2 Rv.</w:t>
            </w:r>
          </w:p>
          <w:p w:rsidRPr="00463949" w:rsidR="00101310" w:rsidP="00C76B32" w:rsidRDefault="00101310" w14:paraId="668E5B6D" w14:textId="01AA74C4">
            <w:pPr>
              <w:spacing w:line="276" w:lineRule="auto"/>
              <w:rPr>
                <w:rFonts w:ascii="Times New Roman" w:hAnsi="Times New Roman" w:cs="Times New Roman"/>
                <w:sz w:val="20"/>
                <w:szCs w:val="20"/>
              </w:rPr>
            </w:pPr>
          </w:p>
        </w:tc>
        <w:tc>
          <w:tcPr>
            <w:tcW w:w="2643" w:type="dxa"/>
          </w:tcPr>
          <w:p w:rsidRPr="00463949" w:rsidR="00607A85" w:rsidP="00C76B32" w:rsidRDefault="00607A85" w14:paraId="3D65BECA" w14:textId="77777777">
            <w:pPr>
              <w:spacing w:line="276" w:lineRule="auto"/>
              <w:rPr>
                <w:rFonts w:ascii="Times New Roman" w:hAnsi="Times New Roman" w:cs="Times New Roman"/>
                <w:sz w:val="20"/>
                <w:szCs w:val="20"/>
              </w:rPr>
            </w:pPr>
          </w:p>
          <w:p w:rsidRPr="00463949" w:rsidR="00101310" w:rsidP="00C76B32" w:rsidRDefault="00101310" w14:paraId="7E565A62" w14:textId="3182F46D">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607A85" w:rsidP="00C76B32" w:rsidRDefault="00607A85" w14:paraId="61EC9546" w14:textId="77777777">
            <w:pPr>
              <w:spacing w:line="276" w:lineRule="auto"/>
              <w:rPr>
                <w:rFonts w:ascii="Times New Roman" w:hAnsi="Times New Roman" w:cs="Times New Roman"/>
                <w:sz w:val="20"/>
                <w:szCs w:val="20"/>
              </w:rPr>
            </w:pPr>
          </w:p>
          <w:p w:rsidRPr="00463949" w:rsidR="00101310" w:rsidP="00C76B32" w:rsidRDefault="00101310" w14:paraId="51D6501F" w14:textId="4C278CA6">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607A85" w:rsidTr="00C76B32" w14:paraId="4E061E7A" w14:textId="77777777">
        <w:tc>
          <w:tcPr>
            <w:tcW w:w="1807" w:type="dxa"/>
          </w:tcPr>
          <w:p w:rsidRPr="00463949" w:rsidR="00607A85" w:rsidP="00C76B32" w:rsidRDefault="00607A85" w14:paraId="3E8CD11E" w14:textId="77777777">
            <w:pPr>
              <w:spacing w:line="276" w:lineRule="auto"/>
              <w:rPr>
                <w:rFonts w:ascii="Times New Roman" w:hAnsi="Times New Roman" w:cs="Times New Roman"/>
                <w:sz w:val="20"/>
                <w:szCs w:val="20"/>
              </w:rPr>
            </w:pPr>
          </w:p>
          <w:p w:rsidRPr="00463949" w:rsidR="00101310" w:rsidP="00C76B32" w:rsidRDefault="00101310" w14:paraId="5CD81D37" w14:textId="57133593">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9 lid 7</w:t>
            </w:r>
          </w:p>
          <w:p w:rsidRPr="00463949" w:rsidR="00607A85" w:rsidP="00C76B32" w:rsidRDefault="00607A85" w14:paraId="0455017E" w14:textId="77777777">
            <w:pPr>
              <w:spacing w:line="276" w:lineRule="auto"/>
              <w:rPr>
                <w:rFonts w:ascii="Times New Roman" w:hAnsi="Times New Roman" w:cs="Times New Roman"/>
                <w:sz w:val="20"/>
                <w:szCs w:val="20"/>
              </w:rPr>
            </w:pPr>
          </w:p>
          <w:p w:rsidRPr="00463949" w:rsidR="00607A85" w:rsidP="00C76B32" w:rsidRDefault="00607A85" w14:paraId="0DA6CD3C" w14:textId="77777777">
            <w:pPr>
              <w:spacing w:line="276" w:lineRule="auto"/>
              <w:rPr>
                <w:rFonts w:ascii="Times New Roman" w:hAnsi="Times New Roman" w:cs="Times New Roman"/>
                <w:sz w:val="20"/>
                <w:szCs w:val="20"/>
              </w:rPr>
            </w:pPr>
          </w:p>
          <w:p w:rsidRPr="00463949" w:rsidR="00607A85" w:rsidP="00C76B32" w:rsidRDefault="00607A85" w14:paraId="352E1B6B" w14:textId="77777777">
            <w:pPr>
              <w:spacing w:line="276" w:lineRule="auto"/>
              <w:rPr>
                <w:rFonts w:ascii="Times New Roman" w:hAnsi="Times New Roman" w:cs="Times New Roman"/>
                <w:sz w:val="20"/>
                <w:szCs w:val="20"/>
              </w:rPr>
            </w:pPr>
          </w:p>
        </w:tc>
        <w:tc>
          <w:tcPr>
            <w:tcW w:w="2643" w:type="dxa"/>
          </w:tcPr>
          <w:p w:rsidRPr="00463949" w:rsidR="00607A85" w:rsidP="00C76B32" w:rsidRDefault="00607A85" w14:paraId="03E86E50" w14:textId="77777777">
            <w:pPr>
              <w:spacing w:line="276" w:lineRule="auto"/>
              <w:rPr>
                <w:rFonts w:ascii="Times New Roman" w:hAnsi="Times New Roman" w:cs="Times New Roman"/>
                <w:sz w:val="20"/>
                <w:szCs w:val="20"/>
                <w:highlight w:val="yellow"/>
              </w:rPr>
            </w:pPr>
          </w:p>
          <w:p w:rsidRPr="00463949" w:rsidR="00101310" w:rsidP="00C76B32" w:rsidRDefault="00101310" w14:paraId="2EAC92F2"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Behoeft naar zijn aard geen implementatie, omdat de bepaling geen verplichtingen oplegt aan de lidstaten.</w:t>
            </w:r>
          </w:p>
          <w:p w:rsidRPr="00463949" w:rsidR="0014254E" w:rsidP="00C76B32" w:rsidRDefault="0014254E" w14:paraId="44DEAF9D" w14:textId="0EA13FF1">
            <w:pPr>
              <w:spacing w:line="276" w:lineRule="auto"/>
              <w:rPr>
                <w:rFonts w:ascii="Times New Roman" w:hAnsi="Times New Roman" w:cs="Times New Roman"/>
                <w:sz w:val="20"/>
                <w:szCs w:val="20"/>
                <w:highlight w:val="yellow"/>
              </w:rPr>
            </w:pPr>
          </w:p>
        </w:tc>
        <w:tc>
          <w:tcPr>
            <w:tcW w:w="2643" w:type="dxa"/>
          </w:tcPr>
          <w:p w:rsidRPr="00463949" w:rsidR="00607A85" w:rsidP="00C76B32" w:rsidRDefault="00607A85" w14:paraId="42049833" w14:textId="77777777">
            <w:pPr>
              <w:spacing w:line="276" w:lineRule="auto"/>
              <w:rPr>
                <w:rFonts w:ascii="Times New Roman" w:hAnsi="Times New Roman" w:cs="Times New Roman"/>
                <w:sz w:val="20"/>
                <w:szCs w:val="20"/>
              </w:rPr>
            </w:pPr>
          </w:p>
          <w:p w:rsidRPr="00463949" w:rsidR="00101310" w:rsidP="00C76B32" w:rsidRDefault="00101310" w14:paraId="2E03E869" w14:textId="63F3B2AB">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607A85" w:rsidP="00C76B32" w:rsidRDefault="00607A85" w14:paraId="65FE4B32" w14:textId="77777777">
            <w:pPr>
              <w:spacing w:line="276" w:lineRule="auto"/>
              <w:rPr>
                <w:rFonts w:ascii="Times New Roman" w:hAnsi="Times New Roman" w:cs="Times New Roman"/>
                <w:sz w:val="20"/>
                <w:szCs w:val="20"/>
              </w:rPr>
            </w:pPr>
          </w:p>
          <w:p w:rsidRPr="00463949" w:rsidR="00101310" w:rsidP="00C76B32" w:rsidRDefault="00101310" w14:paraId="66F7DDD5" w14:textId="67979B46">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5F1D2577" w14:textId="77777777">
        <w:tc>
          <w:tcPr>
            <w:tcW w:w="1807" w:type="dxa"/>
          </w:tcPr>
          <w:p w:rsidRPr="00463949" w:rsidR="008B1C1E" w:rsidP="00C76B32" w:rsidRDefault="008B1C1E" w14:paraId="54759544" w14:textId="77777777">
            <w:pPr>
              <w:spacing w:line="276" w:lineRule="auto"/>
              <w:rPr>
                <w:rFonts w:ascii="Times New Roman" w:hAnsi="Times New Roman" w:cs="Times New Roman"/>
                <w:sz w:val="20"/>
                <w:szCs w:val="20"/>
              </w:rPr>
            </w:pPr>
          </w:p>
          <w:p w:rsidRPr="00463949" w:rsidR="008B1C1E" w:rsidP="00C76B32" w:rsidRDefault="008B1C1E" w14:paraId="2849856E" w14:textId="6E9E7750">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10 lid 1</w:t>
            </w:r>
          </w:p>
          <w:p w:rsidRPr="00463949" w:rsidR="008B1C1E" w:rsidP="00C76B32" w:rsidRDefault="008B1C1E" w14:paraId="789CBB7A" w14:textId="77777777">
            <w:pPr>
              <w:spacing w:line="276" w:lineRule="auto"/>
              <w:rPr>
                <w:rFonts w:ascii="Times New Roman" w:hAnsi="Times New Roman" w:cs="Times New Roman"/>
                <w:sz w:val="20"/>
                <w:szCs w:val="20"/>
              </w:rPr>
            </w:pPr>
          </w:p>
        </w:tc>
        <w:tc>
          <w:tcPr>
            <w:tcW w:w="2643" w:type="dxa"/>
          </w:tcPr>
          <w:p w:rsidRPr="00463949" w:rsidR="008B1C1E" w:rsidP="00C76B32" w:rsidRDefault="008B1C1E" w14:paraId="2F6DC686" w14:textId="77777777">
            <w:pPr>
              <w:spacing w:line="276" w:lineRule="auto"/>
              <w:rPr>
                <w:rFonts w:ascii="Times New Roman" w:hAnsi="Times New Roman" w:cs="Times New Roman"/>
                <w:sz w:val="20"/>
                <w:szCs w:val="20"/>
              </w:rPr>
            </w:pPr>
          </w:p>
          <w:p w:rsidRPr="00463949" w:rsidR="008B1C1E" w:rsidP="00C76B32" w:rsidRDefault="00833A5F" w14:paraId="678D80BA" w14:textId="13C91D18">
            <w:pPr>
              <w:spacing w:line="276" w:lineRule="auto"/>
              <w:rPr>
                <w:rFonts w:ascii="Times New Roman" w:hAnsi="Times New Roman" w:cs="Times New Roman"/>
                <w:sz w:val="20"/>
                <w:szCs w:val="20"/>
              </w:rPr>
            </w:pPr>
            <w:r w:rsidRPr="00463949">
              <w:rPr>
                <w:rFonts w:ascii="Times New Roman" w:hAnsi="Times New Roman" w:cs="Times New Roman"/>
                <w:sz w:val="20"/>
                <w:szCs w:val="20"/>
              </w:rPr>
              <w:t>N</w:t>
            </w:r>
            <w:r w:rsidRPr="00463949" w:rsidR="008B1C1E">
              <w:rPr>
                <w:rFonts w:ascii="Times New Roman" w:hAnsi="Times New Roman" w:cs="Times New Roman"/>
                <w:sz w:val="20"/>
                <w:szCs w:val="20"/>
              </w:rPr>
              <w:t>iet geïmplementeerd, bestaand recht in artikel 6:188 BW</w:t>
            </w:r>
            <w:r w:rsidRPr="00463949">
              <w:rPr>
                <w:rFonts w:ascii="Times New Roman" w:hAnsi="Times New Roman" w:cs="Times New Roman"/>
                <w:sz w:val="20"/>
                <w:szCs w:val="20"/>
              </w:rPr>
              <w:t>.</w:t>
            </w:r>
          </w:p>
          <w:p w:rsidRPr="00463949" w:rsidR="008B1C1E" w:rsidP="00C76B32" w:rsidRDefault="008B1C1E" w14:paraId="2FD14144" w14:textId="243EBC9D">
            <w:pPr>
              <w:spacing w:line="276" w:lineRule="auto"/>
              <w:rPr>
                <w:rFonts w:ascii="Times New Roman" w:hAnsi="Times New Roman" w:cs="Times New Roman"/>
                <w:sz w:val="20"/>
                <w:szCs w:val="20"/>
              </w:rPr>
            </w:pPr>
          </w:p>
        </w:tc>
        <w:tc>
          <w:tcPr>
            <w:tcW w:w="2643" w:type="dxa"/>
          </w:tcPr>
          <w:p w:rsidRPr="00463949" w:rsidR="008B1C1E" w:rsidP="00C76B32" w:rsidRDefault="008B1C1E" w14:paraId="6EF74CF9" w14:textId="77777777">
            <w:pPr>
              <w:spacing w:line="276" w:lineRule="auto"/>
              <w:rPr>
                <w:rFonts w:ascii="Times New Roman" w:hAnsi="Times New Roman" w:cs="Times New Roman"/>
                <w:sz w:val="20"/>
                <w:szCs w:val="20"/>
              </w:rPr>
            </w:pPr>
          </w:p>
          <w:p w:rsidRPr="00463949" w:rsidR="007F5541" w:rsidP="00C76B32" w:rsidRDefault="007F5541" w14:paraId="09C1909E" w14:textId="78F28BE4">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8B1C1E" w:rsidP="00C76B32" w:rsidRDefault="008B1C1E" w14:paraId="38D738B0" w14:textId="77777777">
            <w:pPr>
              <w:spacing w:line="276" w:lineRule="auto"/>
              <w:rPr>
                <w:rFonts w:ascii="Times New Roman" w:hAnsi="Times New Roman" w:cs="Times New Roman"/>
                <w:sz w:val="20"/>
                <w:szCs w:val="20"/>
              </w:rPr>
            </w:pPr>
          </w:p>
          <w:p w:rsidRPr="00463949" w:rsidR="007F5541" w:rsidP="00C76B32" w:rsidRDefault="007F5541" w14:paraId="61D5B8BD" w14:textId="33A68138">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215DA8D2" w14:textId="77777777">
        <w:tc>
          <w:tcPr>
            <w:tcW w:w="1807" w:type="dxa"/>
          </w:tcPr>
          <w:p w:rsidRPr="00463949" w:rsidR="008B1C1E" w:rsidP="00C76B32" w:rsidRDefault="008B1C1E" w14:paraId="3984883A" w14:textId="77777777">
            <w:pPr>
              <w:spacing w:line="276" w:lineRule="auto"/>
              <w:rPr>
                <w:rFonts w:ascii="Times New Roman" w:hAnsi="Times New Roman" w:cs="Times New Roman"/>
                <w:sz w:val="20"/>
                <w:szCs w:val="20"/>
              </w:rPr>
            </w:pPr>
          </w:p>
          <w:p w:rsidRPr="00463949" w:rsidR="008B1C1E" w:rsidP="00C76B32" w:rsidRDefault="008B1C1E" w14:paraId="1DE746F7" w14:textId="4108DA9D">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10 lid 2</w:t>
            </w:r>
            <w:r w:rsidRPr="00463949" w:rsidR="007F5541">
              <w:rPr>
                <w:rFonts w:ascii="Times New Roman" w:hAnsi="Times New Roman" w:cs="Times New Roman"/>
                <w:sz w:val="20"/>
                <w:szCs w:val="20"/>
              </w:rPr>
              <w:t xml:space="preserve"> onder a</w:t>
            </w:r>
          </w:p>
          <w:p w:rsidRPr="00463949" w:rsidR="008B1C1E" w:rsidP="00C76B32" w:rsidRDefault="008B1C1E" w14:paraId="08549863" w14:textId="77777777">
            <w:pPr>
              <w:spacing w:line="276" w:lineRule="auto"/>
              <w:rPr>
                <w:rFonts w:ascii="Times New Roman" w:hAnsi="Times New Roman" w:cs="Times New Roman"/>
                <w:sz w:val="20"/>
                <w:szCs w:val="20"/>
              </w:rPr>
            </w:pPr>
          </w:p>
        </w:tc>
        <w:tc>
          <w:tcPr>
            <w:tcW w:w="2643" w:type="dxa"/>
          </w:tcPr>
          <w:p w:rsidRPr="00463949" w:rsidR="008B1C1E" w:rsidP="00C76B32" w:rsidRDefault="008B1C1E" w14:paraId="6B5C9692" w14:textId="77777777">
            <w:pPr>
              <w:spacing w:line="276" w:lineRule="auto"/>
              <w:rPr>
                <w:rFonts w:ascii="Times New Roman" w:hAnsi="Times New Roman" w:cs="Times New Roman"/>
                <w:sz w:val="20"/>
                <w:szCs w:val="20"/>
              </w:rPr>
            </w:pPr>
          </w:p>
          <w:p w:rsidRPr="00463949" w:rsidR="008B1C1E" w:rsidP="00C76B32" w:rsidRDefault="008B1C1E" w14:paraId="5DABA15C" w14:textId="3A7FDEC0">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I, onderdeel G, (wijziging artikel 6:188 BW; </w:t>
            </w:r>
            <w:r w:rsidRPr="00463949" w:rsidR="007F5541">
              <w:rPr>
                <w:rFonts w:ascii="Times New Roman" w:hAnsi="Times New Roman" w:cs="Times New Roman"/>
                <w:sz w:val="20"/>
                <w:szCs w:val="20"/>
              </w:rPr>
              <w:t>toe</w:t>
            </w:r>
            <w:r w:rsidRPr="00463949">
              <w:rPr>
                <w:rFonts w:ascii="Times New Roman" w:hAnsi="Times New Roman" w:cs="Times New Roman"/>
                <w:sz w:val="20"/>
                <w:szCs w:val="20"/>
              </w:rPr>
              <w:t>voeging lid 2, onder a</w:t>
            </w:r>
            <w:r w:rsidRPr="00463949" w:rsidR="007F5541">
              <w:rPr>
                <w:rFonts w:ascii="Times New Roman" w:hAnsi="Times New Roman" w:cs="Times New Roman"/>
                <w:sz w:val="20"/>
                <w:szCs w:val="20"/>
              </w:rPr>
              <w:t>)</w:t>
            </w:r>
            <w:r w:rsidRPr="00463949" w:rsidR="00D4687B">
              <w:rPr>
                <w:rFonts w:ascii="Times New Roman" w:hAnsi="Times New Roman" w:cs="Times New Roman"/>
                <w:sz w:val="20"/>
                <w:szCs w:val="20"/>
              </w:rPr>
              <w:t>.</w:t>
            </w:r>
          </w:p>
          <w:p w:rsidRPr="00463949" w:rsidR="007F5541" w:rsidP="00C76B32" w:rsidRDefault="007F5541" w14:paraId="3066B4DB" w14:textId="77A2EF9A">
            <w:pPr>
              <w:spacing w:line="276" w:lineRule="auto"/>
              <w:rPr>
                <w:rFonts w:ascii="Times New Roman" w:hAnsi="Times New Roman" w:cs="Times New Roman"/>
                <w:sz w:val="20"/>
                <w:szCs w:val="20"/>
              </w:rPr>
            </w:pPr>
          </w:p>
        </w:tc>
        <w:tc>
          <w:tcPr>
            <w:tcW w:w="2643" w:type="dxa"/>
          </w:tcPr>
          <w:p w:rsidRPr="00463949" w:rsidR="008B1C1E" w:rsidP="00C76B32" w:rsidRDefault="008B1C1E" w14:paraId="50EC8348" w14:textId="77777777">
            <w:pPr>
              <w:spacing w:line="276" w:lineRule="auto"/>
              <w:rPr>
                <w:rFonts w:ascii="Times New Roman" w:hAnsi="Times New Roman" w:cs="Times New Roman"/>
                <w:sz w:val="20"/>
                <w:szCs w:val="20"/>
              </w:rPr>
            </w:pPr>
          </w:p>
          <w:p w:rsidRPr="00463949" w:rsidR="007F5541" w:rsidP="00C76B32" w:rsidRDefault="007F5541" w14:paraId="6F34F372" w14:textId="738E43B9">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8B1C1E" w:rsidP="00C76B32" w:rsidRDefault="008B1C1E" w14:paraId="400F25EE" w14:textId="77777777">
            <w:pPr>
              <w:spacing w:line="276" w:lineRule="auto"/>
              <w:rPr>
                <w:rFonts w:ascii="Times New Roman" w:hAnsi="Times New Roman" w:cs="Times New Roman"/>
                <w:sz w:val="20"/>
                <w:szCs w:val="20"/>
              </w:rPr>
            </w:pPr>
          </w:p>
          <w:p w:rsidRPr="00463949" w:rsidR="007F5541" w:rsidP="00C76B32" w:rsidRDefault="007F5541" w14:paraId="5D6C5DF7" w14:textId="202EE3D8">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250C31BE" w14:textId="77777777">
        <w:tc>
          <w:tcPr>
            <w:tcW w:w="1807" w:type="dxa"/>
          </w:tcPr>
          <w:p w:rsidRPr="00463949" w:rsidR="008B1C1E" w:rsidP="00C76B32" w:rsidRDefault="008B1C1E" w14:paraId="3FAF2362" w14:textId="77777777">
            <w:pPr>
              <w:spacing w:line="276" w:lineRule="auto"/>
              <w:rPr>
                <w:rFonts w:ascii="Times New Roman" w:hAnsi="Times New Roman" w:cs="Times New Roman"/>
                <w:sz w:val="20"/>
                <w:szCs w:val="20"/>
              </w:rPr>
            </w:pPr>
          </w:p>
          <w:p w:rsidRPr="00463949" w:rsidR="008B1C1E" w:rsidP="00C76B32" w:rsidRDefault="007F5541" w14:paraId="72AEB92A" w14:textId="2881DB6D">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10 lid 2 onder b</w:t>
            </w:r>
          </w:p>
          <w:p w:rsidRPr="00463949" w:rsidR="008B1C1E" w:rsidP="00C76B32" w:rsidRDefault="008B1C1E" w14:paraId="5AF38F7C" w14:textId="77777777">
            <w:pPr>
              <w:spacing w:line="276" w:lineRule="auto"/>
              <w:rPr>
                <w:rFonts w:ascii="Times New Roman" w:hAnsi="Times New Roman" w:cs="Times New Roman"/>
                <w:sz w:val="20"/>
                <w:szCs w:val="20"/>
              </w:rPr>
            </w:pPr>
          </w:p>
          <w:p w:rsidRPr="00463949" w:rsidR="008B1C1E" w:rsidP="00C76B32" w:rsidRDefault="008B1C1E" w14:paraId="5F47504D" w14:textId="77777777">
            <w:pPr>
              <w:spacing w:line="276" w:lineRule="auto"/>
              <w:rPr>
                <w:rFonts w:ascii="Times New Roman" w:hAnsi="Times New Roman" w:cs="Times New Roman"/>
                <w:sz w:val="20"/>
                <w:szCs w:val="20"/>
              </w:rPr>
            </w:pPr>
          </w:p>
        </w:tc>
        <w:tc>
          <w:tcPr>
            <w:tcW w:w="2643" w:type="dxa"/>
          </w:tcPr>
          <w:p w:rsidRPr="00463949" w:rsidR="008B1C1E" w:rsidP="00C76B32" w:rsidRDefault="008B1C1E" w14:paraId="5A614B5A" w14:textId="77777777">
            <w:pPr>
              <w:spacing w:line="276" w:lineRule="auto"/>
              <w:rPr>
                <w:rFonts w:ascii="Times New Roman" w:hAnsi="Times New Roman" w:cs="Times New Roman"/>
                <w:sz w:val="20"/>
                <w:szCs w:val="20"/>
              </w:rPr>
            </w:pPr>
          </w:p>
          <w:p w:rsidRPr="00463949" w:rsidR="007F5541" w:rsidP="00C76B32" w:rsidRDefault="007F5541" w14:paraId="34C73EA1" w14:textId="56912F4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G, (wijziging artikel 6:188 BW; toevoeging lid 2, onder b)</w:t>
            </w:r>
            <w:r w:rsidRPr="00463949" w:rsidR="00D4687B">
              <w:rPr>
                <w:rFonts w:ascii="Times New Roman" w:hAnsi="Times New Roman" w:cs="Times New Roman"/>
                <w:sz w:val="20"/>
                <w:szCs w:val="20"/>
              </w:rPr>
              <w:t>.</w:t>
            </w:r>
          </w:p>
          <w:p w:rsidRPr="00463949" w:rsidR="007F5541" w:rsidP="00C76B32" w:rsidRDefault="007F5541" w14:paraId="4DE080C6" w14:textId="7091D554">
            <w:pPr>
              <w:spacing w:line="276" w:lineRule="auto"/>
              <w:rPr>
                <w:rFonts w:ascii="Times New Roman" w:hAnsi="Times New Roman" w:cs="Times New Roman"/>
                <w:sz w:val="20"/>
                <w:szCs w:val="20"/>
              </w:rPr>
            </w:pPr>
          </w:p>
        </w:tc>
        <w:tc>
          <w:tcPr>
            <w:tcW w:w="2643" w:type="dxa"/>
          </w:tcPr>
          <w:p w:rsidRPr="00463949" w:rsidR="008B1C1E" w:rsidP="00C76B32" w:rsidRDefault="008B1C1E" w14:paraId="6D299ECE" w14:textId="77777777">
            <w:pPr>
              <w:spacing w:line="276" w:lineRule="auto"/>
              <w:rPr>
                <w:rFonts w:ascii="Times New Roman" w:hAnsi="Times New Roman" w:cs="Times New Roman"/>
                <w:sz w:val="20"/>
                <w:szCs w:val="20"/>
              </w:rPr>
            </w:pPr>
          </w:p>
          <w:p w:rsidRPr="00463949" w:rsidR="007F5541" w:rsidP="00C76B32" w:rsidRDefault="007F5541" w14:paraId="38B90DDD" w14:textId="174B66BC">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8B1C1E" w:rsidP="00C76B32" w:rsidRDefault="008B1C1E" w14:paraId="1BBAD2C8" w14:textId="77777777">
            <w:pPr>
              <w:spacing w:line="276" w:lineRule="auto"/>
              <w:rPr>
                <w:rFonts w:ascii="Times New Roman" w:hAnsi="Times New Roman" w:cs="Times New Roman"/>
                <w:sz w:val="20"/>
                <w:szCs w:val="20"/>
              </w:rPr>
            </w:pPr>
          </w:p>
          <w:p w:rsidRPr="00463949" w:rsidR="007F5541" w:rsidP="00C76B32" w:rsidRDefault="007F5541" w14:paraId="2E559A46" w14:textId="6934FF0C">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04CDF824" w14:textId="77777777">
        <w:tc>
          <w:tcPr>
            <w:tcW w:w="1807" w:type="dxa"/>
          </w:tcPr>
          <w:p w:rsidRPr="00463949" w:rsidR="007F5541" w:rsidP="00C76B32" w:rsidRDefault="007F5541" w14:paraId="7D2E939A" w14:textId="77777777">
            <w:pPr>
              <w:spacing w:line="276" w:lineRule="auto"/>
              <w:rPr>
                <w:rFonts w:ascii="Times New Roman" w:hAnsi="Times New Roman" w:cs="Times New Roman"/>
                <w:sz w:val="20"/>
                <w:szCs w:val="20"/>
              </w:rPr>
            </w:pPr>
          </w:p>
          <w:p w:rsidRPr="00463949" w:rsidR="007F5541" w:rsidP="00C76B32" w:rsidRDefault="007F5541" w14:paraId="28DCCDF8" w14:textId="3EA8D2AC">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10 lid 2 onder c</w:t>
            </w:r>
          </w:p>
          <w:p w:rsidRPr="00463949" w:rsidR="007F5541" w:rsidP="00C76B32" w:rsidRDefault="007F5541" w14:paraId="26EB0C97" w14:textId="77777777">
            <w:pPr>
              <w:spacing w:line="276" w:lineRule="auto"/>
              <w:rPr>
                <w:rFonts w:ascii="Times New Roman" w:hAnsi="Times New Roman" w:cs="Times New Roman"/>
                <w:sz w:val="20"/>
                <w:szCs w:val="20"/>
              </w:rPr>
            </w:pPr>
          </w:p>
        </w:tc>
        <w:tc>
          <w:tcPr>
            <w:tcW w:w="2643" w:type="dxa"/>
          </w:tcPr>
          <w:p w:rsidRPr="00463949" w:rsidR="007F5541" w:rsidP="00C76B32" w:rsidRDefault="007F5541" w14:paraId="102ED88D" w14:textId="77777777">
            <w:pPr>
              <w:spacing w:line="276" w:lineRule="auto"/>
              <w:rPr>
                <w:rFonts w:ascii="Times New Roman" w:hAnsi="Times New Roman" w:cs="Times New Roman"/>
                <w:sz w:val="20"/>
                <w:szCs w:val="20"/>
              </w:rPr>
            </w:pPr>
          </w:p>
          <w:p w:rsidRPr="00463949" w:rsidR="007F5541" w:rsidP="00C76B32" w:rsidRDefault="007F5541" w14:paraId="63557089" w14:textId="1E013321">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G, (wijziging artikel 6:188 BW; toevoeging lid 2, onder c)</w:t>
            </w:r>
            <w:r w:rsidRPr="00463949" w:rsidR="00D4687B">
              <w:rPr>
                <w:rFonts w:ascii="Times New Roman" w:hAnsi="Times New Roman" w:cs="Times New Roman"/>
                <w:sz w:val="20"/>
                <w:szCs w:val="20"/>
              </w:rPr>
              <w:t>.</w:t>
            </w:r>
          </w:p>
          <w:p w:rsidRPr="00463949" w:rsidR="007F5541" w:rsidP="00C76B32" w:rsidRDefault="007F5541" w14:paraId="224EBD39" w14:textId="0EF66805">
            <w:pPr>
              <w:spacing w:line="276" w:lineRule="auto"/>
              <w:rPr>
                <w:rFonts w:ascii="Times New Roman" w:hAnsi="Times New Roman" w:cs="Times New Roman"/>
                <w:sz w:val="20"/>
                <w:szCs w:val="20"/>
              </w:rPr>
            </w:pPr>
          </w:p>
        </w:tc>
        <w:tc>
          <w:tcPr>
            <w:tcW w:w="2643" w:type="dxa"/>
          </w:tcPr>
          <w:p w:rsidRPr="00463949" w:rsidR="007F5541" w:rsidP="00C76B32" w:rsidRDefault="007F5541" w14:paraId="1A3A2090" w14:textId="77777777">
            <w:pPr>
              <w:spacing w:line="276" w:lineRule="auto"/>
              <w:rPr>
                <w:rFonts w:ascii="Times New Roman" w:hAnsi="Times New Roman" w:cs="Times New Roman"/>
                <w:sz w:val="20"/>
                <w:szCs w:val="20"/>
              </w:rPr>
            </w:pPr>
          </w:p>
          <w:p w:rsidRPr="00463949" w:rsidR="007F5541" w:rsidP="00C76B32" w:rsidRDefault="007F5541" w14:paraId="41BDE84F" w14:textId="3A891DEA">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7F5541" w:rsidP="00C76B32" w:rsidRDefault="007F5541" w14:paraId="6C8D100D" w14:textId="77777777">
            <w:pPr>
              <w:spacing w:line="276" w:lineRule="auto"/>
              <w:rPr>
                <w:rFonts w:ascii="Times New Roman" w:hAnsi="Times New Roman" w:cs="Times New Roman"/>
                <w:sz w:val="20"/>
                <w:szCs w:val="20"/>
              </w:rPr>
            </w:pPr>
          </w:p>
          <w:p w:rsidRPr="00463949" w:rsidR="007F5541" w:rsidP="00C76B32" w:rsidRDefault="007F5541" w14:paraId="2D85E5CF" w14:textId="7AADBBE1">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4AFAFDDD" w14:textId="77777777">
        <w:tc>
          <w:tcPr>
            <w:tcW w:w="1807" w:type="dxa"/>
          </w:tcPr>
          <w:p w:rsidRPr="00463949" w:rsidR="007F5541" w:rsidP="00C76B32" w:rsidRDefault="007F5541" w14:paraId="0DF36DE3" w14:textId="77777777">
            <w:pPr>
              <w:spacing w:line="276" w:lineRule="auto"/>
              <w:rPr>
                <w:rFonts w:ascii="Times New Roman" w:hAnsi="Times New Roman" w:cs="Times New Roman"/>
                <w:sz w:val="20"/>
                <w:szCs w:val="20"/>
              </w:rPr>
            </w:pPr>
          </w:p>
          <w:p w:rsidRPr="00463949" w:rsidR="007F5541" w:rsidP="00C76B32" w:rsidRDefault="007F5541" w14:paraId="6BB8BF05" w14:textId="095F6917">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10 lid 3</w:t>
            </w:r>
          </w:p>
          <w:p w:rsidRPr="00463949" w:rsidR="007F5541" w:rsidP="00C76B32" w:rsidRDefault="007F5541" w14:paraId="0E83ACDC" w14:textId="77777777">
            <w:pPr>
              <w:spacing w:line="276" w:lineRule="auto"/>
              <w:rPr>
                <w:rFonts w:ascii="Times New Roman" w:hAnsi="Times New Roman" w:cs="Times New Roman"/>
                <w:sz w:val="20"/>
                <w:szCs w:val="20"/>
              </w:rPr>
            </w:pPr>
          </w:p>
        </w:tc>
        <w:tc>
          <w:tcPr>
            <w:tcW w:w="2643" w:type="dxa"/>
          </w:tcPr>
          <w:p w:rsidRPr="00463949" w:rsidR="007F5541" w:rsidP="00C76B32" w:rsidRDefault="007F5541" w14:paraId="7672BC04" w14:textId="77777777">
            <w:pPr>
              <w:spacing w:line="276" w:lineRule="auto"/>
              <w:rPr>
                <w:rFonts w:ascii="Times New Roman" w:hAnsi="Times New Roman" w:cs="Times New Roman"/>
                <w:sz w:val="20"/>
                <w:szCs w:val="20"/>
              </w:rPr>
            </w:pPr>
          </w:p>
          <w:p w:rsidRPr="00463949" w:rsidR="007F5541" w:rsidP="00C76B32" w:rsidRDefault="007F5541" w14:paraId="34780CF5" w14:textId="2F132C04">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G, (wijziging artikel 6:188 BW; toevoeging lid 3)</w:t>
            </w:r>
            <w:r w:rsidRPr="00463949" w:rsidR="00D4687B">
              <w:rPr>
                <w:rFonts w:ascii="Times New Roman" w:hAnsi="Times New Roman" w:cs="Times New Roman"/>
                <w:sz w:val="20"/>
                <w:szCs w:val="20"/>
              </w:rPr>
              <w:t>.</w:t>
            </w:r>
          </w:p>
          <w:p w:rsidRPr="00463949" w:rsidR="007F5541" w:rsidP="00C76B32" w:rsidRDefault="007F5541" w14:paraId="6C8B3243" w14:textId="0D9951A0">
            <w:pPr>
              <w:spacing w:line="276" w:lineRule="auto"/>
              <w:rPr>
                <w:rFonts w:ascii="Times New Roman" w:hAnsi="Times New Roman" w:cs="Times New Roman"/>
                <w:sz w:val="20"/>
                <w:szCs w:val="20"/>
              </w:rPr>
            </w:pPr>
          </w:p>
        </w:tc>
        <w:tc>
          <w:tcPr>
            <w:tcW w:w="2643" w:type="dxa"/>
          </w:tcPr>
          <w:p w:rsidRPr="00463949" w:rsidR="007F5541" w:rsidP="00C76B32" w:rsidRDefault="007F5541" w14:paraId="0326902F" w14:textId="77777777">
            <w:pPr>
              <w:spacing w:line="276" w:lineRule="auto"/>
              <w:rPr>
                <w:rFonts w:ascii="Times New Roman" w:hAnsi="Times New Roman" w:cs="Times New Roman"/>
                <w:sz w:val="20"/>
                <w:szCs w:val="20"/>
              </w:rPr>
            </w:pPr>
          </w:p>
          <w:p w:rsidRPr="00463949" w:rsidR="007F5541" w:rsidP="00C76B32" w:rsidRDefault="007F5541" w14:paraId="331412FA" w14:textId="5BEA0FD4">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7F5541" w:rsidP="00C76B32" w:rsidRDefault="007F5541" w14:paraId="44F1963C" w14:textId="77777777">
            <w:pPr>
              <w:spacing w:line="276" w:lineRule="auto"/>
              <w:rPr>
                <w:rFonts w:ascii="Times New Roman" w:hAnsi="Times New Roman" w:cs="Times New Roman"/>
                <w:sz w:val="20"/>
                <w:szCs w:val="20"/>
              </w:rPr>
            </w:pPr>
          </w:p>
          <w:p w:rsidRPr="00463949" w:rsidR="007F5541" w:rsidP="00C76B32" w:rsidRDefault="007F5541" w14:paraId="2428C42F" w14:textId="031D64DA">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61523FA3" w14:textId="77777777">
        <w:tc>
          <w:tcPr>
            <w:tcW w:w="1807" w:type="dxa"/>
          </w:tcPr>
          <w:p w:rsidRPr="00463949" w:rsidR="007F5541" w:rsidP="00C76B32" w:rsidRDefault="007F5541" w14:paraId="27794B4A" w14:textId="77777777">
            <w:pPr>
              <w:spacing w:line="276" w:lineRule="auto"/>
              <w:rPr>
                <w:rFonts w:ascii="Times New Roman" w:hAnsi="Times New Roman" w:cs="Times New Roman"/>
                <w:sz w:val="20"/>
                <w:szCs w:val="20"/>
              </w:rPr>
            </w:pPr>
          </w:p>
          <w:p w:rsidRPr="00463949" w:rsidR="00806232" w:rsidP="00C76B32" w:rsidRDefault="00806232" w14:paraId="501F962D" w14:textId="77777777">
            <w:pPr>
              <w:spacing w:line="276" w:lineRule="auto"/>
              <w:rPr>
                <w:rFonts w:ascii="Times New Roman" w:hAnsi="Times New Roman" w:cs="Times New Roman"/>
                <w:sz w:val="20"/>
                <w:szCs w:val="20"/>
              </w:rPr>
            </w:pPr>
          </w:p>
          <w:p w:rsidRPr="00463949" w:rsidR="007F5541" w:rsidP="00C76B32" w:rsidRDefault="007F5541" w14:paraId="7DC57884" w14:textId="3F62E608">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10 lid 4 </w:t>
            </w:r>
          </w:p>
          <w:p w:rsidRPr="00463949" w:rsidR="007F5541" w:rsidP="00C76B32" w:rsidRDefault="007F5541" w14:paraId="131E955D" w14:textId="77777777">
            <w:pPr>
              <w:spacing w:line="276" w:lineRule="auto"/>
              <w:rPr>
                <w:rFonts w:ascii="Times New Roman" w:hAnsi="Times New Roman" w:cs="Times New Roman"/>
                <w:sz w:val="20"/>
                <w:szCs w:val="20"/>
              </w:rPr>
            </w:pPr>
          </w:p>
        </w:tc>
        <w:tc>
          <w:tcPr>
            <w:tcW w:w="2643" w:type="dxa"/>
          </w:tcPr>
          <w:p w:rsidRPr="00463949" w:rsidR="00806232" w:rsidP="00C76B32" w:rsidRDefault="00806232" w14:paraId="1D860267" w14:textId="77777777">
            <w:pPr>
              <w:spacing w:line="276" w:lineRule="auto"/>
              <w:rPr>
                <w:rFonts w:ascii="Times New Roman" w:hAnsi="Times New Roman" w:cs="Times New Roman"/>
                <w:sz w:val="20"/>
                <w:szCs w:val="20"/>
              </w:rPr>
            </w:pPr>
          </w:p>
          <w:p w:rsidRPr="00463949" w:rsidR="007F5541" w:rsidP="00C76B32" w:rsidRDefault="007F5541" w14:paraId="7A10A558" w14:textId="0D8C63AF">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G, (wijziging artikel 6:188 BW; toevoeging lid 4)</w:t>
            </w:r>
            <w:r w:rsidRPr="00463949" w:rsidR="00D4687B">
              <w:rPr>
                <w:rFonts w:ascii="Times New Roman" w:hAnsi="Times New Roman" w:cs="Times New Roman"/>
                <w:sz w:val="20"/>
                <w:szCs w:val="20"/>
              </w:rPr>
              <w:t>.</w:t>
            </w:r>
          </w:p>
          <w:p w:rsidRPr="00463949" w:rsidR="007F5541" w:rsidP="00C76B32" w:rsidRDefault="007F5541" w14:paraId="1754D293" w14:textId="5BEB95AC">
            <w:pPr>
              <w:spacing w:line="276" w:lineRule="auto"/>
              <w:rPr>
                <w:rFonts w:ascii="Times New Roman" w:hAnsi="Times New Roman" w:cs="Times New Roman"/>
                <w:sz w:val="20"/>
                <w:szCs w:val="20"/>
              </w:rPr>
            </w:pPr>
          </w:p>
        </w:tc>
        <w:tc>
          <w:tcPr>
            <w:tcW w:w="2643" w:type="dxa"/>
          </w:tcPr>
          <w:p w:rsidRPr="00463949" w:rsidR="007F5541" w:rsidP="00C76B32" w:rsidRDefault="007F5541" w14:paraId="142E86DB" w14:textId="77777777">
            <w:pPr>
              <w:spacing w:line="276" w:lineRule="auto"/>
              <w:rPr>
                <w:rFonts w:ascii="Times New Roman" w:hAnsi="Times New Roman" w:cs="Times New Roman"/>
                <w:sz w:val="20"/>
                <w:szCs w:val="20"/>
              </w:rPr>
            </w:pPr>
          </w:p>
          <w:p w:rsidRPr="00463949" w:rsidR="00806232" w:rsidP="00C76B32" w:rsidRDefault="00806232" w14:paraId="7C9DD481" w14:textId="77777777">
            <w:pPr>
              <w:spacing w:line="276" w:lineRule="auto"/>
              <w:rPr>
                <w:rFonts w:ascii="Times New Roman" w:hAnsi="Times New Roman" w:cs="Times New Roman"/>
                <w:sz w:val="20"/>
                <w:szCs w:val="20"/>
              </w:rPr>
            </w:pPr>
          </w:p>
          <w:p w:rsidRPr="00463949" w:rsidR="007F5541" w:rsidP="00C76B32" w:rsidRDefault="007F5541" w14:paraId="2C1F1750" w14:textId="66D10AF2">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7F5541" w:rsidP="00C76B32" w:rsidRDefault="007F5541" w14:paraId="6B850701" w14:textId="77777777">
            <w:pPr>
              <w:spacing w:line="276" w:lineRule="auto"/>
              <w:rPr>
                <w:rFonts w:ascii="Times New Roman" w:hAnsi="Times New Roman" w:cs="Times New Roman"/>
                <w:sz w:val="20"/>
                <w:szCs w:val="20"/>
              </w:rPr>
            </w:pPr>
          </w:p>
          <w:p w:rsidRPr="00463949" w:rsidR="00806232" w:rsidP="00C76B32" w:rsidRDefault="00806232" w14:paraId="4C712C32" w14:textId="77777777">
            <w:pPr>
              <w:spacing w:line="276" w:lineRule="auto"/>
              <w:rPr>
                <w:rFonts w:ascii="Times New Roman" w:hAnsi="Times New Roman" w:cs="Times New Roman"/>
                <w:sz w:val="20"/>
                <w:szCs w:val="20"/>
              </w:rPr>
            </w:pPr>
          </w:p>
          <w:p w:rsidRPr="00463949" w:rsidR="007F5541" w:rsidP="00C76B32" w:rsidRDefault="007F5541" w14:paraId="3FCE1D99" w14:textId="4DEE5CF6">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78E4FD2A" w14:textId="77777777">
        <w:tc>
          <w:tcPr>
            <w:tcW w:w="1807" w:type="dxa"/>
          </w:tcPr>
          <w:p w:rsidRPr="00463949" w:rsidR="007F5541" w:rsidP="00C76B32" w:rsidRDefault="007F5541" w14:paraId="119C721D" w14:textId="77777777">
            <w:pPr>
              <w:spacing w:line="276" w:lineRule="auto"/>
              <w:rPr>
                <w:rFonts w:ascii="Times New Roman" w:hAnsi="Times New Roman" w:cs="Times New Roman"/>
                <w:sz w:val="20"/>
                <w:szCs w:val="20"/>
              </w:rPr>
            </w:pPr>
          </w:p>
          <w:p w:rsidRPr="00463949" w:rsidR="007F5541" w:rsidP="00C76B32" w:rsidRDefault="007F5541" w14:paraId="5D9DF960" w14:textId="48C5A895">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10 lid 5</w:t>
            </w:r>
          </w:p>
          <w:p w:rsidRPr="00463949" w:rsidR="007F5541" w:rsidP="00C76B32" w:rsidRDefault="007F5541" w14:paraId="258D2DF3" w14:textId="77777777">
            <w:pPr>
              <w:spacing w:line="276" w:lineRule="auto"/>
              <w:rPr>
                <w:rFonts w:ascii="Times New Roman" w:hAnsi="Times New Roman" w:cs="Times New Roman"/>
                <w:sz w:val="20"/>
                <w:szCs w:val="20"/>
              </w:rPr>
            </w:pPr>
          </w:p>
        </w:tc>
        <w:tc>
          <w:tcPr>
            <w:tcW w:w="2643" w:type="dxa"/>
          </w:tcPr>
          <w:p w:rsidRPr="00463949" w:rsidR="007F5541" w:rsidP="00C76B32" w:rsidRDefault="007F5541" w14:paraId="16CF290E" w14:textId="77777777">
            <w:pPr>
              <w:spacing w:line="276" w:lineRule="auto"/>
              <w:rPr>
                <w:rFonts w:ascii="Times New Roman" w:hAnsi="Times New Roman" w:cs="Times New Roman"/>
                <w:sz w:val="20"/>
                <w:szCs w:val="20"/>
              </w:rPr>
            </w:pPr>
          </w:p>
          <w:p w:rsidRPr="00463949" w:rsidR="007F5541" w:rsidP="00C76B32" w:rsidRDefault="007F5541" w14:paraId="4E757F18" w14:textId="4C653D1E">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I, onderdeel G, (wijziging artikel 6:188 BW; toevoeging leden 2-4, de terminologie “wordt </w:t>
            </w:r>
            <w:r w:rsidRPr="00463949">
              <w:rPr>
                <w:rFonts w:ascii="Times New Roman" w:hAnsi="Times New Roman" w:cs="Times New Roman"/>
                <w:sz w:val="20"/>
                <w:szCs w:val="20"/>
              </w:rPr>
              <w:lastRenderedPageBreak/>
              <w:t>vermoed” duidt op een weerlegbaar bewijsvermoeden).</w:t>
            </w:r>
          </w:p>
          <w:p w:rsidRPr="00463949" w:rsidR="007F5541" w:rsidP="00C76B32" w:rsidRDefault="007F5541" w14:paraId="34289733" w14:textId="3BE37415">
            <w:pPr>
              <w:spacing w:line="276" w:lineRule="auto"/>
              <w:rPr>
                <w:rFonts w:ascii="Times New Roman" w:hAnsi="Times New Roman" w:cs="Times New Roman"/>
                <w:sz w:val="20"/>
                <w:szCs w:val="20"/>
              </w:rPr>
            </w:pPr>
          </w:p>
        </w:tc>
        <w:tc>
          <w:tcPr>
            <w:tcW w:w="2643" w:type="dxa"/>
          </w:tcPr>
          <w:p w:rsidRPr="00463949" w:rsidR="007F5541" w:rsidP="00C76B32" w:rsidRDefault="007F5541" w14:paraId="40CE24B4" w14:textId="77777777">
            <w:pPr>
              <w:spacing w:line="276" w:lineRule="auto"/>
              <w:rPr>
                <w:rFonts w:ascii="Times New Roman" w:hAnsi="Times New Roman" w:cs="Times New Roman"/>
                <w:sz w:val="20"/>
                <w:szCs w:val="20"/>
              </w:rPr>
            </w:pPr>
          </w:p>
          <w:p w:rsidRPr="00463949" w:rsidR="00806232" w:rsidP="00C76B32" w:rsidRDefault="00806232" w14:paraId="143D43CA" w14:textId="0AE9D5D9">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7F5541" w:rsidP="00C76B32" w:rsidRDefault="007F5541" w14:paraId="4FEE7A86" w14:textId="77777777">
            <w:pPr>
              <w:spacing w:line="276" w:lineRule="auto"/>
              <w:rPr>
                <w:rFonts w:ascii="Times New Roman" w:hAnsi="Times New Roman" w:cs="Times New Roman"/>
                <w:sz w:val="20"/>
                <w:szCs w:val="20"/>
              </w:rPr>
            </w:pPr>
          </w:p>
          <w:p w:rsidRPr="00463949" w:rsidR="00806232" w:rsidP="00C76B32" w:rsidRDefault="00806232" w14:paraId="0D5E6212" w14:textId="0ADF5880">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42831C61" w14:textId="77777777">
        <w:tc>
          <w:tcPr>
            <w:tcW w:w="1807" w:type="dxa"/>
          </w:tcPr>
          <w:p w:rsidRPr="00463949" w:rsidR="007F5541" w:rsidP="00C76B32" w:rsidRDefault="007F5541" w14:paraId="45FFC350" w14:textId="77777777">
            <w:pPr>
              <w:spacing w:line="276" w:lineRule="auto"/>
              <w:rPr>
                <w:rFonts w:ascii="Times New Roman" w:hAnsi="Times New Roman" w:cs="Times New Roman"/>
                <w:sz w:val="20"/>
                <w:szCs w:val="20"/>
              </w:rPr>
            </w:pPr>
          </w:p>
          <w:p w:rsidRPr="00463949" w:rsidR="00806232" w:rsidP="00C76B32" w:rsidRDefault="00806232" w14:paraId="61A1DE5A" w14:textId="70274A1E">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11 lid 1</w:t>
            </w:r>
          </w:p>
          <w:p w:rsidRPr="00463949" w:rsidR="00806232" w:rsidP="00C76B32" w:rsidRDefault="00806232" w14:paraId="67BAB45B" w14:textId="77777777">
            <w:pPr>
              <w:spacing w:line="276" w:lineRule="auto"/>
              <w:rPr>
                <w:rFonts w:ascii="Times New Roman" w:hAnsi="Times New Roman" w:cs="Times New Roman"/>
                <w:sz w:val="20"/>
                <w:szCs w:val="20"/>
              </w:rPr>
            </w:pPr>
          </w:p>
          <w:p w:rsidRPr="00463949" w:rsidR="00806232" w:rsidP="00C76B32" w:rsidRDefault="00806232" w14:paraId="3CE9FA43" w14:textId="77777777">
            <w:pPr>
              <w:spacing w:line="276" w:lineRule="auto"/>
              <w:rPr>
                <w:rFonts w:ascii="Times New Roman" w:hAnsi="Times New Roman" w:cs="Times New Roman"/>
                <w:sz w:val="20"/>
                <w:szCs w:val="20"/>
              </w:rPr>
            </w:pPr>
          </w:p>
        </w:tc>
        <w:tc>
          <w:tcPr>
            <w:tcW w:w="2643" w:type="dxa"/>
          </w:tcPr>
          <w:p w:rsidRPr="00463949" w:rsidR="007F5541" w:rsidP="00C76B32" w:rsidRDefault="007F5541" w14:paraId="4FDDB2E6" w14:textId="77777777">
            <w:pPr>
              <w:spacing w:line="276" w:lineRule="auto"/>
              <w:rPr>
                <w:rFonts w:ascii="Times New Roman" w:hAnsi="Times New Roman" w:cs="Times New Roman"/>
                <w:sz w:val="20"/>
                <w:szCs w:val="20"/>
              </w:rPr>
            </w:pPr>
          </w:p>
          <w:p w:rsidRPr="00463949" w:rsidR="00806232" w:rsidP="00C76B32" w:rsidRDefault="00806232" w14:paraId="7EC7FC2B" w14:textId="4ED61E6C">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I, onderdeel </w:t>
            </w:r>
            <w:r w:rsidRPr="00463949" w:rsidR="00D4687B">
              <w:rPr>
                <w:rFonts w:ascii="Times New Roman" w:hAnsi="Times New Roman" w:cs="Times New Roman"/>
                <w:sz w:val="20"/>
                <w:szCs w:val="20"/>
              </w:rPr>
              <w:t>D</w:t>
            </w:r>
            <w:r w:rsidRPr="00463949">
              <w:rPr>
                <w:rFonts w:ascii="Times New Roman" w:hAnsi="Times New Roman" w:cs="Times New Roman"/>
                <w:sz w:val="20"/>
                <w:szCs w:val="20"/>
              </w:rPr>
              <w:t>, (wijziging artikel 6:185 lid 1 BW)</w:t>
            </w:r>
            <w:r w:rsidRPr="00463949" w:rsidR="00D4687B">
              <w:rPr>
                <w:rFonts w:ascii="Times New Roman" w:hAnsi="Times New Roman" w:cs="Times New Roman"/>
                <w:sz w:val="20"/>
                <w:szCs w:val="20"/>
              </w:rPr>
              <w:t>.</w:t>
            </w:r>
          </w:p>
          <w:p w:rsidRPr="00463949" w:rsidR="00806232" w:rsidP="00C76B32" w:rsidRDefault="00806232" w14:paraId="7732C2C4" w14:textId="4045087B">
            <w:pPr>
              <w:spacing w:line="276" w:lineRule="auto"/>
              <w:rPr>
                <w:rFonts w:ascii="Times New Roman" w:hAnsi="Times New Roman" w:cs="Times New Roman"/>
                <w:sz w:val="20"/>
                <w:szCs w:val="20"/>
              </w:rPr>
            </w:pPr>
          </w:p>
        </w:tc>
        <w:tc>
          <w:tcPr>
            <w:tcW w:w="2643" w:type="dxa"/>
          </w:tcPr>
          <w:p w:rsidRPr="00463949" w:rsidR="007F5541" w:rsidP="00C76B32" w:rsidRDefault="007F5541" w14:paraId="72F89438" w14:textId="77777777">
            <w:pPr>
              <w:spacing w:line="276" w:lineRule="auto"/>
              <w:rPr>
                <w:rFonts w:ascii="Times New Roman" w:hAnsi="Times New Roman" w:cs="Times New Roman"/>
                <w:sz w:val="20"/>
                <w:szCs w:val="20"/>
              </w:rPr>
            </w:pPr>
          </w:p>
          <w:p w:rsidRPr="00463949" w:rsidR="00D4687B" w:rsidP="00C76B32" w:rsidRDefault="00D4687B" w14:paraId="7166BEA7" w14:textId="78CDF882">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7F5541" w:rsidP="00C76B32" w:rsidRDefault="007F5541" w14:paraId="3A2F7261" w14:textId="77777777">
            <w:pPr>
              <w:spacing w:line="276" w:lineRule="auto"/>
              <w:rPr>
                <w:rFonts w:ascii="Times New Roman" w:hAnsi="Times New Roman" w:cs="Times New Roman"/>
                <w:sz w:val="20"/>
                <w:szCs w:val="20"/>
              </w:rPr>
            </w:pPr>
          </w:p>
          <w:p w:rsidRPr="00463949" w:rsidR="00D4687B" w:rsidP="00C76B32" w:rsidRDefault="00D4687B" w14:paraId="0DAD0AC7" w14:textId="4943D625">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237B4F9B" w14:textId="77777777">
        <w:tc>
          <w:tcPr>
            <w:tcW w:w="1807" w:type="dxa"/>
          </w:tcPr>
          <w:p w:rsidRPr="00463949" w:rsidR="007F5541" w:rsidP="00C76B32" w:rsidRDefault="007F5541" w14:paraId="7B187687" w14:textId="77777777">
            <w:pPr>
              <w:spacing w:line="276" w:lineRule="auto"/>
              <w:rPr>
                <w:rFonts w:ascii="Times New Roman" w:hAnsi="Times New Roman" w:cs="Times New Roman"/>
                <w:sz w:val="20"/>
                <w:szCs w:val="20"/>
              </w:rPr>
            </w:pPr>
          </w:p>
          <w:p w:rsidRPr="00463949" w:rsidR="00806232" w:rsidP="00C76B32" w:rsidRDefault="00806232" w14:paraId="070DC519" w14:textId="147A40A8">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11 lid 2</w:t>
            </w:r>
          </w:p>
          <w:p w:rsidRPr="00463949" w:rsidR="00806232" w:rsidP="00C76B32" w:rsidRDefault="00806232" w14:paraId="238B2B31" w14:textId="77777777">
            <w:pPr>
              <w:spacing w:line="276" w:lineRule="auto"/>
              <w:rPr>
                <w:rFonts w:ascii="Times New Roman" w:hAnsi="Times New Roman" w:cs="Times New Roman"/>
                <w:sz w:val="20"/>
                <w:szCs w:val="20"/>
              </w:rPr>
            </w:pPr>
          </w:p>
          <w:p w:rsidRPr="00463949" w:rsidR="00806232" w:rsidP="00C76B32" w:rsidRDefault="00806232" w14:paraId="522AB89B" w14:textId="77777777">
            <w:pPr>
              <w:spacing w:line="276" w:lineRule="auto"/>
              <w:rPr>
                <w:rFonts w:ascii="Times New Roman" w:hAnsi="Times New Roman" w:cs="Times New Roman"/>
                <w:sz w:val="20"/>
                <w:szCs w:val="20"/>
              </w:rPr>
            </w:pPr>
          </w:p>
        </w:tc>
        <w:tc>
          <w:tcPr>
            <w:tcW w:w="2643" w:type="dxa"/>
          </w:tcPr>
          <w:p w:rsidRPr="00463949" w:rsidR="007F5541" w:rsidP="00C76B32" w:rsidRDefault="007F5541" w14:paraId="2F448B89" w14:textId="77777777">
            <w:pPr>
              <w:spacing w:line="276" w:lineRule="auto"/>
              <w:rPr>
                <w:rFonts w:ascii="Times New Roman" w:hAnsi="Times New Roman" w:cs="Times New Roman"/>
                <w:sz w:val="20"/>
                <w:szCs w:val="20"/>
              </w:rPr>
            </w:pPr>
          </w:p>
          <w:p w:rsidRPr="00463949" w:rsidR="00806232" w:rsidP="00C76B32" w:rsidRDefault="00806232" w14:paraId="15F11A11" w14:textId="228B62AD">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Artikel I, onderdeel </w:t>
            </w:r>
            <w:r w:rsidRPr="00463949" w:rsidR="00D4687B">
              <w:rPr>
                <w:rFonts w:ascii="Times New Roman" w:hAnsi="Times New Roman" w:cs="Times New Roman"/>
                <w:sz w:val="20"/>
                <w:szCs w:val="20"/>
              </w:rPr>
              <w:t>D</w:t>
            </w:r>
            <w:r w:rsidRPr="00463949">
              <w:rPr>
                <w:rFonts w:ascii="Times New Roman" w:hAnsi="Times New Roman" w:cs="Times New Roman"/>
                <w:sz w:val="20"/>
                <w:szCs w:val="20"/>
              </w:rPr>
              <w:t>, (wijziging artikel 6:185; invoeging nieuw lid 2)</w:t>
            </w:r>
            <w:r w:rsidRPr="00463949" w:rsidR="00D4687B">
              <w:rPr>
                <w:rFonts w:ascii="Times New Roman" w:hAnsi="Times New Roman" w:cs="Times New Roman"/>
                <w:sz w:val="20"/>
                <w:szCs w:val="20"/>
              </w:rPr>
              <w:t>.</w:t>
            </w:r>
          </w:p>
          <w:p w:rsidRPr="00463949" w:rsidR="00806232" w:rsidP="00C76B32" w:rsidRDefault="00806232" w14:paraId="4BF8E302" w14:textId="0CCCE2AB">
            <w:pPr>
              <w:spacing w:line="276" w:lineRule="auto"/>
              <w:rPr>
                <w:rFonts w:ascii="Times New Roman" w:hAnsi="Times New Roman" w:cs="Times New Roman"/>
                <w:sz w:val="20"/>
                <w:szCs w:val="20"/>
              </w:rPr>
            </w:pPr>
          </w:p>
        </w:tc>
        <w:tc>
          <w:tcPr>
            <w:tcW w:w="2643" w:type="dxa"/>
          </w:tcPr>
          <w:p w:rsidRPr="00463949" w:rsidR="007F5541" w:rsidP="00C76B32" w:rsidRDefault="007F5541" w14:paraId="6FAC6258" w14:textId="77777777">
            <w:pPr>
              <w:spacing w:line="276" w:lineRule="auto"/>
              <w:rPr>
                <w:rFonts w:ascii="Times New Roman" w:hAnsi="Times New Roman" w:cs="Times New Roman"/>
                <w:sz w:val="20"/>
                <w:szCs w:val="20"/>
              </w:rPr>
            </w:pPr>
          </w:p>
          <w:p w:rsidRPr="00463949" w:rsidR="00D4687B" w:rsidP="00C76B32" w:rsidRDefault="00D4687B" w14:paraId="26298F42" w14:textId="047E37F3">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7F5541" w:rsidP="00C76B32" w:rsidRDefault="007F5541" w14:paraId="04234B60" w14:textId="77777777">
            <w:pPr>
              <w:spacing w:line="276" w:lineRule="auto"/>
              <w:rPr>
                <w:rFonts w:ascii="Times New Roman" w:hAnsi="Times New Roman" w:cs="Times New Roman"/>
                <w:sz w:val="20"/>
                <w:szCs w:val="20"/>
              </w:rPr>
            </w:pPr>
          </w:p>
          <w:p w:rsidRPr="00463949" w:rsidR="00D4687B" w:rsidP="00C76B32" w:rsidRDefault="00D4687B" w14:paraId="23698E0D" w14:textId="590F441E">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DB5435" w14:paraId="0BD9E0DD" w14:textId="77777777">
        <w:tc>
          <w:tcPr>
            <w:tcW w:w="1807" w:type="dxa"/>
          </w:tcPr>
          <w:p w:rsidRPr="00463949" w:rsidR="007F5541" w:rsidP="00C76B32" w:rsidRDefault="007F5541" w14:paraId="2BA5822F" w14:textId="77777777">
            <w:pPr>
              <w:spacing w:line="276" w:lineRule="auto"/>
              <w:rPr>
                <w:rFonts w:ascii="Times New Roman" w:hAnsi="Times New Roman" w:cs="Times New Roman"/>
                <w:sz w:val="20"/>
                <w:szCs w:val="20"/>
              </w:rPr>
            </w:pPr>
          </w:p>
          <w:p w:rsidRPr="00463949" w:rsidR="00806232" w:rsidP="00C76B32" w:rsidRDefault="00806232" w14:paraId="57A21A87" w14:textId="13084886">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12 lid 1</w:t>
            </w:r>
          </w:p>
          <w:p w:rsidRPr="00463949" w:rsidR="00806232" w:rsidP="00C76B32" w:rsidRDefault="00806232" w14:paraId="3F8F6A30" w14:textId="77777777">
            <w:pPr>
              <w:spacing w:line="276" w:lineRule="auto"/>
              <w:rPr>
                <w:rFonts w:ascii="Times New Roman" w:hAnsi="Times New Roman" w:cs="Times New Roman"/>
                <w:sz w:val="20"/>
                <w:szCs w:val="20"/>
              </w:rPr>
            </w:pPr>
          </w:p>
          <w:p w:rsidRPr="00463949" w:rsidR="00806232" w:rsidP="00C76B32" w:rsidRDefault="00806232" w14:paraId="53C7D4FD" w14:textId="77777777">
            <w:pPr>
              <w:spacing w:line="276" w:lineRule="auto"/>
              <w:rPr>
                <w:rFonts w:ascii="Times New Roman" w:hAnsi="Times New Roman" w:cs="Times New Roman"/>
                <w:sz w:val="20"/>
                <w:szCs w:val="20"/>
              </w:rPr>
            </w:pPr>
          </w:p>
        </w:tc>
        <w:tc>
          <w:tcPr>
            <w:tcW w:w="2643" w:type="dxa"/>
          </w:tcPr>
          <w:p w:rsidRPr="00463949" w:rsidR="007F5541" w:rsidP="00C76B32" w:rsidRDefault="007F5541" w14:paraId="1C92E657" w14:textId="77777777">
            <w:pPr>
              <w:spacing w:line="276" w:lineRule="auto"/>
              <w:rPr>
                <w:rFonts w:ascii="Times New Roman" w:hAnsi="Times New Roman" w:cs="Times New Roman"/>
                <w:sz w:val="20"/>
                <w:szCs w:val="20"/>
              </w:rPr>
            </w:pPr>
          </w:p>
          <w:p w:rsidRPr="00463949" w:rsidR="00806232" w:rsidP="00C76B32" w:rsidRDefault="00806232" w14:paraId="5FE604C5"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Niet geïmplementeerd, bestaand recht in artikel 6:189 BW.</w:t>
            </w:r>
          </w:p>
          <w:p w:rsidRPr="00463949" w:rsidR="00806232" w:rsidP="00C76B32" w:rsidRDefault="00806232" w14:paraId="3442C13B" w14:textId="5B08F5E5">
            <w:pPr>
              <w:spacing w:line="276" w:lineRule="auto"/>
              <w:rPr>
                <w:rFonts w:ascii="Times New Roman" w:hAnsi="Times New Roman" w:cs="Times New Roman"/>
                <w:sz w:val="20"/>
                <w:szCs w:val="20"/>
              </w:rPr>
            </w:pPr>
          </w:p>
        </w:tc>
        <w:tc>
          <w:tcPr>
            <w:tcW w:w="2643" w:type="dxa"/>
          </w:tcPr>
          <w:p w:rsidRPr="00463949" w:rsidR="007F5541" w:rsidP="00C76B32" w:rsidRDefault="007F5541" w14:paraId="71C4DFAF" w14:textId="77777777">
            <w:pPr>
              <w:spacing w:line="276" w:lineRule="auto"/>
              <w:rPr>
                <w:rFonts w:ascii="Times New Roman" w:hAnsi="Times New Roman" w:cs="Times New Roman"/>
                <w:sz w:val="20"/>
                <w:szCs w:val="20"/>
              </w:rPr>
            </w:pPr>
          </w:p>
          <w:p w:rsidRPr="00463949" w:rsidR="00D4687B" w:rsidP="00C76B32" w:rsidRDefault="00D4687B" w14:paraId="7FFBCDAB" w14:textId="110C37E2">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7F5541" w:rsidP="00C76B32" w:rsidRDefault="007F5541" w14:paraId="56F94217" w14:textId="77777777">
            <w:pPr>
              <w:spacing w:line="276" w:lineRule="auto"/>
              <w:rPr>
                <w:rFonts w:ascii="Times New Roman" w:hAnsi="Times New Roman" w:cs="Times New Roman"/>
                <w:sz w:val="20"/>
                <w:szCs w:val="20"/>
              </w:rPr>
            </w:pPr>
          </w:p>
          <w:p w:rsidRPr="00463949" w:rsidR="00D4687B" w:rsidP="00C76B32" w:rsidRDefault="00D4687B" w14:paraId="7A0E2622" w14:textId="336943A6">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DB5435" w14:paraId="741E2B50" w14:textId="77777777">
        <w:tc>
          <w:tcPr>
            <w:tcW w:w="1807" w:type="dxa"/>
          </w:tcPr>
          <w:p w:rsidRPr="00463949" w:rsidR="00D4687B" w:rsidP="00C76B32" w:rsidRDefault="00D4687B" w14:paraId="2AD7E01D" w14:textId="77777777">
            <w:pPr>
              <w:spacing w:line="276" w:lineRule="auto"/>
              <w:rPr>
                <w:rFonts w:ascii="Times New Roman" w:hAnsi="Times New Roman" w:cs="Times New Roman"/>
                <w:sz w:val="20"/>
                <w:szCs w:val="20"/>
              </w:rPr>
            </w:pPr>
          </w:p>
          <w:p w:rsidRPr="00463949" w:rsidR="00D4687B" w:rsidP="00C76B32" w:rsidRDefault="00D4687B" w14:paraId="1E4F84F6" w14:textId="52B52C63">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12 lid 2</w:t>
            </w:r>
          </w:p>
          <w:p w:rsidRPr="00463949" w:rsidR="00D4687B" w:rsidP="00C76B32" w:rsidRDefault="00D4687B" w14:paraId="57E5EC86" w14:textId="77777777">
            <w:pPr>
              <w:spacing w:line="276" w:lineRule="auto"/>
              <w:rPr>
                <w:rFonts w:ascii="Times New Roman" w:hAnsi="Times New Roman" w:cs="Times New Roman"/>
                <w:sz w:val="20"/>
                <w:szCs w:val="20"/>
              </w:rPr>
            </w:pPr>
          </w:p>
        </w:tc>
        <w:tc>
          <w:tcPr>
            <w:tcW w:w="2643" w:type="dxa"/>
          </w:tcPr>
          <w:p w:rsidRPr="00463949" w:rsidR="00D4687B" w:rsidP="00C76B32" w:rsidRDefault="00D4687B" w14:paraId="1557765D" w14:textId="77777777">
            <w:pPr>
              <w:spacing w:line="276" w:lineRule="auto"/>
              <w:rPr>
                <w:rFonts w:ascii="Times New Roman" w:hAnsi="Times New Roman" w:cs="Times New Roman"/>
                <w:sz w:val="20"/>
                <w:szCs w:val="20"/>
              </w:rPr>
            </w:pPr>
          </w:p>
          <w:p w:rsidRPr="00463949" w:rsidR="00D4687B" w:rsidP="00C76B32" w:rsidRDefault="00D4687B" w14:paraId="2F344091" w14:textId="1B6C43DB">
            <w:pPr>
              <w:spacing w:line="276" w:lineRule="auto"/>
              <w:rPr>
                <w:rFonts w:ascii="Times New Roman" w:hAnsi="Times New Roman" w:cs="Times New Roman"/>
                <w:sz w:val="20"/>
                <w:szCs w:val="20"/>
              </w:rPr>
            </w:pPr>
            <w:bookmarkStart w:name="_Hlk191392544" w:id="17"/>
            <w:r w:rsidRPr="00463949">
              <w:rPr>
                <w:rFonts w:ascii="Times New Roman" w:hAnsi="Times New Roman" w:cs="Times New Roman"/>
                <w:sz w:val="20"/>
                <w:szCs w:val="20"/>
              </w:rPr>
              <w:t xml:space="preserve">Niet geïmplementeerd, bestaand recht. De regresverhouding waarvoor de </w:t>
            </w:r>
            <w:r w:rsidRPr="00463949" w:rsidR="006D63B6">
              <w:rPr>
                <w:rFonts w:ascii="Times New Roman" w:hAnsi="Times New Roman" w:cs="Times New Roman"/>
                <w:sz w:val="20"/>
                <w:szCs w:val="20"/>
              </w:rPr>
              <w:t>R</w:t>
            </w:r>
            <w:r w:rsidRPr="00463949">
              <w:rPr>
                <w:rFonts w:ascii="Times New Roman" w:hAnsi="Times New Roman" w:cs="Times New Roman"/>
                <w:sz w:val="20"/>
                <w:szCs w:val="20"/>
              </w:rPr>
              <w:t xml:space="preserve">ichtlijn in de artikelen 12 lid 1, 13 lid 2 en 14 naar het nationale recht verwijst, kan in Nederland nu ook al contractueel tussen partijen worden geregeld. </w:t>
            </w:r>
          </w:p>
          <w:bookmarkEnd w:id="17"/>
          <w:p w:rsidRPr="00463949" w:rsidR="00D71076" w:rsidP="00C76B32" w:rsidRDefault="00D71076" w14:paraId="2AAFC352" w14:textId="19B1CE0A">
            <w:pPr>
              <w:spacing w:line="276" w:lineRule="auto"/>
              <w:rPr>
                <w:rFonts w:ascii="Times New Roman" w:hAnsi="Times New Roman" w:cs="Times New Roman"/>
                <w:sz w:val="20"/>
                <w:szCs w:val="20"/>
              </w:rPr>
            </w:pPr>
          </w:p>
        </w:tc>
        <w:tc>
          <w:tcPr>
            <w:tcW w:w="2643" w:type="dxa"/>
          </w:tcPr>
          <w:p w:rsidRPr="00463949" w:rsidR="00D4687B" w:rsidP="00C76B32" w:rsidRDefault="00D4687B" w14:paraId="204383DA" w14:textId="77777777">
            <w:pPr>
              <w:spacing w:line="276" w:lineRule="auto"/>
              <w:rPr>
                <w:rFonts w:ascii="Times New Roman" w:hAnsi="Times New Roman" w:cs="Times New Roman"/>
                <w:sz w:val="20"/>
                <w:szCs w:val="20"/>
              </w:rPr>
            </w:pPr>
          </w:p>
          <w:p w:rsidRPr="00463949" w:rsidR="00D4687B" w:rsidP="00C76B32" w:rsidRDefault="00D4687B" w14:paraId="33E4F72F" w14:textId="31276620">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D4687B" w:rsidP="00C76B32" w:rsidRDefault="00D4687B" w14:paraId="52A822ED" w14:textId="77777777">
            <w:pPr>
              <w:spacing w:line="276" w:lineRule="auto"/>
              <w:rPr>
                <w:rFonts w:ascii="Times New Roman" w:hAnsi="Times New Roman" w:cs="Times New Roman"/>
                <w:sz w:val="20"/>
                <w:szCs w:val="20"/>
              </w:rPr>
            </w:pPr>
          </w:p>
          <w:p w:rsidRPr="00463949" w:rsidR="00D4687B" w:rsidP="00C76B32" w:rsidRDefault="00D4687B" w14:paraId="71EB8A1B" w14:textId="1750B923">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4BD7F18B" w14:textId="77777777">
        <w:tc>
          <w:tcPr>
            <w:tcW w:w="1807" w:type="dxa"/>
          </w:tcPr>
          <w:p w:rsidRPr="00463949" w:rsidR="00D4687B" w:rsidP="00C76B32" w:rsidRDefault="00D4687B" w14:paraId="3D1395E4" w14:textId="77777777">
            <w:pPr>
              <w:spacing w:line="276" w:lineRule="auto"/>
              <w:rPr>
                <w:rFonts w:ascii="Times New Roman" w:hAnsi="Times New Roman" w:cs="Times New Roman"/>
                <w:sz w:val="20"/>
                <w:szCs w:val="20"/>
              </w:rPr>
            </w:pPr>
          </w:p>
          <w:p w:rsidRPr="00463949" w:rsidR="00D4687B" w:rsidP="00C76B32" w:rsidRDefault="00D4687B" w14:paraId="09BE0819" w14:textId="39AA087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13 lid 1</w:t>
            </w:r>
          </w:p>
          <w:p w:rsidRPr="00463949" w:rsidR="00D4687B" w:rsidP="00C76B32" w:rsidRDefault="00D4687B" w14:paraId="3A57CFA3" w14:textId="77777777">
            <w:pPr>
              <w:spacing w:line="276" w:lineRule="auto"/>
              <w:rPr>
                <w:rFonts w:ascii="Times New Roman" w:hAnsi="Times New Roman" w:cs="Times New Roman"/>
                <w:sz w:val="20"/>
                <w:szCs w:val="20"/>
              </w:rPr>
            </w:pPr>
          </w:p>
        </w:tc>
        <w:tc>
          <w:tcPr>
            <w:tcW w:w="2643" w:type="dxa"/>
          </w:tcPr>
          <w:p w:rsidRPr="00463949" w:rsidR="00D4687B" w:rsidP="00C76B32" w:rsidRDefault="00D4687B" w14:paraId="2B013F7F" w14:textId="77777777">
            <w:pPr>
              <w:spacing w:line="276" w:lineRule="auto"/>
              <w:rPr>
                <w:rFonts w:ascii="Times New Roman" w:hAnsi="Times New Roman" w:cs="Times New Roman"/>
                <w:sz w:val="20"/>
                <w:szCs w:val="20"/>
              </w:rPr>
            </w:pPr>
          </w:p>
          <w:p w:rsidRPr="00463949" w:rsidR="00D4687B" w:rsidP="00C76B32" w:rsidRDefault="00D4687B" w14:paraId="3304573B" w14:textId="025C280C">
            <w:pPr>
              <w:spacing w:line="276" w:lineRule="auto"/>
              <w:rPr>
                <w:rFonts w:ascii="Times New Roman" w:hAnsi="Times New Roman" w:cs="Times New Roman"/>
                <w:sz w:val="20"/>
                <w:szCs w:val="20"/>
              </w:rPr>
            </w:pPr>
            <w:r w:rsidRPr="00463949">
              <w:rPr>
                <w:rFonts w:ascii="Times New Roman" w:hAnsi="Times New Roman" w:cs="Times New Roman"/>
                <w:sz w:val="20"/>
                <w:szCs w:val="20"/>
              </w:rPr>
              <w:t>Deels niet geïmplementeerd, bestaand recht in het huidige artikel 6:185 lid 3 BW; deels wel geïmplementeerd in Artikel I, onderdeel D, (wijziging artikel 6:18</w:t>
            </w:r>
            <w:r w:rsidRPr="00463949" w:rsidR="00AE0923">
              <w:rPr>
                <w:rFonts w:ascii="Times New Roman" w:hAnsi="Times New Roman" w:cs="Times New Roman"/>
                <w:sz w:val="20"/>
                <w:szCs w:val="20"/>
              </w:rPr>
              <w:t>5</w:t>
            </w:r>
            <w:r w:rsidRPr="00463949">
              <w:rPr>
                <w:rFonts w:ascii="Times New Roman" w:hAnsi="Times New Roman" w:cs="Times New Roman"/>
                <w:sz w:val="20"/>
                <w:szCs w:val="20"/>
              </w:rPr>
              <w:t xml:space="preserve"> BW; nieuw lid 4). Dit betreft het vervangen van “producent” door “marktdeelnemer</w:t>
            </w:r>
            <w:r w:rsidRPr="00463949" w:rsidR="004033DD">
              <w:rPr>
                <w:rFonts w:ascii="Times New Roman" w:hAnsi="Times New Roman" w:cs="Times New Roman"/>
                <w:sz w:val="20"/>
                <w:szCs w:val="20"/>
              </w:rPr>
              <w:t>”</w:t>
            </w:r>
            <w:r w:rsidRPr="00463949">
              <w:rPr>
                <w:rFonts w:ascii="Times New Roman" w:hAnsi="Times New Roman" w:cs="Times New Roman"/>
                <w:sz w:val="20"/>
                <w:szCs w:val="20"/>
              </w:rPr>
              <w:t>, “het produkt” door “het product” en het na “verminderd” invoegen</w:t>
            </w:r>
            <w:r w:rsidRPr="00463949" w:rsidR="004033DD">
              <w:rPr>
                <w:rFonts w:ascii="Times New Roman" w:hAnsi="Times New Roman" w:cs="Times New Roman"/>
                <w:sz w:val="20"/>
                <w:szCs w:val="20"/>
              </w:rPr>
              <w:t xml:space="preserve"> van</w:t>
            </w:r>
            <w:r w:rsidRPr="00463949">
              <w:rPr>
                <w:rFonts w:ascii="Times New Roman" w:hAnsi="Times New Roman" w:cs="Times New Roman"/>
                <w:sz w:val="20"/>
                <w:szCs w:val="20"/>
              </w:rPr>
              <w:t xml:space="preserve"> “of opgeheven”.</w:t>
            </w:r>
          </w:p>
          <w:p w:rsidRPr="00463949" w:rsidR="00D4687B" w:rsidP="00C76B32" w:rsidRDefault="00D4687B" w14:paraId="55C58152" w14:textId="346E7395">
            <w:pPr>
              <w:spacing w:line="276" w:lineRule="auto"/>
              <w:rPr>
                <w:rFonts w:ascii="Times New Roman" w:hAnsi="Times New Roman" w:cs="Times New Roman"/>
                <w:sz w:val="20"/>
                <w:szCs w:val="20"/>
              </w:rPr>
            </w:pPr>
          </w:p>
        </w:tc>
        <w:tc>
          <w:tcPr>
            <w:tcW w:w="2643" w:type="dxa"/>
          </w:tcPr>
          <w:p w:rsidRPr="00463949" w:rsidR="00D4687B" w:rsidP="00C76B32" w:rsidRDefault="00D4687B" w14:paraId="3EB1C76D" w14:textId="77777777">
            <w:pPr>
              <w:spacing w:line="276" w:lineRule="auto"/>
              <w:rPr>
                <w:rFonts w:ascii="Times New Roman" w:hAnsi="Times New Roman" w:cs="Times New Roman"/>
                <w:sz w:val="20"/>
                <w:szCs w:val="20"/>
              </w:rPr>
            </w:pPr>
          </w:p>
          <w:p w:rsidRPr="00463949" w:rsidR="00AE0923" w:rsidP="00C76B32" w:rsidRDefault="00AE0923" w14:paraId="14FF1037" w14:textId="72F277CA">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D4687B" w:rsidP="00C76B32" w:rsidRDefault="00D4687B" w14:paraId="6D6E590A" w14:textId="77777777">
            <w:pPr>
              <w:spacing w:line="276" w:lineRule="auto"/>
              <w:rPr>
                <w:rFonts w:ascii="Times New Roman" w:hAnsi="Times New Roman" w:cs="Times New Roman"/>
                <w:sz w:val="20"/>
                <w:szCs w:val="20"/>
              </w:rPr>
            </w:pPr>
          </w:p>
          <w:p w:rsidRPr="00463949" w:rsidR="00AE0923" w:rsidP="00C76B32" w:rsidRDefault="00AE0923" w14:paraId="181DD743" w14:textId="3D5AB896">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083CCDBA" w14:textId="77777777">
        <w:tc>
          <w:tcPr>
            <w:tcW w:w="1807" w:type="dxa"/>
          </w:tcPr>
          <w:p w:rsidRPr="00463949" w:rsidR="00D4687B" w:rsidP="00C76B32" w:rsidRDefault="00D4687B" w14:paraId="4AE825B7" w14:textId="77777777">
            <w:pPr>
              <w:spacing w:line="276" w:lineRule="auto"/>
              <w:rPr>
                <w:rFonts w:ascii="Times New Roman" w:hAnsi="Times New Roman" w:cs="Times New Roman"/>
                <w:sz w:val="20"/>
                <w:szCs w:val="20"/>
              </w:rPr>
            </w:pPr>
          </w:p>
          <w:p w:rsidRPr="00463949" w:rsidR="00D4687B" w:rsidP="00C76B32" w:rsidRDefault="00AE0923" w14:paraId="44D2429C" w14:textId="5632381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13 lid 2</w:t>
            </w:r>
          </w:p>
          <w:p w:rsidRPr="00463949" w:rsidR="00D4687B" w:rsidP="00C76B32" w:rsidRDefault="00D4687B" w14:paraId="0F4FDF9E" w14:textId="77777777">
            <w:pPr>
              <w:spacing w:line="276" w:lineRule="auto"/>
              <w:rPr>
                <w:rFonts w:ascii="Times New Roman" w:hAnsi="Times New Roman" w:cs="Times New Roman"/>
                <w:sz w:val="20"/>
                <w:szCs w:val="20"/>
              </w:rPr>
            </w:pPr>
          </w:p>
        </w:tc>
        <w:tc>
          <w:tcPr>
            <w:tcW w:w="2643" w:type="dxa"/>
          </w:tcPr>
          <w:p w:rsidRPr="00463949" w:rsidR="00D4687B" w:rsidP="00C76B32" w:rsidRDefault="00D4687B" w14:paraId="46077DA7" w14:textId="77777777">
            <w:pPr>
              <w:spacing w:line="276" w:lineRule="auto"/>
              <w:rPr>
                <w:rFonts w:ascii="Times New Roman" w:hAnsi="Times New Roman" w:cs="Times New Roman"/>
                <w:sz w:val="20"/>
                <w:szCs w:val="20"/>
              </w:rPr>
            </w:pPr>
          </w:p>
          <w:p w:rsidRPr="00463949" w:rsidR="00AE0923" w:rsidP="00C76B32" w:rsidRDefault="00AE0923" w14:paraId="4D937F55" w14:textId="505CC35E">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Deels niet geïmplementeerd, bestaand recht in het huidige artikel 6:185 lid 2 BW; deels wel geïmplementeerd in Artikel I, onderdeel D, (wijziging artikel 6:185 BW; </w:t>
            </w:r>
            <w:r w:rsidRPr="00463949">
              <w:rPr>
                <w:rFonts w:ascii="Times New Roman" w:hAnsi="Times New Roman" w:cs="Times New Roman"/>
                <w:sz w:val="20"/>
                <w:szCs w:val="20"/>
              </w:rPr>
              <w:lastRenderedPageBreak/>
              <w:t xml:space="preserve">nieuw lid 3). Dit betreft het vervangen van “producent” door “marktdeelnemer” en “het produkt” door “het product”. </w:t>
            </w:r>
          </w:p>
          <w:p w:rsidRPr="00463949" w:rsidR="008D09CE" w:rsidP="00C76B32" w:rsidRDefault="008D09CE" w14:paraId="06425797" w14:textId="0A208146">
            <w:pPr>
              <w:spacing w:line="276" w:lineRule="auto"/>
              <w:rPr>
                <w:rFonts w:ascii="Times New Roman" w:hAnsi="Times New Roman" w:cs="Times New Roman"/>
                <w:sz w:val="20"/>
                <w:szCs w:val="20"/>
              </w:rPr>
            </w:pPr>
          </w:p>
        </w:tc>
        <w:tc>
          <w:tcPr>
            <w:tcW w:w="2643" w:type="dxa"/>
          </w:tcPr>
          <w:p w:rsidRPr="00463949" w:rsidR="00D4687B" w:rsidP="00C76B32" w:rsidRDefault="00D4687B" w14:paraId="1367A703" w14:textId="77777777">
            <w:pPr>
              <w:spacing w:line="276" w:lineRule="auto"/>
              <w:rPr>
                <w:rFonts w:ascii="Times New Roman" w:hAnsi="Times New Roman" w:cs="Times New Roman"/>
                <w:sz w:val="20"/>
                <w:szCs w:val="20"/>
              </w:rPr>
            </w:pPr>
          </w:p>
          <w:p w:rsidRPr="00463949" w:rsidR="00AE0923" w:rsidP="00C76B32" w:rsidRDefault="00AE0923" w14:paraId="3A26EF42" w14:textId="60C1472C">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D4687B" w:rsidP="00C76B32" w:rsidRDefault="00D4687B" w14:paraId="77872CCD" w14:textId="77777777">
            <w:pPr>
              <w:spacing w:line="276" w:lineRule="auto"/>
              <w:rPr>
                <w:rFonts w:ascii="Times New Roman" w:hAnsi="Times New Roman" w:cs="Times New Roman"/>
                <w:sz w:val="20"/>
                <w:szCs w:val="20"/>
              </w:rPr>
            </w:pPr>
          </w:p>
          <w:p w:rsidRPr="00463949" w:rsidR="00AE0923" w:rsidP="00C76B32" w:rsidRDefault="00AE0923" w14:paraId="02B581AF" w14:textId="17CEB893">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DB5435" w14:paraId="2FAB414D" w14:textId="77777777">
        <w:tc>
          <w:tcPr>
            <w:tcW w:w="1807" w:type="dxa"/>
          </w:tcPr>
          <w:p w:rsidRPr="00463949" w:rsidR="00D4687B" w:rsidP="00C76B32" w:rsidRDefault="00D4687B" w14:paraId="6878936B" w14:textId="77777777">
            <w:pPr>
              <w:spacing w:line="276" w:lineRule="auto"/>
              <w:rPr>
                <w:rFonts w:ascii="Times New Roman" w:hAnsi="Times New Roman" w:cs="Times New Roman"/>
                <w:sz w:val="20"/>
                <w:szCs w:val="20"/>
              </w:rPr>
            </w:pPr>
          </w:p>
          <w:p w:rsidRPr="00463949" w:rsidR="00D4687B" w:rsidP="00C76B32" w:rsidRDefault="00F17AE5" w14:paraId="7C217AB3" w14:textId="35AB856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14</w:t>
            </w:r>
          </w:p>
          <w:p w:rsidRPr="00463949" w:rsidR="00D4687B" w:rsidP="00C76B32" w:rsidRDefault="00D4687B" w14:paraId="15C9D3B8" w14:textId="77777777">
            <w:pPr>
              <w:spacing w:line="276" w:lineRule="auto"/>
              <w:rPr>
                <w:rFonts w:ascii="Times New Roman" w:hAnsi="Times New Roman" w:cs="Times New Roman"/>
                <w:sz w:val="20"/>
                <w:szCs w:val="20"/>
              </w:rPr>
            </w:pPr>
          </w:p>
          <w:p w:rsidRPr="00463949" w:rsidR="00D4687B" w:rsidP="00C76B32" w:rsidRDefault="00D4687B" w14:paraId="4425FB92" w14:textId="77777777">
            <w:pPr>
              <w:spacing w:line="276" w:lineRule="auto"/>
              <w:rPr>
                <w:rFonts w:ascii="Times New Roman" w:hAnsi="Times New Roman" w:cs="Times New Roman"/>
                <w:sz w:val="20"/>
                <w:szCs w:val="20"/>
              </w:rPr>
            </w:pPr>
          </w:p>
        </w:tc>
        <w:tc>
          <w:tcPr>
            <w:tcW w:w="2643" w:type="dxa"/>
          </w:tcPr>
          <w:p w:rsidRPr="00463949" w:rsidR="00D4687B" w:rsidP="00C76B32" w:rsidRDefault="00D4687B" w14:paraId="2BEF62D1" w14:textId="77777777">
            <w:pPr>
              <w:spacing w:line="276" w:lineRule="auto"/>
              <w:rPr>
                <w:rFonts w:ascii="Times New Roman" w:hAnsi="Times New Roman" w:cs="Times New Roman"/>
                <w:sz w:val="20"/>
                <w:szCs w:val="20"/>
              </w:rPr>
            </w:pPr>
          </w:p>
          <w:p w:rsidRPr="00463949" w:rsidR="006A0039" w:rsidP="00C76B32" w:rsidRDefault="006A0039" w14:paraId="24C55D9F" w14:textId="42A57301">
            <w:pPr>
              <w:spacing w:line="276" w:lineRule="auto"/>
              <w:rPr>
                <w:rFonts w:ascii="Times New Roman" w:hAnsi="Times New Roman" w:cs="Times New Roman"/>
                <w:sz w:val="20"/>
                <w:szCs w:val="20"/>
              </w:rPr>
            </w:pPr>
            <w:r w:rsidRPr="00463949">
              <w:rPr>
                <w:rFonts w:ascii="Times New Roman" w:hAnsi="Times New Roman" w:cs="Times New Roman"/>
                <w:sz w:val="20"/>
                <w:szCs w:val="20"/>
              </w:rPr>
              <w:t>Niet geïmplementeerd, bestaand recht in artikel 6:10 BW jo. 6:102 lid 1 en 6:101 BW.</w:t>
            </w:r>
          </w:p>
          <w:p w:rsidRPr="00463949" w:rsidR="006A0039" w:rsidP="00C76B32" w:rsidRDefault="006A0039" w14:paraId="0030D760" w14:textId="72B7604C">
            <w:pPr>
              <w:spacing w:line="276" w:lineRule="auto"/>
              <w:rPr>
                <w:rFonts w:ascii="Times New Roman" w:hAnsi="Times New Roman" w:cs="Times New Roman"/>
                <w:sz w:val="20"/>
                <w:szCs w:val="20"/>
              </w:rPr>
            </w:pPr>
          </w:p>
        </w:tc>
        <w:tc>
          <w:tcPr>
            <w:tcW w:w="2643" w:type="dxa"/>
          </w:tcPr>
          <w:p w:rsidRPr="00463949" w:rsidR="00D4687B" w:rsidP="00C76B32" w:rsidRDefault="00D4687B" w14:paraId="17E9D630" w14:textId="77777777">
            <w:pPr>
              <w:spacing w:line="276" w:lineRule="auto"/>
              <w:rPr>
                <w:rFonts w:ascii="Times New Roman" w:hAnsi="Times New Roman" w:cs="Times New Roman"/>
                <w:sz w:val="20"/>
                <w:szCs w:val="20"/>
              </w:rPr>
            </w:pPr>
          </w:p>
          <w:p w:rsidRPr="00463949" w:rsidR="006A0039" w:rsidP="00C76B32" w:rsidRDefault="006A0039" w14:paraId="6CC32E5A" w14:textId="0B1A15DB">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D4687B" w:rsidP="00C76B32" w:rsidRDefault="00D4687B" w14:paraId="63141920" w14:textId="77777777">
            <w:pPr>
              <w:spacing w:line="276" w:lineRule="auto"/>
              <w:rPr>
                <w:rFonts w:ascii="Times New Roman" w:hAnsi="Times New Roman" w:cs="Times New Roman"/>
                <w:sz w:val="20"/>
                <w:szCs w:val="20"/>
              </w:rPr>
            </w:pPr>
          </w:p>
          <w:p w:rsidRPr="00463949" w:rsidR="006A0039" w:rsidP="00C76B32" w:rsidRDefault="006A0039" w14:paraId="16D6208B" w14:textId="1514D00C">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DB5435" w14:paraId="1E24C2E2" w14:textId="77777777">
        <w:tc>
          <w:tcPr>
            <w:tcW w:w="1807" w:type="dxa"/>
          </w:tcPr>
          <w:p w:rsidRPr="00463949" w:rsidR="00D4687B" w:rsidP="00C76B32" w:rsidRDefault="00D4687B" w14:paraId="5EA5C261" w14:textId="77777777">
            <w:pPr>
              <w:spacing w:line="276" w:lineRule="auto"/>
              <w:rPr>
                <w:rFonts w:ascii="Times New Roman" w:hAnsi="Times New Roman" w:cs="Times New Roman"/>
                <w:sz w:val="20"/>
                <w:szCs w:val="20"/>
              </w:rPr>
            </w:pPr>
          </w:p>
          <w:p w:rsidRPr="00463949" w:rsidR="00AE0923" w:rsidP="00C76B32" w:rsidRDefault="006A0039" w14:paraId="37E2D734" w14:textId="77261C71">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15</w:t>
            </w:r>
          </w:p>
          <w:p w:rsidRPr="00463949" w:rsidR="00AE0923" w:rsidP="00C76B32" w:rsidRDefault="00AE0923" w14:paraId="341FAF66" w14:textId="77777777">
            <w:pPr>
              <w:spacing w:line="276" w:lineRule="auto"/>
              <w:rPr>
                <w:rFonts w:ascii="Times New Roman" w:hAnsi="Times New Roman" w:cs="Times New Roman"/>
                <w:sz w:val="20"/>
                <w:szCs w:val="20"/>
              </w:rPr>
            </w:pPr>
          </w:p>
        </w:tc>
        <w:tc>
          <w:tcPr>
            <w:tcW w:w="2643" w:type="dxa"/>
          </w:tcPr>
          <w:p w:rsidRPr="00463949" w:rsidR="00D4687B" w:rsidP="00C76B32" w:rsidRDefault="00D4687B" w14:paraId="77C6986D" w14:textId="77777777">
            <w:pPr>
              <w:spacing w:line="276" w:lineRule="auto"/>
              <w:rPr>
                <w:rFonts w:ascii="Times New Roman" w:hAnsi="Times New Roman" w:cs="Times New Roman"/>
                <w:sz w:val="20"/>
                <w:szCs w:val="20"/>
              </w:rPr>
            </w:pPr>
          </w:p>
          <w:p w:rsidRPr="00463949" w:rsidR="006A0039" w:rsidP="00C76B32" w:rsidRDefault="00EA0CF4" w14:paraId="4CB3FB84" w14:textId="534D7BEF">
            <w:pPr>
              <w:spacing w:line="276" w:lineRule="auto"/>
              <w:rPr>
                <w:rFonts w:ascii="Times New Roman" w:hAnsi="Times New Roman" w:cs="Times New Roman"/>
                <w:sz w:val="20"/>
                <w:szCs w:val="20"/>
              </w:rPr>
            </w:pPr>
            <w:r w:rsidRPr="00463949">
              <w:rPr>
                <w:rFonts w:ascii="Times New Roman" w:hAnsi="Times New Roman" w:cs="Times New Roman"/>
                <w:sz w:val="20"/>
                <w:szCs w:val="20"/>
              </w:rPr>
              <w:t>N</w:t>
            </w:r>
            <w:r w:rsidRPr="00463949" w:rsidR="006A0039">
              <w:rPr>
                <w:rFonts w:ascii="Times New Roman" w:hAnsi="Times New Roman" w:cs="Times New Roman"/>
                <w:sz w:val="20"/>
                <w:szCs w:val="20"/>
              </w:rPr>
              <w:t>iet geïmplementeerd, bestaand recht in artikel 6:192 lid 1 BW</w:t>
            </w:r>
            <w:r w:rsidRPr="00463949">
              <w:rPr>
                <w:rFonts w:ascii="Times New Roman" w:hAnsi="Times New Roman" w:cs="Times New Roman"/>
                <w:sz w:val="20"/>
                <w:szCs w:val="20"/>
              </w:rPr>
              <w:t>. Met</w:t>
            </w:r>
            <w:r w:rsidRPr="00463949" w:rsidR="006A0039">
              <w:rPr>
                <w:rFonts w:ascii="Times New Roman" w:hAnsi="Times New Roman" w:cs="Times New Roman"/>
                <w:sz w:val="20"/>
                <w:szCs w:val="20"/>
              </w:rPr>
              <w:t xml:space="preserve"> Artikel I, onderdeel L, (wijziging artikel 6:192 lid 1 BW)</w:t>
            </w:r>
            <w:r w:rsidRPr="00463949">
              <w:rPr>
                <w:rFonts w:ascii="Times New Roman" w:hAnsi="Times New Roman" w:cs="Times New Roman"/>
                <w:sz w:val="20"/>
                <w:szCs w:val="20"/>
              </w:rPr>
              <w:t xml:space="preserve"> wordt slechts een redactionele wijziging door gevoerd (</w:t>
            </w:r>
            <w:r w:rsidRPr="00463949" w:rsidR="006A0039">
              <w:rPr>
                <w:rFonts w:ascii="Times New Roman" w:hAnsi="Times New Roman" w:cs="Times New Roman"/>
                <w:sz w:val="20"/>
                <w:szCs w:val="20"/>
              </w:rPr>
              <w:t>het vervangen van “de producent” door “de marktdeelnemer”</w:t>
            </w:r>
            <w:r w:rsidRPr="00463949">
              <w:rPr>
                <w:rFonts w:ascii="Times New Roman" w:hAnsi="Times New Roman" w:cs="Times New Roman"/>
                <w:sz w:val="20"/>
                <w:szCs w:val="20"/>
              </w:rPr>
              <w:t>)</w:t>
            </w:r>
            <w:r w:rsidRPr="00463949" w:rsidR="006A0039">
              <w:rPr>
                <w:rFonts w:ascii="Times New Roman" w:hAnsi="Times New Roman" w:cs="Times New Roman"/>
                <w:sz w:val="20"/>
                <w:szCs w:val="20"/>
              </w:rPr>
              <w:t xml:space="preserve">. </w:t>
            </w:r>
          </w:p>
          <w:p w:rsidRPr="00463949" w:rsidR="006A0039" w:rsidP="00C76B32" w:rsidRDefault="006A0039" w14:paraId="3E98B0A6" w14:textId="6E5EF4E5">
            <w:pPr>
              <w:spacing w:line="276" w:lineRule="auto"/>
              <w:rPr>
                <w:rFonts w:ascii="Times New Roman" w:hAnsi="Times New Roman" w:cs="Times New Roman"/>
                <w:sz w:val="20"/>
                <w:szCs w:val="20"/>
              </w:rPr>
            </w:pPr>
          </w:p>
        </w:tc>
        <w:tc>
          <w:tcPr>
            <w:tcW w:w="2643" w:type="dxa"/>
          </w:tcPr>
          <w:p w:rsidRPr="00463949" w:rsidR="00D4687B" w:rsidP="00C76B32" w:rsidRDefault="00D4687B" w14:paraId="3537681E" w14:textId="77777777">
            <w:pPr>
              <w:spacing w:line="276" w:lineRule="auto"/>
              <w:rPr>
                <w:rFonts w:ascii="Times New Roman" w:hAnsi="Times New Roman" w:cs="Times New Roman"/>
                <w:sz w:val="20"/>
                <w:szCs w:val="20"/>
              </w:rPr>
            </w:pPr>
          </w:p>
          <w:p w:rsidRPr="00463949" w:rsidR="006A0039" w:rsidP="00C76B32" w:rsidRDefault="006A0039" w14:paraId="02BDACEC" w14:textId="50332B70">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D4687B" w:rsidP="00C76B32" w:rsidRDefault="00D4687B" w14:paraId="31FEA5A2" w14:textId="77777777">
            <w:pPr>
              <w:spacing w:line="276" w:lineRule="auto"/>
              <w:rPr>
                <w:rFonts w:ascii="Times New Roman" w:hAnsi="Times New Roman" w:cs="Times New Roman"/>
                <w:sz w:val="20"/>
                <w:szCs w:val="20"/>
              </w:rPr>
            </w:pPr>
          </w:p>
          <w:p w:rsidRPr="00463949" w:rsidR="006A0039" w:rsidP="00C76B32" w:rsidRDefault="006A0039" w14:paraId="419F7A54" w14:textId="1125125E">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2817155C" w14:textId="77777777">
        <w:tc>
          <w:tcPr>
            <w:tcW w:w="1807" w:type="dxa"/>
          </w:tcPr>
          <w:p w:rsidRPr="00463949" w:rsidR="00AE0923" w:rsidP="00C76B32" w:rsidRDefault="00AE0923" w14:paraId="175472FD" w14:textId="77777777">
            <w:pPr>
              <w:spacing w:line="276" w:lineRule="auto"/>
              <w:rPr>
                <w:rFonts w:ascii="Times New Roman" w:hAnsi="Times New Roman" w:cs="Times New Roman"/>
                <w:sz w:val="20"/>
                <w:szCs w:val="20"/>
              </w:rPr>
            </w:pPr>
          </w:p>
          <w:p w:rsidRPr="00463949" w:rsidR="00AE0923" w:rsidP="00C76B32" w:rsidRDefault="006A0039" w14:paraId="39E7B43F" w14:textId="4AD2D968">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16</w:t>
            </w:r>
            <w:r w:rsidRPr="00463949" w:rsidR="005015FE">
              <w:rPr>
                <w:rFonts w:ascii="Times New Roman" w:hAnsi="Times New Roman" w:cs="Times New Roman"/>
                <w:sz w:val="20"/>
                <w:szCs w:val="20"/>
              </w:rPr>
              <w:t xml:space="preserve"> lid 1</w:t>
            </w:r>
          </w:p>
          <w:p w:rsidRPr="00463949" w:rsidR="00AE0923" w:rsidP="00C76B32" w:rsidRDefault="00AE0923" w14:paraId="12955830" w14:textId="77777777">
            <w:pPr>
              <w:spacing w:line="276" w:lineRule="auto"/>
              <w:rPr>
                <w:rFonts w:ascii="Times New Roman" w:hAnsi="Times New Roman" w:cs="Times New Roman"/>
                <w:sz w:val="20"/>
                <w:szCs w:val="20"/>
              </w:rPr>
            </w:pPr>
          </w:p>
          <w:p w:rsidRPr="00463949" w:rsidR="00AE0923" w:rsidP="00C76B32" w:rsidRDefault="00AE0923" w14:paraId="7D1CAA2A" w14:textId="77777777">
            <w:pPr>
              <w:spacing w:line="276" w:lineRule="auto"/>
              <w:rPr>
                <w:rFonts w:ascii="Times New Roman" w:hAnsi="Times New Roman" w:cs="Times New Roman"/>
                <w:sz w:val="20"/>
                <w:szCs w:val="20"/>
              </w:rPr>
            </w:pPr>
          </w:p>
        </w:tc>
        <w:tc>
          <w:tcPr>
            <w:tcW w:w="2643" w:type="dxa"/>
          </w:tcPr>
          <w:p w:rsidRPr="00463949" w:rsidR="00AE0923" w:rsidP="00C76B32" w:rsidRDefault="00AE0923" w14:paraId="7A74FDF7" w14:textId="77777777">
            <w:pPr>
              <w:spacing w:line="276" w:lineRule="auto"/>
              <w:rPr>
                <w:rFonts w:ascii="Times New Roman" w:hAnsi="Times New Roman" w:cs="Times New Roman"/>
                <w:sz w:val="20"/>
                <w:szCs w:val="20"/>
              </w:rPr>
            </w:pPr>
          </w:p>
          <w:p w:rsidRPr="00463949" w:rsidR="006A0039" w:rsidP="00C76B32" w:rsidRDefault="006A0039" w14:paraId="691BA040" w14:textId="5A98F341">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Deels niet geïmplementeerd, bestaand recht in artikel 6:191 lid 1 BW; deels wel geïmplementeerd in Artikel I, onderdeel J, (wijziging artikel 191). Dit betreft het onderbrengen van verjaring in een apart wetsartikel, het vervangen van “de producent” door “de marktdeelnemer” en overige redactionele wijzigingen om het artikel te laten aansluiten bij de </w:t>
            </w:r>
            <w:r w:rsidRPr="00463949" w:rsidR="006D63B6">
              <w:rPr>
                <w:rFonts w:ascii="Times New Roman" w:hAnsi="Times New Roman" w:cs="Times New Roman"/>
                <w:sz w:val="20"/>
                <w:szCs w:val="20"/>
              </w:rPr>
              <w:t>Ri</w:t>
            </w:r>
            <w:r w:rsidRPr="00463949">
              <w:rPr>
                <w:rFonts w:ascii="Times New Roman" w:hAnsi="Times New Roman" w:cs="Times New Roman"/>
                <w:sz w:val="20"/>
                <w:szCs w:val="20"/>
              </w:rPr>
              <w:t>chtlijn.</w:t>
            </w:r>
          </w:p>
          <w:p w:rsidRPr="00463949" w:rsidR="006A0039" w:rsidP="00C76B32" w:rsidRDefault="006A0039" w14:paraId="4FB91A46" w14:textId="576BBC1C">
            <w:pPr>
              <w:spacing w:line="276" w:lineRule="auto"/>
              <w:rPr>
                <w:rFonts w:ascii="Times New Roman" w:hAnsi="Times New Roman" w:cs="Times New Roman"/>
                <w:sz w:val="20"/>
                <w:szCs w:val="20"/>
              </w:rPr>
            </w:pPr>
          </w:p>
        </w:tc>
        <w:tc>
          <w:tcPr>
            <w:tcW w:w="2643" w:type="dxa"/>
          </w:tcPr>
          <w:p w:rsidRPr="00463949" w:rsidR="00AE0923" w:rsidP="00C76B32" w:rsidRDefault="00AE0923" w14:paraId="5DDF2B59" w14:textId="77777777">
            <w:pPr>
              <w:spacing w:line="276" w:lineRule="auto"/>
              <w:rPr>
                <w:rFonts w:ascii="Times New Roman" w:hAnsi="Times New Roman" w:cs="Times New Roman"/>
                <w:sz w:val="20"/>
                <w:szCs w:val="20"/>
              </w:rPr>
            </w:pPr>
          </w:p>
          <w:p w:rsidRPr="00463949" w:rsidR="002E0668" w:rsidP="00C76B32" w:rsidRDefault="002E0668" w14:paraId="0B31C394" w14:textId="6CB78096">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AE0923" w:rsidP="00C76B32" w:rsidRDefault="00AE0923" w14:paraId="0C76018F" w14:textId="77777777">
            <w:pPr>
              <w:spacing w:line="276" w:lineRule="auto"/>
              <w:rPr>
                <w:rFonts w:ascii="Times New Roman" w:hAnsi="Times New Roman" w:cs="Times New Roman"/>
                <w:sz w:val="20"/>
                <w:szCs w:val="20"/>
              </w:rPr>
            </w:pPr>
          </w:p>
          <w:p w:rsidRPr="00463949" w:rsidR="002E0668" w:rsidP="00C76B32" w:rsidRDefault="002E0668" w14:paraId="0F28B792" w14:textId="26267E0D">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4DF17C0F" w14:textId="77777777">
        <w:tc>
          <w:tcPr>
            <w:tcW w:w="1807" w:type="dxa"/>
          </w:tcPr>
          <w:p w:rsidRPr="00463949" w:rsidR="00EF1B9C" w:rsidP="00C76B32" w:rsidRDefault="00EF1B9C" w14:paraId="06C69C5B" w14:textId="77777777">
            <w:pPr>
              <w:spacing w:line="276" w:lineRule="auto"/>
              <w:rPr>
                <w:rFonts w:ascii="Times New Roman" w:hAnsi="Times New Roman" w:cs="Times New Roman"/>
                <w:sz w:val="20"/>
                <w:szCs w:val="20"/>
              </w:rPr>
            </w:pPr>
          </w:p>
          <w:p w:rsidRPr="00463949" w:rsidR="005015FE" w:rsidP="00C76B32" w:rsidRDefault="005015FE" w14:paraId="5E050FC2" w14:textId="28CE20A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16 lid 2</w:t>
            </w:r>
          </w:p>
          <w:p w:rsidRPr="00463949" w:rsidR="005015FE" w:rsidP="00C76B32" w:rsidRDefault="005015FE" w14:paraId="7CA7D918" w14:textId="77777777">
            <w:pPr>
              <w:spacing w:line="276" w:lineRule="auto"/>
              <w:rPr>
                <w:rFonts w:ascii="Times New Roman" w:hAnsi="Times New Roman" w:cs="Times New Roman"/>
                <w:sz w:val="20"/>
                <w:szCs w:val="20"/>
              </w:rPr>
            </w:pPr>
          </w:p>
        </w:tc>
        <w:tc>
          <w:tcPr>
            <w:tcW w:w="2643" w:type="dxa"/>
          </w:tcPr>
          <w:p w:rsidRPr="00463949" w:rsidR="00EF1B9C" w:rsidP="00C76B32" w:rsidRDefault="00EF1B9C" w14:paraId="1806D03E" w14:textId="77777777">
            <w:pPr>
              <w:spacing w:line="276" w:lineRule="auto"/>
              <w:rPr>
                <w:rFonts w:ascii="Times New Roman" w:hAnsi="Times New Roman" w:cs="Times New Roman"/>
                <w:sz w:val="20"/>
                <w:szCs w:val="20"/>
              </w:rPr>
            </w:pPr>
          </w:p>
          <w:p w:rsidRPr="00463949" w:rsidR="005015FE" w:rsidP="00C76B32" w:rsidRDefault="005015FE" w14:paraId="0EDC58F5" w14:textId="1CE854B8">
            <w:pPr>
              <w:spacing w:line="276" w:lineRule="auto"/>
              <w:rPr>
                <w:rFonts w:ascii="Times New Roman" w:hAnsi="Times New Roman" w:cs="Times New Roman"/>
                <w:sz w:val="20"/>
                <w:szCs w:val="20"/>
              </w:rPr>
            </w:pPr>
            <w:r w:rsidRPr="00463949">
              <w:rPr>
                <w:rFonts w:ascii="Times New Roman" w:hAnsi="Times New Roman" w:cs="Times New Roman"/>
                <w:sz w:val="20"/>
                <w:szCs w:val="20"/>
              </w:rPr>
              <w:t>Niet geïmplementeerd, omdat de bepaling geen verplichtingen oplegt aan de lidstaten.</w:t>
            </w:r>
          </w:p>
          <w:p w:rsidRPr="00463949" w:rsidR="005015FE" w:rsidP="00C76B32" w:rsidRDefault="005015FE" w14:paraId="4E405C8A" w14:textId="3758A3D2">
            <w:pPr>
              <w:spacing w:line="276" w:lineRule="auto"/>
              <w:rPr>
                <w:rFonts w:ascii="Times New Roman" w:hAnsi="Times New Roman" w:cs="Times New Roman"/>
                <w:sz w:val="20"/>
                <w:szCs w:val="20"/>
              </w:rPr>
            </w:pPr>
          </w:p>
        </w:tc>
        <w:tc>
          <w:tcPr>
            <w:tcW w:w="2643" w:type="dxa"/>
          </w:tcPr>
          <w:p w:rsidRPr="00463949" w:rsidR="00EF1B9C" w:rsidP="00C76B32" w:rsidRDefault="00EF1B9C" w14:paraId="2828EFCC" w14:textId="77777777">
            <w:pPr>
              <w:spacing w:line="276" w:lineRule="auto"/>
              <w:rPr>
                <w:rFonts w:ascii="Times New Roman" w:hAnsi="Times New Roman" w:cs="Times New Roman"/>
                <w:sz w:val="20"/>
                <w:szCs w:val="20"/>
              </w:rPr>
            </w:pPr>
          </w:p>
          <w:p w:rsidRPr="00463949" w:rsidR="005015FE" w:rsidP="00C76B32" w:rsidRDefault="005015FE" w14:paraId="162AE67D" w14:textId="3A81FF39">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5015FE" w:rsidP="00C76B32" w:rsidRDefault="005015FE" w14:paraId="6E174F1D" w14:textId="77777777">
            <w:pPr>
              <w:spacing w:line="276" w:lineRule="auto"/>
              <w:rPr>
                <w:rFonts w:ascii="Times New Roman" w:hAnsi="Times New Roman" w:cs="Times New Roman"/>
                <w:sz w:val="20"/>
                <w:szCs w:val="20"/>
              </w:rPr>
            </w:pPr>
          </w:p>
          <w:p w:rsidRPr="00463949" w:rsidR="005015FE" w:rsidP="00C76B32" w:rsidRDefault="005015FE" w14:paraId="06D90069" w14:textId="0F42F7F6">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2478F753" w14:textId="77777777">
        <w:tc>
          <w:tcPr>
            <w:tcW w:w="1807" w:type="dxa"/>
          </w:tcPr>
          <w:p w:rsidRPr="00463949" w:rsidR="00AE0923" w:rsidP="00C76B32" w:rsidRDefault="00AE0923" w14:paraId="69DBCC00" w14:textId="77777777">
            <w:pPr>
              <w:spacing w:line="276" w:lineRule="auto"/>
              <w:rPr>
                <w:rFonts w:ascii="Times New Roman" w:hAnsi="Times New Roman" w:cs="Times New Roman"/>
                <w:sz w:val="20"/>
                <w:szCs w:val="20"/>
              </w:rPr>
            </w:pPr>
          </w:p>
          <w:p w:rsidRPr="00463949" w:rsidR="00AE0923" w:rsidP="00C76B32" w:rsidRDefault="006A0039" w14:paraId="735BCFCD" w14:textId="41E303B5">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17</w:t>
            </w:r>
            <w:r w:rsidRPr="00463949" w:rsidR="005015FE">
              <w:rPr>
                <w:rFonts w:ascii="Times New Roman" w:hAnsi="Times New Roman" w:cs="Times New Roman"/>
                <w:sz w:val="20"/>
                <w:szCs w:val="20"/>
              </w:rPr>
              <w:t xml:space="preserve"> lid 1</w:t>
            </w:r>
          </w:p>
          <w:p w:rsidRPr="00463949" w:rsidR="00AE0923" w:rsidP="00C76B32" w:rsidRDefault="00AE0923" w14:paraId="4346DD56" w14:textId="77777777">
            <w:pPr>
              <w:spacing w:line="276" w:lineRule="auto"/>
              <w:rPr>
                <w:rFonts w:ascii="Times New Roman" w:hAnsi="Times New Roman" w:cs="Times New Roman"/>
                <w:sz w:val="20"/>
                <w:szCs w:val="20"/>
              </w:rPr>
            </w:pPr>
          </w:p>
          <w:p w:rsidRPr="00463949" w:rsidR="00AE0923" w:rsidP="00C76B32" w:rsidRDefault="00AE0923" w14:paraId="3D48E42D" w14:textId="77777777">
            <w:pPr>
              <w:spacing w:line="276" w:lineRule="auto"/>
              <w:rPr>
                <w:rFonts w:ascii="Times New Roman" w:hAnsi="Times New Roman" w:cs="Times New Roman"/>
                <w:sz w:val="20"/>
                <w:szCs w:val="20"/>
              </w:rPr>
            </w:pPr>
          </w:p>
        </w:tc>
        <w:tc>
          <w:tcPr>
            <w:tcW w:w="2643" w:type="dxa"/>
          </w:tcPr>
          <w:p w:rsidRPr="00463949" w:rsidR="00AE0923" w:rsidP="00C76B32" w:rsidRDefault="00AE0923" w14:paraId="35256911" w14:textId="77777777">
            <w:pPr>
              <w:spacing w:line="276" w:lineRule="auto"/>
              <w:rPr>
                <w:rFonts w:ascii="Times New Roman" w:hAnsi="Times New Roman" w:cs="Times New Roman"/>
                <w:sz w:val="20"/>
                <w:szCs w:val="20"/>
              </w:rPr>
            </w:pPr>
          </w:p>
          <w:p w:rsidRPr="00463949" w:rsidR="006A0039" w:rsidP="00C76B32" w:rsidRDefault="005015FE" w14:paraId="425EA635" w14:textId="100CDC73">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 onderdeel K, (invoeging nieuw artikel 6:191a lid 1 BW)</w:t>
            </w:r>
            <w:r w:rsidRPr="00463949" w:rsidR="002E0668">
              <w:rPr>
                <w:rFonts w:ascii="Times New Roman" w:hAnsi="Times New Roman" w:cs="Times New Roman"/>
                <w:sz w:val="20"/>
                <w:szCs w:val="20"/>
              </w:rPr>
              <w:t>.</w:t>
            </w:r>
          </w:p>
          <w:p w:rsidRPr="00463949" w:rsidR="005015FE" w:rsidP="00C76B32" w:rsidRDefault="005015FE" w14:paraId="30666BBD" w14:textId="375016B0">
            <w:pPr>
              <w:spacing w:line="276" w:lineRule="auto"/>
              <w:rPr>
                <w:rFonts w:ascii="Times New Roman" w:hAnsi="Times New Roman" w:cs="Times New Roman"/>
                <w:sz w:val="20"/>
                <w:szCs w:val="20"/>
              </w:rPr>
            </w:pPr>
          </w:p>
        </w:tc>
        <w:tc>
          <w:tcPr>
            <w:tcW w:w="2643" w:type="dxa"/>
          </w:tcPr>
          <w:p w:rsidRPr="00463949" w:rsidR="00AE0923" w:rsidP="00C76B32" w:rsidRDefault="00AE0923" w14:paraId="0B8BFA02" w14:textId="77777777">
            <w:pPr>
              <w:spacing w:line="276" w:lineRule="auto"/>
              <w:rPr>
                <w:rFonts w:ascii="Times New Roman" w:hAnsi="Times New Roman" w:cs="Times New Roman"/>
                <w:sz w:val="20"/>
                <w:szCs w:val="20"/>
              </w:rPr>
            </w:pPr>
          </w:p>
          <w:p w:rsidRPr="00463949" w:rsidR="005015FE" w:rsidP="00C76B32" w:rsidRDefault="005015FE" w14:paraId="643FFFE2" w14:textId="0179E35E">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AE0923" w:rsidP="00C76B32" w:rsidRDefault="00AE0923" w14:paraId="72645040" w14:textId="77777777">
            <w:pPr>
              <w:spacing w:line="276" w:lineRule="auto"/>
              <w:rPr>
                <w:rFonts w:ascii="Times New Roman" w:hAnsi="Times New Roman" w:cs="Times New Roman"/>
                <w:sz w:val="20"/>
                <w:szCs w:val="20"/>
              </w:rPr>
            </w:pPr>
          </w:p>
          <w:p w:rsidRPr="00463949" w:rsidR="005015FE" w:rsidP="00C76B32" w:rsidRDefault="005015FE" w14:paraId="06487339" w14:textId="0D6790AD">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738AAA47" w14:textId="77777777">
        <w:tc>
          <w:tcPr>
            <w:tcW w:w="1807" w:type="dxa"/>
          </w:tcPr>
          <w:p w:rsidRPr="00463949" w:rsidR="00AE0923" w:rsidP="00C76B32" w:rsidRDefault="00AE0923" w14:paraId="625CB962" w14:textId="77777777">
            <w:pPr>
              <w:spacing w:line="276" w:lineRule="auto"/>
              <w:rPr>
                <w:rFonts w:ascii="Times New Roman" w:hAnsi="Times New Roman" w:cs="Times New Roman"/>
                <w:sz w:val="20"/>
                <w:szCs w:val="20"/>
              </w:rPr>
            </w:pPr>
          </w:p>
          <w:p w:rsidRPr="00463949" w:rsidR="00AE0923" w:rsidP="00C76B32" w:rsidRDefault="005015FE" w14:paraId="504B7D72" w14:textId="4C6D5722">
            <w:pPr>
              <w:spacing w:line="276" w:lineRule="auto"/>
              <w:rPr>
                <w:rFonts w:ascii="Times New Roman" w:hAnsi="Times New Roman" w:cs="Times New Roman"/>
                <w:sz w:val="20"/>
                <w:szCs w:val="20"/>
              </w:rPr>
            </w:pPr>
            <w:r w:rsidRPr="00463949">
              <w:rPr>
                <w:rFonts w:ascii="Times New Roman" w:hAnsi="Times New Roman" w:cs="Times New Roman"/>
                <w:sz w:val="20"/>
                <w:szCs w:val="20"/>
              </w:rPr>
              <w:lastRenderedPageBreak/>
              <w:t>Artikel 17 lid 2</w:t>
            </w:r>
          </w:p>
          <w:p w:rsidRPr="00463949" w:rsidR="00AE0923" w:rsidP="00C76B32" w:rsidRDefault="00AE0923" w14:paraId="73B5FC7A" w14:textId="77777777">
            <w:pPr>
              <w:spacing w:line="276" w:lineRule="auto"/>
              <w:rPr>
                <w:rFonts w:ascii="Times New Roman" w:hAnsi="Times New Roman" w:cs="Times New Roman"/>
                <w:sz w:val="20"/>
                <w:szCs w:val="20"/>
              </w:rPr>
            </w:pPr>
          </w:p>
          <w:p w:rsidRPr="00463949" w:rsidR="00AE0923" w:rsidP="00C76B32" w:rsidRDefault="00AE0923" w14:paraId="30FE5F5B" w14:textId="77777777">
            <w:pPr>
              <w:spacing w:line="276" w:lineRule="auto"/>
              <w:rPr>
                <w:rFonts w:ascii="Times New Roman" w:hAnsi="Times New Roman" w:cs="Times New Roman"/>
                <w:sz w:val="20"/>
                <w:szCs w:val="20"/>
              </w:rPr>
            </w:pPr>
          </w:p>
        </w:tc>
        <w:tc>
          <w:tcPr>
            <w:tcW w:w="2643" w:type="dxa"/>
          </w:tcPr>
          <w:p w:rsidRPr="00463949" w:rsidR="00AE0923" w:rsidP="00C76B32" w:rsidRDefault="00AE0923" w14:paraId="0A77D091" w14:textId="77777777">
            <w:pPr>
              <w:spacing w:line="276" w:lineRule="auto"/>
              <w:rPr>
                <w:rFonts w:ascii="Times New Roman" w:hAnsi="Times New Roman" w:cs="Times New Roman"/>
                <w:sz w:val="20"/>
                <w:szCs w:val="20"/>
              </w:rPr>
            </w:pPr>
          </w:p>
          <w:p w:rsidRPr="00463949" w:rsidR="005015FE" w:rsidP="00C76B32" w:rsidRDefault="005015FE" w14:paraId="07255A0B" w14:textId="56AB98AC">
            <w:pPr>
              <w:spacing w:line="276" w:lineRule="auto"/>
              <w:rPr>
                <w:rFonts w:ascii="Times New Roman" w:hAnsi="Times New Roman" w:cs="Times New Roman"/>
                <w:sz w:val="20"/>
                <w:szCs w:val="20"/>
              </w:rPr>
            </w:pPr>
            <w:r w:rsidRPr="00463949">
              <w:rPr>
                <w:rFonts w:ascii="Times New Roman" w:hAnsi="Times New Roman" w:cs="Times New Roman"/>
                <w:sz w:val="20"/>
                <w:szCs w:val="20"/>
              </w:rPr>
              <w:lastRenderedPageBreak/>
              <w:t>Artikel I, onderdeel K, (invoeging nieuw artikel 6:191a lid 2 BW)</w:t>
            </w:r>
            <w:r w:rsidRPr="00463949" w:rsidR="002E0668">
              <w:rPr>
                <w:rFonts w:ascii="Times New Roman" w:hAnsi="Times New Roman" w:cs="Times New Roman"/>
                <w:sz w:val="20"/>
                <w:szCs w:val="20"/>
              </w:rPr>
              <w:t>.</w:t>
            </w:r>
          </w:p>
          <w:p w:rsidRPr="00463949" w:rsidR="005015FE" w:rsidP="00C76B32" w:rsidRDefault="005015FE" w14:paraId="299CFF99" w14:textId="77777777">
            <w:pPr>
              <w:spacing w:line="276" w:lineRule="auto"/>
              <w:rPr>
                <w:rFonts w:ascii="Times New Roman" w:hAnsi="Times New Roman" w:cs="Times New Roman"/>
                <w:sz w:val="20"/>
                <w:szCs w:val="20"/>
              </w:rPr>
            </w:pPr>
          </w:p>
        </w:tc>
        <w:tc>
          <w:tcPr>
            <w:tcW w:w="2643" w:type="dxa"/>
          </w:tcPr>
          <w:p w:rsidRPr="00463949" w:rsidR="00AE0923" w:rsidP="00C76B32" w:rsidRDefault="00AE0923" w14:paraId="22C8CC10" w14:textId="77777777">
            <w:pPr>
              <w:spacing w:line="276" w:lineRule="auto"/>
              <w:rPr>
                <w:rFonts w:ascii="Times New Roman" w:hAnsi="Times New Roman" w:cs="Times New Roman"/>
                <w:sz w:val="20"/>
                <w:szCs w:val="20"/>
              </w:rPr>
            </w:pPr>
          </w:p>
          <w:p w:rsidRPr="00463949" w:rsidR="005015FE" w:rsidP="00C76B32" w:rsidRDefault="005015FE" w14:paraId="07066CBF" w14:textId="68CA5DCA">
            <w:pPr>
              <w:spacing w:line="276" w:lineRule="auto"/>
              <w:rPr>
                <w:rFonts w:ascii="Times New Roman" w:hAnsi="Times New Roman" w:cs="Times New Roman"/>
                <w:sz w:val="20"/>
                <w:szCs w:val="20"/>
              </w:rPr>
            </w:pPr>
            <w:r w:rsidRPr="00463949">
              <w:rPr>
                <w:rFonts w:ascii="Times New Roman" w:hAnsi="Times New Roman" w:cs="Times New Roman"/>
                <w:sz w:val="20"/>
                <w:szCs w:val="20"/>
              </w:rPr>
              <w:lastRenderedPageBreak/>
              <w:t>Geen.</w:t>
            </w:r>
          </w:p>
        </w:tc>
        <w:tc>
          <w:tcPr>
            <w:tcW w:w="1924" w:type="dxa"/>
          </w:tcPr>
          <w:p w:rsidRPr="00463949" w:rsidR="00AE0923" w:rsidP="00C76B32" w:rsidRDefault="00AE0923" w14:paraId="75916E94" w14:textId="77777777">
            <w:pPr>
              <w:spacing w:line="276" w:lineRule="auto"/>
              <w:rPr>
                <w:rFonts w:ascii="Times New Roman" w:hAnsi="Times New Roman" w:cs="Times New Roman"/>
                <w:sz w:val="20"/>
                <w:szCs w:val="20"/>
              </w:rPr>
            </w:pPr>
          </w:p>
          <w:p w:rsidRPr="00463949" w:rsidR="005015FE" w:rsidP="00C76B32" w:rsidRDefault="005015FE" w14:paraId="1C869EE6" w14:textId="674C0924">
            <w:pPr>
              <w:spacing w:line="276" w:lineRule="auto"/>
              <w:rPr>
                <w:rFonts w:ascii="Times New Roman" w:hAnsi="Times New Roman" w:cs="Times New Roman"/>
                <w:sz w:val="20"/>
                <w:szCs w:val="20"/>
              </w:rPr>
            </w:pPr>
            <w:r w:rsidRPr="00463949">
              <w:rPr>
                <w:rFonts w:ascii="Times New Roman" w:hAnsi="Times New Roman" w:cs="Times New Roman"/>
                <w:sz w:val="20"/>
                <w:szCs w:val="20"/>
              </w:rPr>
              <w:lastRenderedPageBreak/>
              <w:t>-</w:t>
            </w:r>
          </w:p>
        </w:tc>
      </w:tr>
      <w:tr w:rsidRPr="00463949" w:rsidR="002E0668" w:rsidTr="00C76B32" w14:paraId="65CDD840" w14:textId="77777777">
        <w:tc>
          <w:tcPr>
            <w:tcW w:w="1807" w:type="dxa"/>
          </w:tcPr>
          <w:p w:rsidRPr="00463949" w:rsidR="00AE0923" w:rsidP="00C76B32" w:rsidRDefault="00AE0923" w14:paraId="56D1A07E" w14:textId="77777777">
            <w:pPr>
              <w:spacing w:line="276" w:lineRule="auto"/>
              <w:rPr>
                <w:rFonts w:ascii="Times New Roman" w:hAnsi="Times New Roman" w:cs="Times New Roman"/>
                <w:sz w:val="20"/>
                <w:szCs w:val="20"/>
              </w:rPr>
            </w:pPr>
          </w:p>
          <w:p w:rsidRPr="00463949" w:rsidR="00AE0923" w:rsidP="00C76B32" w:rsidRDefault="005015FE" w14:paraId="788E6E6E" w14:textId="5ECBE46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18 lid 1</w:t>
            </w:r>
          </w:p>
          <w:p w:rsidRPr="00463949" w:rsidR="00AE0923" w:rsidP="00C76B32" w:rsidRDefault="00AE0923" w14:paraId="33C8E333" w14:textId="77777777">
            <w:pPr>
              <w:spacing w:line="276" w:lineRule="auto"/>
              <w:rPr>
                <w:rFonts w:ascii="Times New Roman" w:hAnsi="Times New Roman" w:cs="Times New Roman"/>
                <w:sz w:val="20"/>
                <w:szCs w:val="20"/>
              </w:rPr>
            </w:pPr>
          </w:p>
          <w:p w:rsidRPr="00463949" w:rsidR="00AE0923" w:rsidP="00C76B32" w:rsidRDefault="00AE0923" w14:paraId="4F33641C" w14:textId="77777777">
            <w:pPr>
              <w:spacing w:line="276" w:lineRule="auto"/>
              <w:rPr>
                <w:rFonts w:ascii="Times New Roman" w:hAnsi="Times New Roman" w:cs="Times New Roman"/>
                <w:sz w:val="20"/>
                <w:szCs w:val="20"/>
              </w:rPr>
            </w:pPr>
          </w:p>
          <w:p w:rsidRPr="00463949" w:rsidR="00AE0923" w:rsidP="00C76B32" w:rsidRDefault="00AE0923" w14:paraId="4C6F114A" w14:textId="77777777">
            <w:pPr>
              <w:spacing w:line="276" w:lineRule="auto"/>
              <w:rPr>
                <w:rFonts w:ascii="Times New Roman" w:hAnsi="Times New Roman" w:cs="Times New Roman"/>
                <w:sz w:val="20"/>
                <w:szCs w:val="20"/>
              </w:rPr>
            </w:pPr>
          </w:p>
        </w:tc>
        <w:tc>
          <w:tcPr>
            <w:tcW w:w="2643" w:type="dxa"/>
          </w:tcPr>
          <w:p w:rsidRPr="00463949" w:rsidR="00AE0923" w:rsidP="00C76B32" w:rsidRDefault="00AE0923" w14:paraId="2053B662" w14:textId="77777777">
            <w:pPr>
              <w:spacing w:line="276" w:lineRule="auto"/>
              <w:rPr>
                <w:rFonts w:ascii="Times New Roman" w:hAnsi="Times New Roman" w:cs="Times New Roman"/>
                <w:sz w:val="20"/>
                <w:szCs w:val="20"/>
              </w:rPr>
            </w:pPr>
          </w:p>
          <w:p w:rsidRPr="00463949" w:rsidR="005015FE" w:rsidP="00C76B32" w:rsidRDefault="005015FE" w14:paraId="0FC52358"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Behoeft naar zijn aard geen implementatie, omdat de bepaling een feitelijk handelen van de centrale overheid betreft zonder dat derden daarop aanspraak hoeven te kunnen maken. Deze situatie doet zich in Nederland overigens ook niet voor.</w:t>
            </w:r>
          </w:p>
          <w:p w:rsidRPr="00463949" w:rsidR="005015FE" w:rsidP="00C76B32" w:rsidRDefault="005015FE" w14:paraId="5BF7298F" w14:textId="4E1E69CC">
            <w:pPr>
              <w:spacing w:line="276" w:lineRule="auto"/>
              <w:rPr>
                <w:rFonts w:ascii="Times New Roman" w:hAnsi="Times New Roman" w:cs="Times New Roman"/>
                <w:sz w:val="20"/>
                <w:szCs w:val="20"/>
              </w:rPr>
            </w:pPr>
          </w:p>
        </w:tc>
        <w:tc>
          <w:tcPr>
            <w:tcW w:w="2643" w:type="dxa"/>
          </w:tcPr>
          <w:p w:rsidRPr="00463949" w:rsidR="00AE0923" w:rsidP="00C76B32" w:rsidRDefault="00AE0923" w14:paraId="56524804" w14:textId="77777777">
            <w:pPr>
              <w:spacing w:line="276" w:lineRule="auto"/>
              <w:rPr>
                <w:rFonts w:ascii="Times New Roman" w:hAnsi="Times New Roman" w:cs="Times New Roman"/>
                <w:sz w:val="20"/>
                <w:szCs w:val="20"/>
              </w:rPr>
            </w:pPr>
          </w:p>
          <w:p w:rsidRPr="00463949" w:rsidR="005015FE" w:rsidP="00C76B32" w:rsidRDefault="005015FE" w14:paraId="34023F72" w14:textId="740CD1C4">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AE0923" w:rsidP="00C76B32" w:rsidRDefault="00AE0923" w14:paraId="42CD936F" w14:textId="77777777">
            <w:pPr>
              <w:spacing w:line="276" w:lineRule="auto"/>
              <w:rPr>
                <w:rFonts w:ascii="Times New Roman" w:hAnsi="Times New Roman" w:cs="Times New Roman"/>
                <w:sz w:val="20"/>
                <w:szCs w:val="20"/>
              </w:rPr>
            </w:pPr>
          </w:p>
          <w:p w:rsidRPr="00463949" w:rsidR="005015FE" w:rsidP="00C76B32" w:rsidRDefault="005015FE" w14:paraId="5548D2DA" w14:textId="639DDD18">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34D97DAD" w14:textId="77777777">
        <w:tc>
          <w:tcPr>
            <w:tcW w:w="1807" w:type="dxa"/>
          </w:tcPr>
          <w:p w:rsidRPr="00463949" w:rsidR="005015FE" w:rsidP="00C76B32" w:rsidRDefault="005015FE" w14:paraId="0C0F2BBA" w14:textId="77777777">
            <w:pPr>
              <w:spacing w:line="276" w:lineRule="auto"/>
              <w:rPr>
                <w:rFonts w:ascii="Times New Roman" w:hAnsi="Times New Roman" w:cs="Times New Roman"/>
                <w:sz w:val="20"/>
                <w:szCs w:val="20"/>
              </w:rPr>
            </w:pPr>
          </w:p>
          <w:p w:rsidRPr="00463949" w:rsidR="005015FE" w:rsidP="00C76B32" w:rsidRDefault="005015FE" w14:paraId="3DAD6EE3" w14:textId="18E23686">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18 leden 2-3</w:t>
            </w:r>
          </w:p>
          <w:p w:rsidRPr="00463949" w:rsidR="005015FE" w:rsidP="00C76B32" w:rsidRDefault="005015FE" w14:paraId="318AEF78" w14:textId="77777777">
            <w:pPr>
              <w:spacing w:line="276" w:lineRule="auto"/>
              <w:rPr>
                <w:rFonts w:ascii="Times New Roman" w:hAnsi="Times New Roman" w:cs="Times New Roman"/>
                <w:sz w:val="20"/>
                <w:szCs w:val="20"/>
              </w:rPr>
            </w:pPr>
          </w:p>
        </w:tc>
        <w:tc>
          <w:tcPr>
            <w:tcW w:w="2643" w:type="dxa"/>
          </w:tcPr>
          <w:p w:rsidRPr="00463949" w:rsidR="005015FE" w:rsidP="00C76B32" w:rsidRDefault="005015FE" w14:paraId="28E980EC" w14:textId="77777777">
            <w:pPr>
              <w:spacing w:line="276" w:lineRule="auto"/>
              <w:rPr>
                <w:rFonts w:ascii="Times New Roman" w:hAnsi="Times New Roman" w:cs="Times New Roman"/>
                <w:sz w:val="20"/>
                <w:szCs w:val="20"/>
              </w:rPr>
            </w:pPr>
          </w:p>
          <w:p w:rsidRPr="00463949" w:rsidR="005015FE" w:rsidP="00C76B32" w:rsidRDefault="002E0668" w14:paraId="31DDE067" w14:textId="2B4B6B00">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Behoeft naar zijn aard geen implementatie, omdat de mogelijkheid om bepaalde gevallen af te wijken van het ontwikkelingsrisicoverweer rechtstreeks volgt uit de </w:t>
            </w:r>
            <w:r w:rsidRPr="00463949" w:rsidR="006D63B6">
              <w:rPr>
                <w:rFonts w:ascii="Times New Roman" w:hAnsi="Times New Roman" w:cs="Times New Roman"/>
                <w:sz w:val="20"/>
                <w:szCs w:val="20"/>
              </w:rPr>
              <w:t>R</w:t>
            </w:r>
            <w:r w:rsidRPr="00463949">
              <w:rPr>
                <w:rFonts w:ascii="Times New Roman" w:hAnsi="Times New Roman" w:cs="Times New Roman"/>
                <w:sz w:val="20"/>
                <w:szCs w:val="20"/>
              </w:rPr>
              <w:t>ichtlijn.</w:t>
            </w:r>
          </w:p>
          <w:p w:rsidRPr="00463949" w:rsidR="002E0668" w:rsidP="00C76B32" w:rsidRDefault="002E0668" w14:paraId="3A118AD6" w14:textId="713C92A8">
            <w:pPr>
              <w:spacing w:line="276" w:lineRule="auto"/>
              <w:rPr>
                <w:rFonts w:ascii="Times New Roman" w:hAnsi="Times New Roman" w:cs="Times New Roman"/>
                <w:sz w:val="20"/>
                <w:szCs w:val="20"/>
              </w:rPr>
            </w:pPr>
          </w:p>
        </w:tc>
        <w:tc>
          <w:tcPr>
            <w:tcW w:w="2643" w:type="dxa"/>
          </w:tcPr>
          <w:p w:rsidRPr="00463949" w:rsidR="005015FE" w:rsidP="00C76B32" w:rsidRDefault="005015FE" w14:paraId="3C01C393" w14:textId="77777777">
            <w:pPr>
              <w:spacing w:line="276" w:lineRule="auto"/>
              <w:rPr>
                <w:rFonts w:ascii="Times New Roman" w:hAnsi="Times New Roman" w:cs="Times New Roman"/>
                <w:sz w:val="20"/>
                <w:szCs w:val="20"/>
              </w:rPr>
            </w:pPr>
          </w:p>
          <w:p w:rsidRPr="00463949" w:rsidR="002E0668" w:rsidP="00C76B32" w:rsidRDefault="002E0668" w14:paraId="0AB6C900" w14:textId="53199D44">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Mocht afwijking van het ontwikkelingsrisicoverweer (in de toekomst) wenselijk blijken te zijn, dan dient dit zijn beslag te krijgen in een apart wetsvoorstel. Daarvoor geldt dan de notificatieregeling als beschreven in artikel 18 leden 4-5 </w:t>
            </w:r>
            <w:r w:rsidRPr="00463949" w:rsidR="006D63B6">
              <w:rPr>
                <w:rFonts w:ascii="Times New Roman" w:hAnsi="Times New Roman" w:cs="Times New Roman"/>
                <w:sz w:val="20"/>
                <w:szCs w:val="20"/>
              </w:rPr>
              <w:t>R</w:t>
            </w:r>
            <w:r w:rsidRPr="00463949">
              <w:rPr>
                <w:rFonts w:ascii="Times New Roman" w:hAnsi="Times New Roman" w:cs="Times New Roman"/>
                <w:sz w:val="20"/>
                <w:szCs w:val="20"/>
              </w:rPr>
              <w:t xml:space="preserve">ichtlijn. </w:t>
            </w:r>
          </w:p>
          <w:p w:rsidRPr="00463949" w:rsidR="002E0668" w:rsidP="00C76B32" w:rsidRDefault="002E0668" w14:paraId="4E080F14" w14:textId="17F2BB1F">
            <w:pPr>
              <w:spacing w:line="276" w:lineRule="auto"/>
              <w:rPr>
                <w:rFonts w:ascii="Times New Roman" w:hAnsi="Times New Roman" w:cs="Times New Roman"/>
                <w:sz w:val="20"/>
                <w:szCs w:val="20"/>
              </w:rPr>
            </w:pPr>
          </w:p>
        </w:tc>
        <w:tc>
          <w:tcPr>
            <w:tcW w:w="1924" w:type="dxa"/>
          </w:tcPr>
          <w:p w:rsidRPr="00463949" w:rsidR="005015FE" w:rsidP="00C76B32" w:rsidRDefault="005015FE" w14:paraId="22A1A43B" w14:textId="77777777">
            <w:pPr>
              <w:spacing w:line="276" w:lineRule="auto"/>
              <w:rPr>
                <w:rFonts w:ascii="Times New Roman" w:hAnsi="Times New Roman" w:cs="Times New Roman"/>
                <w:sz w:val="20"/>
                <w:szCs w:val="20"/>
              </w:rPr>
            </w:pPr>
          </w:p>
          <w:p w:rsidRPr="00463949" w:rsidR="002E0668" w:rsidP="00C76B32" w:rsidRDefault="002E0668" w14:paraId="26375C37" w14:textId="2E262415">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26880E33" w14:textId="77777777">
        <w:tc>
          <w:tcPr>
            <w:tcW w:w="1807" w:type="dxa"/>
          </w:tcPr>
          <w:p w:rsidRPr="00463949" w:rsidR="002E0668" w:rsidP="00C76B32" w:rsidRDefault="002E0668" w14:paraId="1C030A07" w14:textId="77777777">
            <w:pPr>
              <w:spacing w:line="276" w:lineRule="auto"/>
              <w:rPr>
                <w:rFonts w:ascii="Times New Roman" w:hAnsi="Times New Roman" w:cs="Times New Roman"/>
                <w:sz w:val="20"/>
                <w:szCs w:val="20"/>
              </w:rPr>
            </w:pPr>
          </w:p>
          <w:p w:rsidRPr="00463949" w:rsidR="002E0668" w:rsidP="00C76B32" w:rsidRDefault="002E0668" w14:paraId="3019DFE8" w14:textId="63E70A30">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18</w:t>
            </w:r>
          </w:p>
          <w:p w:rsidRPr="00463949" w:rsidR="002E0668" w:rsidP="00C76B32" w:rsidRDefault="002E0668" w14:paraId="688D17A1" w14:textId="3D1215B5">
            <w:pPr>
              <w:spacing w:line="276" w:lineRule="auto"/>
              <w:rPr>
                <w:rFonts w:ascii="Times New Roman" w:hAnsi="Times New Roman" w:cs="Times New Roman"/>
                <w:sz w:val="20"/>
                <w:szCs w:val="20"/>
              </w:rPr>
            </w:pPr>
            <w:r w:rsidRPr="00463949">
              <w:rPr>
                <w:rFonts w:ascii="Times New Roman" w:hAnsi="Times New Roman" w:cs="Times New Roman"/>
                <w:sz w:val="20"/>
                <w:szCs w:val="20"/>
              </w:rPr>
              <w:t>leden 4-5</w:t>
            </w:r>
          </w:p>
          <w:p w:rsidRPr="00463949" w:rsidR="002E0668" w:rsidP="00C76B32" w:rsidRDefault="002E0668" w14:paraId="5D8CFACA" w14:textId="77777777">
            <w:pPr>
              <w:spacing w:line="276" w:lineRule="auto"/>
              <w:rPr>
                <w:rFonts w:ascii="Times New Roman" w:hAnsi="Times New Roman" w:cs="Times New Roman"/>
                <w:sz w:val="20"/>
                <w:szCs w:val="20"/>
              </w:rPr>
            </w:pPr>
          </w:p>
        </w:tc>
        <w:tc>
          <w:tcPr>
            <w:tcW w:w="2643" w:type="dxa"/>
          </w:tcPr>
          <w:p w:rsidRPr="00463949" w:rsidR="002E0668" w:rsidP="00C76B32" w:rsidRDefault="002E0668" w14:paraId="72E287D3" w14:textId="77777777">
            <w:pPr>
              <w:spacing w:line="276" w:lineRule="auto"/>
              <w:rPr>
                <w:rFonts w:ascii="Times New Roman" w:hAnsi="Times New Roman" w:cs="Times New Roman"/>
                <w:sz w:val="20"/>
                <w:szCs w:val="20"/>
              </w:rPr>
            </w:pPr>
          </w:p>
          <w:p w:rsidRPr="00463949" w:rsidR="002E0668" w:rsidP="00C76B32" w:rsidRDefault="002E0668" w14:paraId="79568286" w14:textId="4D8C87E9">
            <w:pPr>
              <w:spacing w:line="276" w:lineRule="auto"/>
              <w:rPr>
                <w:rFonts w:ascii="Times New Roman" w:hAnsi="Times New Roman" w:cs="Times New Roman"/>
                <w:sz w:val="20"/>
                <w:szCs w:val="20"/>
              </w:rPr>
            </w:pPr>
            <w:r w:rsidRPr="00463949">
              <w:rPr>
                <w:rFonts w:ascii="Times New Roman" w:hAnsi="Times New Roman" w:cs="Times New Roman"/>
                <w:sz w:val="20"/>
                <w:szCs w:val="20"/>
              </w:rPr>
              <w:t>Behoeft naar zijn aard geen implementatie, omdat de bepalingen (notificatieregeling) een feitelijk handelen van de centrale overheid betref</w:t>
            </w:r>
            <w:r w:rsidRPr="00463949" w:rsidR="00ED52F9">
              <w:rPr>
                <w:rFonts w:ascii="Times New Roman" w:hAnsi="Times New Roman" w:cs="Times New Roman"/>
                <w:sz w:val="20"/>
                <w:szCs w:val="20"/>
              </w:rPr>
              <w:t>fen</w:t>
            </w:r>
            <w:r w:rsidRPr="00463949">
              <w:rPr>
                <w:rFonts w:ascii="Times New Roman" w:hAnsi="Times New Roman" w:cs="Times New Roman"/>
                <w:sz w:val="20"/>
                <w:szCs w:val="20"/>
              </w:rPr>
              <w:t xml:space="preserve"> zonder dat derden daarop aanspraak hoeven te kunnen maken.</w:t>
            </w:r>
          </w:p>
          <w:p w:rsidRPr="00463949" w:rsidR="002E0668" w:rsidP="00C76B32" w:rsidRDefault="002E0668" w14:paraId="047E0A7A" w14:textId="5FE7AC6D">
            <w:pPr>
              <w:spacing w:line="276" w:lineRule="auto"/>
              <w:rPr>
                <w:rFonts w:ascii="Times New Roman" w:hAnsi="Times New Roman" w:cs="Times New Roman"/>
                <w:sz w:val="20"/>
                <w:szCs w:val="20"/>
              </w:rPr>
            </w:pPr>
          </w:p>
        </w:tc>
        <w:tc>
          <w:tcPr>
            <w:tcW w:w="2643" w:type="dxa"/>
          </w:tcPr>
          <w:p w:rsidRPr="00463949" w:rsidR="002E0668" w:rsidP="00C76B32" w:rsidRDefault="002E0668" w14:paraId="7CDAEAD5" w14:textId="77777777">
            <w:pPr>
              <w:spacing w:line="276" w:lineRule="auto"/>
              <w:rPr>
                <w:rFonts w:ascii="Times New Roman" w:hAnsi="Times New Roman" w:cs="Times New Roman"/>
                <w:sz w:val="20"/>
                <w:szCs w:val="20"/>
              </w:rPr>
            </w:pPr>
          </w:p>
          <w:p w:rsidRPr="00463949" w:rsidR="002E0668" w:rsidP="00C76B32" w:rsidRDefault="002E0668" w14:paraId="72649DCB" w14:textId="00245CF1">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2E0668" w:rsidP="00C76B32" w:rsidRDefault="002E0668" w14:paraId="545EDAAC" w14:textId="77777777">
            <w:pPr>
              <w:spacing w:line="276" w:lineRule="auto"/>
              <w:rPr>
                <w:rFonts w:ascii="Times New Roman" w:hAnsi="Times New Roman" w:cs="Times New Roman"/>
                <w:sz w:val="20"/>
                <w:szCs w:val="20"/>
              </w:rPr>
            </w:pPr>
          </w:p>
          <w:p w:rsidRPr="00463949" w:rsidR="002E0668" w:rsidP="00C76B32" w:rsidRDefault="002E0668" w14:paraId="19066CC9" w14:textId="55F7D021">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091DB4EC" w14:textId="77777777">
        <w:tc>
          <w:tcPr>
            <w:tcW w:w="1807" w:type="dxa"/>
          </w:tcPr>
          <w:p w:rsidRPr="00463949" w:rsidR="00486E14" w:rsidP="00C76B32" w:rsidRDefault="00486E14" w14:paraId="3507AAA9" w14:textId="77777777">
            <w:pPr>
              <w:spacing w:line="276" w:lineRule="auto"/>
              <w:rPr>
                <w:rFonts w:ascii="Times New Roman" w:hAnsi="Times New Roman" w:cs="Times New Roman"/>
                <w:sz w:val="20"/>
                <w:szCs w:val="20"/>
              </w:rPr>
            </w:pPr>
          </w:p>
          <w:p w:rsidRPr="00463949" w:rsidR="00486E14" w:rsidP="00C76B32" w:rsidRDefault="006F07C1" w14:paraId="443FA16F" w14:textId="427A8B50">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19 lid 1</w:t>
            </w:r>
          </w:p>
          <w:p w:rsidRPr="00463949" w:rsidR="00486E14" w:rsidP="00C76B32" w:rsidRDefault="00486E14" w14:paraId="6AE7EED9"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04E318AB" w14:textId="77777777">
            <w:pPr>
              <w:spacing w:line="276" w:lineRule="auto"/>
              <w:rPr>
                <w:rFonts w:ascii="Times New Roman" w:hAnsi="Times New Roman" w:cs="Times New Roman"/>
                <w:sz w:val="20"/>
                <w:szCs w:val="20"/>
              </w:rPr>
            </w:pPr>
          </w:p>
          <w:p w:rsidRPr="00463949" w:rsidR="006F07C1" w:rsidP="00C76B32" w:rsidRDefault="006F07C1" w14:paraId="41CFEB34" w14:textId="385D0B18">
            <w:pPr>
              <w:spacing w:line="276" w:lineRule="auto"/>
              <w:rPr>
                <w:rFonts w:ascii="Times New Roman" w:hAnsi="Times New Roman" w:cs="Times New Roman"/>
                <w:sz w:val="20"/>
                <w:szCs w:val="20"/>
              </w:rPr>
            </w:pPr>
            <w:r w:rsidRPr="00463949">
              <w:rPr>
                <w:rFonts w:ascii="Times New Roman" w:hAnsi="Times New Roman" w:cs="Times New Roman"/>
                <w:sz w:val="20"/>
                <w:szCs w:val="20"/>
              </w:rPr>
              <w:t>Behoeft naar zijn aard geen implementatie, omdat de bepaling een feitelijk handelen van de centrale overheid betreft zonder dat derden daarop aanspraak hoeven te kunnen maken</w:t>
            </w:r>
            <w:r w:rsidRPr="00463949" w:rsidR="00E14C99">
              <w:rPr>
                <w:rFonts w:ascii="Times New Roman" w:hAnsi="Times New Roman" w:cs="Times New Roman"/>
                <w:sz w:val="20"/>
                <w:szCs w:val="20"/>
              </w:rPr>
              <w:t>.</w:t>
            </w:r>
          </w:p>
          <w:p w:rsidRPr="00463949" w:rsidR="00E14C99" w:rsidP="00C76B32" w:rsidRDefault="00E14C99" w14:paraId="5EC2E5AE" w14:textId="1222AF70">
            <w:pPr>
              <w:spacing w:line="276" w:lineRule="auto"/>
              <w:rPr>
                <w:rFonts w:ascii="Times New Roman" w:hAnsi="Times New Roman" w:cs="Times New Roman"/>
                <w:sz w:val="20"/>
                <w:szCs w:val="20"/>
              </w:rPr>
            </w:pPr>
          </w:p>
        </w:tc>
        <w:tc>
          <w:tcPr>
            <w:tcW w:w="2643" w:type="dxa"/>
          </w:tcPr>
          <w:p w:rsidRPr="00463949" w:rsidR="00486E14" w:rsidP="00C76B32" w:rsidRDefault="00486E14" w14:paraId="32375BA7" w14:textId="77777777">
            <w:pPr>
              <w:spacing w:line="276" w:lineRule="auto"/>
              <w:rPr>
                <w:rFonts w:ascii="Times New Roman" w:hAnsi="Times New Roman" w:cs="Times New Roman"/>
                <w:sz w:val="20"/>
                <w:szCs w:val="20"/>
              </w:rPr>
            </w:pPr>
          </w:p>
          <w:p w:rsidRPr="00463949" w:rsidR="00AE0923" w:rsidP="00C76B32" w:rsidRDefault="00AE0923" w14:paraId="75F21EF2" w14:textId="47C9A464">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2AD8C222" w14:textId="77777777">
            <w:pPr>
              <w:spacing w:line="276" w:lineRule="auto"/>
              <w:rPr>
                <w:rFonts w:ascii="Times New Roman" w:hAnsi="Times New Roman" w:cs="Times New Roman"/>
                <w:sz w:val="20"/>
                <w:szCs w:val="20"/>
              </w:rPr>
            </w:pPr>
          </w:p>
          <w:p w:rsidRPr="00463949" w:rsidR="00AE0923" w:rsidP="00C76B32" w:rsidRDefault="00AE0923" w14:paraId="649A28D7" w14:textId="589C6A04">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5307E4D3" w14:textId="77777777">
        <w:tc>
          <w:tcPr>
            <w:tcW w:w="1807" w:type="dxa"/>
          </w:tcPr>
          <w:p w:rsidRPr="00463949" w:rsidR="00486E14" w:rsidP="00C76B32" w:rsidRDefault="00486E14" w14:paraId="04C16067" w14:textId="77777777">
            <w:pPr>
              <w:spacing w:line="276" w:lineRule="auto"/>
              <w:rPr>
                <w:rFonts w:ascii="Times New Roman" w:hAnsi="Times New Roman" w:cs="Times New Roman"/>
                <w:sz w:val="20"/>
                <w:szCs w:val="20"/>
              </w:rPr>
            </w:pPr>
          </w:p>
          <w:p w:rsidRPr="00463949" w:rsidR="00486E14" w:rsidP="00C76B32" w:rsidRDefault="006F07C1" w14:paraId="3F36933D" w14:textId="1C7B6676">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19 lid 2</w:t>
            </w:r>
          </w:p>
          <w:p w:rsidRPr="00463949" w:rsidR="00B925EF" w:rsidP="00C76B32" w:rsidRDefault="00B925EF" w14:paraId="1BB9D3E0" w14:textId="77777777">
            <w:pPr>
              <w:spacing w:line="276" w:lineRule="auto"/>
              <w:rPr>
                <w:rFonts w:ascii="Times New Roman" w:hAnsi="Times New Roman" w:cs="Times New Roman"/>
                <w:sz w:val="20"/>
                <w:szCs w:val="20"/>
              </w:rPr>
            </w:pPr>
          </w:p>
          <w:p w:rsidRPr="00463949" w:rsidR="00486E14" w:rsidP="00C76B32" w:rsidRDefault="00486E14" w14:paraId="4CA8FEFE" w14:textId="77777777">
            <w:pPr>
              <w:spacing w:line="276" w:lineRule="auto"/>
              <w:rPr>
                <w:rFonts w:ascii="Times New Roman" w:hAnsi="Times New Roman" w:cs="Times New Roman"/>
                <w:sz w:val="20"/>
                <w:szCs w:val="20"/>
              </w:rPr>
            </w:pPr>
          </w:p>
          <w:p w:rsidRPr="00463949" w:rsidR="00486E14" w:rsidP="00C76B32" w:rsidRDefault="00486E14" w14:paraId="6F1B53DC"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086DB6D1" w14:textId="77777777">
            <w:pPr>
              <w:spacing w:line="276" w:lineRule="auto"/>
              <w:rPr>
                <w:rFonts w:ascii="Times New Roman" w:hAnsi="Times New Roman" w:cs="Times New Roman"/>
                <w:sz w:val="20"/>
                <w:szCs w:val="20"/>
              </w:rPr>
            </w:pPr>
          </w:p>
          <w:p w:rsidRPr="00463949" w:rsidR="006F07C1" w:rsidP="00C76B32" w:rsidRDefault="006F07C1" w14:paraId="7A0072B3" w14:textId="7A450CD3">
            <w:pPr>
              <w:spacing w:line="276" w:lineRule="auto"/>
              <w:rPr>
                <w:rFonts w:ascii="Times New Roman" w:hAnsi="Times New Roman" w:cs="Times New Roman"/>
                <w:sz w:val="20"/>
                <w:szCs w:val="20"/>
              </w:rPr>
            </w:pPr>
            <w:r w:rsidRPr="00463949">
              <w:rPr>
                <w:rFonts w:ascii="Times New Roman" w:hAnsi="Times New Roman" w:cs="Times New Roman"/>
                <w:sz w:val="20"/>
                <w:szCs w:val="20"/>
              </w:rPr>
              <w:t xml:space="preserve">Behoeft naar zijn aard geen implementatie, omdat de </w:t>
            </w:r>
            <w:r w:rsidRPr="00463949">
              <w:rPr>
                <w:rFonts w:ascii="Times New Roman" w:hAnsi="Times New Roman" w:cs="Times New Roman"/>
                <w:sz w:val="20"/>
                <w:szCs w:val="20"/>
              </w:rPr>
              <w:lastRenderedPageBreak/>
              <w:t xml:space="preserve">bepaling </w:t>
            </w:r>
            <w:r w:rsidRPr="00463949" w:rsidR="00E14C99">
              <w:rPr>
                <w:rFonts w:ascii="Times New Roman" w:hAnsi="Times New Roman" w:cs="Times New Roman"/>
                <w:sz w:val="20"/>
                <w:szCs w:val="20"/>
              </w:rPr>
              <w:t>zich slechts richt tot de Europese Commissie.</w:t>
            </w:r>
          </w:p>
          <w:p w:rsidRPr="00463949" w:rsidR="006F07C1" w:rsidP="00C76B32" w:rsidRDefault="006F07C1" w14:paraId="066D0DA2" w14:textId="7335C0E9">
            <w:pPr>
              <w:spacing w:line="276" w:lineRule="auto"/>
              <w:rPr>
                <w:rFonts w:ascii="Times New Roman" w:hAnsi="Times New Roman" w:cs="Times New Roman"/>
                <w:sz w:val="20"/>
                <w:szCs w:val="20"/>
              </w:rPr>
            </w:pPr>
          </w:p>
        </w:tc>
        <w:tc>
          <w:tcPr>
            <w:tcW w:w="2643" w:type="dxa"/>
          </w:tcPr>
          <w:p w:rsidRPr="00463949" w:rsidR="00486E14" w:rsidP="00C76B32" w:rsidRDefault="00486E14" w14:paraId="141AAD85" w14:textId="77777777">
            <w:pPr>
              <w:spacing w:line="276" w:lineRule="auto"/>
              <w:rPr>
                <w:rFonts w:ascii="Times New Roman" w:hAnsi="Times New Roman" w:cs="Times New Roman"/>
                <w:sz w:val="20"/>
                <w:szCs w:val="20"/>
              </w:rPr>
            </w:pPr>
          </w:p>
          <w:p w:rsidRPr="00463949" w:rsidR="00AE0923" w:rsidP="00C76B32" w:rsidRDefault="00AE0923" w14:paraId="20B0AE89" w14:textId="54E195A8">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76B116D0" w14:textId="77777777">
            <w:pPr>
              <w:spacing w:line="276" w:lineRule="auto"/>
              <w:rPr>
                <w:rFonts w:ascii="Times New Roman" w:hAnsi="Times New Roman" w:cs="Times New Roman"/>
                <w:sz w:val="20"/>
                <w:szCs w:val="20"/>
              </w:rPr>
            </w:pPr>
          </w:p>
          <w:p w:rsidRPr="00463949" w:rsidR="00AE0923" w:rsidP="00C76B32" w:rsidRDefault="00AE0923" w14:paraId="35247777" w14:textId="02C518D6">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061DFE5A" w14:textId="77777777">
        <w:tc>
          <w:tcPr>
            <w:tcW w:w="1807" w:type="dxa"/>
          </w:tcPr>
          <w:p w:rsidRPr="00463949" w:rsidR="00486E14" w:rsidP="00C76B32" w:rsidRDefault="00486E14" w14:paraId="48CF5E6B" w14:textId="77777777">
            <w:pPr>
              <w:spacing w:line="276" w:lineRule="auto"/>
              <w:rPr>
                <w:rFonts w:ascii="Times New Roman" w:hAnsi="Times New Roman" w:cs="Times New Roman"/>
                <w:sz w:val="20"/>
                <w:szCs w:val="20"/>
              </w:rPr>
            </w:pPr>
          </w:p>
          <w:p w:rsidRPr="00463949" w:rsidR="00486E14" w:rsidP="00C76B32" w:rsidRDefault="006F07C1" w14:paraId="22CDC6C6" w14:textId="02DC022B">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20</w:t>
            </w:r>
          </w:p>
          <w:p w:rsidRPr="00463949" w:rsidR="00486E14" w:rsidP="00C76B32" w:rsidRDefault="00486E14" w14:paraId="51A4B3B3"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715BE388" w14:textId="77777777">
            <w:pPr>
              <w:spacing w:line="276" w:lineRule="auto"/>
              <w:rPr>
                <w:rFonts w:ascii="Times New Roman" w:hAnsi="Times New Roman" w:cs="Times New Roman"/>
                <w:sz w:val="20"/>
                <w:szCs w:val="20"/>
              </w:rPr>
            </w:pPr>
          </w:p>
          <w:p w:rsidRPr="00463949" w:rsidR="006F07C1" w:rsidP="00C76B32" w:rsidRDefault="006F07C1" w14:paraId="3F920B6C" w14:textId="16C81BCB">
            <w:pPr>
              <w:spacing w:line="276" w:lineRule="auto"/>
              <w:rPr>
                <w:rFonts w:ascii="Times New Roman" w:hAnsi="Times New Roman" w:cs="Times New Roman"/>
                <w:sz w:val="20"/>
                <w:szCs w:val="20"/>
              </w:rPr>
            </w:pPr>
            <w:r w:rsidRPr="00463949">
              <w:rPr>
                <w:rFonts w:ascii="Times New Roman" w:hAnsi="Times New Roman" w:cs="Times New Roman"/>
                <w:sz w:val="20"/>
                <w:szCs w:val="20"/>
              </w:rPr>
              <w:t>Behoeft naar zijn aard geen implementatie</w:t>
            </w:r>
            <w:r w:rsidRPr="00463949" w:rsidR="00E14C99">
              <w:rPr>
                <w:rFonts w:ascii="Times New Roman" w:hAnsi="Times New Roman" w:cs="Times New Roman"/>
                <w:sz w:val="20"/>
                <w:szCs w:val="20"/>
              </w:rPr>
              <w:t>, omdat de</w:t>
            </w:r>
            <w:r w:rsidRPr="00463949" w:rsidR="00ED52F9">
              <w:rPr>
                <w:rFonts w:ascii="Times New Roman" w:hAnsi="Times New Roman" w:cs="Times New Roman"/>
                <w:sz w:val="20"/>
                <w:szCs w:val="20"/>
              </w:rPr>
              <w:t>ze</w:t>
            </w:r>
            <w:r w:rsidRPr="00463949" w:rsidR="00E14C99">
              <w:rPr>
                <w:rFonts w:ascii="Times New Roman" w:hAnsi="Times New Roman" w:cs="Times New Roman"/>
                <w:sz w:val="20"/>
                <w:szCs w:val="20"/>
              </w:rPr>
              <w:t xml:space="preserve"> evaluatiebepaling zich slechts richt tot de Europese Commissie.</w:t>
            </w:r>
          </w:p>
          <w:p w:rsidRPr="00463949" w:rsidR="007F5541" w:rsidP="00C76B32" w:rsidRDefault="007F5541" w14:paraId="368EB990" w14:textId="693C0E97">
            <w:pPr>
              <w:spacing w:line="276" w:lineRule="auto"/>
              <w:rPr>
                <w:rFonts w:ascii="Times New Roman" w:hAnsi="Times New Roman" w:cs="Times New Roman"/>
                <w:sz w:val="20"/>
                <w:szCs w:val="20"/>
              </w:rPr>
            </w:pPr>
          </w:p>
        </w:tc>
        <w:tc>
          <w:tcPr>
            <w:tcW w:w="2643" w:type="dxa"/>
          </w:tcPr>
          <w:p w:rsidRPr="00463949" w:rsidR="00486E14" w:rsidP="00C76B32" w:rsidRDefault="00486E14" w14:paraId="358D7059" w14:textId="77777777">
            <w:pPr>
              <w:spacing w:line="276" w:lineRule="auto"/>
              <w:rPr>
                <w:rFonts w:ascii="Times New Roman" w:hAnsi="Times New Roman" w:cs="Times New Roman"/>
                <w:sz w:val="20"/>
                <w:szCs w:val="20"/>
              </w:rPr>
            </w:pPr>
          </w:p>
          <w:p w:rsidRPr="00463949" w:rsidR="00AE0923" w:rsidP="00C76B32" w:rsidRDefault="00AE0923" w14:paraId="1C71937E" w14:textId="5C20744C">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65D0EB26" w14:textId="77777777">
            <w:pPr>
              <w:spacing w:line="276" w:lineRule="auto"/>
              <w:rPr>
                <w:rFonts w:ascii="Times New Roman" w:hAnsi="Times New Roman" w:cs="Times New Roman"/>
                <w:sz w:val="20"/>
                <w:szCs w:val="20"/>
              </w:rPr>
            </w:pPr>
          </w:p>
          <w:p w:rsidRPr="00463949" w:rsidR="00AE0923" w:rsidP="00C76B32" w:rsidRDefault="00AE0923" w14:paraId="4C341BDE" w14:textId="1ADA10B6">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101310" w14:paraId="27FCD928" w14:textId="77777777">
        <w:tc>
          <w:tcPr>
            <w:tcW w:w="1807" w:type="dxa"/>
          </w:tcPr>
          <w:p w:rsidRPr="00463949" w:rsidR="00486E14" w:rsidP="00C76B32" w:rsidRDefault="00486E14" w14:paraId="316C38FA" w14:textId="77777777">
            <w:pPr>
              <w:spacing w:line="276" w:lineRule="auto"/>
              <w:rPr>
                <w:rFonts w:ascii="Times New Roman" w:hAnsi="Times New Roman" w:cs="Times New Roman"/>
                <w:sz w:val="20"/>
                <w:szCs w:val="20"/>
              </w:rPr>
            </w:pPr>
          </w:p>
          <w:p w:rsidRPr="00463949" w:rsidR="00486E14" w:rsidP="00C76B32" w:rsidRDefault="006F07C1" w14:paraId="1B0B39AE" w14:textId="764E6B2D">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21</w:t>
            </w:r>
          </w:p>
        </w:tc>
        <w:tc>
          <w:tcPr>
            <w:tcW w:w="2643" w:type="dxa"/>
          </w:tcPr>
          <w:p w:rsidRPr="00463949" w:rsidR="006F07C1" w:rsidP="00C76B32" w:rsidRDefault="006F07C1" w14:paraId="1E66609A" w14:textId="77777777">
            <w:pPr>
              <w:spacing w:line="276" w:lineRule="auto"/>
              <w:rPr>
                <w:rFonts w:ascii="Times New Roman" w:hAnsi="Times New Roman" w:cs="Times New Roman"/>
                <w:sz w:val="20"/>
                <w:szCs w:val="20"/>
              </w:rPr>
            </w:pPr>
          </w:p>
          <w:p w:rsidRPr="00463949" w:rsidR="00486E14" w:rsidP="00C76B32" w:rsidRDefault="006F07C1" w14:paraId="1ACAAA6F" w14:textId="77777777">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III (invoeging nieuw artikel 189aa in de Overgangswet nieuw BW).</w:t>
            </w:r>
          </w:p>
          <w:p w:rsidRPr="00463949" w:rsidR="00E14C99" w:rsidP="00C76B32" w:rsidRDefault="00E14C99" w14:paraId="18B0947E" w14:textId="2444C718">
            <w:pPr>
              <w:spacing w:line="276" w:lineRule="auto"/>
              <w:rPr>
                <w:rFonts w:ascii="Times New Roman" w:hAnsi="Times New Roman" w:cs="Times New Roman"/>
                <w:sz w:val="20"/>
                <w:szCs w:val="20"/>
              </w:rPr>
            </w:pPr>
          </w:p>
        </w:tc>
        <w:tc>
          <w:tcPr>
            <w:tcW w:w="2643" w:type="dxa"/>
          </w:tcPr>
          <w:p w:rsidRPr="00463949" w:rsidR="00486E14" w:rsidP="00C76B32" w:rsidRDefault="00486E14" w14:paraId="6AFEB9E1" w14:textId="77777777">
            <w:pPr>
              <w:spacing w:line="276" w:lineRule="auto"/>
              <w:rPr>
                <w:rFonts w:ascii="Times New Roman" w:hAnsi="Times New Roman" w:cs="Times New Roman"/>
                <w:sz w:val="20"/>
                <w:szCs w:val="20"/>
              </w:rPr>
            </w:pPr>
          </w:p>
          <w:p w:rsidRPr="00463949" w:rsidR="00AE0923" w:rsidP="00C76B32" w:rsidRDefault="00AE0923" w14:paraId="493D55CD" w14:textId="7AA750F8">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7254636B" w14:textId="77777777">
            <w:pPr>
              <w:spacing w:line="276" w:lineRule="auto"/>
              <w:rPr>
                <w:rFonts w:ascii="Times New Roman" w:hAnsi="Times New Roman" w:cs="Times New Roman"/>
                <w:sz w:val="20"/>
                <w:szCs w:val="20"/>
              </w:rPr>
            </w:pPr>
          </w:p>
          <w:p w:rsidRPr="00463949" w:rsidR="00AE0923" w:rsidP="00C76B32" w:rsidRDefault="00AE0923" w14:paraId="511183DF" w14:textId="2A7700F9">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101310" w14:paraId="24099B50" w14:textId="77777777">
        <w:tc>
          <w:tcPr>
            <w:tcW w:w="1807" w:type="dxa"/>
          </w:tcPr>
          <w:p w:rsidRPr="00463949" w:rsidR="00486E14" w:rsidP="00C76B32" w:rsidRDefault="00486E14" w14:paraId="2843DF80" w14:textId="77777777">
            <w:pPr>
              <w:spacing w:line="276" w:lineRule="auto"/>
              <w:rPr>
                <w:rFonts w:ascii="Times New Roman" w:hAnsi="Times New Roman" w:cs="Times New Roman"/>
                <w:sz w:val="20"/>
                <w:szCs w:val="20"/>
              </w:rPr>
            </w:pPr>
          </w:p>
          <w:p w:rsidRPr="00463949" w:rsidR="00B925EF" w:rsidP="00C76B32" w:rsidRDefault="00B925EF" w14:paraId="195D4BC0" w14:textId="0080F3D2">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22</w:t>
            </w:r>
          </w:p>
          <w:p w:rsidRPr="00463949" w:rsidR="00486E14" w:rsidP="00C76B32" w:rsidRDefault="00486E14" w14:paraId="4EE890A6" w14:textId="77777777">
            <w:pPr>
              <w:spacing w:line="276" w:lineRule="auto"/>
              <w:rPr>
                <w:rFonts w:ascii="Times New Roman" w:hAnsi="Times New Roman" w:cs="Times New Roman"/>
                <w:sz w:val="20"/>
                <w:szCs w:val="20"/>
              </w:rPr>
            </w:pPr>
          </w:p>
          <w:p w:rsidRPr="00463949" w:rsidR="00486E14" w:rsidP="00C76B32" w:rsidRDefault="00486E14" w14:paraId="32ACFD7D"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6D96E260" w14:textId="77777777">
            <w:pPr>
              <w:spacing w:line="276" w:lineRule="auto"/>
              <w:rPr>
                <w:rFonts w:ascii="Times New Roman" w:hAnsi="Times New Roman" w:cs="Times New Roman"/>
                <w:sz w:val="20"/>
                <w:szCs w:val="20"/>
              </w:rPr>
            </w:pPr>
          </w:p>
          <w:p w:rsidRPr="00463949" w:rsidR="006F07C1" w:rsidP="00C76B32" w:rsidRDefault="006F07C1" w14:paraId="196C8DC4" w14:textId="43E530F3">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IV.</w:t>
            </w:r>
          </w:p>
          <w:p w:rsidRPr="00463949" w:rsidR="00B925EF" w:rsidP="00C76B32" w:rsidRDefault="00B925EF" w14:paraId="31856FA4" w14:textId="2832A608">
            <w:pPr>
              <w:spacing w:line="276" w:lineRule="auto"/>
              <w:rPr>
                <w:rFonts w:ascii="Times New Roman" w:hAnsi="Times New Roman" w:cs="Times New Roman"/>
                <w:sz w:val="20"/>
                <w:szCs w:val="20"/>
              </w:rPr>
            </w:pPr>
          </w:p>
        </w:tc>
        <w:tc>
          <w:tcPr>
            <w:tcW w:w="2643" w:type="dxa"/>
          </w:tcPr>
          <w:p w:rsidRPr="00463949" w:rsidR="00486E14" w:rsidP="00C76B32" w:rsidRDefault="00486E14" w14:paraId="094A379A" w14:textId="77777777">
            <w:pPr>
              <w:spacing w:line="276" w:lineRule="auto"/>
              <w:rPr>
                <w:rFonts w:ascii="Times New Roman" w:hAnsi="Times New Roman" w:cs="Times New Roman"/>
                <w:sz w:val="20"/>
                <w:szCs w:val="20"/>
              </w:rPr>
            </w:pPr>
          </w:p>
          <w:p w:rsidRPr="00463949" w:rsidR="00B925EF" w:rsidP="00C76B32" w:rsidRDefault="00B925EF" w14:paraId="6718A823" w14:textId="526B53FE">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6A7E3B37" w14:textId="77777777">
            <w:pPr>
              <w:spacing w:line="276" w:lineRule="auto"/>
              <w:rPr>
                <w:rFonts w:ascii="Times New Roman" w:hAnsi="Times New Roman" w:cs="Times New Roman"/>
                <w:sz w:val="20"/>
                <w:szCs w:val="20"/>
              </w:rPr>
            </w:pPr>
          </w:p>
          <w:p w:rsidRPr="00463949" w:rsidR="00B925EF" w:rsidP="00C76B32" w:rsidRDefault="00B925EF" w14:paraId="37F74472" w14:textId="6F9CD6A8">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6D701237" w14:textId="77777777">
        <w:tc>
          <w:tcPr>
            <w:tcW w:w="1807" w:type="dxa"/>
          </w:tcPr>
          <w:p w:rsidRPr="00463949" w:rsidR="00486E14" w:rsidP="00C76B32" w:rsidRDefault="00486E14" w14:paraId="2F369C9E" w14:textId="77777777">
            <w:pPr>
              <w:spacing w:line="276" w:lineRule="auto"/>
              <w:rPr>
                <w:rFonts w:ascii="Times New Roman" w:hAnsi="Times New Roman" w:cs="Times New Roman"/>
                <w:sz w:val="20"/>
                <w:szCs w:val="20"/>
              </w:rPr>
            </w:pPr>
          </w:p>
          <w:p w:rsidRPr="00463949" w:rsidR="00486E14" w:rsidP="00C76B32" w:rsidRDefault="00B925EF" w14:paraId="2A1580F9" w14:textId="30EAFCFC">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23</w:t>
            </w:r>
          </w:p>
          <w:p w:rsidRPr="00463949" w:rsidR="00486E14" w:rsidP="00C76B32" w:rsidRDefault="00486E14" w14:paraId="473D031D"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64EBD414" w14:textId="77777777">
            <w:pPr>
              <w:spacing w:line="276" w:lineRule="auto"/>
              <w:rPr>
                <w:rFonts w:ascii="Times New Roman" w:hAnsi="Times New Roman" w:cs="Times New Roman"/>
                <w:sz w:val="20"/>
                <w:szCs w:val="20"/>
              </w:rPr>
            </w:pPr>
          </w:p>
          <w:p w:rsidRPr="00463949" w:rsidR="00B925EF" w:rsidP="00C76B32" w:rsidRDefault="00B925EF" w14:paraId="4D11CCDA" w14:textId="2B51B287">
            <w:pPr>
              <w:spacing w:line="276" w:lineRule="auto"/>
              <w:rPr>
                <w:rFonts w:ascii="Times New Roman" w:hAnsi="Times New Roman" w:cs="Times New Roman"/>
                <w:sz w:val="20"/>
                <w:szCs w:val="20"/>
              </w:rPr>
            </w:pPr>
            <w:r w:rsidRPr="00463949">
              <w:rPr>
                <w:rFonts w:ascii="Times New Roman" w:hAnsi="Times New Roman" w:cs="Times New Roman"/>
                <w:sz w:val="20"/>
                <w:szCs w:val="20"/>
              </w:rPr>
              <w:t>Behoeft naar zijn aard geen implementatie</w:t>
            </w:r>
            <w:r w:rsidRPr="00463949" w:rsidR="00E14C99">
              <w:rPr>
                <w:rFonts w:ascii="Times New Roman" w:hAnsi="Times New Roman" w:cs="Times New Roman"/>
                <w:sz w:val="20"/>
                <w:szCs w:val="20"/>
              </w:rPr>
              <w:t xml:space="preserve">, omdat deze bepaling de </w:t>
            </w:r>
            <w:r w:rsidRPr="00463949">
              <w:rPr>
                <w:rFonts w:ascii="Times New Roman" w:hAnsi="Times New Roman" w:cs="Times New Roman"/>
                <w:sz w:val="20"/>
                <w:szCs w:val="20"/>
              </w:rPr>
              <w:t xml:space="preserve">inwerkingtreding van de </w:t>
            </w:r>
            <w:r w:rsidRPr="00463949" w:rsidR="006D63B6">
              <w:rPr>
                <w:rFonts w:ascii="Times New Roman" w:hAnsi="Times New Roman" w:cs="Times New Roman"/>
                <w:sz w:val="20"/>
                <w:szCs w:val="20"/>
              </w:rPr>
              <w:t>R</w:t>
            </w:r>
            <w:r w:rsidRPr="00463949">
              <w:rPr>
                <w:rFonts w:ascii="Times New Roman" w:hAnsi="Times New Roman" w:cs="Times New Roman"/>
                <w:sz w:val="20"/>
                <w:szCs w:val="20"/>
              </w:rPr>
              <w:t>ichtlijn</w:t>
            </w:r>
            <w:r w:rsidRPr="00463949" w:rsidR="00E14C99">
              <w:rPr>
                <w:rFonts w:ascii="Times New Roman" w:hAnsi="Times New Roman" w:cs="Times New Roman"/>
                <w:sz w:val="20"/>
                <w:szCs w:val="20"/>
              </w:rPr>
              <w:t xml:space="preserve"> betreft.</w:t>
            </w:r>
          </w:p>
          <w:p w:rsidRPr="00463949" w:rsidR="00B925EF" w:rsidP="00C76B32" w:rsidRDefault="00B925EF" w14:paraId="0AAD5810" w14:textId="75D1540A">
            <w:pPr>
              <w:spacing w:line="276" w:lineRule="auto"/>
              <w:rPr>
                <w:rFonts w:ascii="Times New Roman" w:hAnsi="Times New Roman" w:cs="Times New Roman"/>
                <w:sz w:val="20"/>
                <w:szCs w:val="20"/>
              </w:rPr>
            </w:pPr>
          </w:p>
        </w:tc>
        <w:tc>
          <w:tcPr>
            <w:tcW w:w="2643" w:type="dxa"/>
          </w:tcPr>
          <w:p w:rsidRPr="00463949" w:rsidR="00486E14" w:rsidP="00C76B32" w:rsidRDefault="00486E14" w14:paraId="3631EC3C" w14:textId="77777777">
            <w:pPr>
              <w:spacing w:line="276" w:lineRule="auto"/>
              <w:rPr>
                <w:rFonts w:ascii="Times New Roman" w:hAnsi="Times New Roman" w:cs="Times New Roman"/>
                <w:sz w:val="20"/>
                <w:szCs w:val="20"/>
              </w:rPr>
            </w:pPr>
          </w:p>
          <w:p w:rsidRPr="00463949" w:rsidR="00B925EF" w:rsidP="00C76B32" w:rsidRDefault="00B925EF" w14:paraId="37182033" w14:textId="333F3AEB">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4BD2DF75" w14:textId="77777777">
            <w:pPr>
              <w:spacing w:line="276" w:lineRule="auto"/>
              <w:rPr>
                <w:rFonts w:ascii="Times New Roman" w:hAnsi="Times New Roman" w:cs="Times New Roman"/>
                <w:sz w:val="20"/>
                <w:szCs w:val="20"/>
              </w:rPr>
            </w:pPr>
          </w:p>
          <w:p w:rsidRPr="00463949" w:rsidR="00B925EF" w:rsidP="00C76B32" w:rsidRDefault="00B925EF" w14:paraId="33981BD2" w14:textId="73D3609F">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r w:rsidRPr="00463949" w:rsidR="002E0668" w:rsidTr="00C76B32" w14:paraId="1A8315AA" w14:textId="77777777">
        <w:tc>
          <w:tcPr>
            <w:tcW w:w="1807" w:type="dxa"/>
          </w:tcPr>
          <w:p w:rsidRPr="00463949" w:rsidR="00B925EF" w:rsidP="00C76B32" w:rsidRDefault="00B925EF" w14:paraId="3B68BFE0" w14:textId="5BE97092">
            <w:pPr>
              <w:spacing w:line="276" w:lineRule="auto"/>
              <w:rPr>
                <w:rFonts w:ascii="Times New Roman" w:hAnsi="Times New Roman" w:cs="Times New Roman"/>
                <w:sz w:val="20"/>
                <w:szCs w:val="20"/>
              </w:rPr>
            </w:pPr>
          </w:p>
          <w:p w:rsidRPr="00463949" w:rsidR="00486E14" w:rsidP="00C76B32" w:rsidRDefault="00B925EF" w14:paraId="0B694152" w14:textId="6FDDCD03">
            <w:pPr>
              <w:spacing w:line="276" w:lineRule="auto"/>
              <w:rPr>
                <w:rFonts w:ascii="Times New Roman" w:hAnsi="Times New Roman" w:cs="Times New Roman"/>
                <w:sz w:val="20"/>
                <w:szCs w:val="20"/>
              </w:rPr>
            </w:pPr>
            <w:r w:rsidRPr="00463949">
              <w:rPr>
                <w:rFonts w:ascii="Times New Roman" w:hAnsi="Times New Roman" w:cs="Times New Roman"/>
                <w:sz w:val="20"/>
                <w:szCs w:val="20"/>
              </w:rPr>
              <w:t>Artikel 24</w:t>
            </w:r>
          </w:p>
          <w:p w:rsidRPr="00463949" w:rsidR="00486E14" w:rsidP="00C76B32" w:rsidRDefault="00486E14" w14:paraId="35FD9443" w14:textId="77777777">
            <w:pPr>
              <w:spacing w:line="276" w:lineRule="auto"/>
              <w:rPr>
                <w:rFonts w:ascii="Times New Roman" w:hAnsi="Times New Roman" w:cs="Times New Roman"/>
                <w:sz w:val="20"/>
                <w:szCs w:val="20"/>
              </w:rPr>
            </w:pPr>
          </w:p>
        </w:tc>
        <w:tc>
          <w:tcPr>
            <w:tcW w:w="2643" w:type="dxa"/>
          </w:tcPr>
          <w:p w:rsidRPr="00463949" w:rsidR="00486E14" w:rsidP="00C76B32" w:rsidRDefault="00486E14" w14:paraId="7518FBBF" w14:textId="77777777">
            <w:pPr>
              <w:spacing w:line="276" w:lineRule="auto"/>
              <w:rPr>
                <w:rFonts w:ascii="Times New Roman" w:hAnsi="Times New Roman" w:cs="Times New Roman"/>
                <w:sz w:val="20"/>
                <w:szCs w:val="20"/>
              </w:rPr>
            </w:pPr>
          </w:p>
          <w:p w:rsidRPr="00463949" w:rsidR="00B925EF" w:rsidP="00C76B32" w:rsidRDefault="00B925EF" w14:paraId="701AB77C" w14:textId="7FEABF15">
            <w:pPr>
              <w:spacing w:line="276" w:lineRule="auto"/>
              <w:rPr>
                <w:rFonts w:ascii="Times New Roman" w:hAnsi="Times New Roman" w:cs="Times New Roman"/>
                <w:sz w:val="20"/>
                <w:szCs w:val="20"/>
              </w:rPr>
            </w:pPr>
            <w:r w:rsidRPr="00463949">
              <w:rPr>
                <w:rFonts w:ascii="Times New Roman" w:hAnsi="Times New Roman" w:cs="Times New Roman"/>
                <w:sz w:val="20"/>
                <w:szCs w:val="20"/>
              </w:rPr>
              <w:t>Behoeft naar zijn aard geen implementatie</w:t>
            </w:r>
            <w:r w:rsidRPr="00463949" w:rsidR="00E14C99">
              <w:rPr>
                <w:rFonts w:ascii="Times New Roman" w:hAnsi="Times New Roman" w:cs="Times New Roman"/>
                <w:sz w:val="20"/>
                <w:szCs w:val="20"/>
              </w:rPr>
              <w:t>, omdat deze bepaling</w:t>
            </w:r>
            <w:r w:rsidRPr="00463949">
              <w:rPr>
                <w:rFonts w:ascii="Times New Roman" w:hAnsi="Times New Roman" w:cs="Times New Roman"/>
                <w:sz w:val="20"/>
                <w:szCs w:val="20"/>
              </w:rPr>
              <w:t xml:space="preserve"> de adressaten van de </w:t>
            </w:r>
            <w:r w:rsidRPr="00463949" w:rsidR="006D63B6">
              <w:rPr>
                <w:rFonts w:ascii="Times New Roman" w:hAnsi="Times New Roman" w:cs="Times New Roman"/>
                <w:sz w:val="20"/>
                <w:szCs w:val="20"/>
              </w:rPr>
              <w:t>R</w:t>
            </w:r>
            <w:r w:rsidRPr="00463949">
              <w:rPr>
                <w:rFonts w:ascii="Times New Roman" w:hAnsi="Times New Roman" w:cs="Times New Roman"/>
                <w:sz w:val="20"/>
                <w:szCs w:val="20"/>
              </w:rPr>
              <w:t>ichtlijn</w:t>
            </w:r>
            <w:r w:rsidRPr="00463949" w:rsidR="00E14C99">
              <w:rPr>
                <w:rFonts w:ascii="Times New Roman" w:hAnsi="Times New Roman" w:cs="Times New Roman"/>
                <w:sz w:val="20"/>
                <w:szCs w:val="20"/>
              </w:rPr>
              <w:t xml:space="preserve"> betreft.</w:t>
            </w:r>
          </w:p>
          <w:p w:rsidRPr="00463949" w:rsidR="00B925EF" w:rsidP="00C76B32" w:rsidRDefault="00B925EF" w14:paraId="5C2D96DE" w14:textId="0755FF48">
            <w:pPr>
              <w:spacing w:line="276" w:lineRule="auto"/>
              <w:rPr>
                <w:rFonts w:ascii="Times New Roman" w:hAnsi="Times New Roman" w:cs="Times New Roman"/>
                <w:sz w:val="20"/>
                <w:szCs w:val="20"/>
              </w:rPr>
            </w:pPr>
          </w:p>
        </w:tc>
        <w:tc>
          <w:tcPr>
            <w:tcW w:w="2643" w:type="dxa"/>
          </w:tcPr>
          <w:p w:rsidRPr="00463949" w:rsidR="00486E14" w:rsidP="00C76B32" w:rsidRDefault="00486E14" w14:paraId="09F507EF" w14:textId="77777777">
            <w:pPr>
              <w:spacing w:line="276" w:lineRule="auto"/>
              <w:rPr>
                <w:rFonts w:ascii="Times New Roman" w:hAnsi="Times New Roman" w:cs="Times New Roman"/>
                <w:sz w:val="20"/>
                <w:szCs w:val="20"/>
              </w:rPr>
            </w:pPr>
          </w:p>
          <w:p w:rsidRPr="00463949" w:rsidR="00B925EF" w:rsidP="00C76B32" w:rsidRDefault="00B925EF" w14:paraId="5C01BC41" w14:textId="2A185A61">
            <w:pPr>
              <w:spacing w:line="276" w:lineRule="auto"/>
              <w:rPr>
                <w:rFonts w:ascii="Times New Roman" w:hAnsi="Times New Roman" w:cs="Times New Roman"/>
                <w:sz w:val="20"/>
                <w:szCs w:val="20"/>
              </w:rPr>
            </w:pPr>
            <w:r w:rsidRPr="00463949">
              <w:rPr>
                <w:rFonts w:ascii="Times New Roman" w:hAnsi="Times New Roman" w:cs="Times New Roman"/>
                <w:sz w:val="20"/>
                <w:szCs w:val="20"/>
              </w:rPr>
              <w:t>Geen.</w:t>
            </w:r>
          </w:p>
        </w:tc>
        <w:tc>
          <w:tcPr>
            <w:tcW w:w="1924" w:type="dxa"/>
          </w:tcPr>
          <w:p w:rsidRPr="00463949" w:rsidR="00486E14" w:rsidP="00C76B32" w:rsidRDefault="00486E14" w14:paraId="2D436B9E" w14:textId="77777777">
            <w:pPr>
              <w:spacing w:line="276" w:lineRule="auto"/>
              <w:rPr>
                <w:rFonts w:ascii="Times New Roman" w:hAnsi="Times New Roman" w:cs="Times New Roman"/>
                <w:sz w:val="20"/>
                <w:szCs w:val="20"/>
              </w:rPr>
            </w:pPr>
          </w:p>
          <w:p w:rsidRPr="00463949" w:rsidR="00B925EF" w:rsidP="00C76B32" w:rsidRDefault="00B925EF" w14:paraId="49A0023F" w14:textId="0E846259">
            <w:pPr>
              <w:spacing w:line="276" w:lineRule="auto"/>
              <w:rPr>
                <w:rFonts w:ascii="Times New Roman" w:hAnsi="Times New Roman" w:cs="Times New Roman"/>
                <w:sz w:val="20"/>
                <w:szCs w:val="20"/>
              </w:rPr>
            </w:pPr>
            <w:r w:rsidRPr="00463949">
              <w:rPr>
                <w:rFonts w:ascii="Times New Roman" w:hAnsi="Times New Roman" w:cs="Times New Roman"/>
                <w:sz w:val="20"/>
                <w:szCs w:val="20"/>
              </w:rPr>
              <w:t>-</w:t>
            </w:r>
          </w:p>
        </w:tc>
      </w:tr>
    </w:tbl>
    <w:p w:rsidRPr="00463949" w:rsidR="009660CD" w:rsidP="00C76B32" w:rsidRDefault="009660CD" w14:paraId="1D25D562" w14:textId="57CAD819">
      <w:pPr>
        <w:spacing w:after="0" w:line="276" w:lineRule="auto"/>
        <w:rPr>
          <w:rFonts w:ascii="Times New Roman" w:hAnsi="Times New Roman" w:cs="Times New Roman"/>
          <w:sz w:val="24"/>
          <w:szCs w:val="24"/>
        </w:rPr>
      </w:pPr>
    </w:p>
    <w:p w:rsidRPr="00463949" w:rsidR="00334963" w:rsidP="00C76B32" w:rsidRDefault="00334963" w14:paraId="57F14D09" w14:textId="77777777">
      <w:pPr>
        <w:spacing w:after="0" w:line="276" w:lineRule="auto"/>
        <w:rPr>
          <w:rFonts w:ascii="Times New Roman" w:hAnsi="Times New Roman" w:cs="Times New Roman"/>
          <w:i/>
          <w:iCs/>
          <w:sz w:val="24"/>
          <w:szCs w:val="24"/>
        </w:rPr>
      </w:pPr>
    </w:p>
    <w:p w:rsidRPr="00463949" w:rsidR="00334963" w:rsidP="00C76B32" w:rsidRDefault="00334963" w14:paraId="31D4ABEE" w14:textId="77777777">
      <w:pPr>
        <w:spacing w:after="0" w:line="276" w:lineRule="auto"/>
        <w:rPr>
          <w:rFonts w:ascii="Times New Roman" w:hAnsi="Times New Roman" w:cs="Times New Roman"/>
          <w:i/>
          <w:iCs/>
          <w:sz w:val="24"/>
          <w:szCs w:val="24"/>
        </w:rPr>
      </w:pPr>
    </w:p>
    <w:sectPr w:rsidRPr="00463949" w:rsidR="00334963" w:rsidSect="00C368A1">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AB6D" w14:textId="77777777" w:rsidR="006532CB" w:rsidRDefault="006532CB" w:rsidP="006F6B8E">
      <w:pPr>
        <w:spacing w:after="0" w:line="240" w:lineRule="auto"/>
      </w:pPr>
      <w:r>
        <w:separator/>
      </w:r>
    </w:p>
  </w:endnote>
  <w:endnote w:type="continuationSeparator" w:id="0">
    <w:p w14:paraId="386F7F8D" w14:textId="77777777" w:rsidR="006532CB" w:rsidRDefault="006532CB" w:rsidP="006F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44F6" w14:textId="34B87F7B" w:rsidR="001E4C45" w:rsidRDefault="001E4C45">
    <w:pPr>
      <w:pStyle w:val="Voettekst"/>
      <w:jc w:val="right"/>
    </w:pPr>
  </w:p>
  <w:p w14:paraId="676DB54E" w14:textId="77777777" w:rsidR="001E4C45" w:rsidRDefault="001E4C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BF61" w14:textId="77777777" w:rsidR="006532CB" w:rsidRDefault="006532CB" w:rsidP="006F6B8E">
      <w:pPr>
        <w:spacing w:after="0" w:line="240" w:lineRule="auto"/>
      </w:pPr>
      <w:r>
        <w:separator/>
      </w:r>
    </w:p>
  </w:footnote>
  <w:footnote w:type="continuationSeparator" w:id="0">
    <w:p w14:paraId="0B35F3D2" w14:textId="77777777" w:rsidR="006532CB" w:rsidRDefault="006532CB" w:rsidP="006F6B8E">
      <w:pPr>
        <w:spacing w:after="0" w:line="240" w:lineRule="auto"/>
      </w:pPr>
      <w:r>
        <w:continuationSeparator/>
      </w:r>
    </w:p>
  </w:footnote>
  <w:footnote w:id="1">
    <w:p w14:paraId="4DCA18F8" w14:textId="22A1B7EE" w:rsidR="001543B4" w:rsidRPr="00463949" w:rsidRDefault="001543B4" w:rsidP="001543B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bookmarkStart w:id="1" w:name="_Hlk193121979"/>
      <w:r w:rsidRPr="00463949">
        <w:rPr>
          <w:rFonts w:ascii="Times New Roman" w:hAnsi="Times New Roman" w:cs="Times New Roman"/>
        </w:rPr>
        <w:t xml:space="preserve">Richtlijn (EU) 2024/2853 </w:t>
      </w:r>
      <w:bookmarkEnd w:id="1"/>
      <w:r w:rsidRPr="00463949">
        <w:rPr>
          <w:rFonts w:ascii="Times New Roman" w:hAnsi="Times New Roman" w:cs="Times New Roman"/>
        </w:rPr>
        <w:t>van het Europees Parlement en de Raad van 23 oktober 2024 inzake aansprakelijkheid voor gebrekkige producten en tot intrekking van Richtlijn 85/374/EEG van de Raad.</w:t>
      </w:r>
    </w:p>
  </w:footnote>
  <w:footnote w:id="2">
    <w:p w14:paraId="17CB9861" w14:textId="77777777" w:rsidR="006C13A8" w:rsidRPr="00463949" w:rsidRDefault="006C13A8" w:rsidP="006C13A8">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Artikel 9.4 Aanwijzingen voor de regelgeving (zuivere implementatie).</w:t>
      </w:r>
    </w:p>
  </w:footnote>
  <w:footnote w:id="3">
    <w:p w14:paraId="78A177C8" w14:textId="77777777" w:rsidR="006C13A8" w:rsidRPr="00463949" w:rsidRDefault="006C13A8" w:rsidP="006C13A8">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Artikel 9.5 Aanwijzingen voor de regelgeving (lastenluwe implementatie).</w:t>
      </w:r>
    </w:p>
  </w:footnote>
  <w:footnote w:id="4">
    <w:p w14:paraId="10944127" w14:textId="7A601CC2" w:rsidR="006C13A8" w:rsidRPr="00463949" w:rsidRDefault="006C13A8" w:rsidP="006C13A8">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Richtlijn 85/374/EEG van de Raad van 25 juli 1985 betreffende de onderlinge aanpassing van de wettelijke en bestuursrechtelijke bepalingen der Lid-Staten inzake de aansprakelijkheid voor produkten met gebreken (PB L 210 van 7.8.1985, p. 29)</w:t>
      </w:r>
      <w:r w:rsidR="00632836" w:rsidRPr="00463949">
        <w:rPr>
          <w:rFonts w:ascii="Times New Roman" w:hAnsi="Times New Roman" w:cs="Times New Roman"/>
        </w:rPr>
        <w:t xml:space="preserve"> (hierna: Richtlijn 85/374/EEG)</w:t>
      </w:r>
      <w:r w:rsidRPr="00463949">
        <w:rPr>
          <w:rFonts w:ascii="Times New Roman" w:hAnsi="Times New Roman" w:cs="Times New Roman"/>
        </w:rPr>
        <w:t>.</w:t>
      </w:r>
      <w:r w:rsidR="00AF1CE8" w:rsidRPr="00463949">
        <w:rPr>
          <w:rFonts w:ascii="Times New Roman" w:hAnsi="Times New Roman" w:cs="Times New Roman"/>
        </w:rPr>
        <w:t xml:space="preserve"> Deze richtlijn is nadien </w:t>
      </w:r>
      <w:r w:rsidR="00247C5D" w:rsidRPr="00463949">
        <w:rPr>
          <w:rFonts w:ascii="Times New Roman" w:hAnsi="Times New Roman" w:cs="Times New Roman"/>
        </w:rPr>
        <w:t xml:space="preserve">op één </w:t>
      </w:r>
      <w:r w:rsidR="00695B9E" w:rsidRPr="00463949">
        <w:rPr>
          <w:rFonts w:ascii="Times New Roman" w:hAnsi="Times New Roman" w:cs="Times New Roman"/>
        </w:rPr>
        <w:t>punt</w:t>
      </w:r>
      <w:r w:rsidR="00247C5D" w:rsidRPr="00463949">
        <w:rPr>
          <w:rFonts w:ascii="Times New Roman" w:hAnsi="Times New Roman" w:cs="Times New Roman"/>
        </w:rPr>
        <w:t xml:space="preserve"> </w:t>
      </w:r>
      <w:r w:rsidR="00AF1CE8" w:rsidRPr="00463949">
        <w:rPr>
          <w:rFonts w:ascii="Times New Roman" w:hAnsi="Times New Roman" w:cs="Times New Roman"/>
        </w:rPr>
        <w:t>gewijzigd</w:t>
      </w:r>
      <w:r w:rsidR="00695B9E" w:rsidRPr="00463949">
        <w:rPr>
          <w:rFonts w:ascii="Times New Roman" w:hAnsi="Times New Roman" w:cs="Times New Roman"/>
        </w:rPr>
        <w:t>: voorheen konden de lidstaten de toepassing van de productaansprakelijkheid voor landbouwproducten en producten van de jacht uitsluiten, maar sinds 4 december 2000 is dat niet meer mogelijk. Ook deze producten vallen dus onder het toepassingsbereik van de richtlijn.</w:t>
      </w:r>
      <w:r w:rsidR="00AF1CE8" w:rsidRPr="00463949">
        <w:rPr>
          <w:rFonts w:ascii="Times New Roman" w:hAnsi="Times New Roman" w:cs="Times New Roman"/>
        </w:rPr>
        <w:t xml:space="preserve"> Zie Richtlijn 1999/34/EG van het Europees Parlement en de Raad van 10 mei 1999 tot wijziging van Richtlijn 85/374/EEG van de Raad betreffende de onderlinge aanpassing van de wettelijke en bestuursrechtelijke bepalingen der lidstaten inzake de aansprakelijkheid voor producten met gebreken (PB L 141 van 4.6.1999, p. 20–21). </w:t>
      </w:r>
      <w:r w:rsidR="00247C5D" w:rsidRPr="00463949">
        <w:rPr>
          <w:rFonts w:ascii="Times New Roman" w:hAnsi="Times New Roman" w:cs="Times New Roman"/>
        </w:rPr>
        <w:t xml:space="preserve">Zie </w:t>
      </w:r>
      <w:r w:rsidR="00695B9E" w:rsidRPr="00463949">
        <w:rPr>
          <w:rFonts w:ascii="Times New Roman" w:hAnsi="Times New Roman" w:cs="Times New Roman"/>
        </w:rPr>
        <w:t xml:space="preserve">ook </w:t>
      </w:r>
      <w:r w:rsidR="00247C5D" w:rsidRPr="00463949">
        <w:rPr>
          <w:rFonts w:ascii="Times New Roman" w:hAnsi="Times New Roman" w:cs="Times New Roman"/>
        </w:rPr>
        <w:t>Wet van 29 november 2000 tot wijziging van de regeling van de productenaansprakelijkheid in het Burgerlijk Wetboek in verband met uitbreiding tot landbouwproducten (Stb. 2000, 493</w:t>
      </w:r>
      <w:r w:rsidR="00695B9E" w:rsidRPr="00463949">
        <w:rPr>
          <w:rFonts w:ascii="Times New Roman" w:hAnsi="Times New Roman" w:cs="Times New Roman"/>
        </w:rPr>
        <w:t>).</w:t>
      </w:r>
    </w:p>
  </w:footnote>
  <w:footnote w:id="5">
    <w:p w14:paraId="1C063650" w14:textId="2F942C35" w:rsidR="00727D24" w:rsidRPr="00463949" w:rsidRDefault="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4 van Richtlijn 85/374/EEG.</w:t>
      </w:r>
    </w:p>
  </w:footnote>
  <w:footnote w:id="6">
    <w:p w14:paraId="15A0E4DD" w14:textId="77777777" w:rsidR="00727D24" w:rsidRPr="00463949" w:rsidRDefault="00632836" w:rsidP="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de overwegingen bij Richtlijn 85/374/EEG: “</w:t>
      </w:r>
      <w:r w:rsidR="00727D24" w:rsidRPr="00463949">
        <w:rPr>
          <w:rFonts w:ascii="Times New Roman" w:hAnsi="Times New Roman" w:cs="Times New Roman"/>
        </w:rPr>
        <w:t>Overwegende dat alleen wanneer de producent ook</w:t>
      </w:r>
    </w:p>
    <w:p w14:paraId="7E72CBEF" w14:textId="66D9C84A" w:rsidR="00632836" w:rsidRPr="00463949" w:rsidRDefault="00727D24" w:rsidP="00727D24">
      <w:pPr>
        <w:pStyle w:val="Voetnoottekst"/>
        <w:rPr>
          <w:rFonts w:ascii="Times New Roman" w:hAnsi="Times New Roman" w:cs="Times New Roman"/>
        </w:rPr>
      </w:pPr>
      <w:r w:rsidRPr="00463949">
        <w:rPr>
          <w:rFonts w:ascii="Times New Roman" w:hAnsi="Times New Roman" w:cs="Times New Roman"/>
        </w:rPr>
        <w:t>buiten schuld aansprakelijk wordt gesteld, een passende oplossing kan worden gevonden voor het aan onze tijd van voortschrijdende techniek eigen probleem, waarbij het gaat om een rechtvaardige toewijzing van de met de moderne technische produktie samenhangende risico's;”.</w:t>
      </w:r>
    </w:p>
  </w:footnote>
  <w:footnote w:id="7">
    <w:p w14:paraId="433D5613" w14:textId="08709554" w:rsidR="00727D24" w:rsidRPr="00463949" w:rsidRDefault="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6 van Richtlijn 85/374/EEG.</w:t>
      </w:r>
    </w:p>
  </w:footnote>
  <w:footnote w:id="8">
    <w:p w14:paraId="323F0B69" w14:textId="3EC8DA03" w:rsidR="00DE0B77" w:rsidRPr="00463949" w:rsidRDefault="00DE0B7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Schade aan het gebrekkige product zelf wordt vaak aangeduid als “transactieschade”</w:t>
      </w:r>
      <w:r w:rsidR="00BA32FC" w:rsidRPr="00463949">
        <w:rPr>
          <w:rFonts w:ascii="Times New Roman" w:hAnsi="Times New Roman" w:cs="Times New Roman"/>
        </w:rPr>
        <w:t xml:space="preserve">. De schadesoorten in artikel 6 van Richtlijn 85/374/EEG worden tezamen ook wel aangeduid als “gevolgschade”. </w:t>
      </w:r>
    </w:p>
  </w:footnote>
  <w:footnote w:id="9">
    <w:p w14:paraId="6D6C7E37" w14:textId="273C8D19" w:rsidR="00AE1E16" w:rsidRPr="00463949" w:rsidRDefault="00AE1E16" w:rsidP="00AC263E">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Op 1 januari 1999 verving de euro de ECU, waarbij 1 euro een tegenwaarde van ongeveer 1 ECU had.</w:t>
      </w:r>
      <w:r w:rsidR="00AC263E" w:rsidRPr="00463949">
        <w:rPr>
          <w:rFonts w:ascii="Times New Roman" w:hAnsi="Times New Roman" w:cs="Times New Roman"/>
        </w:rPr>
        <w:t xml:space="preserve"> Bij Wet van 27 september 2001 tot aanpassing van wetten in verband met de vervanging van de gulden door de euro (Aanpassingswet euro) (</w:t>
      </w:r>
      <w:r w:rsidR="00AC263E" w:rsidRPr="00463949">
        <w:rPr>
          <w:rFonts w:ascii="Times New Roman" w:hAnsi="Times New Roman" w:cs="Times New Roman"/>
          <w:i/>
          <w:iCs/>
        </w:rPr>
        <w:t>Stb.</w:t>
      </w:r>
      <w:r w:rsidR="00AC263E" w:rsidRPr="00463949">
        <w:rPr>
          <w:rFonts w:ascii="Times New Roman" w:hAnsi="Times New Roman" w:cs="Times New Roman"/>
        </w:rPr>
        <w:t xml:space="preserve"> 2001, 481) werd de vroegere franchise van ƒ 1263,85 per 1 januari 2002 omgezet in € 500.</w:t>
      </w:r>
    </w:p>
  </w:footnote>
  <w:footnote w:id="10">
    <w:p w14:paraId="2B3880A3" w14:textId="77777777" w:rsidR="00727D24" w:rsidRPr="00463949" w:rsidRDefault="00727D24" w:rsidP="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9 van Richtlijn 85/374/EEG.</w:t>
      </w:r>
    </w:p>
  </w:footnote>
  <w:footnote w:id="11">
    <w:p w14:paraId="062E8B9E" w14:textId="54BAA228" w:rsidR="00727D24" w:rsidRPr="00463949" w:rsidRDefault="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3 lid 1 van Richtlijn 85/374/EEG.</w:t>
      </w:r>
    </w:p>
  </w:footnote>
  <w:footnote w:id="12">
    <w:p w14:paraId="6F14CAEB" w14:textId="52960EC4" w:rsidR="00727D24" w:rsidRPr="00463949" w:rsidRDefault="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3 lid 2 van Richtlijn 85/374/EEG.</w:t>
      </w:r>
    </w:p>
  </w:footnote>
  <w:footnote w:id="13">
    <w:p w14:paraId="5301A823" w14:textId="22C44C04" w:rsidR="00727D24" w:rsidRPr="00463949" w:rsidRDefault="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3 lid 3 van Richtlijn 85/374/EEG.</w:t>
      </w:r>
    </w:p>
  </w:footnote>
  <w:footnote w:id="14">
    <w:p w14:paraId="1A383A6E" w14:textId="0B224F72" w:rsidR="00727D24" w:rsidRPr="00463949" w:rsidRDefault="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5 van Richtlijn 85/374/EEG.</w:t>
      </w:r>
    </w:p>
  </w:footnote>
  <w:footnote w:id="15">
    <w:p w14:paraId="6210C13A" w14:textId="5249AC34" w:rsidR="00727D24" w:rsidRPr="00463949" w:rsidRDefault="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7 van Richtlijn 85/374/EEG.</w:t>
      </w:r>
    </w:p>
  </w:footnote>
  <w:footnote w:id="16">
    <w:p w14:paraId="3D7F0DCA" w14:textId="49F98738" w:rsidR="00727D24" w:rsidRPr="00463949" w:rsidRDefault="00727D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7, onderdeel b, van Richtlijn 85/374/EEG.</w:t>
      </w:r>
    </w:p>
  </w:footnote>
  <w:footnote w:id="17">
    <w:p w14:paraId="37D57884" w14:textId="1131A6C8" w:rsidR="00CB5FA7" w:rsidRPr="00463949" w:rsidRDefault="00CB5F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7, onderdeel e, van Richtlijn 85/374/EEG.</w:t>
      </w:r>
    </w:p>
  </w:footnote>
  <w:footnote w:id="18">
    <w:p w14:paraId="57F72E55" w14:textId="5E2DF3B2" w:rsidR="00CB5FA7" w:rsidRPr="00463949" w:rsidRDefault="00CB5F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10 van Richtlijn 85/374/EEG.</w:t>
      </w:r>
    </w:p>
  </w:footnote>
  <w:footnote w:id="19">
    <w:p w14:paraId="487563BA" w14:textId="4470CC0B" w:rsidR="00CB5FA7" w:rsidRPr="00463949" w:rsidRDefault="00CB5F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11 van Richtlijn 85/374/EEG.</w:t>
      </w:r>
    </w:p>
  </w:footnote>
  <w:footnote w:id="20">
    <w:p w14:paraId="4B972803" w14:textId="4E4CF4A8" w:rsidR="00CB5FA7" w:rsidRPr="00463949" w:rsidRDefault="00CB5F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13 van Richtlijn 85/374/EEG.</w:t>
      </w:r>
    </w:p>
  </w:footnote>
  <w:footnote w:id="21">
    <w:p w14:paraId="0498A57B" w14:textId="07907595" w:rsidR="00717E99" w:rsidRPr="00463949" w:rsidRDefault="0004460E" w:rsidP="00717E99">
      <w:pPr>
        <w:pStyle w:val="Voetnoottekst"/>
        <w:rPr>
          <w:rFonts w:ascii="Times New Roman" w:hAnsi="Times New Roman" w:cs="Times New Roman"/>
          <w:lang w:val="en-US"/>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r w:rsidR="0023423C" w:rsidRPr="00463949">
        <w:rPr>
          <w:rFonts w:ascii="Times New Roman" w:hAnsi="Times New Roman" w:cs="Times New Roman"/>
        </w:rPr>
        <w:t xml:space="preserve">De tekortkomingen van de richtlijn op het terrein van nieuwe digitale technologieën zijn in diverse onderzoeken nader geanalyseerd: Europese Commissie, Witboek over kunstmatige intelligentie – een Europese benadering op basis van excellentie en vertrouwen, COM(2020) 65 final; Europese Commissie, Verslag over de gevolgen van kunstmatige intelligentie, het internet der dingen en robotica op het gebied van veiligheid en aansprakelijkheid, COM(2020) 64 final en Expert Group on Liability and New Technologies, Report on Liability for Artificial Intelligence and other emerging digital technologies (2019). </w:t>
      </w:r>
      <w:r w:rsidR="00717E99" w:rsidRPr="00463949">
        <w:rPr>
          <w:rFonts w:ascii="Times New Roman" w:hAnsi="Times New Roman" w:cs="Times New Roman"/>
          <w:lang w:val="en-US"/>
        </w:rPr>
        <w:t xml:space="preserve">Zie </w:t>
      </w:r>
      <w:r w:rsidR="000F592B" w:rsidRPr="00463949">
        <w:rPr>
          <w:rFonts w:ascii="Times New Roman" w:hAnsi="Times New Roman" w:cs="Times New Roman"/>
          <w:lang w:val="en-US"/>
        </w:rPr>
        <w:t xml:space="preserve">over bewijsproblemen </w:t>
      </w:r>
      <w:r w:rsidR="0023423C" w:rsidRPr="00463949">
        <w:rPr>
          <w:rFonts w:ascii="Times New Roman" w:hAnsi="Times New Roman" w:cs="Times New Roman"/>
          <w:lang w:val="en-US"/>
        </w:rPr>
        <w:t xml:space="preserve">ook </w:t>
      </w:r>
      <w:r w:rsidR="00717E99" w:rsidRPr="00463949">
        <w:rPr>
          <w:rFonts w:ascii="Times New Roman" w:hAnsi="Times New Roman" w:cs="Times New Roman"/>
          <w:lang w:val="en-US"/>
        </w:rPr>
        <w:t xml:space="preserve">Evaluation of Council Directive 85/374/EEC on the approximation of laws, regulations and administrative </w:t>
      </w:r>
    </w:p>
    <w:p w14:paraId="01E5163C" w14:textId="58CAFD6D" w:rsidR="0004460E" w:rsidRPr="00463949" w:rsidRDefault="00717E99" w:rsidP="00717E99">
      <w:pPr>
        <w:pStyle w:val="Voetnoottekst"/>
        <w:rPr>
          <w:rFonts w:ascii="Times New Roman" w:hAnsi="Times New Roman" w:cs="Times New Roman"/>
          <w:lang w:val="en-US"/>
        </w:rPr>
      </w:pPr>
      <w:r w:rsidRPr="00463949">
        <w:rPr>
          <w:rFonts w:ascii="Times New Roman" w:hAnsi="Times New Roman" w:cs="Times New Roman"/>
          <w:lang w:val="en-US"/>
        </w:rPr>
        <w:t>provisions of the Member States concerning liability for defective products, written by EY, with the support of Technopolis Group and VVA, January 2018</w:t>
      </w:r>
      <w:r w:rsidR="002A504A" w:rsidRPr="00463949">
        <w:rPr>
          <w:rFonts w:ascii="Times New Roman" w:hAnsi="Times New Roman" w:cs="Times New Roman"/>
          <w:lang w:val="en-US"/>
        </w:rPr>
        <w:t>.</w:t>
      </w:r>
      <w:r w:rsidRPr="00463949">
        <w:rPr>
          <w:rFonts w:ascii="Times New Roman" w:hAnsi="Times New Roman" w:cs="Times New Roman"/>
          <w:lang w:val="en-US"/>
        </w:rPr>
        <w:t xml:space="preserve"> </w:t>
      </w:r>
    </w:p>
  </w:footnote>
  <w:footnote w:id="22">
    <w:p w14:paraId="1D8A358E" w14:textId="309C28BA" w:rsidR="00296D46" w:rsidRPr="00463949" w:rsidRDefault="00296D46">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ook overweging 12: “Bij Besluit nr. 768/2008/EG van het Europees Parlement en de Raad zijn gemeenschappelijke beginselen en referentiebepalingen vastgesteld die bedoeld zijn om in alle sectorale productwetgeving te worden toegepast. Om de samenhang met dat besluit te waarborgen moet een aantal bepalingen van deze richtlijn, met name de definities, daarmee in overeenstemming worden gebracht.”</w:t>
      </w:r>
    </w:p>
  </w:footnote>
  <w:footnote w:id="23">
    <w:p w14:paraId="5822D6FF" w14:textId="09A2CA47" w:rsidR="00CB5FA7" w:rsidRPr="00463949" w:rsidRDefault="00CB5F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Ook in artikel 14 van Richtlijn 85/374/EEG </w:t>
      </w:r>
      <w:r w:rsidR="00296D46" w:rsidRPr="00463949">
        <w:rPr>
          <w:rFonts w:ascii="Times New Roman" w:hAnsi="Times New Roman" w:cs="Times New Roman"/>
        </w:rPr>
        <w:t xml:space="preserve">is </w:t>
      </w:r>
      <w:r w:rsidRPr="00463949">
        <w:rPr>
          <w:rFonts w:ascii="Times New Roman" w:hAnsi="Times New Roman" w:cs="Times New Roman"/>
        </w:rPr>
        <w:t>dergelijke schade uitgezonderd van het toepassingsbereik.</w:t>
      </w:r>
    </w:p>
  </w:footnote>
  <w:footnote w:id="24">
    <w:p w14:paraId="7354C266" w14:textId="18D160F2" w:rsidR="00CB5FA7" w:rsidRPr="00463949" w:rsidRDefault="00CB5F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13 van Richtlijn 85/374/EEG.</w:t>
      </w:r>
    </w:p>
  </w:footnote>
  <w:footnote w:id="25">
    <w:p w14:paraId="3DDFAE87" w14:textId="1721AB82" w:rsidR="00711B85" w:rsidRPr="00463949" w:rsidRDefault="00711B85">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3 lid 3 van Richtlijn 85/374/EEG.</w:t>
      </w:r>
    </w:p>
  </w:footnote>
  <w:footnote w:id="26">
    <w:p w14:paraId="7155432D" w14:textId="5FF936E2" w:rsidR="00CB5FA7" w:rsidRPr="00463949" w:rsidRDefault="00CB5F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4 van Richtlijn 85/374/EEG.</w:t>
      </w:r>
    </w:p>
  </w:footnote>
  <w:footnote w:id="27">
    <w:p w14:paraId="3370B35B" w14:textId="393CEFBE" w:rsidR="007678D0" w:rsidRPr="00463949" w:rsidRDefault="007678D0" w:rsidP="007678D0">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In artikel 4</w:t>
      </w:r>
      <w:r w:rsidR="00572E7E" w:rsidRPr="00463949">
        <w:rPr>
          <w:rFonts w:ascii="Times New Roman" w:hAnsi="Times New Roman" w:cs="Times New Roman"/>
        </w:rPr>
        <w:t xml:space="preserve">, </w:t>
      </w:r>
      <w:r w:rsidRPr="00463949">
        <w:rPr>
          <w:rFonts w:ascii="Times New Roman" w:hAnsi="Times New Roman" w:cs="Times New Roman"/>
        </w:rPr>
        <w:t>onder 17</w:t>
      </w:r>
      <w:r w:rsidR="00572E7E" w:rsidRPr="00463949">
        <w:rPr>
          <w:rFonts w:ascii="Times New Roman" w:hAnsi="Times New Roman" w:cs="Times New Roman"/>
        </w:rPr>
        <w:t xml:space="preserve">, </w:t>
      </w:r>
      <w:r w:rsidRPr="00463949">
        <w:rPr>
          <w:rFonts w:ascii="Times New Roman" w:hAnsi="Times New Roman" w:cs="Times New Roman"/>
        </w:rPr>
        <w:t xml:space="preserve">Richtlijn wordt “bedrijfsgeheim” gedefinieerd als: een bedrijfsgeheim zoals gedefinieerd in artikel 2, punt 1, van Richtlijn (EU) 2016/943 van het Europees Parlement en de Raad van 8 juni 2016 betreffende de bescherming van niet-openbaar gemaakte knowhow en bedrijfsinformatie (bedrijfsgeheimen) tegen het onrechtmatig verkrijgen, gebruiken en openbaar maken daarvan. </w:t>
      </w:r>
    </w:p>
  </w:footnote>
  <w:footnote w:id="28">
    <w:p w14:paraId="5D674FBF" w14:textId="47A899AE" w:rsidR="00AF1146" w:rsidRPr="00463949" w:rsidRDefault="00AF1146">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bijvoorbeeld Gerechtshof ’s-Hertogenbosch 10 januari 2017, ECLI:NL:GHSHE:2017:31 (t.a.v. de gebrekkigheid).</w:t>
      </w:r>
    </w:p>
  </w:footnote>
  <w:footnote w:id="29">
    <w:p w14:paraId="5076C148" w14:textId="58ED6DCD" w:rsidR="002E0D2C" w:rsidRPr="00463949" w:rsidRDefault="002E0D2C" w:rsidP="002E0D2C">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r w:rsidR="00632836" w:rsidRPr="00463949">
        <w:rPr>
          <w:rFonts w:ascii="Times New Roman" w:hAnsi="Times New Roman" w:cs="Times New Roman"/>
        </w:rPr>
        <w:t>In o</w:t>
      </w:r>
      <w:r w:rsidRPr="00463949">
        <w:rPr>
          <w:rFonts w:ascii="Times New Roman" w:hAnsi="Times New Roman" w:cs="Times New Roman"/>
        </w:rPr>
        <w:t xml:space="preserve">verweging 46 </w:t>
      </w:r>
      <w:r w:rsidR="00632836" w:rsidRPr="00463949">
        <w:rPr>
          <w:rFonts w:ascii="Times New Roman" w:hAnsi="Times New Roman" w:cs="Times New Roman"/>
        </w:rPr>
        <w:t>wordt</w:t>
      </w:r>
      <w:r w:rsidRPr="00463949">
        <w:rPr>
          <w:rFonts w:ascii="Times New Roman" w:hAnsi="Times New Roman" w:cs="Times New Roman"/>
        </w:rPr>
        <w:t xml:space="preserve"> als voorbeeld</w:t>
      </w:r>
      <w:r w:rsidR="00632836" w:rsidRPr="00463949">
        <w:rPr>
          <w:rFonts w:ascii="Times New Roman" w:hAnsi="Times New Roman" w:cs="Times New Roman"/>
        </w:rPr>
        <w:t xml:space="preserve"> genoemd</w:t>
      </w:r>
      <w:r w:rsidRPr="00463949">
        <w:rPr>
          <w:rFonts w:ascii="Times New Roman" w:hAnsi="Times New Roman" w:cs="Times New Roman"/>
        </w:rPr>
        <w:t xml:space="preserve"> de veiligheidsvoorschriften uit hoofde van Verordening (EU) 2023/988.</w:t>
      </w:r>
    </w:p>
  </w:footnote>
  <w:footnote w:id="30">
    <w:p w14:paraId="506C27EA" w14:textId="31746BC5" w:rsidR="00E67413" w:rsidRPr="00463949" w:rsidRDefault="00E67413">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Dit is uiteengezet in de mededeling van de Commissie van 11 maart 2020 getiteld “Een nieuw actieplan voor een circulaire economie – Voor een schoner en concurrerende Europa”. </w:t>
      </w:r>
    </w:p>
  </w:footnote>
  <w:footnote w:id="31">
    <w:p w14:paraId="00FF5D6F" w14:textId="075905FA" w:rsidR="004D428F" w:rsidRPr="00463949" w:rsidRDefault="004D428F">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bijvoorbeeld artikel 13 lid 3 van Verordening (EU) 2023/988 van het Europees Parlement en de Raad van 10 mei 2023 inzake algemene productveiligheid, tot wijziging van Verordening (EU) nr. 1025/2012 van het Europees Parlement en de Raad en Richtlijn (EU) 2020/1828 van het Europees Parlement en de Raad, en tot intrekking van Richtlijn 2001/95/EG van het Europees Parlement en de Raad en Richtlijn 87/357/EEG van de Raad.</w:t>
      </w:r>
    </w:p>
  </w:footnote>
  <w:footnote w:id="32">
    <w:p w14:paraId="72506FF8" w14:textId="5AEB0531" w:rsidR="00632836" w:rsidRPr="00463949" w:rsidRDefault="00632836">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15 lid 1, onderdeel b, van Richtlijn 85/374/EEG.</w:t>
      </w:r>
    </w:p>
  </w:footnote>
  <w:footnote w:id="33">
    <w:p w14:paraId="4C81DF9F" w14:textId="06F15C6B" w:rsidR="00632836" w:rsidRPr="00463949" w:rsidRDefault="00632836">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voor de destijds gemaakte keuze (n.a.v. een SER-advies): </w:t>
      </w:r>
      <w:r w:rsidRPr="00463949">
        <w:rPr>
          <w:rFonts w:ascii="Times New Roman" w:hAnsi="Times New Roman" w:cs="Times New Roman"/>
          <w:i/>
          <w:iCs/>
        </w:rPr>
        <w:t>Kamerstukken II</w:t>
      </w:r>
      <w:r w:rsidRPr="00463949">
        <w:rPr>
          <w:rFonts w:ascii="Times New Roman" w:hAnsi="Times New Roman" w:cs="Times New Roman"/>
        </w:rPr>
        <w:t xml:space="preserve"> 1985-1986, 19 636, nr. 3, p. 5-6.</w:t>
      </w:r>
    </w:p>
  </w:footnote>
  <w:footnote w:id="34">
    <w:p w14:paraId="1742BA6C" w14:textId="15BE0185" w:rsidR="00B723FD" w:rsidRPr="00463949" w:rsidRDefault="00D95A5C" w:rsidP="00B723FD">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Blijkens artikel 2 lid 4, onderdeel a, Richtlijn gaat het daarbij met name om </w:t>
      </w:r>
      <w:r w:rsidR="00B723FD" w:rsidRPr="00463949">
        <w:rPr>
          <w:rFonts w:ascii="Times New Roman" w:hAnsi="Times New Roman" w:cs="Times New Roman"/>
        </w:rPr>
        <w:t xml:space="preserve">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Richtlĳn 2002/58/EG van het Europees Parlement en de Raad van 12 juli 2002 betreffende de verwerking van persoonsgegevens en de bescherming van de persoonlĳke levenssfeer in de sector elektronische communicatie (richtlĳn betreffende privacy en elektronische communicatie) en Richtlijn (EU) 2016/680 van het Europees Parlement en de Raad van 27 april 2016 betreffende de bescherming van natuurlijke personen in verband met de verwerking van </w:t>
      </w:r>
    </w:p>
    <w:p w14:paraId="75F6803F" w14:textId="77777777" w:rsidR="00B723FD" w:rsidRPr="00463949" w:rsidRDefault="00B723FD" w:rsidP="00B723FD">
      <w:pPr>
        <w:pStyle w:val="Voetnoottekst"/>
        <w:rPr>
          <w:rFonts w:ascii="Times New Roman" w:hAnsi="Times New Roman" w:cs="Times New Roman"/>
        </w:rPr>
      </w:pPr>
      <w:r w:rsidRPr="00463949">
        <w:rPr>
          <w:rFonts w:ascii="Times New Roman" w:hAnsi="Times New Roman" w:cs="Times New Roman"/>
        </w:rPr>
        <w:t xml:space="preserve">persoonsgegevens door bevoegde autoriteiten met het oog op de voorkoming, het onderzoek, de </w:t>
      </w:r>
    </w:p>
    <w:p w14:paraId="0CA2E7E0" w14:textId="77777777" w:rsidR="00B723FD" w:rsidRPr="00463949" w:rsidRDefault="00B723FD" w:rsidP="00B723FD">
      <w:pPr>
        <w:pStyle w:val="Voetnoottekst"/>
        <w:rPr>
          <w:rFonts w:ascii="Times New Roman" w:hAnsi="Times New Roman" w:cs="Times New Roman"/>
        </w:rPr>
      </w:pPr>
      <w:r w:rsidRPr="00463949">
        <w:rPr>
          <w:rFonts w:ascii="Times New Roman" w:hAnsi="Times New Roman" w:cs="Times New Roman"/>
        </w:rPr>
        <w:t xml:space="preserve">opsporing en de vervolging van strafbare feiten of de tenuitvoerlegging van straffen, en </w:t>
      </w:r>
    </w:p>
    <w:p w14:paraId="60A640EF" w14:textId="77777777" w:rsidR="00B723FD" w:rsidRPr="00463949" w:rsidRDefault="00B723FD" w:rsidP="00B723FD">
      <w:pPr>
        <w:pStyle w:val="Voetnoottekst"/>
        <w:rPr>
          <w:rFonts w:ascii="Times New Roman" w:hAnsi="Times New Roman" w:cs="Times New Roman"/>
        </w:rPr>
      </w:pPr>
      <w:r w:rsidRPr="00463949">
        <w:rPr>
          <w:rFonts w:ascii="Times New Roman" w:hAnsi="Times New Roman" w:cs="Times New Roman"/>
        </w:rPr>
        <w:t xml:space="preserve">betreffende het vrije verkeer van die gegevens en tot intrekking van Kaderbesluit 2008/977/JBZ </w:t>
      </w:r>
    </w:p>
    <w:p w14:paraId="683189A8" w14:textId="354D0889" w:rsidR="00D95A5C" w:rsidRPr="00463949" w:rsidRDefault="00B723FD" w:rsidP="00B723FD">
      <w:pPr>
        <w:pStyle w:val="Voetnoottekst"/>
        <w:rPr>
          <w:rFonts w:ascii="Times New Roman" w:hAnsi="Times New Roman" w:cs="Times New Roman"/>
        </w:rPr>
      </w:pPr>
      <w:r w:rsidRPr="00463949">
        <w:rPr>
          <w:rFonts w:ascii="Times New Roman" w:hAnsi="Times New Roman" w:cs="Times New Roman"/>
        </w:rPr>
        <w:t>van de Raad.</w:t>
      </w:r>
    </w:p>
  </w:footnote>
  <w:footnote w:id="35">
    <w:p w14:paraId="44667D25" w14:textId="5D04BF4A" w:rsidR="00707CB4" w:rsidRPr="00463949" w:rsidRDefault="00707CB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r w:rsidR="0015111E" w:rsidRPr="00463949">
        <w:rPr>
          <w:rFonts w:ascii="Times New Roman" w:hAnsi="Times New Roman" w:cs="Times New Roman"/>
        </w:rPr>
        <w:t xml:space="preserve">Richtlijn </w:t>
      </w:r>
      <w:r w:rsidRPr="00463949">
        <w:rPr>
          <w:rFonts w:ascii="Times New Roman" w:hAnsi="Times New Roman" w:cs="Times New Roman"/>
        </w:rPr>
        <w:t>(EU) 2020/1828 van het Europees Parlement en de Raad van 25 november 2020 betreffende representatieve vorderingen ter bescherming van de collectieve belangen van consumenten en tot intrekking van Richtlijn 2009/22/EG (PbEU 2020, L 409)</w:t>
      </w:r>
      <w:r w:rsidR="0015111E" w:rsidRPr="00463949">
        <w:rPr>
          <w:rFonts w:ascii="Times New Roman" w:hAnsi="Times New Roman" w:cs="Times New Roman"/>
        </w:rPr>
        <w:t>.</w:t>
      </w:r>
    </w:p>
  </w:footnote>
  <w:footnote w:id="36">
    <w:p w14:paraId="30A0F2E1" w14:textId="561425A0" w:rsidR="00527FB3" w:rsidRPr="00463949" w:rsidRDefault="00527FB3">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Bijlage I onderdeel 1 van de Richtlijn representatieve vorderingen voor consumenten.</w:t>
      </w:r>
    </w:p>
  </w:footnote>
  <w:footnote w:id="37">
    <w:p w14:paraId="279A41EC" w14:textId="3EE4018C" w:rsidR="009F09F9" w:rsidRPr="00463949" w:rsidRDefault="009F09F9" w:rsidP="009F09F9">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r w:rsidR="00497302" w:rsidRPr="00463949">
        <w:rPr>
          <w:rFonts w:ascii="Times New Roman" w:hAnsi="Times New Roman" w:cs="Times New Roman"/>
        </w:rPr>
        <w:t xml:space="preserve">Zie het </w:t>
      </w:r>
      <w:r w:rsidRPr="00463949">
        <w:rPr>
          <w:rFonts w:ascii="Times New Roman" w:hAnsi="Times New Roman" w:cs="Times New Roman"/>
        </w:rPr>
        <w:t>Regeerprogramma, Uitwerking van het hoofdlijnenakkoord door het kabinet</w:t>
      </w:r>
      <w:r w:rsidR="00497302" w:rsidRPr="00463949">
        <w:rPr>
          <w:rFonts w:ascii="Times New Roman" w:hAnsi="Times New Roman" w:cs="Times New Roman"/>
        </w:rPr>
        <w:t xml:space="preserve"> d.d.</w:t>
      </w:r>
      <w:r w:rsidRPr="00463949">
        <w:rPr>
          <w:rFonts w:ascii="Times New Roman" w:hAnsi="Times New Roman" w:cs="Times New Roman"/>
        </w:rPr>
        <w:t xml:space="preserve"> 13 september 2024, p. </w:t>
      </w:r>
      <w:r w:rsidR="00497302" w:rsidRPr="00463949">
        <w:rPr>
          <w:rFonts w:ascii="Times New Roman" w:hAnsi="Times New Roman" w:cs="Times New Roman"/>
        </w:rPr>
        <w:t>117-119.</w:t>
      </w:r>
    </w:p>
  </w:footnote>
  <w:footnote w:id="38">
    <w:p w14:paraId="070AA6C6" w14:textId="36207B23" w:rsidR="002674A0" w:rsidRPr="00463949" w:rsidRDefault="002674A0">
      <w:pPr>
        <w:pStyle w:val="Voetnoottekst"/>
        <w:rPr>
          <w:rFonts w:ascii="Times New Roman" w:hAnsi="Times New Roman" w:cs="Times New Roman"/>
          <w:lang w:val="en-US"/>
        </w:rPr>
      </w:pPr>
      <w:r w:rsidRPr="00463949">
        <w:rPr>
          <w:rStyle w:val="Voetnootmarkering"/>
          <w:rFonts w:ascii="Times New Roman" w:hAnsi="Times New Roman" w:cs="Times New Roman"/>
        </w:rPr>
        <w:footnoteRef/>
      </w:r>
      <w:r w:rsidRPr="00463949">
        <w:rPr>
          <w:rFonts w:ascii="Times New Roman" w:hAnsi="Times New Roman" w:cs="Times New Roman"/>
          <w:lang w:val="en-US"/>
        </w:rPr>
        <w:t xml:space="preserve"> </w:t>
      </w:r>
      <w:r w:rsidR="00B33071" w:rsidRPr="00463949">
        <w:rPr>
          <w:rFonts w:ascii="Times New Roman" w:hAnsi="Times New Roman" w:cs="Times New Roman"/>
          <w:lang w:val="en-US"/>
        </w:rPr>
        <w:t xml:space="preserve">Zie ook </w:t>
      </w:r>
      <w:r w:rsidRPr="00463949">
        <w:rPr>
          <w:rFonts w:ascii="Times New Roman" w:hAnsi="Times New Roman" w:cs="Times New Roman"/>
          <w:lang w:val="en-US"/>
        </w:rPr>
        <w:t xml:space="preserve">het Impact Assessment Report </w:t>
      </w:r>
      <w:r w:rsidR="0079551D" w:rsidRPr="00463949">
        <w:rPr>
          <w:rFonts w:ascii="Times New Roman" w:hAnsi="Times New Roman" w:cs="Times New Roman"/>
          <w:lang w:val="en-US"/>
        </w:rPr>
        <w:t>van de Europese Commissie van 28 september 2022 bij</w:t>
      </w:r>
      <w:r w:rsidRPr="00463949">
        <w:rPr>
          <w:rFonts w:ascii="Times New Roman" w:hAnsi="Times New Roman" w:cs="Times New Roman"/>
          <w:lang w:val="en-US"/>
        </w:rPr>
        <w:t xml:space="preserve"> het </w:t>
      </w:r>
      <w:r w:rsidR="0079551D" w:rsidRPr="00463949">
        <w:rPr>
          <w:rFonts w:ascii="Times New Roman" w:hAnsi="Times New Roman" w:cs="Times New Roman"/>
          <w:lang w:val="en-US"/>
        </w:rPr>
        <w:t>‘</w:t>
      </w:r>
      <w:r w:rsidRPr="00463949">
        <w:rPr>
          <w:rFonts w:ascii="Times New Roman" w:hAnsi="Times New Roman" w:cs="Times New Roman"/>
          <w:lang w:val="en-US"/>
        </w:rPr>
        <w:t>Proposal for a Directive of the European Parliament and of the Council on liability for defective products</w:t>
      </w:r>
      <w:r w:rsidR="0079551D" w:rsidRPr="00463949">
        <w:rPr>
          <w:rFonts w:ascii="Times New Roman" w:hAnsi="Times New Roman" w:cs="Times New Roman"/>
          <w:lang w:val="en-US"/>
        </w:rPr>
        <w:t>’</w:t>
      </w:r>
      <w:r w:rsidRPr="00463949">
        <w:rPr>
          <w:rFonts w:ascii="Times New Roman" w:hAnsi="Times New Roman" w:cs="Times New Roman"/>
          <w:lang w:val="en-US"/>
        </w:rPr>
        <w:t>, p. 36</w:t>
      </w:r>
      <w:r w:rsidR="009F09F9" w:rsidRPr="00463949">
        <w:rPr>
          <w:rFonts w:ascii="Times New Roman" w:hAnsi="Times New Roman" w:cs="Times New Roman"/>
          <w:lang w:val="en-US"/>
        </w:rPr>
        <w:t xml:space="preserve"> en 84</w:t>
      </w:r>
      <w:r w:rsidR="00B33071" w:rsidRPr="00463949">
        <w:rPr>
          <w:rFonts w:ascii="Times New Roman" w:hAnsi="Times New Roman" w:cs="Times New Roman"/>
          <w:lang w:val="en-US"/>
        </w:rPr>
        <w:t xml:space="preserve">: “There are no relevant administrative costs under the PLD in contrast to much product safety legislation, as there are no specific obligations or information requirements for economic operators. There will be one-off </w:t>
      </w:r>
      <w:r w:rsidR="00B33071" w:rsidRPr="00463949">
        <w:rPr>
          <w:rFonts w:ascii="Times New Roman" w:hAnsi="Times New Roman" w:cs="Times New Roman"/>
          <w:b/>
          <w:bCs/>
          <w:lang w:val="en-US"/>
        </w:rPr>
        <w:t>familiarisation costs</w:t>
      </w:r>
      <w:r w:rsidR="00B33071" w:rsidRPr="00463949">
        <w:rPr>
          <w:rFonts w:ascii="Times New Roman" w:hAnsi="Times New Roman" w:cs="Times New Roman"/>
          <w:lang w:val="en-US"/>
        </w:rPr>
        <w:t xml:space="preserve"> for economic operators not previously covered as producers under the PLD, which are minimal.”</w:t>
      </w:r>
    </w:p>
  </w:footnote>
  <w:footnote w:id="39">
    <w:p w14:paraId="299DC6CF" w14:textId="77777777" w:rsidR="000E60EB" w:rsidRPr="00463949" w:rsidRDefault="000E60EB" w:rsidP="000E60EB">
      <w:pPr>
        <w:pStyle w:val="Geenafstand"/>
        <w:rPr>
          <w:rFonts w:ascii="Times New Roman" w:eastAsia="Times New Roman" w:hAnsi="Times New Roman" w:cs="Times New Roman"/>
          <w:color w:val="2F5496"/>
          <w:sz w:val="20"/>
          <w:szCs w:val="20"/>
        </w:rPr>
      </w:pPr>
      <w:r w:rsidRPr="00463949">
        <w:rPr>
          <w:rStyle w:val="Voetnootmarkering"/>
          <w:rFonts w:ascii="Times New Roman" w:hAnsi="Times New Roman" w:cs="Times New Roman"/>
          <w:sz w:val="20"/>
          <w:szCs w:val="20"/>
        </w:rPr>
        <w:footnoteRef/>
      </w:r>
      <w:r w:rsidRPr="00463949">
        <w:rPr>
          <w:rFonts w:ascii="Times New Roman" w:hAnsi="Times New Roman" w:cs="Times New Roman"/>
          <w:sz w:val="20"/>
          <w:szCs w:val="20"/>
        </w:rPr>
        <w:t xml:space="preserve"> Gezamenlijk besluit van de Raad voor de rechtspraak, de Hoge Raad, de Afdeling bestuursrechtspraak van de Raad van State en de besturen van de rechtbanken, de gerechtshoven, de Centrale Raad van Beroep en het College van Beroep voor het bedrijfsleven van 12 februari 2024: </w:t>
      </w:r>
      <w:hyperlink r:id="rId1" w:history="1">
        <w:r w:rsidRPr="00463949">
          <w:rPr>
            <w:rStyle w:val="Hyperlink"/>
            <w:rFonts w:ascii="Times New Roman" w:eastAsia="Times New Roman" w:hAnsi="Times New Roman" w:cs="Times New Roman"/>
            <w:sz w:val="20"/>
            <w:szCs w:val="20"/>
          </w:rPr>
          <w:t>Selectiecriteria uitspraken | Rechtspraak</w:t>
        </w:r>
      </w:hyperlink>
    </w:p>
  </w:footnote>
  <w:footnote w:id="40">
    <w:p w14:paraId="24E0C180" w14:textId="3BECF87D" w:rsidR="000E60EB" w:rsidRPr="00463949" w:rsidRDefault="000E60EB" w:rsidP="000E60EB">
      <w:pPr>
        <w:pStyle w:val="Geenafstand"/>
        <w:rPr>
          <w:rFonts w:ascii="Times New Roman" w:hAnsi="Times New Roman" w:cs="Times New Roman"/>
          <w:sz w:val="20"/>
          <w:szCs w:val="20"/>
        </w:rPr>
      </w:pPr>
      <w:r w:rsidRPr="00463949">
        <w:rPr>
          <w:rStyle w:val="Voetnootmarkering"/>
          <w:rFonts w:ascii="Times New Roman" w:hAnsi="Times New Roman" w:cs="Times New Roman"/>
          <w:sz w:val="20"/>
          <w:szCs w:val="20"/>
        </w:rPr>
        <w:footnoteRef/>
      </w:r>
      <w:r w:rsidRPr="00463949">
        <w:rPr>
          <w:rFonts w:ascii="Times New Roman" w:hAnsi="Times New Roman" w:cs="Times New Roman"/>
          <w:sz w:val="20"/>
          <w:szCs w:val="20"/>
        </w:rPr>
        <w:t xml:space="preserve"> Pr</w:t>
      </w:r>
      <w:r w:rsidR="00301C6A" w:rsidRPr="00463949">
        <w:rPr>
          <w:rFonts w:ascii="Times New Roman" w:hAnsi="Times New Roman" w:cs="Times New Roman"/>
          <w:sz w:val="20"/>
          <w:szCs w:val="20"/>
        </w:rPr>
        <w:t>ogramma</w:t>
      </w:r>
      <w:r w:rsidRPr="00463949">
        <w:rPr>
          <w:rFonts w:ascii="Times New Roman" w:hAnsi="Times New Roman" w:cs="Times New Roman"/>
          <w:sz w:val="20"/>
          <w:szCs w:val="20"/>
        </w:rPr>
        <w:t xml:space="preserve"> Meer </w:t>
      </w:r>
      <w:r w:rsidR="00301C6A" w:rsidRPr="00463949">
        <w:rPr>
          <w:rFonts w:ascii="Times New Roman" w:hAnsi="Times New Roman" w:cs="Times New Roman"/>
          <w:sz w:val="20"/>
          <w:szCs w:val="20"/>
        </w:rPr>
        <w:t>e</w:t>
      </w:r>
      <w:r w:rsidRPr="00463949">
        <w:rPr>
          <w:rFonts w:ascii="Times New Roman" w:hAnsi="Times New Roman" w:cs="Times New Roman"/>
          <w:sz w:val="20"/>
          <w:szCs w:val="20"/>
        </w:rPr>
        <w:t>n Verantwoord Publiceren,</w:t>
      </w:r>
      <w:r w:rsidR="00301C6A" w:rsidRPr="00463949">
        <w:rPr>
          <w:rFonts w:ascii="Times New Roman" w:hAnsi="Times New Roman" w:cs="Times New Roman"/>
          <w:sz w:val="20"/>
          <w:szCs w:val="20"/>
        </w:rPr>
        <w:t xml:space="preserve"> </w:t>
      </w:r>
      <w:hyperlink r:id="rId2" w:history="1">
        <w:r w:rsidR="00301C6A" w:rsidRPr="00463949">
          <w:rPr>
            <w:rStyle w:val="Hyperlink"/>
            <w:rFonts w:ascii="Times New Roman" w:hAnsi="Times New Roman" w:cs="Times New Roman"/>
            <w:sz w:val="20"/>
            <w:szCs w:val="20"/>
          </w:rPr>
          <w:t>http://www.rechtspraak.nl/mvp</w:t>
        </w:r>
      </w:hyperlink>
      <w:r w:rsidR="00301C6A" w:rsidRPr="00463949">
        <w:rPr>
          <w:rFonts w:ascii="Times New Roman" w:hAnsi="Times New Roman" w:cs="Times New Roman"/>
          <w:sz w:val="20"/>
          <w:szCs w:val="20"/>
        </w:rPr>
        <w:t xml:space="preserve">.  </w:t>
      </w:r>
      <w:r w:rsidRPr="00463949">
        <w:rPr>
          <w:rFonts w:ascii="Times New Roman" w:hAnsi="Times New Roman" w:cs="Times New Roman"/>
          <w:sz w:val="20"/>
          <w:szCs w:val="20"/>
        </w:rPr>
        <w:t xml:space="preserve"> </w:t>
      </w:r>
    </w:p>
  </w:footnote>
  <w:footnote w:id="41">
    <w:p w14:paraId="26A7F8D0" w14:textId="06FC5B1F" w:rsidR="001F4691" w:rsidRPr="00463949" w:rsidRDefault="001F4691" w:rsidP="001F4691">
      <w:pPr>
        <w:pStyle w:val="Voetnoottekst"/>
        <w:rPr>
          <w:rFonts w:ascii="Times New Roman" w:hAnsi="Times New Roman" w:cs="Times New Roman"/>
          <w:lang w:val="en-US"/>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ook C.J.J.M. Stolker, Groene Serie Onrechtmatige daad, afd. 3 Boek 6 BW, aant. </w:t>
      </w:r>
      <w:r w:rsidRPr="00463949">
        <w:rPr>
          <w:rFonts w:ascii="Times New Roman" w:hAnsi="Times New Roman" w:cs="Times New Roman"/>
          <w:lang w:val="en-US"/>
        </w:rPr>
        <w:t>3.3 (actueel t/m 09-12-2022).</w:t>
      </w:r>
    </w:p>
  </w:footnote>
  <w:footnote w:id="42">
    <w:p w14:paraId="43C0A9C5" w14:textId="0FC153F7" w:rsidR="00C7330D" w:rsidRPr="00463949" w:rsidRDefault="00C7330D">
      <w:pPr>
        <w:pStyle w:val="Voetnoottekst"/>
        <w:rPr>
          <w:rFonts w:ascii="Times New Roman" w:hAnsi="Times New Roman" w:cs="Times New Roman"/>
          <w:lang w:val="en-US"/>
        </w:rPr>
      </w:pPr>
      <w:r w:rsidRPr="00463949">
        <w:rPr>
          <w:rStyle w:val="Voetnootmarkering"/>
          <w:rFonts w:ascii="Times New Roman" w:hAnsi="Times New Roman" w:cs="Times New Roman"/>
        </w:rPr>
        <w:footnoteRef/>
      </w:r>
      <w:r w:rsidRPr="00463949">
        <w:rPr>
          <w:rFonts w:ascii="Times New Roman" w:hAnsi="Times New Roman" w:cs="Times New Roman"/>
          <w:lang w:val="en-US"/>
        </w:rPr>
        <w:t xml:space="preserve"> Het Impact Assessment Report</w:t>
      </w:r>
      <w:r w:rsidR="00CC037B" w:rsidRPr="00463949">
        <w:rPr>
          <w:rFonts w:ascii="Times New Roman" w:hAnsi="Times New Roman" w:cs="Times New Roman"/>
          <w:lang w:val="en-US"/>
        </w:rPr>
        <w:t xml:space="preserve"> van de Europese Commissie van 28 september 2022</w:t>
      </w:r>
      <w:r w:rsidRPr="00463949">
        <w:rPr>
          <w:rFonts w:ascii="Times New Roman" w:hAnsi="Times New Roman" w:cs="Times New Roman"/>
          <w:lang w:val="en-US"/>
        </w:rPr>
        <w:t xml:space="preserve"> </w:t>
      </w:r>
      <w:r w:rsidR="00CC037B" w:rsidRPr="00463949">
        <w:rPr>
          <w:rFonts w:ascii="Times New Roman" w:hAnsi="Times New Roman" w:cs="Times New Roman"/>
          <w:lang w:val="en-US"/>
        </w:rPr>
        <w:t xml:space="preserve">bij </w:t>
      </w:r>
      <w:r w:rsidRPr="00463949">
        <w:rPr>
          <w:rFonts w:ascii="Times New Roman" w:hAnsi="Times New Roman" w:cs="Times New Roman"/>
          <w:lang w:val="en-US"/>
        </w:rPr>
        <w:t>het ‘Proposal for a Directive of the European Parliament and of the Council on liability for defective products’, p. 30, 36-37, 56, 76 en 85.</w:t>
      </w:r>
    </w:p>
  </w:footnote>
  <w:footnote w:id="43">
    <w:p w14:paraId="234C236A" w14:textId="0201C2FE" w:rsidR="00975035" w:rsidRPr="00463949" w:rsidRDefault="00975035">
      <w:pPr>
        <w:pStyle w:val="Voetnoottekst"/>
        <w:rPr>
          <w:rFonts w:ascii="Times New Roman" w:hAnsi="Times New Roman" w:cs="Times New Roman"/>
          <w:lang w:val="en-US"/>
        </w:rPr>
      </w:pPr>
      <w:r w:rsidRPr="00463949">
        <w:rPr>
          <w:rStyle w:val="Voetnootmarkering"/>
          <w:rFonts w:ascii="Times New Roman" w:hAnsi="Times New Roman" w:cs="Times New Roman"/>
        </w:rPr>
        <w:footnoteRef/>
      </w:r>
      <w:r w:rsidRPr="00463949">
        <w:rPr>
          <w:rFonts w:ascii="Times New Roman" w:hAnsi="Times New Roman" w:cs="Times New Roman"/>
        </w:rPr>
        <w:t xml:space="preserve"> Uit het hiervoor genoemde Impact Assessment Report blijkt dat dit </w:t>
      </w:r>
      <w:r w:rsidR="00E910C0" w:rsidRPr="00463949">
        <w:rPr>
          <w:rFonts w:ascii="Times New Roman" w:hAnsi="Times New Roman" w:cs="Times New Roman"/>
        </w:rPr>
        <w:t xml:space="preserve">voornamelijk </w:t>
      </w:r>
      <w:r w:rsidRPr="00463949">
        <w:rPr>
          <w:rFonts w:ascii="Times New Roman" w:hAnsi="Times New Roman" w:cs="Times New Roman"/>
        </w:rPr>
        <w:t xml:space="preserve">producenten </w:t>
      </w:r>
      <w:r w:rsidR="00E910C0" w:rsidRPr="00463949">
        <w:rPr>
          <w:rFonts w:ascii="Times New Roman" w:hAnsi="Times New Roman" w:cs="Times New Roman"/>
        </w:rPr>
        <w:t xml:space="preserve">zijn </w:t>
      </w:r>
      <w:r w:rsidRPr="00463949">
        <w:rPr>
          <w:rFonts w:ascii="Times New Roman" w:hAnsi="Times New Roman" w:cs="Times New Roman"/>
        </w:rPr>
        <w:t xml:space="preserve">van </w:t>
      </w:r>
      <w:r w:rsidR="00E910C0" w:rsidRPr="00463949">
        <w:rPr>
          <w:rFonts w:ascii="Times New Roman" w:hAnsi="Times New Roman" w:cs="Times New Roman"/>
        </w:rPr>
        <w:t xml:space="preserve">producten met een lager </w:t>
      </w:r>
      <w:r w:rsidRPr="00463949">
        <w:rPr>
          <w:rFonts w:ascii="Times New Roman" w:hAnsi="Times New Roman" w:cs="Times New Roman"/>
        </w:rPr>
        <w:t>risico</w:t>
      </w:r>
      <w:r w:rsidR="00E910C0" w:rsidRPr="00463949">
        <w:rPr>
          <w:rFonts w:ascii="Times New Roman" w:hAnsi="Times New Roman" w:cs="Times New Roman"/>
        </w:rPr>
        <w:t xml:space="preserve">, waarvoor zelden schadeclaims worden ingediend. </w:t>
      </w:r>
      <w:r w:rsidR="00E910C0" w:rsidRPr="00463949">
        <w:rPr>
          <w:rFonts w:ascii="Times New Roman" w:hAnsi="Times New Roman" w:cs="Times New Roman"/>
          <w:lang w:val="en-US"/>
        </w:rPr>
        <w:t>Zie p. 36-37.</w:t>
      </w:r>
    </w:p>
  </w:footnote>
  <w:footnote w:id="44">
    <w:p w14:paraId="14DAD604" w14:textId="787A041F" w:rsidR="00715E55" w:rsidRPr="00463949" w:rsidRDefault="00715E55">
      <w:pPr>
        <w:pStyle w:val="Voetnoottekst"/>
        <w:rPr>
          <w:rFonts w:ascii="Times New Roman" w:hAnsi="Times New Roman" w:cs="Times New Roman"/>
          <w:lang w:val="en-US"/>
        </w:rPr>
      </w:pPr>
      <w:r w:rsidRPr="00463949">
        <w:rPr>
          <w:rStyle w:val="Voetnootmarkering"/>
          <w:rFonts w:ascii="Times New Roman" w:hAnsi="Times New Roman" w:cs="Times New Roman"/>
        </w:rPr>
        <w:footnoteRef/>
      </w:r>
      <w:r w:rsidRPr="00463949">
        <w:rPr>
          <w:rFonts w:ascii="Times New Roman" w:hAnsi="Times New Roman" w:cs="Times New Roman"/>
          <w:lang w:val="en-US"/>
        </w:rPr>
        <w:t xml:space="preserve"> Zie </w:t>
      </w:r>
      <w:r w:rsidR="00100EC6" w:rsidRPr="00463949">
        <w:rPr>
          <w:rFonts w:ascii="Times New Roman" w:hAnsi="Times New Roman" w:cs="Times New Roman"/>
          <w:lang w:val="en-US"/>
        </w:rPr>
        <w:t xml:space="preserve">ook </w:t>
      </w:r>
      <w:r w:rsidR="0073682C" w:rsidRPr="00463949">
        <w:rPr>
          <w:rFonts w:ascii="Times New Roman" w:hAnsi="Times New Roman" w:cs="Times New Roman"/>
          <w:lang w:val="en-US"/>
        </w:rPr>
        <w:t xml:space="preserve">het Impact Assessment Report </w:t>
      </w:r>
      <w:r w:rsidR="00CC037B" w:rsidRPr="00463949">
        <w:rPr>
          <w:rFonts w:ascii="Times New Roman" w:hAnsi="Times New Roman" w:cs="Times New Roman"/>
          <w:lang w:val="en-US"/>
        </w:rPr>
        <w:t xml:space="preserve">van de Europese Commissie van 28 september 2022 bij </w:t>
      </w:r>
      <w:r w:rsidR="0073682C" w:rsidRPr="00463949">
        <w:rPr>
          <w:rFonts w:ascii="Times New Roman" w:hAnsi="Times New Roman" w:cs="Times New Roman"/>
          <w:lang w:val="en-US"/>
        </w:rPr>
        <w:t xml:space="preserve">het </w:t>
      </w:r>
      <w:r w:rsidR="00381AFC" w:rsidRPr="00463949">
        <w:rPr>
          <w:rFonts w:ascii="Times New Roman" w:hAnsi="Times New Roman" w:cs="Times New Roman"/>
          <w:lang w:val="en-US"/>
        </w:rPr>
        <w:t>‘</w:t>
      </w:r>
      <w:r w:rsidR="0073682C" w:rsidRPr="00463949">
        <w:rPr>
          <w:rFonts w:ascii="Times New Roman" w:hAnsi="Times New Roman" w:cs="Times New Roman"/>
          <w:lang w:val="en-US"/>
        </w:rPr>
        <w:t>Proposal for a Directive of the European Parliament and of the Council on liability for defective products</w:t>
      </w:r>
      <w:r w:rsidR="00381AFC" w:rsidRPr="00463949">
        <w:rPr>
          <w:rFonts w:ascii="Times New Roman" w:hAnsi="Times New Roman" w:cs="Times New Roman"/>
          <w:lang w:val="en-US"/>
        </w:rPr>
        <w:t>’</w:t>
      </w:r>
      <w:r w:rsidR="0073682C" w:rsidRPr="00463949">
        <w:rPr>
          <w:rFonts w:ascii="Times New Roman" w:hAnsi="Times New Roman" w:cs="Times New Roman"/>
          <w:lang w:val="en-US"/>
        </w:rPr>
        <w:t xml:space="preserve">, p. </w:t>
      </w:r>
      <w:r w:rsidR="00576F0E" w:rsidRPr="00463949">
        <w:rPr>
          <w:rFonts w:ascii="Times New Roman" w:hAnsi="Times New Roman" w:cs="Times New Roman"/>
          <w:lang w:val="en-US"/>
        </w:rPr>
        <w:t>36-37</w:t>
      </w:r>
      <w:r w:rsidR="00ED2F8D" w:rsidRPr="00463949">
        <w:rPr>
          <w:rFonts w:ascii="Times New Roman" w:hAnsi="Times New Roman" w:cs="Times New Roman"/>
          <w:lang w:val="en-US"/>
        </w:rPr>
        <w:t>, 56</w:t>
      </w:r>
      <w:r w:rsidR="009F09F9" w:rsidRPr="00463949">
        <w:rPr>
          <w:rFonts w:ascii="Times New Roman" w:hAnsi="Times New Roman" w:cs="Times New Roman"/>
          <w:lang w:val="en-US"/>
        </w:rPr>
        <w:t xml:space="preserve">, </w:t>
      </w:r>
      <w:r w:rsidR="00576F0E" w:rsidRPr="00463949">
        <w:rPr>
          <w:rFonts w:ascii="Times New Roman" w:hAnsi="Times New Roman" w:cs="Times New Roman"/>
          <w:lang w:val="en-US"/>
        </w:rPr>
        <w:t>76</w:t>
      </w:r>
      <w:r w:rsidR="009F09F9" w:rsidRPr="00463949">
        <w:rPr>
          <w:rFonts w:ascii="Times New Roman" w:hAnsi="Times New Roman" w:cs="Times New Roman"/>
          <w:lang w:val="en-US"/>
        </w:rPr>
        <w:t xml:space="preserve"> en 85</w:t>
      </w:r>
      <w:r w:rsidR="00576F0E" w:rsidRPr="00463949">
        <w:rPr>
          <w:rFonts w:ascii="Times New Roman" w:hAnsi="Times New Roman" w:cs="Times New Roman"/>
          <w:lang w:val="en-US"/>
        </w:rPr>
        <w:t>.</w:t>
      </w:r>
    </w:p>
  </w:footnote>
  <w:footnote w:id="45">
    <w:p w14:paraId="74F89AA6" w14:textId="1F6BF9BC" w:rsidR="0076371E" w:rsidRPr="00463949" w:rsidRDefault="0076371E" w:rsidP="0076371E">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Dat wil zeggen dat de zaak niet de eigenschappen bezit die de koper op grond van de overeenkomst mocht verwachten (</w:t>
      </w:r>
      <w:r w:rsidR="000A4869" w:rsidRPr="00463949">
        <w:rPr>
          <w:rFonts w:ascii="Times New Roman" w:hAnsi="Times New Roman" w:cs="Times New Roman"/>
        </w:rPr>
        <w:t xml:space="preserve">zie </w:t>
      </w:r>
      <w:r w:rsidRPr="00463949">
        <w:rPr>
          <w:rFonts w:ascii="Times New Roman" w:hAnsi="Times New Roman" w:cs="Times New Roman"/>
        </w:rPr>
        <w:t>artikel</w:t>
      </w:r>
      <w:r w:rsidR="000A4869" w:rsidRPr="00463949">
        <w:rPr>
          <w:rFonts w:ascii="Times New Roman" w:hAnsi="Times New Roman" w:cs="Times New Roman"/>
        </w:rPr>
        <w:t>en</w:t>
      </w:r>
      <w:r w:rsidRPr="00463949">
        <w:rPr>
          <w:rFonts w:ascii="Times New Roman" w:hAnsi="Times New Roman" w:cs="Times New Roman"/>
        </w:rPr>
        <w:t xml:space="preserve"> 7:17 lid 2 BW</w:t>
      </w:r>
      <w:r w:rsidR="000A4869" w:rsidRPr="00463949">
        <w:rPr>
          <w:rFonts w:ascii="Times New Roman" w:hAnsi="Times New Roman" w:cs="Times New Roman"/>
        </w:rPr>
        <w:t xml:space="preserve"> en 7:24 lid 1 BW</w:t>
      </w:r>
      <w:r w:rsidRPr="00463949">
        <w:rPr>
          <w:rFonts w:ascii="Times New Roman" w:hAnsi="Times New Roman" w:cs="Times New Roman"/>
        </w:rPr>
        <w:t>).</w:t>
      </w:r>
    </w:p>
  </w:footnote>
  <w:footnote w:id="46">
    <w:p w14:paraId="69A3DDCF" w14:textId="0A6446E9" w:rsidR="00942568" w:rsidRPr="00463949" w:rsidRDefault="00942568">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Parl. Gesch. BW Inv. 3, 5 en 6 Boek 7 titels 1, 7, 9 en 14 1990, p. 159-160.</w:t>
      </w:r>
    </w:p>
  </w:footnote>
  <w:footnote w:id="47">
    <w:p w14:paraId="2272DC1D" w14:textId="687B8438" w:rsidR="00BD720F" w:rsidRPr="00463949" w:rsidRDefault="00BD720F">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het Regeerprogramma, Uitwerking van het hoofdlijnenakkoord door het kabinet d.d. 13 september 2024, p. 8: “</w:t>
      </w:r>
      <w:r w:rsidRPr="00463949">
        <w:rPr>
          <w:rFonts w:ascii="Times New Roman" w:hAnsi="Times New Roman" w:cs="Times New Roman"/>
          <w:i/>
          <w:iCs/>
        </w:rPr>
        <w:t>Tegelijkertijd moet Europese wetgeving niet verder gaan dan strikt noodzakelijk. Wat betreft dit kabinet komen er geen nieuwe nationale koppen op Europees beleid</w:t>
      </w:r>
      <w:r w:rsidRPr="00463949">
        <w:rPr>
          <w:rFonts w:ascii="Times New Roman" w:hAnsi="Times New Roman" w:cs="Times New Roman"/>
        </w:rPr>
        <w:t>.”</w:t>
      </w:r>
    </w:p>
  </w:footnote>
  <w:footnote w:id="48">
    <w:p w14:paraId="749850E1" w14:textId="77777777" w:rsidR="00DC4B24" w:rsidRPr="00463949" w:rsidRDefault="00DC4B24" w:rsidP="00DC4B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7, onderdeel d, van Richtlijn 85/374/EEG.</w:t>
      </w:r>
    </w:p>
  </w:footnote>
  <w:footnote w:id="49">
    <w:p w14:paraId="1263BEA7" w14:textId="77777777" w:rsidR="00DC4B24" w:rsidRPr="00463949" w:rsidRDefault="00DC4B24" w:rsidP="00DC4B24">
      <w:pPr>
        <w:pStyle w:val="Voetnoottekst"/>
        <w:rPr>
          <w:rFonts w:ascii="Times New Roman" w:hAnsi="Times New Roman" w:cs="Times New Roman"/>
          <w:lang w:val="fr-FR"/>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C.J.J.M. Stolker, </w:t>
      </w:r>
      <w:r w:rsidRPr="00463949">
        <w:rPr>
          <w:rFonts w:ascii="Times New Roman" w:hAnsi="Times New Roman" w:cs="Times New Roman"/>
          <w:i/>
          <w:iCs/>
        </w:rPr>
        <w:t>Groene Serie Onrechtmatige daad</w:t>
      </w:r>
      <w:r w:rsidRPr="00463949">
        <w:rPr>
          <w:rFonts w:ascii="Times New Roman" w:hAnsi="Times New Roman" w:cs="Times New Roman"/>
        </w:rPr>
        <w:t xml:space="preserve">, art. 6:185 BW, aant. </w:t>
      </w:r>
      <w:r w:rsidRPr="00463949">
        <w:rPr>
          <w:rFonts w:ascii="Times New Roman" w:hAnsi="Times New Roman" w:cs="Times New Roman"/>
          <w:lang w:val="fr-FR"/>
        </w:rPr>
        <w:t>2.4.1 (actueel t/m 09-12-2022).</w:t>
      </w:r>
    </w:p>
  </w:footnote>
  <w:footnote w:id="50">
    <w:p w14:paraId="1795CA56" w14:textId="5EC6DBAA" w:rsidR="00DC4B24" w:rsidRPr="00463949" w:rsidRDefault="00DC4B24" w:rsidP="00DC4B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lang w:val="fr-FR"/>
        </w:rPr>
        <w:t xml:space="preserve"> </w:t>
      </w:r>
      <w:hyperlink r:id="rId3" w:history="1">
        <w:r w:rsidR="00D9048C" w:rsidRPr="00463949">
          <w:rPr>
            <w:rStyle w:val="Hyperlink"/>
            <w:rFonts w:ascii="Times New Roman" w:hAnsi="Times New Roman" w:cs="Times New Roman"/>
            <w:lang w:val="fr-FR"/>
          </w:rPr>
          <w:t>https://www.rijksoverheid.nl/onderwerpen/bescherming-van-consumenten/vraag-en-antwoord/kopen-bij-webwinkels-buiten-de-eu</w:t>
        </w:r>
      </w:hyperlink>
      <w:r w:rsidR="00D9048C" w:rsidRPr="00463949">
        <w:rPr>
          <w:rFonts w:ascii="Times New Roman" w:hAnsi="Times New Roman" w:cs="Times New Roman"/>
          <w:lang w:val="fr-FR"/>
        </w:rPr>
        <w:t>.</w:t>
      </w:r>
      <w:r w:rsidRPr="00463949">
        <w:rPr>
          <w:rFonts w:ascii="Times New Roman" w:hAnsi="Times New Roman" w:cs="Times New Roman"/>
          <w:lang w:val="fr-FR"/>
        </w:rPr>
        <w:t xml:space="preserve"> </w:t>
      </w:r>
      <w:r w:rsidR="005523A1" w:rsidRPr="00463949">
        <w:rPr>
          <w:rFonts w:ascii="Times New Roman" w:hAnsi="Times New Roman" w:cs="Times New Roman"/>
        </w:rPr>
        <w:t xml:space="preserve">Zie verder een video op de website van de Nederlandse Voedsel- en Warenautoriteit waarin consumenten worden gewaarschuwd dat producten uit webwinkels buiten de EU niet altijd veilig zijn: </w:t>
      </w:r>
      <w:hyperlink r:id="rId4" w:history="1">
        <w:r w:rsidR="005523A1" w:rsidRPr="00463949">
          <w:rPr>
            <w:rStyle w:val="Hyperlink"/>
            <w:rFonts w:ascii="Times New Roman" w:hAnsi="Times New Roman" w:cs="Times New Roman"/>
          </w:rPr>
          <w:t>https://www.nvwa.nl/documenten/videos/2019/11/26/video-laat-je-niet-inpakken</w:t>
        </w:r>
      </w:hyperlink>
      <w:r w:rsidR="005523A1" w:rsidRPr="00463949">
        <w:rPr>
          <w:rFonts w:ascii="Times New Roman" w:hAnsi="Times New Roman" w:cs="Times New Roman"/>
        </w:rPr>
        <w:t xml:space="preserve">. </w:t>
      </w:r>
    </w:p>
  </w:footnote>
  <w:footnote w:id="51">
    <w:p w14:paraId="68800B86" w14:textId="77777777" w:rsidR="00DC4B24" w:rsidRPr="00463949" w:rsidRDefault="00DC4B24" w:rsidP="00DC4B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hyperlink r:id="rId5" w:history="1">
        <w:r w:rsidRPr="00463949">
          <w:rPr>
            <w:rStyle w:val="Hyperlink"/>
            <w:rFonts w:ascii="Times New Roman" w:hAnsi="Times New Roman" w:cs="Times New Roman"/>
          </w:rPr>
          <w:t>https://www.consuwijzer.nl/online-winkelen/dropshipping-check-goed-waar-je-bestelt</w:t>
        </w:r>
      </w:hyperlink>
      <w:r w:rsidRPr="00463949">
        <w:rPr>
          <w:rFonts w:ascii="Times New Roman" w:hAnsi="Times New Roman" w:cs="Times New Roman"/>
        </w:rPr>
        <w:t xml:space="preserve">. </w:t>
      </w:r>
    </w:p>
  </w:footnote>
  <w:footnote w:id="52">
    <w:p w14:paraId="1346FC0F" w14:textId="77777777" w:rsidR="00DC4B24" w:rsidRPr="00463949" w:rsidRDefault="00DC4B24" w:rsidP="00DC4B2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hyperlink r:id="rId6" w:history="1">
        <w:r w:rsidRPr="00463949">
          <w:rPr>
            <w:rStyle w:val="Hyperlink"/>
            <w:rFonts w:ascii="Times New Roman" w:hAnsi="Times New Roman" w:cs="Times New Roman"/>
          </w:rPr>
          <w:t>https://www.rijksoverheid.nl/onderwerpen/bescherming-van-consumenten/vraag-en-antwoord/dropshipping-voor-ondernemers</w:t>
        </w:r>
      </w:hyperlink>
      <w:r w:rsidRPr="00463949">
        <w:rPr>
          <w:rFonts w:ascii="Times New Roman" w:hAnsi="Times New Roman" w:cs="Times New Roman"/>
        </w:rPr>
        <w:t xml:space="preserve">. </w:t>
      </w:r>
    </w:p>
  </w:footnote>
  <w:footnote w:id="53">
    <w:p w14:paraId="0A973916" w14:textId="77777777" w:rsidR="009972A7" w:rsidRPr="00463949" w:rsidRDefault="009972A7" w:rsidP="009972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In het geval van een ingrijpend gewijzigd product gaat er ook een nieuwe vervaltermijn lopen (artikel 17 lid 1, onderdeel b, Richtlijn; geïmplementeerd in artikel 6:191a lid 1, onderdeel b, BW).</w:t>
      </w:r>
    </w:p>
  </w:footnote>
  <w:footnote w:id="54">
    <w:p w14:paraId="6675B344" w14:textId="77777777" w:rsidR="009972A7" w:rsidRPr="00463949" w:rsidRDefault="009972A7" w:rsidP="009972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Verordening (EU) 2023/988 van het Europees Parlement en de Raad van 10 mei 2023 inzake algemene productveiligheid, tot wijziging van Verordening (EU) nr. 1025/2012 van het Europees Parlement en de Raad en Richtlijn (EU) 2020/1828 van het Europees Parlement en de Raad, en tot intrekking van Richtlijn 2001/95/EG van het Europees Parlement en de Raad en Richtlijn 87/357/EEG van de Raad.</w:t>
      </w:r>
    </w:p>
  </w:footnote>
  <w:footnote w:id="55">
    <w:p w14:paraId="4C6B3356" w14:textId="77777777" w:rsidR="009972A7" w:rsidRPr="00463949" w:rsidRDefault="009972A7" w:rsidP="009972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Een opgeknapte (refurbished) zaak is een product of een product waarvan men zich heeft ontdaan, welke is voorbereid, gereinigd, getest, een onderhoudsbeurt is gegeven en indien nodig is hersteld, om de prestaties of functionaliteit daarvan te herstellen binnen het beoogde gebruik en het prestatiebereik zoals die oorspronkelijk tijdens de ontwerpfase werden bedacht en zoals die van toepassing waren op het moment van het in de handel brengen van het product (definitie “opknappen” in artikel 2 onderdeel 18 van Verordening (EU) 2024/1781 inzake ecologisch ontwerp voor duurzame producten (Ecodesignverordening).</w:t>
      </w:r>
    </w:p>
  </w:footnote>
  <w:footnote w:id="56">
    <w:p w14:paraId="479D38D8" w14:textId="77777777" w:rsidR="009972A7" w:rsidRPr="00463949" w:rsidRDefault="009972A7" w:rsidP="009972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Richtlijn (EU) 2024/825 van het Europees Parlement en de Raad van 28 februari tot wijziging van de Richtlijnen 2005/29/EG en 2011/83/EU wat betreft het versterken van de positie van de consument voor de groene transitie door middel van betere informatie en door middel van bescherming tegen oneerlijke praktijken.</w:t>
      </w:r>
    </w:p>
  </w:footnote>
  <w:footnote w:id="57">
    <w:p w14:paraId="759A7EB2" w14:textId="0F286DF8" w:rsidR="009972A7" w:rsidRPr="00463949" w:rsidRDefault="009972A7" w:rsidP="009972A7">
      <w:pPr>
        <w:pStyle w:val="Voetnoottekst"/>
        <w:rPr>
          <w:rFonts w:ascii="Times New Roman" w:hAnsi="Times New Roman" w:cs="Times New Roman"/>
          <w:lang w:val="de-DE"/>
        </w:rPr>
      </w:pPr>
      <w:r w:rsidRPr="00463949">
        <w:rPr>
          <w:rStyle w:val="Voetnootmarkering"/>
          <w:rFonts w:ascii="Times New Roman" w:hAnsi="Times New Roman" w:cs="Times New Roman"/>
        </w:rPr>
        <w:footnoteRef/>
      </w:r>
      <w:r w:rsidRPr="00463949">
        <w:rPr>
          <w:rFonts w:ascii="Times New Roman" w:hAnsi="Times New Roman" w:cs="Times New Roman"/>
          <w:lang w:val="de-DE"/>
        </w:rPr>
        <w:t xml:space="preserve"> </w:t>
      </w:r>
      <w:r w:rsidR="00A31CF6" w:rsidRPr="00463949">
        <w:rPr>
          <w:rFonts w:ascii="Times New Roman" w:hAnsi="Times New Roman" w:cs="Times New Roman"/>
          <w:lang w:val="de-DE"/>
        </w:rPr>
        <w:t xml:space="preserve">Ibidem, </w:t>
      </w:r>
      <w:r w:rsidRPr="00463949">
        <w:rPr>
          <w:rFonts w:ascii="Times New Roman" w:hAnsi="Times New Roman" w:cs="Times New Roman"/>
          <w:lang w:val="de-DE"/>
        </w:rPr>
        <w:t xml:space="preserve">Artikel 2, </w:t>
      </w:r>
      <w:r w:rsidR="00A31CF6" w:rsidRPr="00463949">
        <w:rPr>
          <w:rFonts w:ascii="Times New Roman" w:hAnsi="Times New Roman" w:cs="Times New Roman"/>
          <w:lang w:val="de-DE"/>
        </w:rPr>
        <w:t>lid 2, b) e bis).</w:t>
      </w:r>
    </w:p>
  </w:footnote>
  <w:footnote w:id="58">
    <w:p w14:paraId="6393674A" w14:textId="42DC99C8" w:rsidR="00F57C9B" w:rsidRPr="00463949" w:rsidRDefault="00F57C9B" w:rsidP="00F57C9B">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Techniek Nederland vraagt zich af wie verantwoordelijk wordt voor de garantie “als een apparaat buiten de fabrikant om gerepareerd wordt? Is een retailer (met reparatie) of een reparatiebedrijf verantwoordelijk voor de garantie op de uitgevoerde reparaties, maar niet automatisch voor de gehele garantie van het product?”. Daarnaast doet zij drie voorstellen</w:t>
      </w:r>
      <w:r w:rsidR="00226C2B" w:rsidRPr="00463949">
        <w:rPr>
          <w:rFonts w:ascii="Times New Roman" w:hAnsi="Times New Roman" w:cs="Times New Roman"/>
        </w:rPr>
        <w:t>, luidende</w:t>
      </w:r>
      <w:r w:rsidRPr="00463949">
        <w:rPr>
          <w:rFonts w:ascii="Times New Roman" w:hAnsi="Times New Roman" w:cs="Times New Roman"/>
        </w:rPr>
        <w:t xml:space="preserve">: </w:t>
      </w:r>
      <w:r w:rsidR="00226C2B" w:rsidRPr="00463949">
        <w:rPr>
          <w:rFonts w:ascii="Times New Roman" w:hAnsi="Times New Roman" w:cs="Times New Roman"/>
        </w:rPr>
        <w:t>“</w:t>
      </w:r>
      <w:r w:rsidRPr="00463949">
        <w:rPr>
          <w:rFonts w:ascii="Times New Roman" w:hAnsi="Times New Roman" w:cs="Times New Roman"/>
        </w:rPr>
        <w:t>a. Een expliciete positionering van het Nationaal Reparateursregister als kwaliteitsinstrument in relatie tot ‘geautoriseerde’ reparatie; b. Een korte toelichting op risico’s bij software-updates en/of modificaties van slimme installaties (voornamelijk van toepassing binnen de installatiesector); c. Gezamenlijke verkenning van een gedeelde garantiestructuur en/of erkende reparatiebevoegdheid voor niet-geautoriseerde, professionele, vakbekwame reparateurs/reparatiebedrijven.”</w:t>
      </w:r>
    </w:p>
  </w:footnote>
  <w:footnote w:id="59">
    <w:p w14:paraId="4407F9AC" w14:textId="43B5E46C" w:rsidR="009972A7" w:rsidRPr="00463949" w:rsidRDefault="009972A7" w:rsidP="009972A7">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Nationaal Programma Circulaire Economie 2023-2030, Bijlage bij </w:t>
      </w:r>
      <w:r w:rsidRPr="00463949">
        <w:rPr>
          <w:rFonts w:ascii="Times New Roman" w:hAnsi="Times New Roman" w:cs="Times New Roman"/>
          <w:i/>
          <w:iCs/>
        </w:rPr>
        <w:t xml:space="preserve">Kamerstukken II </w:t>
      </w:r>
      <w:r w:rsidRPr="00463949">
        <w:rPr>
          <w:rFonts w:ascii="Times New Roman" w:hAnsi="Times New Roman" w:cs="Times New Roman"/>
        </w:rPr>
        <w:t xml:space="preserve">2022-2023, 32852, nr. 225 </w:t>
      </w:r>
      <w:hyperlink r:id="rId7" w:history="1">
        <w:r w:rsidR="00B74968" w:rsidRPr="00463949">
          <w:rPr>
            <w:rStyle w:val="Hyperlink"/>
            <w:rFonts w:ascii="Times New Roman" w:hAnsi="Times New Roman" w:cs="Times New Roman"/>
          </w:rPr>
          <w:t>https://www.rijksoverheid.nl/documenten/beleidsnotas/2023/02/03/nationaal-programma-circulaire-economie-2023-2030</w:t>
        </w:r>
      </w:hyperlink>
      <w:r w:rsidRPr="00463949">
        <w:rPr>
          <w:rFonts w:ascii="Times New Roman" w:hAnsi="Times New Roman" w:cs="Times New Roman"/>
        </w:rPr>
        <w:t>.</w:t>
      </w:r>
    </w:p>
  </w:footnote>
  <w:footnote w:id="60">
    <w:p w14:paraId="326B8DBF" w14:textId="31437C5D" w:rsidR="00703F9D" w:rsidRPr="00463949" w:rsidRDefault="00703F9D">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o.m. </w:t>
      </w:r>
      <w:bookmarkStart w:id="10" w:name="_Hlk201588729"/>
      <w:r w:rsidRPr="00463949">
        <w:rPr>
          <w:rFonts w:ascii="Times New Roman" w:hAnsi="Times New Roman" w:cs="Times New Roman"/>
        </w:rPr>
        <w:t xml:space="preserve">C.J.J.M. Stolker, </w:t>
      </w:r>
      <w:r w:rsidRPr="00463949">
        <w:rPr>
          <w:rFonts w:ascii="Times New Roman" w:hAnsi="Times New Roman" w:cs="Times New Roman"/>
          <w:i/>
          <w:iCs/>
        </w:rPr>
        <w:t>Groene Serie Onrechtmatige daad</w:t>
      </w:r>
      <w:r w:rsidRPr="00463949">
        <w:rPr>
          <w:rFonts w:ascii="Times New Roman" w:hAnsi="Times New Roman" w:cs="Times New Roman"/>
        </w:rPr>
        <w:t>, art. 6:187 BW, aant. 1.3 (actueel t/m 09-12-2022</w:t>
      </w:r>
      <w:bookmarkEnd w:id="10"/>
      <w:r w:rsidRPr="00463949">
        <w:rPr>
          <w:rFonts w:ascii="Times New Roman" w:hAnsi="Times New Roman" w:cs="Times New Roman"/>
        </w:rPr>
        <w:t>)</w:t>
      </w:r>
      <w:r w:rsidR="009C262D" w:rsidRPr="00463949">
        <w:rPr>
          <w:rFonts w:ascii="Times New Roman" w:hAnsi="Times New Roman" w:cs="Times New Roman"/>
        </w:rPr>
        <w:t>.</w:t>
      </w:r>
    </w:p>
  </w:footnote>
  <w:footnote w:id="61">
    <w:p w14:paraId="1C701F5B" w14:textId="5E693E1F" w:rsidR="00EE6C3A" w:rsidRPr="00463949" w:rsidRDefault="00EE6C3A" w:rsidP="001A020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r w:rsidR="001A0204" w:rsidRPr="00463949">
        <w:rPr>
          <w:rFonts w:ascii="Times New Roman" w:hAnsi="Times New Roman" w:cs="Times New Roman"/>
        </w:rPr>
        <w:t>Verordening (EU) Nr. 1215/2012 van het Europees Parlement en de Raad van 12 december 2012 betreffende de rechterlijke bevoegdheid, de erkenning en de tenuitvoerlegging van beslissingen in burgerlijke en handelszaken.</w:t>
      </w:r>
    </w:p>
  </w:footnote>
  <w:footnote w:id="62">
    <w:p w14:paraId="5FB6A5EA" w14:textId="66BEF31F" w:rsidR="007C1BF3" w:rsidRPr="00463949" w:rsidRDefault="007C1BF3">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Artikel 6:173 lid 1 spreekt van een roerende zaak die “niet voldoet aan de eisen die men in de gegeven omstandigheden aan de zaak mag stellen”. </w:t>
      </w:r>
    </w:p>
  </w:footnote>
  <w:footnote w:id="63">
    <w:p w14:paraId="4A311A8C" w14:textId="165E7C3E" w:rsidR="00FA34A9" w:rsidRPr="00463949" w:rsidRDefault="00FA34A9" w:rsidP="00006EF9">
      <w:pPr>
        <w:pStyle w:val="Voetnoottekst"/>
        <w:rPr>
          <w:rFonts w:ascii="Times New Roman" w:hAnsi="Times New Roman" w:cs="Times New Roman"/>
          <w:highlight w:val="yellow"/>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r w:rsidR="004C0619" w:rsidRPr="00463949">
        <w:rPr>
          <w:rFonts w:ascii="Times New Roman" w:hAnsi="Times New Roman" w:cs="Times New Roman"/>
        </w:rPr>
        <w:t xml:space="preserve">Zie voor de strekking van deze </w:t>
      </w:r>
      <w:r w:rsidR="006632CD" w:rsidRPr="00463949">
        <w:rPr>
          <w:rFonts w:ascii="Times New Roman" w:hAnsi="Times New Roman" w:cs="Times New Roman"/>
        </w:rPr>
        <w:t>bepaling</w:t>
      </w:r>
      <w:r w:rsidR="004C0619" w:rsidRPr="00463949">
        <w:rPr>
          <w:rFonts w:ascii="Times New Roman" w:hAnsi="Times New Roman" w:cs="Times New Roman"/>
        </w:rPr>
        <w:t>:</w:t>
      </w:r>
      <w:r w:rsidR="006632CD" w:rsidRPr="00463949">
        <w:rPr>
          <w:rFonts w:ascii="Times New Roman" w:hAnsi="Times New Roman" w:cs="Times New Roman"/>
        </w:rPr>
        <w:t xml:space="preserve"> </w:t>
      </w:r>
      <w:r w:rsidR="007B49C6" w:rsidRPr="00463949">
        <w:rPr>
          <w:rFonts w:ascii="Times New Roman" w:hAnsi="Times New Roman" w:cs="Times New Roman"/>
        </w:rPr>
        <w:t xml:space="preserve">Parl. Gesch. BW Inv. 3, 5 en 6 Boek 6 1990, p. 1386. </w:t>
      </w:r>
      <w:r w:rsidR="006632CD" w:rsidRPr="00463949">
        <w:rPr>
          <w:rFonts w:ascii="Times New Roman" w:hAnsi="Times New Roman" w:cs="Times New Roman"/>
        </w:rPr>
        <w:t xml:space="preserve">Zie ook Asser/Sieburgh 6-IV 2023/228: </w:t>
      </w:r>
      <w:r w:rsidR="00EC57A7" w:rsidRPr="00463949">
        <w:rPr>
          <w:rFonts w:ascii="Times New Roman" w:hAnsi="Times New Roman" w:cs="Times New Roman"/>
        </w:rPr>
        <w:t>“</w:t>
      </w:r>
      <w:r w:rsidR="006632CD" w:rsidRPr="00463949">
        <w:rPr>
          <w:rFonts w:ascii="Times New Roman" w:hAnsi="Times New Roman" w:cs="Times New Roman"/>
        </w:rPr>
        <w:t>[</w:t>
      </w:r>
      <w:r w:rsidRPr="00463949">
        <w:rPr>
          <w:rFonts w:ascii="Times New Roman" w:hAnsi="Times New Roman" w:cs="Times New Roman"/>
        </w:rPr>
        <w:t>De kanalisatiebepaling</w:t>
      </w:r>
      <w:r w:rsidR="006632CD" w:rsidRPr="00463949">
        <w:rPr>
          <w:rFonts w:ascii="Times New Roman" w:hAnsi="Times New Roman" w:cs="Times New Roman"/>
        </w:rPr>
        <w:t>]</w:t>
      </w:r>
      <w:r w:rsidRPr="00463949">
        <w:rPr>
          <w:rFonts w:ascii="Times New Roman" w:hAnsi="Times New Roman" w:cs="Times New Roman"/>
        </w:rPr>
        <w:t xml:space="preserve"> berust </w:t>
      </w:r>
      <w:r w:rsidR="00006EF9" w:rsidRPr="00463949">
        <w:rPr>
          <w:rFonts w:ascii="Times New Roman" w:hAnsi="Times New Roman" w:cs="Times New Roman"/>
        </w:rPr>
        <w:t xml:space="preserve">enerzijds </w:t>
      </w:r>
      <w:r w:rsidRPr="00463949">
        <w:rPr>
          <w:rFonts w:ascii="Times New Roman" w:hAnsi="Times New Roman" w:cs="Times New Roman"/>
        </w:rPr>
        <w:t>op het uitgangspunt dat het opleggen van dubbele risicoaansprakelijkheid dient te worden vermeden, zodat de bezitter (c.q. de bedrijfsmatige gebruiker) van een gebrekkig product niet aansprakelijk moet zijn naast degene die het product heeft geproduceerd</w:t>
      </w:r>
      <w:r w:rsidR="006632CD" w:rsidRPr="00463949">
        <w:rPr>
          <w:rFonts w:ascii="Times New Roman" w:hAnsi="Times New Roman" w:cs="Times New Roman"/>
        </w:rPr>
        <w:t>; daarom wordt de aansprakelijkheid naar die producent ‘gekanaliseerd’.</w:t>
      </w:r>
      <w:r w:rsidRPr="00463949">
        <w:rPr>
          <w:rFonts w:ascii="Times New Roman" w:hAnsi="Times New Roman" w:cs="Times New Roman"/>
        </w:rPr>
        <w:t xml:space="preserve"> </w:t>
      </w:r>
      <w:r w:rsidR="00006EF9" w:rsidRPr="00463949">
        <w:rPr>
          <w:rFonts w:ascii="Times New Roman" w:hAnsi="Times New Roman" w:cs="Times New Roman"/>
        </w:rPr>
        <w:t xml:space="preserve">Anderzijds </w:t>
      </w:r>
      <w:r w:rsidR="006632CD" w:rsidRPr="00463949">
        <w:rPr>
          <w:rFonts w:ascii="Times New Roman" w:hAnsi="Times New Roman" w:cs="Times New Roman"/>
        </w:rPr>
        <w:t xml:space="preserve">heeft de wetgever het </w:t>
      </w:r>
      <w:r w:rsidR="00006EF9" w:rsidRPr="00463949">
        <w:rPr>
          <w:rFonts w:ascii="Times New Roman" w:hAnsi="Times New Roman" w:cs="Times New Roman"/>
        </w:rPr>
        <w:t xml:space="preserve">in beginsel onredelijk geoordeeld de bezitter van een gebrekkig product aansprakelijk </w:t>
      </w:r>
      <w:r w:rsidR="006632CD" w:rsidRPr="00463949">
        <w:rPr>
          <w:rFonts w:ascii="Times New Roman" w:hAnsi="Times New Roman" w:cs="Times New Roman"/>
        </w:rPr>
        <w:t xml:space="preserve">te stellen </w:t>
      </w:r>
      <w:r w:rsidR="00006EF9" w:rsidRPr="00463949">
        <w:rPr>
          <w:rFonts w:ascii="Times New Roman" w:hAnsi="Times New Roman" w:cs="Times New Roman"/>
        </w:rPr>
        <w:t xml:space="preserve">in gevallen waarin </w:t>
      </w:r>
      <w:r w:rsidR="006632CD" w:rsidRPr="00463949">
        <w:rPr>
          <w:rFonts w:ascii="Times New Roman" w:hAnsi="Times New Roman" w:cs="Times New Roman"/>
        </w:rPr>
        <w:t xml:space="preserve">het regime van de richtlijn aansprakelijkheid van de producent niet aanvaardt; (…) </w:t>
      </w:r>
      <w:r w:rsidR="00006EF9" w:rsidRPr="00463949">
        <w:rPr>
          <w:rFonts w:ascii="Times New Roman" w:hAnsi="Times New Roman" w:cs="Times New Roman"/>
        </w:rPr>
        <w:t xml:space="preserve">De gedachte is dus </w:t>
      </w:r>
      <w:r w:rsidR="006632CD" w:rsidRPr="00463949">
        <w:rPr>
          <w:rFonts w:ascii="Times New Roman" w:hAnsi="Times New Roman" w:cs="Times New Roman"/>
        </w:rPr>
        <w:t xml:space="preserve">deze, </w:t>
      </w:r>
      <w:r w:rsidR="00006EF9" w:rsidRPr="00463949">
        <w:rPr>
          <w:rFonts w:ascii="Times New Roman" w:hAnsi="Times New Roman" w:cs="Times New Roman"/>
        </w:rPr>
        <w:t xml:space="preserve">dat wanneer de producent ondanks zijn verantwoordelijkheid voor het op de markt brengen van een gebrekkig product niet aansprakelijk is, de bezitter </w:t>
      </w:r>
      <w:r w:rsidR="006632CD" w:rsidRPr="00463949">
        <w:rPr>
          <w:rFonts w:ascii="Times New Roman" w:hAnsi="Times New Roman" w:cs="Times New Roman"/>
        </w:rPr>
        <w:t xml:space="preserve">of gebruiker </w:t>
      </w:r>
      <w:r w:rsidR="00006EF9" w:rsidRPr="00463949">
        <w:rPr>
          <w:rFonts w:ascii="Times New Roman" w:hAnsi="Times New Roman" w:cs="Times New Roman"/>
        </w:rPr>
        <w:t>ook niet</w:t>
      </w:r>
      <w:r w:rsidR="006632CD" w:rsidRPr="00463949">
        <w:rPr>
          <w:rFonts w:ascii="Times New Roman" w:hAnsi="Times New Roman" w:cs="Times New Roman"/>
        </w:rPr>
        <w:t xml:space="preserve"> </w:t>
      </w:r>
      <w:r w:rsidR="00006EF9" w:rsidRPr="00463949">
        <w:rPr>
          <w:rFonts w:ascii="Times New Roman" w:hAnsi="Times New Roman" w:cs="Times New Roman"/>
        </w:rPr>
        <w:t>aansprakelijk behoort te zijn</w:t>
      </w:r>
      <w:r w:rsidR="006632CD" w:rsidRPr="00463949">
        <w:rPr>
          <w:rFonts w:ascii="Times New Roman" w:hAnsi="Times New Roman" w:cs="Times New Roman"/>
        </w:rPr>
        <w:t>, waarbij bedacht moet worden dat hij, zo hij wél uit art. 6:173 BW zou kunnen worden aangesproken, ook geen regres op de producent zou kunnen uitoefenen.”</w:t>
      </w:r>
    </w:p>
  </w:footnote>
  <w:footnote w:id="64">
    <w:p w14:paraId="77FA13C9" w14:textId="77777777" w:rsidR="009E0A8E" w:rsidRPr="00463949" w:rsidRDefault="009E0A8E" w:rsidP="009E0A8E">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Hiermee wordt dus een uitzondering gemaakt op het uitgangspunt dat de bezitter van een gebrekkig product niet aansprakelijk is in gevallen waarin er geen aansprakelijkheid van de producent bestaat op grond van de richtlijn productaansprakelijkheid. De uitzondering in onderdeel a is opgenomen, omdat het in dit geval wel redelijk werd geacht dat de bezitter het risico van een gebrekkige roerende zaak jegens derden draagt. Dit gebrek kan bijvoorbeeld zijn ontstaan door het gebruik dat hij van de zaak heeft gemaakt. Zie Asser/Sieburgh 6-IV 2023/228.</w:t>
      </w:r>
    </w:p>
  </w:footnote>
  <w:footnote w:id="65">
    <w:p w14:paraId="47663BDD" w14:textId="77777777" w:rsidR="00E518D2" w:rsidRPr="00463949" w:rsidRDefault="00E518D2" w:rsidP="00E518D2">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Hiermee wordt gedoeld op het niet terugkeren in de Richtlijn van een met artikel 9, aanhef en onder b, van Richtlijn 85/374/EG vergelijkbare bepaling. Deze bepaling luidt voor zover relevant: “Onder “schade” in de zin van artikel 1 wordt verstaan: b) beschadiging of vernietiging van een andere zaak dan het gebrekkige product, met toepassing van een franchise ten belope van 500 Ecu, (…)”. Deze bepaling is geïmplementeerd in artikel 6:190, eerste lid, onderdeel b, en tweede lid, BW. Dit wetsvoorstel strekt tot aanpassing van dat artikel, waarbij de bepalingen over de franchise komen te vervallen (zie Artikel I, onderdeel I).</w:t>
      </w:r>
    </w:p>
  </w:footnote>
  <w:footnote w:id="66">
    <w:p w14:paraId="70E499DB" w14:textId="5D9AEB9B" w:rsidR="006E76B3" w:rsidRPr="00463949" w:rsidRDefault="006E76B3">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Dit </w:t>
      </w:r>
      <w:r w:rsidR="008A64E6" w:rsidRPr="00463949">
        <w:rPr>
          <w:rFonts w:ascii="Times New Roman" w:hAnsi="Times New Roman" w:cs="Times New Roman"/>
        </w:rPr>
        <w:t xml:space="preserve">is in </w:t>
      </w:r>
      <w:r w:rsidR="00C70C2A" w:rsidRPr="00463949">
        <w:rPr>
          <w:rFonts w:ascii="Times New Roman" w:hAnsi="Times New Roman" w:cs="Times New Roman"/>
        </w:rPr>
        <w:t xml:space="preserve">overeenstemming </w:t>
      </w:r>
      <w:r w:rsidR="008A64E6" w:rsidRPr="00463949">
        <w:rPr>
          <w:rFonts w:ascii="Times New Roman" w:hAnsi="Times New Roman" w:cs="Times New Roman"/>
        </w:rPr>
        <w:t xml:space="preserve">met </w:t>
      </w:r>
      <w:r w:rsidRPr="00463949">
        <w:rPr>
          <w:rFonts w:ascii="Times New Roman" w:hAnsi="Times New Roman" w:cs="Times New Roman"/>
        </w:rPr>
        <w:t>rechtspraak van het HvJEU over</w:t>
      </w:r>
      <w:r w:rsidR="006D63B6" w:rsidRPr="00463949">
        <w:rPr>
          <w:rFonts w:ascii="Times New Roman" w:hAnsi="Times New Roman" w:cs="Times New Roman"/>
        </w:rPr>
        <w:t xml:space="preserve"> Richtlijn 85/374</w:t>
      </w:r>
      <w:r w:rsidRPr="00463949">
        <w:rPr>
          <w:rFonts w:ascii="Times New Roman" w:hAnsi="Times New Roman" w:cs="Times New Roman"/>
        </w:rPr>
        <w:t>. Zie HvJEU 10</w:t>
      </w:r>
      <w:r w:rsidR="006D79B6" w:rsidRPr="00463949">
        <w:rPr>
          <w:rFonts w:ascii="Times New Roman" w:hAnsi="Times New Roman" w:cs="Times New Roman"/>
        </w:rPr>
        <w:t xml:space="preserve"> juni </w:t>
      </w:r>
      <w:r w:rsidRPr="00463949">
        <w:rPr>
          <w:rFonts w:ascii="Times New Roman" w:hAnsi="Times New Roman" w:cs="Times New Roman"/>
        </w:rPr>
        <w:t>2021,</w:t>
      </w:r>
      <w:r w:rsidR="006D79B6" w:rsidRPr="00463949">
        <w:rPr>
          <w:rFonts w:ascii="Times New Roman" w:hAnsi="Times New Roman" w:cs="Times New Roman"/>
        </w:rPr>
        <w:t xml:space="preserve"> zaak C-65/20,</w:t>
      </w:r>
      <w:r w:rsidRPr="00463949">
        <w:rPr>
          <w:rFonts w:ascii="Times New Roman" w:hAnsi="Times New Roman" w:cs="Times New Roman"/>
        </w:rPr>
        <w:t xml:space="preserve"> ECLI:EU:C:2021:471 (KRONE)</w:t>
      </w:r>
      <w:r w:rsidR="006D79B6" w:rsidRPr="00463949">
        <w:rPr>
          <w:rFonts w:ascii="Times New Roman" w:hAnsi="Times New Roman" w:cs="Times New Roman"/>
        </w:rPr>
        <w:t xml:space="preserve">, waarin het HvJEU oordeelde dat een exemplaar van een gedrukte krant </w:t>
      </w:r>
      <w:r w:rsidR="00C70C2A" w:rsidRPr="00463949">
        <w:rPr>
          <w:rFonts w:ascii="Times New Roman" w:hAnsi="Times New Roman" w:cs="Times New Roman"/>
        </w:rPr>
        <w:t xml:space="preserve">geen “gebrekkig product” is in de zin van die richtlijn. De krant behandelde </w:t>
      </w:r>
      <w:r w:rsidR="006D79B6" w:rsidRPr="00463949">
        <w:rPr>
          <w:rFonts w:ascii="Times New Roman" w:hAnsi="Times New Roman" w:cs="Times New Roman"/>
        </w:rPr>
        <w:t xml:space="preserve">die een paramedisch onderwerp en </w:t>
      </w:r>
      <w:r w:rsidR="00C70C2A" w:rsidRPr="00463949">
        <w:rPr>
          <w:rFonts w:ascii="Times New Roman" w:hAnsi="Times New Roman" w:cs="Times New Roman"/>
        </w:rPr>
        <w:t xml:space="preserve">gaf </w:t>
      </w:r>
      <w:r w:rsidR="006D79B6" w:rsidRPr="00463949">
        <w:rPr>
          <w:rFonts w:ascii="Times New Roman" w:hAnsi="Times New Roman" w:cs="Times New Roman"/>
        </w:rPr>
        <w:t>daarbij een onjuist gezondheidsadvies over het gebruik van een plant</w:t>
      </w:r>
      <w:r w:rsidR="00C70C2A" w:rsidRPr="00463949">
        <w:rPr>
          <w:rFonts w:ascii="Times New Roman" w:hAnsi="Times New Roman" w:cs="Times New Roman"/>
        </w:rPr>
        <w:t>.</w:t>
      </w:r>
      <w:r w:rsidR="00C70C2A" w:rsidRPr="00463949" w:rsidDel="00C70C2A">
        <w:rPr>
          <w:rFonts w:ascii="Times New Roman" w:hAnsi="Times New Roman" w:cs="Times New Roman"/>
        </w:rPr>
        <w:t xml:space="preserve"> </w:t>
      </w:r>
      <w:r w:rsidR="00C70C2A" w:rsidRPr="00463949">
        <w:rPr>
          <w:rFonts w:ascii="Times New Roman" w:hAnsi="Times New Roman" w:cs="Times New Roman"/>
        </w:rPr>
        <w:t>Hier</w:t>
      </w:r>
      <w:r w:rsidR="006D79B6" w:rsidRPr="00463949">
        <w:rPr>
          <w:rFonts w:ascii="Times New Roman" w:hAnsi="Times New Roman" w:cs="Times New Roman"/>
        </w:rPr>
        <w:t>door</w:t>
      </w:r>
      <w:r w:rsidR="00C70C2A" w:rsidRPr="00463949">
        <w:rPr>
          <w:rFonts w:ascii="Times New Roman" w:hAnsi="Times New Roman" w:cs="Times New Roman"/>
        </w:rPr>
        <w:t xml:space="preserve"> leed</w:t>
      </w:r>
      <w:r w:rsidR="006D79B6" w:rsidRPr="00463949">
        <w:rPr>
          <w:rFonts w:ascii="Times New Roman" w:hAnsi="Times New Roman" w:cs="Times New Roman"/>
        </w:rPr>
        <w:t xml:space="preserve"> een lezer die dit advies </w:t>
      </w:r>
      <w:r w:rsidR="00C70C2A" w:rsidRPr="00463949">
        <w:rPr>
          <w:rFonts w:ascii="Times New Roman" w:hAnsi="Times New Roman" w:cs="Times New Roman"/>
        </w:rPr>
        <w:t>opvolgde gezondheidsschade</w:t>
      </w:r>
      <w:r w:rsidR="006D79B6" w:rsidRPr="00463949">
        <w:rPr>
          <w:rFonts w:ascii="Times New Roman" w:hAnsi="Times New Roman" w:cs="Times New Roman"/>
        </w:rPr>
        <w:t>.</w:t>
      </w:r>
    </w:p>
  </w:footnote>
  <w:footnote w:id="67">
    <w:p w14:paraId="2D521EF2" w14:textId="77777777" w:rsidR="0066615E" w:rsidRPr="00463949" w:rsidRDefault="0066615E" w:rsidP="0066615E">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HvJEU 19 december 2024, C-157/23, ECLI:EU:C:2024:1045 (</w:t>
      </w:r>
      <w:r w:rsidRPr="00463949">
        <w:rPr>
          <w:rFonts w:ascii="Times New Roman" w:hAnsi="Times New Roman" w:cs="Times New Roman"/>
          <w:i/>
          <w:iCs/>
        </w:rPr>
        <w:t>Ford Italia</w:t>
      </w:r>
      <w:r w:rsidRPr="00463949">
        <w:rPr>
          <w:rFonts w:ascii="Times New Roman" w:hAnsi="Times New Roman" w:cs="Times New Roman"/>
        </w:rPr>
        <w:t>), waarin artikel 3 lid 1 van Richtlijn 85/374/EEG - dat een met artikel 4 onder 10, subonderdeel 2, van de Richtlijn vergelijkbare bepaling bevat - aldus wordt uitgelegd dat de leverancier van een gebrekkig product moet worden beschouwd als “eenieder die zich als producent [van dat product] presenteert” in de zin van die bepaling, wanneer deze leverancier zijn naam, zijn merk of een ander onderscheidingsteken niet fysiek op dat product heeft aangebracht, maar het merk dat de producent op het product heeft aangebracht overeenstemt met, ten eerste, de naam of een onderscheidingsteken van die leverancier en, ten tweede, de naam van de producent.</w:t>
      </w:r>
    </w:p>
  </w:footnote>
  <w:footnote w:id="68">
    <w:p w14:paraId="5C8C2697" w14:textId="77777777" w:rsidR="0066615E" w:rsidRPr="00463949" w:rsidRDefault="0066615E" w:rsidP="0066615E">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3 onder 12 van Verordening (EU) 2023/988 en artikel 3 onder 11 van Verordening (EU) 2019/1020.</w:t>
      </w:r>
    </w:p>
  </w:footnote>
  <w:footnote w:id="69">
    <w:p w14:paraId="7893EF3E" w14:textId="77777777" w:rsidR="0066615E" w:rsidRPr="00463949" w:rsidRDefault="0066615E" w:rsidP="0066615E">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bijvoorbeeld artikel 10 van Verordening (EU) 2023/988 van het Europees Parlement en de Raad van 10 mei 2023 inzake algemene productveiligheid, tot wijziging van Verordening (EU) nr. 1025/2012 van het Europees Parlement en de Raad en Richtlijn (EU) 2020/1828 van het Europees Parlement en de Raad, en tot intrekking van Richtlijn 2001/95/EG van het Europees Parlement en de Raad en Richtlijn 87/357/EEG van de Raad (hierna: Verordening (EU) 2023/988).</w:t>
      </w:r>
    </w:p>
  </w:footnote>
  <w:footnote w:id="70">
    <w:p w14:paraId="5E4E1662" w14:textId="77777777" w:rsidR="0066615E" w:rsidRPr="00463949" w:rsidRDefault="0066615E" w:rsidP="0066615E">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bijvoorbeeld artikel 5 in verbinding met artikel 4, leden 2, onder c, en 3 van Verordening (EU) 2019/1020 van het Europees Parlement en de Raad van 20 juni 2019 betreffende markttoezicht en conformiteit van producten en tot wijziging van Richtlijn 2004/42/EG en de Verordeningen (EG) nr. 765/2008 en (EU) nr. 305/2011 (hierna: Verordening (EU) 2019/1020).</w:t>
      </w:r>
    </w:p>
  </w:footnote>
  <w:footnote w:id="71">
    <w:p w14:paraId="3FF3DB90" w14:textId="6469BDC3" w:rsidR="003233C4" w:rsidRPr="00463949" w:rsidRDefault="003233C4">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bookmarkStart w:id="14" w:name="_Hlk188612388"/>
      <w:r w:rsidR="007121A9" w:rsidRPr="00463949">
        <w:rPr>
          <w:rFonts w:ascii="Times New Roman" w:hAnsi="Times New Roman" w:cs="Times New Roman"/>
        </w:rPr>
        <w:t xml:space="preserve">Zie </w:t>
      </w:r>
      <w:r w:rsidR="00C37267" w:rsidRPr="00463949">
        <w:rPr>
          <w:rFonts w:ascii="Times New Roman" w:hAnsi="Times New Roman" w:cs="Times New Roman"/>
        </w:rPr>
        <w:t xml:space="preserve">artikel 3 onder 10 van </w:t>
      </w:r>
      <w:r w:rsidRPr="00463949">
        <w:rPr>
          <w:rFonts w:ascii="Times New Roman" w:hAnsi="Times New Roman" w:cs="Times New Roman"/>
        </w:rPr>
        <w:t>Verordening (EU) 2023/988 en</w:t>
      </w:r>
      <w:r w:rsidR="00C37267" w:rsidRPr="00463949">
        <w:rPr>
          <w:rFonts w:ascii="Times New Roman" w:hAnsi="Times New Roman" w:cs="Times New Roman"/>
        </w:rPr>
        <w:t xml:space="preserve"> artikel 3 onder 9 van</w:t>
      </w:r>
      <w:r w:rsidRPr="00463949">
        <w:rPr>
          <w:rFonts w:ascii="Times New Roman" w:hAnsi="Times New Roman" w:cs="Times New Roman"/>
        </w:rPr>
        <w:t xml:space="preserve"> Verordening (EU) 2019/1020.</w:t>
      </w:r>
      <w:bookmarkEnd w:id="14"/>
    </w:p>
  </w:footnote>
  <w:footnote w:id="72">
    <w:p w14:paraId="71E06875" w14:textId="71B62283" w:rsidR="00E7634A" w:rsidRPr="00463949" w:rsidRDefault="00E7634A">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w:t>
      </w:r>
      <w:r w:rsidR="005711E0" w:rsidRPr="00463949">
        <w:rPr>
          <w:rFonts w:ascii="Times New Roman" w:hAnsi="Times New Roman" w:cs="Times New Roman"/>
        </w:rPr>
        <w:t xml:space="preserve">artikel 3 onder 11 van </w:t>
      </w:r>
      <w:r w:rsidRPr="00463949">
        <w:rPr>
          <w:rFonts w:ascii="Times New Roman" w:hAnsi="Times New Roman" w:cs="Times New Roman"/>
        </w:rPr>
        <w:t xml:space="preserve">Verordening (EU) 2023/988 en </w:t>
      </w:r>
      <w:r w:rsidR="005711E0" w:rsidRPr="00463949">
        <w:rPr>
          <w:rFonts w:ascii="Times New Roman" w:hAnsi="Times New Roman" w:cs="Times New Roman"/>
        </w:rPr>
        <w:t xml:space="preserve">artikel 3 onder 10 van </w:t>
      </w:r>
      <w:r w:rsidRPr="00463949">
        <w:rPr>
          <w:rFonts w:ascii="Times New Roman" w:hAnsi="Times New Roman" w:cs="Times New Roman"/>
        </w:rPr>
        <w:t>Verordening (EU) 2019/1020.</w:t>
      </w:r>
    </w:p>
  </w:footnote>
  <w:footnote w:id="73">
    <w:p w14:paraId="4B6CCE7D" w14:textId="77777777" w:rsidR="00A61421" w:rsidRPr="00463949" w:rsidRDefault="00A61421" w:rsidP="00A61421">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In overweging 39 van de Richtlijn is verduidelijkt dat onder Uniewetgeving in ieder geval Verordening (EU) 2023/988 wordt begrepen.</w:t>
      </w:r>
    </w:p>
  </w:footnote>
  <w:footnote w:id="74">
    <w:p w14:paraId="7835A90A" w14:textId="6EA42022" w:rsidR="00E01C86" w:rsidRPr="00463949" w:rsidRDefault="00E01C86">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Deze gronden komen grotendeels overeen met de vrijstellingsgronden in artikel 7 van </w:t>
      </w:r>
      <w:r w:rsidR="0005617B" w:rsidRPr="00463949">
        <w:rPr>
          <w:rFonts w:ascii="Times New Roman" w:hAnsi="Times New Roman" w:cs="Times New Roman"/>
        </w:rPr>
        <w:t>R</w:t>
      </w:r>
      <w:r w:rsidRPr="00463949">
        <w:rPr>
          <w:rFonts w:ascii="Times New Roman" w:hAnsi="Times New Roman" w:cs="Times New Roman"/>
        </w:rPr>
        <w:t xml:space="preserve">ichtlijn </w:t>
      </w:r>
      <w:r w:rsidR="0005617B" w:rsidRPr="00463949">
        <w:rPr>
          <w:rFonts w:ascii="Times New Roman" w:hAnsi="Times New Roman" w:cs="Times New Roman"/>
        </w:rPr>
        <w:t xml:space="preserve">85/374/EEG </w:t>
      </w:r>
      <w:r w:rsidRPr="00463949">
        <w:rPr>
          <w:rFonts w:ascii="Times New Roman" w:hAnsi="Times New Roman" w:cs="Times New Roman"/>
        </w:rPr>
        <w:t>(geïmplementeerd in het huidige artikel 6:185 lid 1, onderdelen a t/m f, BW).</w:t>
      </w:r>
    </w:p>
  </w:footnote>
  <w:footnote w:id="75">
    <w:p w14:paraId="361E85F6" w14:textId="0A7AF5F1" w:rsidR="003E4129" w:rsidRPr="00463949" w:rsidRDefault="003E4129" w:rsidP="003E4129">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6 van Richtlijn 85/374/EEG en de bijbehorende overweging: “</w:t>
      </w:r>
      <w:r w:rsidR="00F54C2B" w:rsidRPr="00463949">
        <w:rPr>
          <w:rFonts w:ascii="Times New Roman" w:hAnsi="Times New Roman" w:cs="Times New Roman"/>
        </w:rPr>
        <w:t>Overwegende dat bij de beantwoording van de vraag of een produkt een gebrek vertoont, ter bescherming van de fysieke integriteit en de goederen van de consument, niet de ongeschiktheid van het produkt voor het gebruik de maatstaf moet zijn, doch het gebrek aan veiligheid die het grote publiek gerechtigd is te verwachten;”</w:t>
      </w:r>
    </w:p>
  </w:footnote>
  <w:footnote w:id="76">
    <w:p w14:paraId="0964BDA5" w14:textId="56AFB0D8" w:rsidR="00B32964" w:rsidRPr="00463949" w:rsidRDefault="00B32964">
      <w:pPr>
        <w:pStyle w:val="Voetnoottekst"/>
        <w:rPr>
          <w:rFonts w:ascii="Times New Roman" w:hAnsi="Times New Roman" w:cs="Times New Roman"/>
          <w:lang w:val="de-DE"/>
        </w:rPr>
      </w:pPr>
      <w:r w:rsidRPr="00463949">
        <w:rPr>
          <w:rStyle w:val="Voetnootmarkering"/>
          <w:rFonts w:ascii="Times New Roman" w:hAnsi="Times New Roman" w:cs="Times New Roman"/>
        </w:rPr>
        <w:footnoteRef/>
      </w:r>
      <w:r w:rsidRPr="00463949">
        <w:rPr>
          <w:rFonts w:ascii="Times New Roman" w:hAnsi="Times New Roman" w:cs="Times New Roman"/>
          <w:lang w:val="de-DE"/>
        </w:rPr>
        <w:t xml:space="preserve"> </w:t>
      </w:r>
      <w:r w:rsidR="00942AAD" w:rsidRPr="00463949">
        <w:rPr>
          <w:rFonts w:ascii="Times New Roman" w:hAnsi="Times New Roman" w:cs="Times New Roman"/>
          <w:lang w:val="de-DE"/>
        </w:rPr>
        <w:t xml:space="preserve">Zie </w:t>
      </w:r>
      <w:r w:rsidRPr="00463949">
        <w:rPr>
          <w:rFonts w:ascii="Times New Roman" w:hAnsi="Times New Roman" w:cs="Times New Roman"/>
          <w:lang w:val="de-DE"/>
        </w:rPr>
        <w:t>HvJEU 5 maart 2015, C-503/13 en C-504/13</w:t>
      </w:r>
      <w:r w:rsidR="00942AAD" w:rsidRPr="00463949">
        <w:rPr>
          <w:rFonts w:ascii="Times New Roman" w:hAnsi="Times New Roman" w:cs="Times New Roman"/>
          <w:lang w:val="de-DE"/>
        </w:rPr>
        <w:t xml:space="preserve">, ECLI:EU:C:2015:148, </w:t>
      </w:r>
      <w:r w:rsidRPr="00463949">
        <w:rPr>
          <w:rFonts w:ascii="Times New Roman" w:hAnsi="Times New Roman" w:cs="Times New Roman"/>
          <w:lang w:val="de-DE"/>
        </w:rPr>
        <w:t>(</w:t>
      </w:r>
      <w:r w:rsidRPr="00463949">
        <w:rPr>
          <w:rFonts w:ascii="Times New Roman" w:hAnsi="Times New Roman" w:cs="Times New Roman"/>
          <w:i/>
          <w:iCs/>
          <w:lang w:val="de-DE"/>
        </w:rPr>
        <w:t>Boston Scientific</w:t>
      </w:r>
      <w:r w:rsidR="00942AAD" w:rsidRPr="00463949">
        <w:rPr>
          <w:rFonts w:ascii="Times New Roman" w:hAnsi="Times New Roman" w:cs="Times New Roman"/>
          <w:lang w:val="de-DE"/>
        </w:rPr>
        <w:t xml:space="preserve"> </w:t>
      </w:r>
      <w:r w:rsidR="00942AAD" w:rsidRPr="00463949">
        <w:rPr>
          <w:rFonts w:ascii="Times New Roman" w:hAnsi="Times New Roman" w:cs="Times New Roman"/>
          <w:i/>
          <w:iCs/>
          <w:lang w:val="de-DE"/>
        </w:rPr>
        <w:t xml:space="preserve">Medizintechnik </w:t>
      </w:r>
      <w:r w:rsidRPr="00463949">
        <w:rPr>
          <w:rFonts w:ascii="Times New Roman" w:hAnsi="Times New Roman" w:cs="Times New Roman"/>
          <w:i/>
          <w:iCs/>
          <w:lang w:val="de-DE"/>
        </w:rPr>
        <w:t>/AOK Sachsen-Anhalt</w:t>
      </w:r>
      <w:r w:rsidRPr="00463949">
        <w:rPr>
          <w:rFonts w:ascii="Times New Roman" w:hAnsi="Times New Roman" w:cs="Times New Roman"/>
          <w:lang w:val="de-DE"/>
        </w:rPr>
        <w:t>)</w:t>
      </w:r>
      <w:r w:rsidR="00EF44A1" w:rsidRPr="00463949">
        <w:rPr>
          <w:rFonts w:ascii="Times New Roman" w:hAnsi="Times New Roman" w:cs="Times New Roman"/>
          <w:lang w:val="de-DE"/>
        </w:rPr>
        <w:t>, punten 39-41.</w:t>
      </w:r>
    </w:p>
  </w:footnote>
  <w:footnote w:id="77">
    <w:p w14:paraId="3C3F489B" w14:textId="290F6798" w:rsidR="00BF38C9" w:rsidRPr="00463949" w:rsidRDefault="00BF38C9">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6 lid 2 van de Richtlijn 85/374/EG. Deze bepaling is geïmplementeerd in het huidige artikel 6:185 lid 2 BW.</w:t>
      </w:r>
    </w:p>
  </w:footnote>
  <w:footnote w:id="78">
    <w:p w14:paraId="3A45D66B" w14:textId="5C53E70B" w:rsidR="000C3F4A" w:rsidRPr="00463949" w:rsidRDefault="000C3F4A" w:rsidP="000C3F4A">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Style w:val="Voetnootmarkering"/>
          <w:rFonts w:ascii="Times New Roman" w:hAnsi="Times New Roman" w:cs="Times New Roman"/>
        </w:rPr>
        <w:t xml:space="preserve"> </w:t>
      </w:r>
      <w:r w:rsidRPr="00463949">
        <w:rPr>
          <w:rFonts w:ascii="Times New Roman" w:hAnsi="Times New Roman" w:cs="Times New Roman"/>
        </w:rPr>
        <w:t xml:space="preserve">De digitaledienstenverordening beoogt bij te dragen aan de goede werking van de interne markt voor tussenhandeldiensten door te voorzien in geharmoniseerde regels voor een veilige, voorspelbare en betrouwbare onlineomgeving die innovatie bevordert en waarin de in het Handvest </w:t>
      </w:r>
      <w:r w:rsidR="000F772F" w:rsidRPr="00463949">
        <w:rPr>
          <w:rFonts w:ascii="Times New Roman" w:hAnsi="Times New Roman" w:cs="Times New Roman"/>
        </w:rPr>
        <w:t xml:space="preserve">van de grondrechten van de Europese Unie </w:t>
      </w:r>
      <w:r w:rsidRPr="00463949">
        <w:rPr>
          <w:rFonts w:ascii="Times New Roman" w:hAnsi="Times New Roman" w:cs="Times New Roman"/>
        </w:rPr>
        <w:t xml:space="preserve">verankerde grondrechten, waaronder het beginsel van consumentenbescherming, doeltreffend worden beschermd. </w:t>
      </w:r>
    </w:p>
  </w:footnote>
  <w:footnote w:id="79">
    <w:p w14:paraId="6972FD00" w14:textId="08F7EDF0" w:rsidR="000F772F" w:rsidRPr="00463949" w:rsidRDefault="000F772F">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Artikel 6 van de digitaledienstenverordening bevat een regeling die ziet op de aansprakelijkheid van onlineplatforms die uitsluitend “host”-diensten verlenen. Het regelt voor deze onlineplatforms een voorwaardelijke vrijstelling van aansprakelijkheid voor illegale diensten en inhoud (artikel 6 lid 1). Hierop bestaat een uitzondering: Een onlineplatform is wel aansprakelijk als het, kort gezegd, informatie, een dienst of product presenteert op een wijze die een gemiddelde consument zou doen geloven dat die informatie, dienst of dat product wordt verstrekt door het onlineplatform zelf (artikel 6 lid 3).</w:t>
      </w:r>
    </w:p>
  </w:footnote>
  <w:footnote w:id="80">
    <w:p w14:paraId="25D28381" w14:textId="3CEA17B1" w:rsidR="00F51065" w:rsidRPr="00463949" w:rsidRDefault="00F51065">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w:t>
      </w:r>
      <w:r w:rsidR="00D452F8" w:rsidRPr="00463949">
        <w:rPr>
          <w:rFonts w:ascii="Times New Roman" w:hAnsi="Times New Roman" w:cs="Times New Roman"/>
        </w:rPr>
        <w:t>4 van Richtlijn 85/374/EEG. Deze bepaling is geïmplementeerd in artikel 6:188 BW.</w:t>
      </w:r>
    </w:p>
  </w:footnote>
  <w:footnote w:id="81">
    <w:p w14:paraId="2A2A9387" w14:textId="57A27E80" w:rsidR="0030507A" w:rsidRPr="00463949" w:rsidRDefault="0030507A">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Artikel 3.10 Aanwijzingen voor de regelgeving.</w:t>
      </w:r>
    </w:p>
  </w:footnote>
  <w:footnote w:id="82">
    <w:p w14:paraId="43792FAD" w14:textId="615E2F66" w:rsidR="0030507A" w:rsidRPr="00463949" w:rsidRDefault="0030507A">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r w:rsidR="00AF3FF2" w:rsidRPr="00463949">
        <w:rPr>
          <w:rFonts w:ascii="Times New Roman" w:hAnsi="Times New Roman" w:cs="Times New Roman"/>
        </w:rPr>
        <w:t>Vgl. artikelen 6:107 lid 1 en 6:107a lid 1 BW, waarin eveneens wordt gesproken van “lichamelijk of geestelijk letsel”.</w:t>
      </w:r>
    </w:p>
  </w:footnote>
  <w:footnote w:id="83">
    <w:p w14:paraId="7547F764" w14:textId="77777777" w:rsidR="00883CE3" w:rsidRPr="00463949" w:rsidRDefault="00883CE3" w:rsidP="00883CE3">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de artikelen 9, onderdeel b, en 18 van Richtlijn 85/374/EEG. </w:t>
      </w:r>
    </w:p>
  </w:footnote>
  <w:footnote w:id="84">
    <w:p w14:paraId="65BAF487" w14:textId="77777777" w:rsidR="00967FE0" w:rsidRPr="00463949" w:rsidRDefault="00967FE0" w:rsidP="00967FE0">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Op dit moment zijn in artikel 6:191 BW zowel de verjarings- als de vervaltermijn opgenomen.</w:t>
      </w:r>
    </w:p>
  </w:footnote>
  <w:footnote w:id="85">
    <w:p w14:paraId="338F54B5" w14:textId="77777777" w:rsidR="00967FE0" w:rsidRPr="00463949" w:rsidRDefault="00967FE0" w:rsidP="00967FE0">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10 lid 1 van Richtlijn 85/374/EG. Dit artikel is geïmplementeerd in artikel 6:191 lid 1 BW.</w:t>
      </w:r>
    </w:p>
  </w:footnote>
  <w:footnote w:id="86">
    <w:p w14:paraId="7A14D8E8" w14:textId="47C7C995" w:rsidR="0046185A" w:rsidRPr="00463949" w:rsidRDefault="0046185A" w:rsidP="0046185A">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Dit is onder het huidige recht ook </w:t>
      </w:r>
      <w:r w:rsidR="00FA6FCB" w:rsidRPr="00463949">
        <w:rPr>
          <w:rFonts w:ascii="Times New Roman" w:hAnsi="Times New Roman" w:cs="Times New Roman"/>
        </w:rPr>
        <w:t xml:space="preserve">al </w:t>
      </w:r>
      <w:r w:rsidRPr="00463949">
        <w:rPr>
          <w:rFonts w:ascii="Times New Roman" w:hAnsi="Times New Roman" w:cs="Times New Roman"/>
        </w:rPr>
        <w:t xml:space="preserve">zo. Zie </w:t>
      </w:r>
      <w:r w:rsidRPr="00463949">
        <w:rPr>
          <w:rFonts w:ascii="Times New Roman" w:hAnsi="Times New Roman" w:cs="Times New Roman"/>
          <w:i/>
          <w:iCs/>
        </w:rPr>
        <w:t>Kamerstukken II</w:t>
      </w:r>
      <w:r w:rsidRPr="00463949">
        <w:rPr>
          <w:rFonts w:ascii="Times New Roman" w:hAnsi="Times New Roman" w:cs="Times New Roman"/>
        </w:rPr>
        <w:t xml:space="preserve"> 1985-1986, 19 636, nr. 2, p. 11 en </w:t>
      </w:r>
      <w:r w:rsidRPr="00463949">
        <w:rPr>
          <w:rFonts w:ascii="Times New Roman" w:hAnsi="Times New Roman" w:cs="Times New Roman"/>
          <w:i/>
          <w:iCs/>
        </w:rPr>
        <w:t>Kamerstukken II</w:t>
      </w:r>
      <w:r w:rsidRPr="00463949">
        <w:rPr>
          <w:rFonts w:ascii="Times New Roman" w:hAnsi="Times New Roman" w:cs="Times New Roman"/>
        </w:rPr>
        <w:t xml:space="preserve"> 1987-1988, 19 636, nr. 6, p. 28.</w:t>
      </w:r>
    </w:p>
  </w:footnote>
  <w:footnote w:id="87">
    <w:p w14:paraId="2A2B27BE" w14:textId="79672053" w:rsidR="00B92AFE" w:rsidRPr="00463949" w:rsidRDefault="00B92AFE">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artikel 11 van Richtlijn 85/374/EG. Dit artikel is geïmplementeerd in artikel 6:191 lid 2 BW.</w:t>
      </w:r>
    </w:p>
  </w:footnote>
  <w:footnote w:id="88">
    <w:p w14:paraId="4C965FFE" w14:textId="17D94634" w:rsidR="00EB55BD" w:rsidRPr="00463949" w:rsidRDefault="00EB55BD" w:rsidP="00EB55BD">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Dit is </w:t>
      </w:r>
      <w:r w:rsidR="003C2C0A" w:rsidRPr="00463949">
        <w:rPr>
          <w:rFonts w:ascii="Times New Roman" w:hAnsi="Times New Roman" w:cs="Times New Roman"/>
        </w:rPr>
        <w:t xml:space="preserve">overigens </w:t>
      </w:r>
      <w:r w:rsidRPr="00463949">
        <w:rPr>
          <w:rFonts w:ascii="Times New Roman" w:hAnsi="Times New Roman" w:cs="Times New Roman"/>
        </w:rPr>
        <w:t xml:space="preserve">dezelfde redenering als ten grondslag lag aan het niet overnemen van de tenzij-bepaling bij de implementatie van artikel 11 van Richtlijn 85/374/EG. Zie </w:t>
      </w:r>
      <w:r w:rsidRPr="00463949">
        <w:rPr>
          <w:rFonts w:ascii="Times New Roman" w:hAnsi="Times New Roman" w:cs="Times New Roman"/>
          <w:i/>
          <w:iCs/>
        </w:rPr>
        <w:t>Kamerstukken II</w:t>
      </w:r>
      <w:r w:rsidRPr="00463949">
        <w:rPr>
          <w:rFonts w:ascii="Times New Roman" w:hAnsi="Times New Roman" w:cs="Times New Roman"/>
        </w:rPr>
        <w:t xml:space="preserve"> 1987-1988, 19 636, nr. 6, p. 29.</w:t>
      </w:r>
    </w:p>
  </w:footnote>
  <w:footnote w:id="89">
    <w:p w14:paraId="23FCFEB6" w14:textId="48351FB5" w:rsidR="00E03C35" w:rsidRPr="00463949" w:rsidRDefault="00E03C35">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w:t>
      </w:r>
      <w:r w:rsidRPr="00463949">
        <w:rPr>
          <w:rFonts w:ascii="Times New Roman" w:hAnsi="Times New Roman" w:cs="Times New Roman"/>
          <w:i/>
          <w:iCs/>
        </w:rPr>
        <w:t>Kamerstukken II</w:t>
      </w:r>
      <w:r w:rsidRPr="00463949">
        <w:rPr>
          <w:rFonts w:ascii="Times New Roman" w:hAnsi="Times New Roman" w:cs="Times New Roman"/>
        </w:rPr>
        <w:t xml:space="preserve"> 1985-1986, 19 636, nr. 3, p. 11-12.</w:t>
      </w:r>
    </w:p>
  </w:footnote>
  <w:footnote w:id="90">
    <w:p w14:paraId="6DD6E3D0" w14:textId="77777777" w:rsidR="00FA6FCB" w:rsidRPr="00463949" w:rsidRDefault="00FA6FCB" w:rsidP="00FA6FCB">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Artikel 12 van Richtlijn 85/374/EG bevat een vergelijkbare bepaling: “De aansprakelijkheid van de producent uit hoofde van deze richtlijn kan ten aanzien van de gelaedeerde niet worden uitgesloten of beperkt bij overeenkomst.” Die bepaling is geïmplementeerd in artikel 6:192 lid 1 BW en kan dus worden gehandhaafd.</w:t>
      </w:r>
    </w:p>
  </w:footnote>
  <w:footnote w:id="91">
    <w:p w14:paraId="4B11D966" w14:textId="47AF4DC8" w:rsidR="00100EAD" w:rsidRPr="00463949" w:rsidRDefault="00100EAD">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Zie </w:t>
      </w:r>
      <w:r w:rsidRPr="00463949">
        <w:rPr>
          <w:rFonts w:ascii="Times New Roman" w:hAnsi="Times New Roman" w:cs="Times New Roman"/>
          <w:i/>
          <w:iCs/>
        </w:rPr>
        <w:t>Kamerstukken II</w:t>
      </w:r>
      <w:r w:rsidRPr="00463949">
        <w:rPr>
          <w:rFonts w:ascii="Times New Roman" w:hAnsi="Times New Roman" w:cs="Times New Roman"/>
        </w:rPr>
        <w:t xml:space="preserve"> </w:t>
      </w:r>
      <w:bookmarkStart w:id="15" w:name="_Hlk192778881"/>
      <w:r w:rsidRPr="00463949">
        <w:rPr>
          <w:rFonts w:ascii="Times New Roman" w:hAnsi="Times New Roman" w:cs="Times New Roman"/>
        </w:rPr>
        <w:t xml:space="preserve">1985-1986, 19 636, </w:t>
      </w:r>
      <w:bookmarkEnd w:id="15"/>
      <w:r w:rsidRPr="00463949">
        <w:rPr>
          <w:rFonts w:ascii="Times New Roman" w:hAnsi="Times New Roman" w:cs="Times New Roman"/>
        </w:rPr>
        <w:t>nr. 3, p. 12</w:t>
      </w:r>
      <w:r w:rsidR="00403188" w:rsidRPr="00463949">
        <w:rPr>
          <w:rFonts w:ascii="Times New Roman" w:hAnsi="Times New Roman" w:cs="Times New Roman"/>
        </w:rPr>
        <w:t>.</w:t>
      </w:r>
    </w:p>
  </w:footnote>
  <w:footnote w:id="92">
    <w:p w14:paraId="38D495FE" w14:textId="36EB930C" w:rsidR="007B0DB9" w:rsidRPr="00463949" w:rsidRDefault="007B0DB9">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Deze situatie zal zich overigens niet vaak voordoen gelet op de kanalisatiebepaling in artikel 6:173 lid 2 BW. </w:t>
      </w:r>
      <w:r w:rsidR="006006CB" w:rsidRPr="00463949">
        <w:rPr>
          <w:rFonts w:ascii="Times New Roman" w:hAnsi="Times New Roman" w:cs="Times New Roman"/>
        </w:rPr>
        <w:t xml:space="preserve">Zie </w:t>
      </w:r>
      <w:r w:rsidR="00D02D01" w:rsidRPr="00463949">
        <w:rPr>
          <w:rFonts w:ascii="Times New Roman" w:hAnsi="Times New Roman" w:cs="Times New Roman"/>
        </w:rPr>
        <w:t xml:space="preserve">in deze zin </w:t>
      </w:r>
      <w:r w:rsidR="006006CB" w:rsidRPr="00463949">
        <w:rPr>
          <w:rFonts w:ascii="Times New Roman" w:hAnsi="Times New Roman" w:cs="Times New Roman"/>
        </w:rPr>
        <w:t xml:space="preserve">ook </w:t>
      </w:r>
      <w:r w:rsidRPr="00463949">
        <w:rPr>
          <w:rFonts w:ascii="Times New Roman" w:hAnsi="Times New Roman" w:cs="Times New Roman"/>
        </w:rPr>
        <w:t>Asser/Sieburgh 6-IV 2023/269.</w:t>
      </w:r>
    </w:p>
  </w:footnote>
  <w:footnote w:id="93">
    <w:p w14:paraId="111F90B9" w14:textId="70E01FDA" w:rsidR="00346D6F" w:rsidRPr="00463949" w:rsidRDefault="00346D6F">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De Richtlijn schrijft in artikel 14 uitsluitend voor dat een aansprakelijke marktdeelnemer die de schade van de benadeelde heeft vergoed verhaal moeten kunnen nemen op andere op grond van artikel 8 aansprakelijke marktdeelnemers. D</w:t>
      </w:r>
      <w:r w:rsidR="00100EAD" w:rsidRPr="00463949">
        <w:rPr>
          <w:rFonts w:ascii="Times New Roman" w:hAnsi="Times New Roman" w:cs="Times New Roman"/>
        </w:rPr>
        <w:t>i</w:t>
      </w:r>
      <w:r w:rsidRPr="00463949">
        <w:rPr>
          <w:rFonts w:ascii="Times New Roman" w:hAnsi="Times New Roman" w:cs="Times New Roman"/>
        </w:rPr>
        <w:t>t betreft een andere situatie</w:t>
      </w:r>
      <w:r w:rsidR="00100EAD" w:rsidRPr="00463949">
        <w:rPr>
          <w:rFonts w:ascii="Times New Roman" w:hAnsi="Times New Roman" w:cs="Times New Roman"/>
        </w:rPr>
        <w:t xml:space="preserve"> dan beschreven in artikel 6:192 lid 2 BW</w:t>
      </w:r>
      <w:r w:rsidRPr="00463949">
        <w:rPr>
          <w:rFonts w:ascii="Times New Roman" w:hAnsi="Times New Roman" w:cs="Times New Roman"/>
        </w:rPr>
        <w:t xml:space="preserve">. De richtlijn verwijst in de artikelen 12 lid 1, 13 lid 1 en 14 bovendien </w:t>
      </w:r>
      <w:r w:rsidR="00100EAD" w:rsidRPr="00463949">
        <w:rPr>
          <w:rFonts w:ascii="Times New Roman" w:hAnsi="Times New Roman" w:cs="Times New Roman"/>
        </w:rPr>
        <w:t xml:space="preserve">expliciet </w:t>
      </w:r>
      <w:r w:rsidRPr="00463949">
        <w:rPr>
          <w:rFonts w:ascii="Times New Roman" w:hAnsi="Times New Roman" w:cs="Times New Roman"/>
        </w:rPr>
        <w:t>naar het nationale recht</w:t>
      </w:r>
      <w:r w:rsidR="00100EAD" w:rsidRPr="00463949">
        <w:rPr>
          <w:rFonts w:ascii="Times New Roman" w:hAnsi="Times New Roman" w:cs="Times New Roman"/>
        </w:rPr>
        <w:t xml:space="preserve"> inzake regres</w:t>
      </w:r>
      <w:r w:rsidRPr="00463949">
        <w:rPr>
          <w:rFonts w:ascii="Times New Roman" w:hAnsi="Times New Roman" w:cs="Times New Roman"/>
        </w:rPr>
        <w:t>.</w:t>
      </w:r>
    </w:p>
  </w:footnote>
  <w:footnote w:id="94">
    <w:p w14:paraId="7EF66CFC" w14:textId="2DE90466" w:rsidR="002B3265" w:rsidRPr="00463949" w:rsidRDefault="002B3265" w:rsidP="002B3265">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Artikel 13 van Richtlijn 85/374/EG luidt: “Deze richtlijn laat de rechten die de gelaedeerde</w:t>
      </w:r>
    </w:p>
    <w:p w14:paraId="37D16E57" w14:textId="759D0232" w:rsidR="002B3265" w:rsidRPr="00463949" w:rsidRDefault="002B3265" w:rsidP="002B3265">
      <w:pPr>
        <w:pStyle w:val="Voetnoottekst"/>
        <w:rPr>
          <w:rFonts w:ascii="Times New Roman" w:hAnsi="Times New Roman" w:cs="Times New Roman"/>
        </w:rPr>
      </w:pPr>
      <w:r w:rsidRPr="00463949">
        <w:rPr>
          <w:rFonts w:ascii="Times New Roman" w:hAnsi="Times New Roman" w:cs="Times New Roman"/>
        </w:rPr>
        <w:t>ontleent aan het recht inzake contractuele of buitencontractuele aansprakelijkheid of aan een op het</w:t>
      </w:r>
    </w:p>
    <w:p w14:paraId="18AA9395" w14:textId="177FAABD" w:rsidR="002B3265" w:rsidRPr="00463949" w:rsidRDefault="002B3265" w:rsidP="002B3265">
      <w:pPr>
        <w:pStyle w:val="Voetnoottekst"/>
        <w:rPr>
          <w:rFonts w:ascii="Times New Roman" w:hAnsi="Times New Roman" w:cs="Times New Roman"/>
        </w:rPr>
      </w:pPr>
      <w:r w:rsidRPr="00463949">
        <w:rPr>
          <w:rFonts w:ascii="Times New Roman" w:hAnsi="Times New Roman" w:cs="Times New Roman"/>
        </w:rPr>
        <w:t>ogenblik van de kennisgeving van deze richtlijn bestaande speciale aansprakelijkheidsregeling onverlet.”</w:t>
      </w:r>
    </w:p>
  </w:footnote>
  <w:footnote w:id="95">
    <w:p w14:paraId="4E2F6B91" w14:textId="13E23531" w:rsidR="00D631E1" w:rsidRPr="00463949" w:rsidRDefault="00D631E1">
      <w:pPr>
        <w:pStyle w:val="Voetnoottekst"/>
        <w:rPr>
          <w:rFonts w:ascii="Times New Roman" w:hAnsi="Times New Roman" w:cs="Times New Roman"/>
          <w:lang w:val="es-ES"/>
        </w:rPr>
      </w:pPr>
      <w:r w:rsidRPr="00463949">
        <w:rPr>
          <w:rStyle w:val="Voetnootmarkering"/>
          <w:rFonts w:ascii="Times New Roman" w:hAnsi="Times New Roman" w:cs="Times New Roman"/>
        </w:rPr>
        <w:footnoteRef/>
      </w:r>
      <w:r w:rsidRPr="00463949">
        <w:rPr>
          <w:rFonts w:ascii="Times New Roman" w:hAnsi="Times New Roman" w:cs="Times New Roman"/>
          <w:lang w:val="es-ES"/>
        </w:rPr>
        <w:t xml:space="preserve"> </w:t>
      </w:r>
      <w:r w:rsidR="007F085D" w:rsidRPr="00463949">
        <w:rPr>
          <w:rFonts w:ascii="Times New Roman" w:hAnsi="Times New Roman" w:cs="Times New Roman"/>
          <w:lang w:val="es-ES"/>
        </w:rPr>
        <w:t>HvJ</w:t>
      </w:r>
      <w:r w:rsidR="001476F5" w:rsidRPr="00463949">
        <w:rPr>
          <w:rFonts w:ascii="Times New Roman" w:hAnsi="Times New Roman" w:cs="Times New Roman"/>
          <w:lang w:val="es-ES"/>
        </w:rPr>
        <w:t xml:space="preserve"> </w:t>
      </w:r>
      <w:r w:rsidR="007F085D" w:rsidRPr="00463949">
        <w:rPr>
          <w:rFonts w:ascii="Times New Roman" w:hAnsi="Times New Roman" w:cs="Times New Roman"/>
          <w:lang w:val="es-ES"/>
        </w:rPr>
        <w:t xml:space="preserve">EU 25 april 2002, C-183/00, </w:t>
      </w:r>
      <w:r w:rsidR="001476F5" w:rsidRPr="00463949">
        <w:rPr>
          <w:rFonts w:ascii="Times New Roman" w:hAnsi="Times New Roman" w:cs="Times New Roman"/>
          <w:lang w:val="es-ES"/>
        </w:rPr>
        <w:t>ECLI:</w:t>
      </w:r>
      <w:r w:rsidR="007F085D" w:rsidRPr="00463949">
        <w:rPr>
          <w:rFonts w:ascii="Times New Roman" w:hAnsi="Times New Roman" w:cs="Times New Roman"/>
          <w:lang w:val="es-ES"/>
        </w:rPr>
        <w:t>EU:C:2002:255 (</w:t>
      </w:r>
      <w:r w:rsidR="007F085D" w:rsidRPr="00463949">
        <w:rPr>
          <w:rFonts w:ascii="Times New Roman" w:hAnsi="Times New Roman" w:cs="Times New Roman"/>
          <w:i/>
          <w:iCs/>
          <w:lang w:val="es-ES"/>
        </w:rPr>
        <w:t>Gonzáles Sánchez</w:t>
      </w:r>
      <w:r w:rsidR="007F085D" w:rsidRPr="00463949">
        <w:rPr>
          <w:rFonts w:ascii="Times New Roman" w:hAnsi="Times New Roman" w:cs="Times New Roman"/>
          <w:lang w:val="es-ES"/>
        </w:rPr>
        <w:t>), punten 30-34.</w:t>
      </w:r>
    </w:p>
  </w:footnote>
  <w:footnote w:id="96">
    <w:p w14:paraId="6703F705" w14:textId="6AD74008" w:rsidR="002105B0" w:rsidRPr="00463949" w:rsidRDefault="002105B0">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De verzekeraar kan de producent wel aanspreken op grond van onrechtmatige daad (artikel 6:162 BW)</w:t>
      </w:r>
      <w:r w:rsidR="00177A78" w:rsidRPr="00463949">
        <w:rPr>
          <w:rFonts w:ascii="Times New Roman" w:hAnsi="Times New Roman" w:cs="Times New Roman"/>
        </w:rPr>
        <w:t>, maar zal dan aannemelijk moeten maken en, indien nodig, bewijzen dat sprake is van schuld of verwijtbaarheid (“toerekenbaarheid”).</w:t>
      </w:r>
    </w:p>
  </w:footnote>
  <w:footnote w:id="97">
    <w:p w14:paraId="377F1B2F" w14:textId="784D274E" w:rsidR="00A9527F" w:rsidRPr="00463949" w:rsidRDefault="00A9527F">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w:t>
      </w:r>
      <w:r w:rsidR="00B7134C" w:rsidRPr="00463949">
        <w:rPr>
          <w:rFonts w:ascii="Times New Roman" w:hAnsi="Times New Roman" w:cs="Times New Roman"/>
        </w:rPr>
        <w:t xml:space="preserve">In </w:t>
      </w:r>
      <w:r w:rsidRPr="00463949">
        <w:rPr>
          <w:rFonts w:ascii="Times New Roman" w:hAnsi="Times New Roman" w:cs="Times New Roman"/>
        </w:rPr>
        <w:t>de literatuur wordt</w:t>
      </w:r>
      <w:r w:rsidR="00B7134C" w:rsidRPr="00463949">
        <w:rPr>
          <w:rFonts w:ascii="Times New Roman" w:hAnsi="Times New Roman" w:cs="Times New Roman"/>
        </w:rPr>
        <w:t xml:space="preserve"> overigens ook breed</w:t>
      </w:r>
      <w:r w:rsidRPr="00463949">
        <w:rPr>
          <w:rFonts w:ascii="Times New Roman" w:hAnsi="Times New Roman" w:cs="Times New Roman"/>
        </w:rPr>
        <w:t xml:space="preserve"> aangenomen dat de Richtlijn noopt tot aanpassing van de TRV. Zie o.a.: J. Wassink en M.B.M. Loos, ‘Productaansprakelijkheid in het digitale tijdperk. De Richtlijn productaansprakelijkheid bij de tijd gebracht’, </w:t>
      </w:r>
      <w:r w:rsidRPr="00463949">
        <w:rPr>
          <w:rFonts w:ascii="Times New Roman" w:hAnsi="Times New Roman" w:cs="Times New Roman"/>
          <w:i/>
          <w:iCs/>
        </w:rPr>
        <w:t>NtER</w:t>
      </w:r>
      <w:r w:rsidRPr="00463949">
        <w:rPr>
          <w:rFonts w:ascii="Times New Roman" w:hAnsi="Times New Roman" w:cs="Times New Roman"/>
        </w:rPr>
        <w:t xml:space="preserve"> 2023 nr. 1/2, p. 27; P.W.J. Verbruggen en J.J.G. van Vliet, ‘Duurzaamheid in het buitencontractueel aansprakelijkheidsrecht. De belofte van drie Europese wetgevingsvoorstellen’, </w:t>
      </w:r>
      <w:r w:rsidRPr="00463949">
        <w:rPr>
          <w:rFonts w:ascii="Times New Roman" w:hAnsi="Times New Roman" w:cs="Times New Roman"/>
          <w:i/>
          <w:iCs/>
        </w:rPr>
        <w:t>WPNR</w:t>
      </w:r>
      <w:r w:rsidRPr="00463949">
        <w:rPr>
          <w:rFonts w:ascii="Times New Roman" w:hAnsi="Times New Roman" w:cs="Times New Roman"/>
        </w:rPr>
        <w:t xml:space="preserve"> 2023 (7407), p. 285; W.C.T. Weterings, ‘Productaansprakelijkheid, (regres)claims en verzekering’, </w:t>
      </w:r>
      <w:r w:rsidRPr="00463949">
        <w:rPr>
          <w:rFonts w:ascii="Times New Roman" w:hAnsi="Times New Roman" w:cs="Times New Roman"/>
          <w:i/>
          <w:iCs/>
        </w:rPr>
        <w:t>NTBR</w:t>
      </w:r>
      <w:r w:rsidRPr="00463949">
        <w:rPr>
          <w:rFonts w:ascii="Times New Roman" w:hAnsi="Times New Roman" w:cs="Times New Roman"/>
        </w:rPr>
        <w:t xml:space="preserve"> 2023/45, par. 1 en 2.3; R.L. Markus en Y. el Ghaddar, ‘De nieuwe Richtlijn productaansprakelijkheid ontward: belangrijkste wijzigingen en impact op collectieve acties en de verzekeringsbranche in kaart gebracht’, </w:t>
      </w:r>
      <w:r w:rsidRPr="00463949">
        <w:rPr>
          <w:rFonts w:ascii="Times New Roman" w:hAnsi="Times New Roman" w:cs="Times New Roman"/>
          <w:i/>
          <w:iCs/>
        </w:rPr>
        <w:t>AV&amp;S</w:t>
      </w:r>
      <w:r w:rsidRPr="00463949">
        <w:rPr>
          <w:rFonts w:ascii="Times New Roman" w:hAnsi="Times New Roman" w:cs="Times New Roman"/>
        </w:rPr>
        <w:t xml:space="preserve"> 2023/21 en T. Hartlief, W.H. van Boom, A.L.M. Keirse &amp; S.D. Lindenbergh, </w:t>
      </w:r>
      <w:r w:rsidRPr="00463949">
        <w:rPr>
          <w:rFonts w:ascii="Times New Roman" w:hAnsi="Times New Roman" w:cs="Times New Roman"/>
          <w:i/>
          <w:iCs/>
        </w:rPr>
        <w:t>Verbintenissen uit de wet en Schadevergoeding</w:t>
      </w:r>
      <w:r w:rsidRPr="00463949">
        <w:rPr>
          <w:rFonts w:ascii="Times New Roman" w:hAnsi="Times New Roman" w:cs="Times New Roman"/>
        </w:rPr>
        <w:t xml:space="preserve"> (Studiereeks Burgerlijk Recht, deel 5) (tiende druk), Deventer: Wolters Kluwer 2024, p. 177, 180 en 420 (voetnoot 3).</w:t>
      </w:r>
    </w:p>
  </w:footnote>
  <w:footnote w:id="98">
    <w:p w14:paraId="683F2823" w14:textId="0A1556DD" w:rsidR="00776CA8" w:rsidRPr="00463949" w:rsidRDefault="00776CA8">
      <w:pPr>
        <w:pStyle w:val="Voetnoottekst"/>
        <w:rPr>
          <w:rFonts w:ascii="Times New Roman" w:hAnsi="Times New Roman" w:cs="Times New Roman"/>
        </w:rPr>
      </w:pPr>
      <w:r w:rsidRPr="00463949">
        <w:rPr>
          <w:rStyle w:val="Voetnootmarkering"/>
          <w:rFonts w:ascii="Times New Roman" w:hAnsi="Times New Roman" w:cs="Times New Roman"/>
        </w:rPr>
        <w:footnoteRef/>
      </w:r>
      <w:r w:rsidRPr="00463949">
        <w:rPr>
          <w:rFonts w:ascii="Times New Roman" w:hAnsi="Times New Roman" w:cs="Times New Roman"/>
        </w:rPr>
        <w:t xml:space="preserve"> Hiermee wordt gedoeld op het niet terugkeren </w:t>
      </w:r>
      <w:r w:rsidR="00646692" w:rsidRPr="00463949">
        <w:rPr>
          <w:rFonts w:ascii="Times New Roman" w:hAnsi="Times New Roman" w:cs="Times New Roman"/>
        </w:rPr>
        <w:t xml:space="preserve">in de Richtlijn </w:t>
      </w:r>
      <w:r w:rsidRPr="00463949">
        <w:rPr>
          <w:rFonts w:ascii="Times New Roman" w:hAnsi="Times New Roman" w:cs="Times New Roman"/>
        </w:rPr>
        <w:t>van een met artikel 9, aanhef en onder b, van Richtlijn 85/374/EG vergelijkbare bepaling. Deze bepaling luidt</w:t>
      </w:r>
      <w:r w:rsidR="00204718" w:rsidRPr="00463949">
        <w:rPr>
          <w:rFonts w:ascii="Times New Roman" w:hAnsi="Times New Roman" w:cs="Times New Roman"/>
        </w:rPr>
        <w:t xml:space="preserve"> </w:t>
      </w:r>
      <w:r w:rsidRPr="00463949">
        <w:rPr>
          <w:rFonts w:ascii="Times New Roman" w:hAnsi="Times New Roman" w:cs="Times New Roman"/>
        </w:rPr>
        <w:t>voor zover relevant: “Onder “schade” in de zin van artikel 1 wordt verstaan: b) beschadiging of vernietiging van een andere zaak dan het gebrekkige product, met toepassing van een franchise ten belope van 500 Ecu, (…)”. Deze bepaling is geïmplementeerd in artikel 6:190, eerste lid, onderdeel b, en tweede lid, BW</w:t>
      </w:r>
      <w:r w:rsidR="00204718" w:rsidRPr="00463949">
        <w:rPr>
          <w:rFonts w:ascii="Times New Roman" w:hAnsi="Times New Roman" w:cs="Times New Roman"/>
        </w:rPr>
        <w:t>. Dit wetsvoorstel strekt eveneens tot aanpassing van dat artikel (zie Artikel I, onderdeel I</w:t>
      </w:r>
      <w:r w:rsidR="00646692" w:rsidRPr="00463949">
        <w:rPr>
          <w:rFonts w:ascii="Times New Roman" w:hAnsi="Times New Roman" w:cs="Times New Roman"/>
        </w:rPr>
        <w:t>), waarbij de bepalingen over de franchise komen te vervallen</w:t>
      </w:r>
      <w:r w:rsidR="00204718" w:rsidRPr="0046394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62A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19B8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7697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EB25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9D66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F60384"/>
    <w:multiLevelType w:val="multilevel"/>
    <w:tmpl w:val="A35A3BD4"/>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05E43229"/>
    <w:multiLevelType w:val="hybridMultilevel"/>
    <w:tmpl w:val="92E83E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88E7137"/>
    <w:multiLevelType w:val="hybridMultilevel"/>
    <w:tmpl w:val="BF8043E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CF2627F"/>
    <w:multiLevelType w:val="hybridMultilevel"/>
    <w:tmpl w:val="E25C967A"/>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EB32B1F"/>
    <w:multiLevelType w:val="multilevel"/>
    <w:tmpl w:val="E098DBE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3A543B"/>
    <w:multiLevelType w:val="hybridMultilevel"/>
    <w:tmpl w:val="D318CB3E"/>
    <w:lvl w:ilvl="0" w:tplc="CC34739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8709B3"/>
    <w:multiLevelType w:val="multilevel"/>
    <w:tmpl w:val="FA5E9782"/>
    <w:lvl w:ilvl="0">
      <w:start w:val="3"/>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7446440"/>
    <w:multiLevelType w:val="hybridMultilevel"/>
    <w:tmpl w:val="2408BE56"/>
    <w:lvl w:ilvl="0" w:tplc="3FC03770">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BB1A7B"/>
    <w:multiLevelType w:val="hybridMultilevel"/>
    <w:tmpl w:val="79CC1C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3149EC"/>
    <w:multiLevelType w:val="hybridMultilevel"/>
    <w:tmpl w:val="9FE803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8C31B67"/>
    <w:multiLevelType w:val="hybridMultilevel"/>
    <w:tmpl w:val="EE943B4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A2F13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CD4663"/>
    <w:multiLevelType w:val="hybridMultilevel"/>
    <w:tmpl w:val="C0BCA0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4A1373"/>
    <w:multiLevelType w:val="hybridMultilevel"/>
    <w:tmpl w:val="606A419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FA00000"/>
    <w:multiLevelType w:val="hybridMultilevel"/>
    <w:tmpl w:val="650AA5A4"/>
    <w:lvl w:ilvl="0" w:tplc="F654BC6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9D4A9A"/>
    <w:multiLevelType w:val="hybridMultilevel"/>
    <w:tmpl w:val="40A0A542"/>
    <w:lvl w:ilvl="0" w:tplc="E4868F34">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70D3C4E"/>
    <w:multiLevelType w:val="hybridMultilevel"/>
    <w:tmpl w:val="1F56B0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893A48"/>
    <w:multiLevelType w:val="hybridMultilevel"/>
    <w:tmpl w:val="68B67C88"/>
    <w:lvl w:ilvl="0" w:tplc="3650FA2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1239654">
    <w:abstractNumId w:val="14"/>
  </w:num>
  <w:num w:numId="2" w16cid:durableId="656689760">
    <w:abstractNumId w:val="19"/>
  </w:num>
  <w:num w:numId="3" w16cid:durableId="945120395">
    <w:abstractNumId w:val="8"/>
  </w:num>
  <w:num w:numId="4" w16cid:durableId="898174028">
    <w:abstractNumId w:val="7"/>
  </w:num>
  <w:num w:numId="5" w16cid:durableId="114299637">
    <w:abstractNumId w:val="10"/>
  </w:num>
  <w:num w:numId="6" w16cid:durableId="949319703">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078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2771602">
    <w:abstractNumId w:val="10"/>
  </w:num>
  <w:num w:numId="9" w16cid:durableId="1903713937">
    <w:abstractNumId w:val="16"/>
  </w:num>
  <w:num w:numId="10" w16cid:durableId="799151631">
    <w:abstractNumId w:val="0"/>
  </w:num>
  <w:num w:numId="11" w16cid:durableId="42213584">
    <w:abstractNumId w:val="1"/>
  </w:num>
  <w:num w:numId="12" w16cid:durableId="1969819862">
    <w:abstractNumId w:val="3"/>
  </w:num>
  <w:num w:numId="13" w16cid:durableId="322123469">
    <w:abstractNumId w:val="4"/>
  </w:num>
  <w:num w:numId="14" w16cid:durableId="287249399">
    <w:abstractNumId w:val="2"/>
  </w:num>
  <w:num w:numId="15" w16cid:durableId="596793085">
    <w:abstractNumId w:val="17"/>
  </w:num>
  <w:num w:numId="16" w16cid:durableId="497619675">
    <w:abstractNumId w:val="22"/>
  </w:num>
  <w:num w:numId="17" w16cid:durableId="1861970195">
    <w:abstractNumId w:val="6"/>
  </w:num>
  <w:num w:numId="18" w16cid:durableId="228225853">
    <w:abstractNumId w:val="13"/>
  </w:num>
  <w:num w:numId="19" w16cid:durableId="1411930412">
    <w:abstractNumId w:val="11"/>
  </w:num>
  <w:num w:numId="20" w16cid:durableId="188380362">
    <w:abstractNumId w:val="18"/>
  </w:num>
  <w:num w:numId="21" w16cid:durableId="1828401703">
    <w:abstractNumId w:val="9"/>
  </w:num>
  <w:num w:numId="22" w16cid:durableId="633873239">
    <w:abstractNumId w:val="20"/>
  </w:num>
  <w:num w:numId="23" w16cid:durableId="1780293847">
    <w:abstractNumId w:val="12"/>
  </w:num>
  <w:num w:numId="24" w16cid:durableId="16241934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8E"/>
    <w:rsid w:val="000023F6"/>
    <w:rsid w:val="000026FE"/>
    <w:rsid w:val="000028D4"/>
    <w:rsid w:val="00003423"/>
    <w:rsid w:val="00003A40"/>
    <w:rsid w:val="0000627E"/>
    <w:rsid w:val="000062CB"/>
    <w:rsid w:val="0000662C"/>
    <w:rsid w:val="00006EF9"/>
    <w:rsid w:val="0000744E"/>
    <w:rsid w:val="00010B12"/>
    <w:rsid w:val="00012C1E"/>
    <w:rsid w:val="00013212"/>
    <w:rsid w:val="00014C37"/>
    <w:rsid w:val="000152FA"/>
    <w:rsid w:val="00015E15"/>
    <w:rsid w:val="00016234"/>
    <w:rsid w:val="00017358"/>
    <w:rsid w:val="00017AFD"/>
    <w:rsid w:val="0002032C"/>
    <w:rsid w:val="000208EC"/>
    <w:rsid w:val="00022A3C"/>
    <w:rsid w:val="00023538"/>
    <w:rsid w:val="000257A8"/>
    <w:rsid w:val="00027EFB"/>
    <w:rsid w:val="00031AB8"/>
    <w:rsid w:val="0003246A"/>
    <w:rsid w:val="000325B5"/>
    <w:rsid w:val="00032974"/>
    <w:rsid w:val="00032C75"/>
    <w:rsid w:val="0003575F"/>
    <w:rsid w:val="00035F87"/>
    <w:rsid w:val="000366AF"/>
    <w:rsid w:val="0003718C"/>
    <w:rsid w:val="00037B27"/>
    <w:rsid w:val="00041C88"/>
    <w:rsid w:val="0004211F"/>
    <w:rsid w:val="00042CB5"/>
    <w:rsid w:val="000432AB"/>
    <w:rsid w:val="000432F9"/>
    <w:rsid w:val="000439E1"/>
    <w:rsid w:val="0004460E"/>
    <w:rsid w:val="000446D9"/>
    <w:rsid w:val="0004611A"/>
    <w:rsid w:val="000470B3"/>
    <w:rsid w:val="00050411"/>
    <w:rsid w:val="0005138D"/>
    <w:rsid w:val="00052961"/>
    <w:rsid w:val="00052B59"/>
    <w:rsid w:val="00053B60"/>
    <w:rsid w:val="00054170"/>
    <w:rsid w:val="000544DA"/>
    <w:rsid w:val="00054AA2"/>
    <w:rsid w:val="00055CFD"/>
    <w:rsid w:val="0005617B"/>
    <w:rsid w:val="00056324"/>
    <w:rsid w:val="00057757"/>
    <w:rsid w:val="00064913"/>
    <w:rsid w:val="00064AA0"/>
    <w:rsid w:val="00064EAF"/>
    <w:rsid w:val="000655DF"/>
    <w:rsid w:val="00067B2F"/>
    <w:rsid w:val="00070F75"/>
    <w:rsid w:val="00071FC2"/>
    <w:rsid w:val="000745FB"/>
    <w:rsid w:val="0008292C"/>
    <w:rsid w:val="00082953"/>
    <w:rsid w:val="00084062"/>
    <w:rsid w:val="0008488F"/>
    <w:rsid w:val="000852D7"/>
    <w:rsid w:val="0009017D"/>
    <w:rsid w:val="00091629"/>
    <w:rsid w:val="00091C80"/>
    <w:rsid w:val="000937B6"/>
    <w:rsid w:val="00093977"/>
    <w:rsid w:val="00093A8C"/>
    <w:rsid w:val="000943EE"/>
    <w:rsid w:val="00097045"/>
    <w:rsid w:val="000A0A20"/>
    <w:rsid w:val="000A19A6"/>
    <w:rsid w:val="000A206B"/>
    <w:rsid w:val="000A2A79"/>
    <w:rsid w:val="000A2A97"/>
    <w:rsid w:val="000A3790"/>
    <w:rsid w:val="000A3A46"/>
    <w:rsid w:val="000A4869"/>
    <w:rsid w:val="000A5AE7"/>
    <w:rsid w:val="000A62D2"/>
    <w:rsid w:val="000A66C7"/>
    <w:rsid w:val="000A73F1"/>
    <w:rsid w:val="000A77E0"/>
    <w:rsid w:val="000B087A"/>
    <w:rsid w:val="000B0A56"/>
    <w:rsid w:val="000B121E"/>
    <w:rsid w:val="000B4822"/>
    <w:rsid w:val="000B49CF"/>
    <w:rsid w:val="000B5EE2"/>
    <w:rsid w:val="000B6DF1"/>
    <w:rsid w:val="000B6F8B"/>
    <w:rsid w:val="000B75E0"/>
    <w:rsid w:val="000C0316"/>
    <w:rsid w:val="000C1DBA"/>
    <w:rsid w:val="000C1F79"/>
    <w:rsid w:val="000C383E"/>
    <w:rsid w:val="000C3F4A"/>
    <w:rsid w:val="000C5696"/>
    <w:rsid w:val="000D0969"/>
    <w:rsid w:val="000D0AC0"/>
    <w:rsid w:val="000D1633"/>
    <w:rsid w:val="000D293A"/>
    <w:rsid w:val="000D2AAB"/>
    <w:rsid w:val="000D2F52"/>
    <w:rsid w:val="000D3478"/>
    <w:rsid w:val="000D39E7"/>
    <w:rsid w:val="000D6D8D"/>
    <w:rsid w:val="000D75AD"/>
    <w:rsid w:val="000D7A5C"/>
    <w:rsid w:val="000E0258"/>
    <w:rsid w:val="000E0887"/>
    <w:rsid w:val="000E08A5"/>
    <w:rsid w:val="000E08EC"/>
    <w:rsid w:val="000E2527"/>
    <w:rsid w:val="000E2F12"/>
    <w:rsid w:val="000E3B2E"/>
    <w:rsid w:val="000E436F"/>
    <w:rsid w:val="000E4AA3"/>
    <w:rsid w:val="000E4B7B"/>
    <w:rsid w:val="000E4CBC"/>
    <w:rsid w:val="000E4D0B"/>
    <w:rsid w:val="000E5FF5"/>
    <w:rsid w:val="000E60EB"/>
    <w:rsid w:val="000F06F7"/>
    <w:rsid w:val="000F0BDA"/>
    <w:rsid w:val="000F592B"/>
    <w:rsid w:val="000F772F"/>
    <w:rsid w:val="00100EAD"/>
    <w:rsid w:val="00100EC6"/>
    <w:rsid w:val="00101310"/>
    <w:rsid w:val="0010164C"/>
    <w:rsid w:val="00102E6C"/>
    <w:rsid w:val="00105394"/>
    <w:rsid w:val="001135B9"/>
    <w:rsid w:val="001142DE"/>
    <w:rsid w:val="001156F5"/>
    <w:rsid w:val="00115EBB"/>
    <w:rsid w:val="001172EB"/>
    <w:rsid w:val="0012036D"/>
    <w:rsid w:val="00122507"/>
    <w:rsid w:val="001225F7"/>
    <w:rsid w:val="0012288C"/>
    <w:rsid w:val="00124BC3"/>
    <w:rsid w:val="0012723D"/>
    <w:rsid w:val="00132123"/>
    <w:rsid w:val="001352DC"/>
    <w:rsid w:val="00135FB9"/>
    <w:rsid w:val="001373AE"/>
    <w:rsid w:val="0013753B"/>
    <w:rsid w:val="00137A18"/>
    <w:rsid w:val="0014089D"/>
    <w:rsid w:val="0014161C"/>
    <w:rsid w:val="0014254E"/>
    <w:rsid w:val="00143715"/>
    <w:rsid w:val="00145646"/>
    <w:rsid w:val="001476F5"/>
    <w:rsid w:val="0015111E"/>
    <w:rsid w:val="001536D7"/>
    <w:rsid w:val="00153B12"/>
    <w:rsid w:val="001543B4"/>
    <w:rsid w:val="00155120"/>
    <w:rsid w:val="001556E8"/>
    <w:rsid w:val="001609B8"/>
    <w:rsid w:val="00161087"/>
    <w:rsid w:val="001617FA"/>
    <w:rsid w:val="00167F1D"/>
    <w:rsid w:val="001704FA"/>
    <w:rsid w:val="00171690"/>
    <w:rsid w:val="00173A31"/>
    <w:rsid w:val="00174238"/>
    <w:rsid w:val="00174CF2"/>
    <w:rsid w:val="00174D44"/>
    <w:rsid w:val="00175149"/>
    <w:rsid w:val="001758D8"/>
    <w:rsid w:val="00175B0A"/>
    <w:rsid w:val="00177000"/>
    <w:rsid w:val="00177A78"/>
    <w:rsid w:val="00177C3A"/>
    <w:rsid w:val="00177EFA"/>
    <w:rsid w:val="001822A8"/>
    <w:rsid w:val="001832C8"/>
    <w:rsid w:val="001842F9"/>
    <w:rsid w:val="00184A6A"/>
    <w:rsid w:val="00184C38"/>
    <w:rsid w:val="00185E85"/>
    <w:rsid w:val="00185FF7"/>
    <w:rsid w:val="0018718D"/>
    <w:rsid w:val="001879E7"/>
    <w:rsid w:val="00190A20"/>
    <w:rsid w:val="001923DE"/>
    <w:rsid w:val="00192EE3"/>
    <w:rsid w:val="001931BC"/>
    <w:rsid w:val="00193C04"/>
    <w:rsid w:val="00193D79"/>
    <w:rsid w:val="00197383"/>
    <w:rsid w:val="0019758C"/>
    <w:rsid w:val="001A0204"/>
    <w:rsid w:val="001A1C59"/>
    <w:rsid w:val="001A22A4"/>
    <w:rsid w:val="001A4E0E"/>
    <w:rsid w:val="001A4E77"/>
    <w:rsid w:val="001A5128"/>
    <w:rsid w:val="001A5487"/>
    <w:rsid w:val="001A7505"/>
    <w:rsid w:val="001B017B"/>
    <w:rsid w:val="001B25C8"/>
    <w:rsid w:val="001B4BBF"/>
    <w:rsid w:val="001B5E3A"/>
    <w:rsid w:val="001B604D"/>
    <w:rsid w:val="001B62B1"/>
    <w:rsid w:val="001B75A8"/>
    <w:rsid w:val="001B76D8"/>
    <w:rsid w:val="001C1501"/>
    <w:rsid w:val="001C3185"/>
    <w:rsid w:val="001C35ED"/>
    <w:rsid w:val="001C45AE"/>
    <w:rsid w:val="001D0564"/>
    <w:rsid w:val="001D40B0"/>
    <w:rsid w:val="001D4BEC"/>
    <w:rsid w:val="001D66AF"/>
    <w:rsid w:val="001E1784"/>
    <w:rsid w:val="001E26C8"/>
    <w:rsid w:val="001E277E"/>
    <w:rsid w:val="001E3668"/>
    <w:rsid w:val="001E4809"/>
    <w:rsid w:val="001E4C45"/>
    <w:rsid w:val="001E5F27"/>
    <w:rsid w:val="001E6A24"/>
    <w:rsid w:val="001F2CA4"/>
    <w:rsid w:val="001F2D33"/>
    <w:rsid w:val="001F3ABF"/>
    <w:rsid w:val="001F4691"/>
    <w:rsid w:val="001F55BF"/>
    <w:rsid w:val="001F79BF"/>
    <w:rsid w:val="0020026E"/>
    <w:rsid w:val="00200F4B"/>
    <w:rsid w:val="00203A9C"/>
    <w:rsid w:val="00204718"/>
    <w:rsid w:val="0020610B"/>
    <w:rsid w:val="002062FF"/>
    <w:rsid w:val="002064B8"/>
    <w:rsid w:val="002105B0"/>
    <w:rsid w:val="00210ECB"/>
    <w:rsid w:val="00213458"/>
    <w:rsid w:val="002137B0"/>
    <w:rsid w:val="00215D51"/>
    <w:rsid w:val="00216C2F"/>
    <w:rsid w:val="00216F1A"/>
    <w:rsid w:val="002176E0"/>
    <w:rsid w:val="00217AC1"/>
    <w:rsid w:val="00220455"/>
    <w:rsid w:val="00222E3A"/>
    <w:rsid w:val="0022325A"/>
    <w:rsid w:val="00224AE7"/>
    <w:rsid w:val="00224B68"/>
    <w:rsid w:val="00225AAE"/>
    <w:rsid w:val="0022621E"/>
    <w:rsid w:val="00226443"/>
    <w:rsid w:val="002267E7"/>
    <w:rsid w:val="00226ACE"/>
    <w:rsid w:val="00226C2B"/>
    <w:rsid w:val="0023095E"/>
    <w:rsid w:val="00232A17"/>
    <w:rsid w:val="0023423C"/>
    <w:rsid w:val="00234724"/>
    <w:rsid w:val="00235C90"/>
    <w:rsid w:val="00240BE5"/>
    <w:rsid w:val="00242AC8"/>
    <w:rsid w:val="0024475C"/>
    <w:rsid w:val="002464D4"/>
    <w:rsid w:val="00246D31"/>
    <w:rsid w:val="00247C5D"/>
    <w:rsid w:val="00247ED7"/>
    <w:rsid w:val="0025129F"/>
    <w:rsid w:val="00251A9B"/>
    <w:rsid w:val="00252C20"/>
    <w:rsid w:val="00252DB5"/>
    <w:rsid w:val="002538B7"/>
    <w:rsid w:val="002549BB"/>
    <w:rsid w:val="002568EE"/>
    <w:rsid w:val="00256D5C"/>
    <w:rsid w:val="00257264"/>
    <w:rsid w:val="00257C5B"/>
    <w:rsid w:val="00260121"/>
    <w:rsid w:val="00260314"/>
    <w:rsid w:val="00260863"/>
    <w:rsid w:val="0026129E"/>
    <w:rsid w:val="002627D7"/>
    <w:rsid w:val="00262F84"/>
    <w:rsid w:val="00263AD8"/>
    <w:rsid w:val="00266AE9"/>
    <w:rsid w:val="002674A0"/>
    <w:rsid w:val="00267B8C"/>
    <w:rsid w:val="00270158"/>
    <w:rsid w:val="002719FB"/>
    <w:rsid w:val="00272321"/>
    <w:rsid w:val="00272E73"/>
    <w:rsid w:val="00272F1C"/>
    <w:rsid w:val="00274256"/>
    <w:rsid w:val="00275254"/>
    <w:rsid w:val="0027570D"/>
    <w:rsid w:val="00275C7E"/>
    <w:rsid w:val="00275D8C"/>
    <w:rsid w:val="00276A66"/>
    <w:rsid w:val="0027728E"/>
    <w:rsid w:val="00277D94"/>
    <w:rsid w:val="0028156F"/>
    <w:rsid w:val="002819D3"/>
    <w:rsid w:val="00281C24"/>
    <w:rsid w:val="00290236"/>
    <w:rsid w:val="002934BC"/>
    <w:rsid w:val="00293F45"/>
    <w:rsid w:val="00294726"/>
    <w:rsid w:val="0029511B"/>
    <w:rsid w:val="00296D46"/>
    <w:rsid w:val="00297FA6"/>
    <w:rsid w:val="002A09B2"/>
    <w:rsid w:val="002A0F62"/>
    <w:rsid w:val="002A2346"/>
    <w:rsid w:val="002A2AB8"/>
    <w:rsid w:val="002A2D5A"/>
    <w:rsid w:val="002A37C8"/>
    <w:rsid w:val="002A4BE9"/>
    <w:rsid w:val="002A4C6E"/>
    <w:rsid w:val="002A504A"/>
    <w:rsid w:val="002A660D"/>
    <w:rsid w:val="002A73BA"/>
    <w:rsid w:val="002A7F91"/>
    <w:rsid w:val="002B0613"/>
    <w:rsid w:val="002B0A5A"/>
    <w:rsid w:val="002B1676"/>
    <w:rsid w:val="002B17CF"/>
    <w:rsid w:val="002B3265"/>
    <w:rsid w:val="002B34CC"/>
    <w:rsid w:val="002B3F15"/>
    <w:rsid w:val="002B44A4"/>
    <w:rsid w:val="002B4DB8"/>
    <w:rsid w:val="002B6107"/>
    <w:rsid w:val="002C0800"/>
    <w:rsid w:val="002C2BF6"/>
    <w:rsid w:val="002C329D"/>
    <w:rsid w:val="002C3809"/>
    <w:rsid w:val="002C423D"/>
    <w:rsid w:val="002C59D8"/>
    <w:rsid w:val="002D005C"/>
    <w:rsid w:val="002D0765"/>
    <w:rsid w:val="002D1A46"/>
    <w:rsid w:val="002D1CA7"/>
    <w:rsid w:val="002D4DCA"/>
    <w:rsid w:val="002D53A4"/>
    <w:rsid w:val="002D597C"/>
    <w:rsid w:val="002D723F"/>
    <w:rsid w:val="002D7F9A"/>
    <w:rsid w:val="002E0668"/>
    <w:rsid w:val="002E0A2B"/>
    <w:rsid w:val="002E0D2C"/>
    <w:rsid w:val="002E2FB2"/>
    <w:rsid w:val="002E33AC"/>
    <w:rsid w:val="002E3573"/>
    <w:rsid w:val="002E4A52"/>
    <w:rsid w:val="002E4A63"/>
    <w:rsid w:val="002E5607"/>
    <w:rsid w:val="002F0BD4"/>
    <w:rsid w:val="002F196C"/>
    <w:rsid w:val="002F2D6D"/>
    <w:rsid w:val="002F352E"/>
    <w:rsid w:val="002F6451"/>
    <w:rsid w:val="002F65F8"/>
    <w:rsid w:val="002F7688"/>
    <w:rsid w:val="00300D79"/>
    <w:rsid w:val="00301A0C"/>
    <w:rsid w:val="00301C6A"/>
    <w:rsid w:val="00304186"/>
    <w:rsid w:val="0030507A"/>
    <w:rsid w:val="003056F0"/>
    <w:rsid w:val="0030782D"/>
    <w:rsid w:val="003078D8"/>
    <w:rsid w:val="00310102"/>
    <w:rsid w:val="0031276C"/>
    <w:rsid w:val="00313E07"/>
    <w:rsid w:val="00314679"/>
    <w:rsid w:val="00315668"/>
    <w:rsid w:val="00315B9C"/>
    <w:rsid w:val="0031739A"/>
    <w:rsid w:val="00317B0D"/>
    <w:rsid w:val="00317B4B"/>
    <w:rsid w:val="0032172A"/>
    <w:rsid w:val="003227C1"/>
    <w:rsid w:val="003232DF"/>
    <w:rsid w:val="003233C4"/>
    <w:rsid w:val="00323988"/>
    <w:rsid w:val="00324D96"/>
    <w:rsid w:val="0032657D"/>
    <w:rsid w:val="0032731D"/>
    <w:rsid w:val="00331836"/>
    <w:rsid w:val="00331A20"/>
    <w:rsid w:val="00334963"/>
    <w:rsid w:val="00336F7F"/>
    <w:rsid w:val="00337063"/>
    <w:rsid w:val="00337185"/>
    <w:rsid w:val="00340059"/>
    <w:rsid w:val="003406A3"/>
    <w:rsid w:val="00341EE1"/>
    <w:rsid w:val="00344B8B"/>
    <w:rsid w:val="00344D8F"/>
    <w:rsid w:val="00346861"/>
    <w:rsid w:val="00346D6F"/>
    <w:rsid w:val="00351062"/>
    <w:rsid w:val="0035351D"/>
    <w:rsid w:val="00354E8B"/>
    <w:rsid w:val="003559C8"/>
    <w:rsid w:val="00356B3E"/>
    <w:rsid w:val="00356ED6"/>
    <w:rsid w:val="00357732"/>
    <w:rsid w:val="00357E33"/>
    <w:rsid w:val="00361680"/>
    <w:rsid w:val="0036224E"/>
    <w:rsid w:val="003640F2"/>
    <w:rsid w:val="00365DCB"/>
    <w:rsid w:val="0037021E"/>
    <w:rsid w:val="00370469"/>
    <w:rsid w:val="00372224"/>
    <w:rsid w:val="00374D94"/>
    <w:rsid w:val="00374DB2"/>
    <w:rsid w:val="0038069B"/>
    <w:rsid w:val="00381AFC"/>
    <w:rsid w:val="0038541D"/>
    <w:rsid w:val="003862A6"/>
    <w:rsid w:val="00386CF6"/>
    <w:rsid w:val="00392357"/>
    <w:rsid w:val="00393A08"/>
    <w:rsid w:val="00393FB1"/>
    <w:rsid w:val="00396C1C"/>
    <w:rsid w:val="003976FC"/>
    <w:rsid w:val="003A0489"/>
    <w:rsid w:val="003A08A6"/>
    <w:rsid w:val="003A274D"/>
    <w:rsid w:val="003A2E2D"/>
    <w:rsid w:val="003A2FE6"/>
    <w:rsid w:val="003A3547"/>
    <w:rsid w:val="003A3685"/>
    <w:rsid w:val="003A6914"/>
    <w:rsid w:val="003A7F2C"/>
    <w:rsid w:val="003B12B1"/>
    <w:rsid w:val="003B1FF9"/>
    <w:rsid w:val="003B2466"/>
    <w:rsid w:val="003B331C"/>
    <w:rsid w:val="003B4DB7"/>
    <w:rsid w:val="003B6931"/>
    <w:rsid w:val="003B7B15"/>
    <w:rsid w:val="003C0462"/>
    <w:rsid w:val="003C07E7"/>
    <w:rsid w:val="003C2C0A"/>
    <w:rsid w:val="003C2F34"/>
    <w:rsid w:val="003C4427"/>
    <w:rsid w:val="003C5524"/>
    <w:rsid w:val="003C5DF9"/>
    <w:rsid w:val="003D29B9"/>
    <w:rsid w:val="003D409A"/>
    <w:rsid w:val="003D48EE"/>
    <w:rsid w:val="003D546B"/>
    <w:rsid w:val="003D6366"/>
    <w:rsid w:val="003D6837"/>
    <w:rsid w:val="003D6AD2"/>
    <w:rsid w:val="003D6E81"/>
    <w:rsid w:val="003D6ED5"/>
    <w:rsid w:val="003D70F7"/>
    <w:rsid w:val="003E2179"/>
    <w:rsid w:val="003E4129"/>
    <w:rsid w:val="003E41BB"/>
    <w:rsid w:val="003E65A6"/>
    <w:rsid w:val="003E7343"/>
    <w:rsid w:val="003F0A7A"/>
    <w:rsid w:val="003F0C2E"/>
    <w:rsid w:val="003F2B2E"/>
    <w:rsid w:val="003F3D50"/>
    <w:rsid w:val="003F3EAA"/>
    <w:rsid w:val="00402EBC"/>
    <w:rsid w:val="00403188"/>
    <w:rsid w:val="004033DD"/>
    <w:rsid w:val="004038A6"/>
    <w:rsid w:val="004051DC"/>
    <w:rsid w:val="00405669"/>
    <w:rsid w:val="0040795D"/>
    <w:rsid w:val="0041020B"/>
    <w:rsid w:val="00412774"/>
    <w:rsid w:val="004150CE"/>
    <w:rsid w:val="004155AF"/>
    <w:rsid w:val="00415A2E"/>
    <w:rsid w:val="00415FD2"/>
    <w:rsid w:val="00416328"/>
    <w:rsid w:val="00416A9A"/>
    <w:rsid w:val="00417789"/>
    <w:rsid w:val="004221AA"/>
    <w:rsid w:val="00422FA1"/>
    <w:rsid w:val="004257FB"/>
    <w:rsid w:val="0042691C"/>
    <w:rsid w:val="00427FA1"/>
    <w:rsid w:val="004302E7"/>
    <w:rsid w:val="00431AA8"/>
    <w:rsid w:val="00431C0C"/>
    <w:rsid w:val="00432DCA"/>
    <w:rsid w:val="00433E3A"/>
    <w:rsid w:val="00440B94"/>
    <w:rsid w:val="00440F27"/>
    <w:rsid w:val="00441862"/>
    <w:rsid w:val="00441A60"/>
    <w:rsid w:val="004438EE"/>
    <w:rsid w:val="00447456"/>
    <w:rsid w:val="00450620"/>
    <w:rsid w:val="0045113C"/>
    <w:rsid w:val="004514A3"/>
    <w:rsid w:val="00451857"/>
    <w:rsid w:val="0045245E"/>
    <w:rsid w:val="00452A12"/>
    <w:rsid w:val="00456788"/>
    <w:rsid w:val="00460636"/>
    <w:rsid w:val="00460BC9"/>
    <w:rsid w:val="00461087"/>
    <w:rsid w:val="0046185A"/>
    <w:rsid w:val="00463949"/>
    <w:rsid w:val="00463EA9"/>
    <w:rsid w:val="00466808"/>
    <w:rsid w:val="00467674"/>
    <w:rsid w:val="00467990"/>
    <w:rsid w:val="00467DCC"/>
    <w:rsid w:val="00472637"/>
    <w:rsid w:val="00472D0A"/>
    <w:rsid w:val="00473299"/>
    <w:rsid w:val="00473563"/>
    <w:rsid w:val="00474FE0"/>
    <w:rsid w:val="00476E83"/>
    <w:rsid w:val="00480622"/>
    <w:rsid w:val="004858E1"/>
    <w:rsid w:val="004865C0"/>
    <w:rsid w:val="00486E14"/>
    <w:rsid w:val="0048733E"/>
    <w:rsid w:val="0048788F"/>
    <w:rsid w:val="00490139"/>
    <w:rsid w:val="0049287A"/>
    <w:rsid w:val="00492D3A"/>
    <w:rsid w:val="00494BD6"/>
    <w:rsid w:val="004952D9"/>
    <w:rsid w:val="0049535C"/>
    <w:rsid w:val="004971A8"/>
    <w:rsid w:val="00497302"/>
    <w:rsid w:val="004A30DA"/>
    <w:rsid w:val="004A4F94"/>
    <w:rsid w:val="004A6F25"/>
    <w:rsid w:val="004A7AF9"/>
    <w:rsid w:val="004B147A"/>
    <w:rsid w:val="004B154D"/>
    <w:rsid w:val="004B2314"/>
    <w:rsid w:val="004B2BEA"/>
    <w:rsid w:val="004B3B44"/>
    <w:rsid w:val="004B4565"/>
    <w:rsid w:val="004B596F"/>
    <w:rsid w:val="004B64EE"/>
    <w:rsid w:val="004B679A"/>
    <w:rsid w:val="004B7CA1"/>
    <w:rsid w:val="004C0619"/>
    <w:rsid w:val="004C29CF"/>
    <w:rsid w:val="004C3667"/>
    <w:rsid w:val="004D02F6"/>
    <w:rsid w:val="004D0341"/>
    <w:rsid w:val="004D069C"/>
    <w:rsid w:val="004D2B43"/>
    <w:rsid w:val="004D2F1E"/>
    <w:rsid w:val="004D428F"/>
    <w:rsid w:val="004E3FB8"/>
    <w:rsid w:val="004E460A"/>
    <w:rsid w:val="004E5549"/>
    <w:rsid w:val="004E5FA8"/>
    <w:rsid w:val="004E6976"/>
    <w:rsid w:val="004E7DB3"/>
    <w:rsid w:val="004F14BB"/>
    <w:rsid w:val="00500E8C"/>
    <w:rsid w:val="005015FE"/>
    <w:rsid w:val="00501A6C"/>
    <w:rsid w:val="00502144"/>
    <w:rsid w:val="00503E00"/>
    <w:rsid w:val="0050408C"/>
    <w:rsid w:val="00504E2B"/>
    <w:rsid w:val="0050541D"/>
    <w:rsid w:val="00506378"/>
    <w:rsid w:val="00507082"/>
    <w:rsid w:val="00507268"/>
    <w:rsid w:val="0051201A"/>
    <w:rsid w:val="0051310D"/>
    <w:rsid w:val="00513739"/>
    <w:rsid w:val="00513E15"/>
    <w:rsid w:val="00515470"/>
    <w:rsid w:val="00515964"/>
    <w:rsid w:val="00517420"/>
    <w:rsid w:val="00525DA7"/>
    <w:rsid w:val="00526573"/>
    <w:rsid w:val="00527FB3"/>
    <w:rsid w:val="005309AC"/>
    <w:rsid w:val="0053286C"/>
    <w:rsid w:val="00533674"/>
    <w:rsid w:val="0053492A"/>
    <w:rsid w:val="0053525F"/>
    <w:rsid w:val="00542019"/>
    <w:rsid w:val="0054282B"/>
    <w:rsid w:val="0054474B"/>
    <w:rsid w:val="00545C31"/>
    <w:rsid w:val="005505D1"/>
    <w:rsid w:val="00550A51"/>
    <w:rsid w:val="00550F1C"/>
    <w:rsid w:val="00551944"/>
    <w:rsid w:val="0055203C"/>
    <w:rsid w:val="005523A1"/>
    <w:rsid w:val="00555010"/>
    <w:rsid w:val="00556855"/>
    <w:rsid w:val="00556909"/>
    <w:rsid w:val="00563030"/>
    <w:rsid w:val="005633D8"/>
    <w:rsid w:val="005647B2"/>
    <w:rsid w:val="00564ECC"/>
    <w:rsid w:val="005663D4"/>
    <w:rsid w:val="00566722"/>
    <w:rsid w:val="00566F24"/>
    <w:rsid w:val="0056767F"/>
    <w:rsid w:val="005711E0"/>
    <w:rsid w:val="00571E80"/>
    <w:rsid w:val="00572E7E"/>
    <w:rsid w:val="00573AC9"/>
    <w:rsid w:val="005740B1"/>
    <w:rsid w:val="00575008"/>
    <w:rsid w:val="00576AC2"/>
    <w:rsid w:val="00576F0E"/>
    <w:rsid w:val="00585B92"/>
    <w:rsid w:val="0058654E"/>
    <w:rsid w:val="005909D7"/>
    <w:rsid w:val="00590C8C"/>
    <w:rsid w:val="00591A7D"/>
    <w:rsid w:val="0059504B"/>
    <w:rsid w:val="00595630"/>
    <w:rsid w:val="005957F2"/>
    <w:rsid w:val="00595BCF"/>
    <w:rsid w:val="00595FFA"/>
    <w:rsid w:val="00596655"/>
    <w:rsid w:val="00597FBF"/>
    <w:rsid w:val="005A0293"/>
    <w:rsid w:val="005A0BBD"/>
    <w:rsid w:val="005A0F7F"/>
    <w:rsid w:val="005A12E2"/>
    <w:rsid w:val="005A27A9"/>
    <w:rsid w:val="005A2D7D"/>
    <w:rsid w:val="005A2FB6"/>
    <w:rsid w:val="005A3229"/>
    <w:rsid w:val="005A7B4D"/>
    <w:rsid w:val="005B0553"/>
    <w:rsid w:val="005B1C3D"/>
    <w:rsid w:val="005B1D1E"/>
    <w:rsid w:val="005B3714"/>
    <w:rsid w:val="005B4025"/>
    <w:rsid w:val="005B60C3"/>
    <w:rsid w:val="005B7B83"/>
    <w:rsid w:val="005B7E23"/>
    <w:rsid w:val="005C30CE"/>
    <w:rsid w:val="005C4181"/>
    <w:rsid w:val="005C5D37"/>
    <w:rsid w:val="005C6294"/>
    <w:rsid w:val="005C69A7"/>
    <w:rsid w:val="005C7EBA"/>
    <w:rsid w:val="005D015C"/>
    <w:rsid w:val="005D0658"/>
    <w:rsid w:val="005D0A21"/>
    <w:rsid w:val="005D18FC"/>
    <w:rsid w:val="005D2626"/>
    <w:rsid w:val="005D2F79"/>
    <w:rsid w:val="005D441B"/>
    <w:rsid w:val="005D4797"/>
    <w:rsid w:val="005D4969"/>
    <w:rsid w:val="005D545A"/>
    <w:rsid w:val="005D55F7"/>
    <w:rsid w:val="005D5CBE"/>
    <w:rsid w:val="005D7162"/>
    <w:rsid w:val="005E07EC"/>
    <w:rsid w:val="005E0923"/>
    <w:rsid w:val="005E23CC"/>
    <w:rsid w:val="005E4471"/>
    <w:rsid w:val="005E47AB"/>
    <w:rsid w:val="005E4B12"/>
    <w:rsid w:val="005F1F13"/>
    <w:rsid w:val="005F27EF"/>
    <w:rsid w:val="005F3AC7"/>
    <w:rsid w:val="005F4356"/>
    <w:rsid w:val="005F7A12"/>
    <w:rsid w:val="006006CB"/>
    <w:rsid w:val="006014ED"/>
    <w:rsid w:val="0060195F"/>
    <w:rsid w:val="00601D44"/>
    <w:rsid w:val="00606BB3"/>
    <w:rsid w:val="00606DE9"/>
    <w:rsid w:val="00607A85"/>
    <w:rsid w:val="00610148"/>
    <w:rsid w:val="00610E35"/>
    <w:rsid w:val="0061145D"/>
    <w:rsid w:val="006147EB"/>
    <w:rsid w:val="00614957"/>
    <w:rsid w:val="00614CEA"/>
    <w:rsid w:val="00616A6B"/>
    <w:rsid w:val="00616D05"/>
    <w:rsid w:val="00617522"/>
    <w:rsid w:val="0062282C"/>
    <w:rsid w:val="00623360"/>
    <w:rsid w:val="00623B4A"/>
    <w:rsid w:val="00623FC5"/>
    <w:rsid w:val="00626972"/>
    <w:rsid w:val="006279B6"/>
    <w:rsid w:val="00632836"/>
    <w:rsid w:val="006364D0"/>
    <w:rsid w:val="00636CC5"/>
    <w:rsid w:val="00640369"/>
    <w:rsid w:val="00641291"/>
    <w:rsid w:val="006414EB"/>
    <w:rsid w:val="00641918"/>
    <w:rsid w:val="00643C3E"/>
    <w:rsid w:val="00644DA5"/>
    <w:rsid w:val="0064564E"/>
    <w:rsid w:val="00645A9B"/>
    <w:rsid w:val="00646692"/>
    <w:rsid w:val="0064714A"/>
    <w:rsid w:val="006525E0"/>
    <w:rsid w:val="00652BC0"/>
    <w:rsid w:val="006532CB"/>
    <w:rsid w:val="00656134"/>
    <w:rsid w:val="00657B30"/>
    <w:rsid w:val="006603F2"/>
    <w:rsid w:val="00661DEE"/>
    <w:rsid w:val="00661EDD"/>
    <w:rsid w:val="0066305D"/>
    <w:rsid w:val="006632CD"/>
    <w:rsid w:val="006632FD"/>
    <w:rsid w:val="0066385C"/>
    <w:rsid w:val="0066443A"/>
    <w:rsid w:val="00664A96"/>
    <w:rsid w:val="00665E2E"/>
    <w:rsid w:val="0066615E"/>
    <w:rsid w:val="00666C88"/>
    <w:rsid w:val="00666E53"/>
    <w:rsid w:val="00667545"/>
    <w:rsid w:val="00667C3D"/>
    <w:rsid w:val="00671639"/>
    <w:rsid w:val="0067258E"/>
    <w:rsid w:val="00674900"/>
    <w:rsid w:val="00674DDA"/>
    <w:rsid w:val="00676342"/>
    <w:rsid w:val="006775CA"/>
    <w:rsid w:val="00681DDE"/>
    <w:rsid w:val="00682127"/>
    <w:rsid w:val="006859A6"/>
    <w:rsid w:val="0068613E"/>
    <w:rsid w:val="00686338"/>
    <w:rsid w:val="00687D0A"/>
    <w:rsid w:val="00692333"/>
    <w:rsid w:val="00692B0F"/>
    <w:rsid w:val="00692F5B"/>
    <w:rsid w:val="00693436"/>
    <w:rsid w:val="00694CE3"/>
    <w:rsid w:val="00694FAB"/>
    <w:rsid w:val="00695B9E"/>
    <w:rsid w:val="006962E0"/>
    <w:rsid w:val="00696D75"/>
    <w:rsid w:val="00697D56"/>
    <w:rsid w:val="006A0039"/>
    <w:rsid w:val="006A1330"/>
    <w:rsid w:val="006A3983"/>
    <w:rsid w:val="006A420C"/>
    <w:rsid w:val="006A50C4"/>
    <w:rsid w:val="006A5C3D"/>
    <w:rsid w:val="006A5D20"/>
    <w:rsid w:val="006A7369"/>
    <w:rsid w:val="006A7ABD"/>
    <w:rsid w:val="006B3729"/>
    <w:rsid w:val="006B62BC"/>
    <w:rsid w:val="006B771B"/>
    <w:rsid w:val="006C13A8"/>
    <w:rsid w:val="006C3582"/>
    <w:rsid w:val="006C4388"/>
    <w:rsid w:val="006C61CF"/>
    <w:rsid w:val="006C70EB"/>
    <w:rsid w:val="006D02DE"/>
    <w:rsid w:val="006D2316"/>
    <w:rsid w:val="006D35BD"/>
    <w:rsid w:val="006D3994"/>
    <w:rsid w:val="006D406C"/>
    <w:rsid w:val="006D603F"/>
    <w:rsid w:val="006D63B6"/>
    <w:rsid w:val="006D6DC2"/>
    <w:rsid w:val="006D79B6"/>
    <w:rsid w:val="006E06A1"/>
    <w:rsid w:val="006E144F"/>
    <w:rsid w:val="006E18D5"/>
    <w:rsid w:val="006E32E6"/>
    <w:rsid w:val="006E6003"/>
    <w:rsid w:val="006E61FC"/>
    <w:rsid w:val="006E76B3"/>
    <w:rsid w:val="006E7D85"/>
    <w:rsid w:val="006F07C1"/>
    <w:rsid w:val="006F2CEB"/>
    <w:rsid w:val="006F4488"/>
    <w:rsid w:val="006F6B8E"/>
    <w:rsid w:val="006F6EFB"/>
    <w:rsid w:val="00700F0E"/>
    <w:rsid w:val="0070131B"/>
    <w:rsid w:val="00701F84"/>
    <w:rsid w:val="0070274B"/>
    <w:rsid w:val="00702D7E"/>
    <w:rsid w:val="00703F9D"/>
    <w:rsid w:val="00704AB0"/>
    <w:rsid w:val="00705CDF"/>
    <w:rsid w:val="007060C3"/>
    <w:rsid w:val="00706F8C"/>
    <w:rsid w:val="00707CB4"/>
    <w:rsid w:val="00711B85"/>
    <w:rsid w:val="007121A9"/>
    <w:rsid w:val="00713A09"/>
    <w:rsid w:val="00713E24"/>
    <w:rsid w:val="00714173"/>
    <w:rsid w:val="00714336"/>
    <w:rsid w:val="00714E93"/>
    <w:rsid w:val="00715B3C"/>
    <w:rsid w:val="00715E55"/>
    <w:rsid w:val="00717E99"/>
    <w:rsid w:val="007200CF"/>
    <w:rsid w:val="00720738"/>
    <w:rsid w:val="0072254D"/>
    <w:rsid w:val="00723198"/>
    <w:rsid w:val="007248E5"/>
    <w:rsid w:val="007256B7"/>
    <w:rsid w:val="00725BE2"/>
    <w:rsid w:val="00726D1F"/>
    <w:rsid w:val="00726EEF"/>
    <w:rsid w:val="00727D24"/>
    <w:rsid w:val="00727D44"/>
    <w:rsid w:val="0073352B"/>
    <w:rsid w:val="007358A8"/>
    <w:rsid w:val="00736082"/>
    <w:rsid w:val="0073682C"/>
    <w:rsid w:val="00736E21"/>
    <w:rsid w:val="0073782B"/>
    <w:rsid w:val="00740881"/>
    <w:rsid w:val="0074196C"/>
    <w:rsid w:val="007422D8"/>
    <w:rsid w:val="007424FF"/>
    <w:rsid w:val="00744E3C"/>
    <w:rsid w:val="007454D2"/>
    <w:rsid w:val="00750E3B"/>
    <w:rsid w:val="0075112E"/>
    <w:rsid w:val="00753133"/>
    <w:rsid w:val="007532FE"/>
    <w:rsid w:val="00756D46"/>
    <w:rsid w:val="007579D6"/>
    <w:rsid w:val="00760373"/>
    <w:rsid w:val="00762562"/>
    <w:rsid w:val="0076371E"/>
    <w:rsid w:val="00764957"/>
    <w:rsid w:val="007658D4"/>
    <w:rsid w:val="00765AFD"/>
    <w:rsid w:val="007672AB"/>
    <w:rsid w:val="007678D0"/>
    <w:rsid w:val="00772983"/>
    <w:rsid w:val="007751C7"/>
    <w:rsid w:val="0077574A"/>
    <w:rsid w:val="007765FD"/>
    <w:rsid w:val="00776CA8"/>
    <w:rsid w:val="00781699"/>
    <w:rsid w:val="00782684"/>
    <w:rsid w:val="007855D1"/>
    <w:rsid w:val="007857D7"/>
    <w:rsid w:val="00786223"/>
    <w:rsid w:val="007904FC"/>
    <w:rsid w:val="00790ECD"/>
    <w:rsid w:val="00791BF7"/>
    <w:rsid w:val="00791D16"/>
    <w:rsid w:val="0079490A"/>
    <w:rsid w:val="00795055"/>
    <w:rsid w:val="0079551D"/>
    <w:rsid w:val="00796EB8"/>
    <w:rsid w:val="00797F6A"/>
    <w:rsid w:val="007A00E1"/>
    <w:rsid w:val="007A0259"/>
    <w:rsid w:val="007A3003"/>
    <w:rsid w:val="007A4FE0"/>
    <w:rsid w:val="007A54CE"/>
    <w:rsid w:val="007A5625"/>
    <w:rsid w:val="007A6670"/>
    <w:rsid w:val="007B0DB9"/>
    <w:rsid w:val="007B49C6"/>
    <w:rsid w:val="007B5009"/>
    <w:rsid w:val="007B53A1"/>
    <w:rsid w:val="007C0897"/>
    <w:rsid w:val="007C1BF3"/>
    <w:rsid w:val="007C23B0"/>
    <w:rsid w:val="007C413D"/>
    <w:rsid w:val="007C5A1B"/>
    <w:rsid w:val="007C5F95"/>
    <w:rsid w:val="007D0632"/>
    <w:rsid w:val="007D2DAB"/>
    <w:rsid w:val="007D3417"/>
    <w:rsid w:val="007D790F"/>
    <w:rsid w:val="007E0FC4"/>
    <w:rsid w:val="007E2282"/>
    <w:rsid w:val="007F04DC"/>
    <w:rsid w:val="007F085D"/>
    <w:rsid w:val="007F5541"/>
    <w:rsid w:val="008004EC"/>
    <w:rsid w:val="00800EF8"/>
    <w:rsid w:val="00801AB8"/>
    <w:rsid w:val="00803A54"/>
    <w:rsid w:val="00804150"/>
    <w:rsid w:val="0080497C"/>
    <w:rsid w:val="00804AC0"/>
    <w:rsid w:val="00805FB8"/>
    <w:rsid w:val="00806232"/>
    <w:rsid w:val="008118A7"/>
    <w:rsid w:val="00812ED1"/>
    <w:rsid w:val="00813B50"/>
    <w:rsid w:val="00813D7A"/>
    <w:rsid w:val="008141C3"/>
    <w:rsid w:val="00815111"/>
    <w:rsid w:val="00815C66"/>
    <w:rsid w:val="0081789C"/>
    <w:rsid w:val="00826160"/>
    <w:rsid w:val="008263E3"/>
    <w:rsid w:val="008264DE"/>
    <w:rsid w:val="00827D46"/>
    <w:rsid w:val="00830926"/>
    <w:rsid w:val="00831728"/>
    <w:rsid w:val="008334F3"/>
    <w:rsid w:val="00833A5F"/>
    <w:rsid w:val="008362CE"/>
    <w:rsid w:val="00840798"/>
    <w:rsid w:val="00841ED1"/>
    <w:rsid w:val="00842569"/>
    <w:rsid w:val="00843852"/>
    <w:rsid w:val="00843B8C"/>
    <w:rsid w:val="008455FD"/>
    <w:rsid w:val="00846135"/>
    <w:rsid w:val="00847A62"/>
    <w:rsid w:val="00847BEC"/>
    <w:rsid w:val="00853200"/>
    <w:rsid w:val="00856687"/>
    <w:rsid w:val="0086129F"/>
    <w:rsid w:val="00862AE3"/>
    <w:rsid w:val="008664EF"/>
    <w:rsid w:val="008678C3"/>
    <w:rsid w:val="008705DD"/>
    <w:rsid w:val="0087074C"/>
    <w:rsid w:val="00871C8B"/>
    <w:rsid w:val="0087210C"/>
    <w:rsid w:val="00872117"/>
    <w:rsid w:val="00872FFD"/>
    <w:rsid w:val="0087331A"/>
    <w:rsid w:val="00874E74"/>
    <w:rsid w:val="00877EB5"/>
    <w:rsid w:val="00877F5E"/>
    <w:rsid w:val="00881641"/>
    <w:rsid w:val="00883CE3"/>
    <w:rsid w:val="00885DB8"/>
    <w:rsid w:val="008867BD"/>
    <w:rsid w:val="00887C58"/>
    <w:rsid w:val="00887C99"/>
    <w:rsid w:val="00893BD6"/>
    <w:rsid w:val="008976C6"/>
    <w:rsid w:val="008A1AD9"/>
    <w:rsid w:val="008A4794"/>
    <w:rsid w:val="008A4803"/>
    <w:rsid w:val="008A4DF0"/>
    <w:rsid w:val="008A4EA3"/>
    <w:rsid w:val="008A58CD"/>
    <w:rsid w:val="008A64E6"/>
    <w:rsid w:val="008A72EA"/>
    <w:rsid w:val="008A77C1"/>
    <w:rsid w:val="008B0327"/>
    <w:rsid w:val="008B18B2"/>
    <w:rsid w:val="008B1C1E"/>
    <w:rsid w:val="008B2039"/>
    <w:rsid w:val="008B223A"/>
    <w:rsid w:val="008B31A9"/>
    <w:rsid w:val="008B4D90"/>
    <w:rsid w:val="008B662A"/>
    <w:rsid w:val="008C1A64"/>
    <w:rsid w:val="008C309F"/>
    <w:rsid w:val="008C5395"/>
    <w:rsid w:val="008D09CE"/>
    <w:rsid w:val="008D1598"/>
    <w:rsid w:val="008D260F"/>
    <w:rsid w:val="008D3A5C"/>
    <w:rsid w:val="008D44C1"/>
    <w:rsid w:val="008D479B"/>
    <w:rsid w:val="008D50BF"/>
    <w:rsid w:val="008D5A16"/>
    <w:rsid w:val="008E0C08"/>
    <w:rsid w:val="008E466B"/>
    <w:rsid w:val="008E5FD1"/>
    <w:rsid w:val="008F0180"/>
    <w:rsid w:val="008F1503"/>
    <w:rsid w:val="008F1CAD"/>
    <w:rsid w:val="008F2180"/>
    <w:rsid w:val="008F6486"/>
    <w:rsid w:val="008F6CA9"/>
    <w:rsid w:val="008F6CEA"/>
    <w:rsid w:val="008F783C"/>
    <w:rsid w:val="00900149"/>
    <w:rsid w:val="00902D72"/>
    <w:rsid w:val="00904727"/>
    <w:rsid w:val="009055F2"/>
    <w:rsid w:val="00906523"/>
    <w:rsid w:val="009101FA"/>
    <w:rsid w:val="0091027F"/>
    <w:rsid w:val="00910BC3"/>
    <w:rsid w:val="0091118D"/>
    <w:rsid w:val="00912FE5"/>
    <w:rsid w:val="00914FBF"/>
    <w:rsid w:val="009176EC"/>
    <w:rsid w:val="00920204"/>
    <w:rsid w:val="00920405"/>
    <w:rsid w:val="0092051D"/>
    <w:rsid w:val="00921A25"/>
    <w:rsid w:val="00921AFE"/>
    <w:rsid w:val="00923404"/>
    <w:rsid w:val="00923418"/>
    <w:rsid w:val="00923A6A"/>
    <w:rsid w:val="0092564F"/>
    <w:rsid w:val="00926D55"/>
    <w:rsid w:val="00926F7F"/>
    <w:rsid w:val="0092731D"/>
    <w:rsid w:val="009301CD"/>
    <w:rsid w:val="00930E06"/>
    <w:rsid w:val="009336B9"/>
    <w:rsid w:val="00933AD5"/>
    <w:rsid w:val="0093486E"/>
    <w:rsid w:val="009351A8"/>
    <w:rsid w:val="00935BA1"/>
    <w:rsid w:val="00936C06"/>
    <w:rsid w:val="00936EB9"/>
    <w:rsid w:val="00942568"/>
    <w:rsid w:val="009425E3"/>
    <w:rsid w:val="009426CA"/>
    <w:rsid w:val="00942AAD"/>
    <w:rsid w:val="0094577B"/>
    <w:rsid w:val="009457D1"/>
    <w:rsid w:val="00945C6C"/>
    <w:rsid w:val="00950952"/>
    <w:rsid w:val="00950D2B"/>
    <w:rsid w:val="00952814"/>
    <w:rsid w:val="00953207"/>
    <w:rsid w:val="00956E4D"/>
    <w:rsid w:val="00956FE0"/>
    <w:rsid w:val="009602E1"/>
    <w:rsid w:val="00961AE0"/>
    <w:rsid w:val="00963371"/>
    <w:rsid w:val="00964248"/>
    <w:rsid w:val="009655DB"/>
    <w:rsid w:val="00965FBB"/>
    <w:rsid w:val="009660CD"/>
    <w:rsid w:val="00966764"/>
    <w:rsid w:val="00967FE0"/>
    <w:rsid w:val="00970BF8"/>
    <w:rsid w:val="00972C6B"/>
    <w:rsid w:val="00975035"/>
    <w:rsid w:val="009753D9"/>
    <w:rsid w:val="00977842"/>
    <w:rsid w:val="00980008"/>
    <w:rsid w:val="0098265D"/>
    <w:rsid w:val="0098266B"/>
    <w:rsid w:val="00982F14"/>
    <w:rsid w:val="00983F12"/>
    <w:rsid w:val="00984574"/>
    <w:rsid w:val="00984F81"/>
    <w:rsid w:val="00985999"/>
    <w:rsid w:val="00985FC2"/>
    <w:rsid w:val="00987383"/>
    <w:rsid w:val="00987926"/>
    <w:rsid w:val="00990535"/>
    <w:rsid w:val="009913D7"/>
    <w:rsid w:val="00993714"/>
    <w:rsid w:val="0099476D"/>
    <w:rsid w:val="00996796"/>
    <w:rsid w:val="009972A7"/>
    <w:rsid w:val="009A08EA"/>
    <w:rsid w:val="009A0B86"/>
    <w:rsid w:val="009A5B45"/>
    <w:rsid w:val="009B00A0"/>
    <w:rsid w:val="009B5ADA"/>
    <w:rsid w:val="009C02E5"/>
    <w:rsid w:val="009C04EB"/>
    <w:rsid w:val="009C24AC"/>
    <w:rsid w:val="009C262D"/>
    <w:rsid w:val="009C2B6C"/>
    <w:rsid w:val="009C42AF"/>
    <w:rsid w:val="009C68A0"/>
    <w:rsid w:val="009D2356"/>
    <w:rsid w:val="009D6004"/>
    <w:rsid w:val="009D671C"/>
    <w:rsid w:val="009D713A"/>
    <w:rsid w:val="009E0A8E"/>
    <w:rsid w:val="009E2945"/>
    <w:rsid w:val="009E4C48"/>
    <w:rsid w:val="009E503E"/>
    <w:rsid w:val="009E6485"/>
    <w:rsid w:val="009F09F9"/>
    <w:rsid w:val="009F35E8"/>
    <w:rsid w:val="009F6B89"/>
    <w:rsid w:val="00A0119E"/>
    <w:rsid w:val="00A011C1"/>
    <w:rsid w:val="00A01A2F"/>
    <w:rsid w:val="00A01CD0"/>
    <w:rsid w:val="00A02EA7"/>
    <w:rsid w:val="00A04778"/>
    <w:rsid w:val="00A0511D"/>
    <w:rsid w:val="00A05D21"/>
    <w:rsid w:val="00A10035"/>
    <w:rsid w:val="00A10571"/>
    <w:rsid w:val="00A14F70"/>
    <w:rsid w:val="00A14F7C"/>
    <w:rsid w:val="00A150BC"/>
    <w:rsid w:val="00A16CCF"/>
    <w:rsid w:val="00A200D9"/>
    <w:rsid w:val="00A20205"/>
    <w:rsid w:val="00A2215F"/>
    <w:rsid w:val="00A232E9"/>
    <w:rsid w:val="00A272EE"/>
    <w:rsid w:val="00A27BF9"/>
    <w:rsid w:val="00A31CF6"/>
    <w:rsid w:val="00A32378"/>
    <w:rsid w:val="00A34021"/>
    <w:rsid w:val="00A35382"/>
    <w:rsid w:val="00A36AFF"/>
    <w:rsid w:val="00A37086"/>
    <w:rsid w:val="00A402F2"/>
    <w:rsid w:val="00A40441"/>
    <w:rsid w:val="00A42A68"/>
    <w:rsid w:val="00A43218"/>
    <w:rsid w:val="00A469FD"/>
    <w:rsid w:val="00A50395"/>
    <w:rsid w:val="00A53F9B"/>
    <w:rsid w:val="00A5540A"/>
    <w:rsid w:val="00A56E0E"/>
    <w:rsid w:val="00A60817"/>
    <w:rsid w:val="00A61421"/>
    <w:rsid w:val="00A61632"/>
    <w:rsid w:val="00A64133"/>
    <w:rsid w:val="00A64564"/>
    <w:rsid w:val="00A66F1A"/>
    <w:rsid w:val="00A67F39"/>
    <w:rsid w:val="00A70794"/>
    <w:rsid w:val="00A709EF"/>
    <w:rsid w:val="00A71025"/>
    <w:rsid w:val="00A74E86"/>
    <w:rsid w:val="00A760A4"/>
    <w:rsid w:val="00A761C7"/>
    <w:rsid w:val="00A7729B"/>
    <w:rsid w:val="00A776C4"/>
    <w:rsid w:val="00A81D4C"/>
    <w:rsid w:val="00A81F3C"/>
    <w:rsid w:val="00A829D4"/>
    <w:rsid w:val="00A82E47"/>
    <w:rsid w:val="00A84A38"/>
    <w:rsid w:val="00A84DD2"/>
    <w:rsid w:val="00A85B63"/>
    <w:rsid w:val="00A91F09"/>
    <w:rsid w:val="00A9204B"/>
    <w:rsid w:val="00A94239"/>
    <w:rsid w:val="00A95234"/>
    <w:rsid w:val="00A9527F"/>
    <w:rsid w:val="00A958D6"/>
    <w:rsid w:val="00A978BE"/>
    <w:rsid w:val="00AA04CD"/>
    <w:rsid w:val="00AA1A5A"/>
    <w:rsid w:val="00AA2610"/>
    <w:rsid w:val="00AA2A2C"/>
    <w:rsid w:val="00AA52D3"/>
    <w:rsid w:val="00AB15E9"/>
    <w:rsid w:val="00AB3A25"/>
    <w:rsid w:val="00AB3D12"/>
    <w:rsid w:val="00AB45D6"/>
    <w:rsid w:val="00AB473A"/>
    <w:rsid w:val="00AB5F03"/>
    <w:rsid w:val="00AC2562"/>
    <w:rsid w:val="00AC263E"/>
    <w:rsid w:val="00AC3B5D"/>
    <w:rsid w:val="00AC4813"/>
    <w:rsid w:val="00AC5B99"/>
    <w:rsid w:val="00AC7DA9"/>
    <w:rsid w:val="00AD0581"/>
    <w:rsid w:val="00AD2CE1"/>
    <w:rsid w:val="00AE0677"/>
    <w:rsid w:val="00AE0923"/>
    <w:rsid w:val="00AE1A1C"/>
    <w:rsid w:val="00AE1E16"/>
    <w:rsid w:val="00AE3A15"/>
    <w:rsid w:val="00AE3E89"/>
    <w:rsid w:val="00AF1146"/>
    <w:rsid w:val="00AF1CE8"/>
    <w:rsid w:val="00AF3E41"/>
    <w:rsid w:val="00AF3FF2"/>
    <w:rsid w:val="00AF7B43"/>
    <w:rsid w:val="00B00587"/>
    <w:rsid w:val="00B006EB"/>
    <w:rsid w:val="00B01DB3"/>
    <w:rsid w:val="00B01DD2"/>
    <w:rsid w:val="00B01EC0"/>
    <w:rsid w:val="00B02C86"/>
    <w:rsid w:val="00B02E39"/>
    <w:rsid w:val="00B04157"/>
    <w:rsid w:val="00B05A8C"/>
    <w:rsid w:val="00B05CFA"/>
    <w:rsid w:val="00B0639F"/>
    <w:rsid w:val="00B06701"/>
    <w:rsid w:val="00B06B93"/>
    <w:rsid w:val="00B10BC3"/>
    <w:rsid w:val="00B10D3C"/>
    <w:rsid w:val="00B11695"/>
    <w:rsid w:val="00B14E70"/>
    <w:rsid w:val="00B1544F"/>
    <w:rsid w:val="00B16CAD"/>
    <w:rsid w:val="00B20E9B"/>
    <w:rsid w:val="00B2236E"/>
    <w:rsid w:val="00B2322B"/>
    <w:rsid w:val="00B26C29"/>
    <w:rsid w:val="00B27E35"/>
    <w:rsid w:val="00B3084C"/>
    <w:rsid w:val="00B310A9"/>
    <w:rsid w:val="00B32374"/>
    <w:rsid w:val="00B32820"/>
    <w:rsid w:val="00B32964"/>
    <w:rsid w:val="00B32DB2"/>
    <w:rsid w:val="00B33071"/>
    <w:rsid w:val="00B335F0"/>
    <w:rsid w:val="00B34295"/>
    <w:rsid w:val="00B37E16"/>
    <w:rsid w:val="00B40E92"/>
    <w:rsid w:val="00B4305A"/>
    <w:rsid w:val="00B45153"/>
    <w:rsid w:val="00B4538A"/>
    <w:rsid w:val="00B4580D"/>
    <w:rsid w:val="00B469BD"/>
    <w:rsid w:val="00B504A2"/>
    <w:rsid w:val="00B51420"/>
    <w:rsid w:val="00B52AE4"/>
    <w:rsid w:val="00B52B08"/>
    <w:rsid w:val="00B53DFA"/>
    <w:rsid w:val="00B5444A"/>
    <w:rsid w:val="00B568A4"/>
    <w:rsid w:val="00B60F00"/>
    <w:rsid w:val="00B61864"/>
    <w:rsid w:val="00B66337"/>
    <w:rsid w:val="00B70166"/>
    <w:rsid w:val="00B7134C"/>
    <w:rsid w:val="00B723FD"/>
    <w:rsid w:val="00B73936"/>
    <w:rsid w:val="00B73C22"/>
    <w:rsid w:val="00B74968"/>
    <w:rsid w:val="00B7633D"/>
    <w:rsid w:val="00B769AC"/>
    <w:rsid w:val="00B770AB"/>
    <w:rsid w:val="00B771C1"/>
    <w:rsid w:val="00B77557"/>
    <w:rsid w:val="00B777C3"/>
    <w:rsid w:val="00B821D5"/>
    <w:rsid w:val="00B82B15"/>
    <w:rsid w:val="00B83D9D"/>
    <w:rsid w:val="00B84BEC"/>
    <w:rsid w:val="00B87E86"/>
    <w:rsid w:val="00B91C7E"/>
    <w:rsid w:val="00B925EF"/>
    <w:rsid w:val="00B92AAA"/>
    <w:rsid w:val="00B92AFE"/>
    <w:rsid w:val="00B936C0"/>
    <w:rsid w:val="00B95486"/>
    <w:rsid w:val="00B955AD"/>
    <w:rsid w:val="00BA0247"/>
    <w:rsid w:val="00BA0A2B"/>
    <w:rsid w:val="00BA32FC"/>
    <w:rsid w:val="00BA3A1A"/>
    <w:rsid w:val="00BA3A9A"/>
    <w:rsid w:val="00BA5282"/>
    <w:rsid w:val="00BA783E"/>
    <w:rsid w:val="00BB0957"/>
    <w:rsid w:val="00BB25AD"/>
    <w:rsid w:val="00BB3E54"/>
    <w:rsid w:val="00BB672F"/>
    <w:rsid w:val="00BB6ECF"/>
    <w:rsid w:val="00BB7BDA"/>
    <w:rsid w:val="00BC112A"/>
    <w:rsid w:val="00BC1D37"/>
    <w:rsid w:val="00BC321C"/>
    <w:rsid w:val="00BC371F"/>
    <w:rsid w:val="00BC4EDA"/>
    <w:rsid w:val="00BC557B"/>
    <w:rsid w:val="00BC5E3B"/>
    <w:rsid w:val="00BC624C"/>
    <w:rsid w:val="00BD53DA"/>
    <w:rsid w:val="00BD5BE5"/>
    <w:rsid w:val="00BD6893"/>
    <w:rsid w:val="00BD720F"/>
    <w:rsid w:val="00BE1A69"/>
    <w:rsid w:val="00BE1E49"/>
    <w:rsid w:val="00BE326F"/>
    <w:rsid w:val="00BE4027"/>
    <w:rsid w:val="00BE62E9"/>
    <w:rsid w:val="00BE6398"/>
    <w:rsid w:val="00BE75AE"/>
    <w:rsid w:val="00BF01AD"/>
    <w:rsid w:val="00BF01FF"/>
    <w:rsid w:val="00BF0D4C"/>
    <w:rsid w:val="00BF1BC9"/>
    <w:rsid w:val="00BF366D"/>
    <w:rsid w:val="00BF38C9"/>
    <w:rsid w:val="00BF3F47"/>
    <w:rsid w:val="00BF4CB6"/>
    <w:rsid w:val="00BF5807"/>
    <w:rsid w:val="00BF5D10"/>
    <w:rsid w:val="00BF614D"/>
    <w:rsid w:val="00BF77B0"/>
    <w:rsid w:val="00C0072E"/>
    <w:rsid w:val="00C02EE4"/>
    <w:rsid w:val="00C04840"/>
    <w:rsid w:val="00C04F5A"/>
    <w:rsid w:val="00C141E8"/>
    <w:rsid w:val="00C14EA8"/>
    <w:rsid w:val="00C20896"/>
    <w:rsid w:val="00C22047"/>
    <w:rsid w:val="00C22DB2"/>
    <w:rsid w:val="00C23CB2"/>
    <w:rsid w:val="00C25862"/>
    <w:rsid w:val="00C277F9"/>
    <w:rsid w:val="00C27FE5"/>
    <w:rsid w:val="00C3040D"/>
    <w:rsid w:val="00C3058C"/>
    <w:rsid w:val="00C31AF6"/>
    <w:rsid w:val="00C32C45"/>
    <w:rsid w:val="00C32F7D"/>
    <w:rsid w:val="00C33E0F"/>
    <w:rsid w:val="00C34782"/>
    <w:rsid w:val="00C368A1"/>
    <w:rsid w:val="00C37267"/>
    <w:rsid w:val="00C4098A"/>
    <w:rsid w:val="00C423FF"/>
    <w:rsid w:val="00C426BB"/>
    <w:rsid w:val="00C455A8"/>
    <w:rsid w:val="00C467E9"/>
    <w:rsid w:val="00C50B61"/>
    <w:rsid w:val="00C513DA"/>
    <w:rsid w:val="00C51D5A"/>
    <w:rsid w:val="00C52924"/>
    <w:rsid w:val="00C52D6B"/>
    <w:rsid w:val="00C534AF"/>
    <w:rsid w:val="00C538C5"/>
    <w:rsid w:val="00C53A32"/>
    <w:rsid w:val="00C56425"/>
    <w:rsid w:val="00C57210"/>
    <w:rsid w:val="00C608CC"/>
    <w:rsid w:val="00C60D86"/>
    <w:rsid w:val="00C61C7A"/>
    <w:rsid w:val="00C6322C"/>
    <w:rsid w:val="00C632D9"/>
    <w:rsid w:val="00C64D20"/>
    <w:rsid w:val="00C70C2A"/>
    <w:rsid w:val="00C7330D"/>
    <w:rsid w:val="00C7359D"/>
    <w:rsid w:val="00C740B0"/>
    <w:rsid w:val="00C76221"/>
    <w:rsid w:val="00C76B32"/>
    <w:rsid w:val="00C76C03"/>
    <w:rsid w:val="00C84CC5"/>
    <w:rsid w:val="00C850F9"/>
    <w:rsid w:val="00C85729"/>
    <w:rsid w:val="00C85B11"/>
    <w:rsid w:val="00C8617C"/>
    <w:rsid w:val="00C8723E"/>
    <w:rsid w:val="00C879C3"/>
    <w:rsid w:val="00C90352"/>
    <w:rsid w:val="00C9055C"/>
    <w:rsid w:val="00C906F8"/>
    <w:rsid w:val="00C928D5"/>
    <w:rsid w:val="00C92955"/>
    <w:rsid w:val="00C935B0"/>
    <w:rsid w:val="00C9765A"/>
    <w:rsid w:val="00CA19EB"/>
    <w:rsid w:val="00CA424B"/>
    <w:rsid w:val="00CA53AB"/>
    <w:rsid w:val="00CA559A"/>
    <w:rsid w:val="00CA56AD"/>
    <w:rsid w:val="00CA7054"/>
    <w:rsid w:val="00CA7B7F"/>
    <w:rsid w:val="00CA7D43"/>
    <w:rsid w:val="00CB1DBA"/>
    <w:rsid w:val="00CB31FB"/>
    <w:rsid w:val="00CB37AD"/>
    <w:rsid w:val="00CB5FA7"/>
    <w:rsid w:val="00CB6A9E"/>
    <w:rsid w:val="00CC0310"/>
    <w:rsid w:val="00CC037B"/>
    <w:rsid w:val="00CC1290"/>
    <w:rsid w:val="00CC15F4"/>
    <w:rsid w:val="00CC2043"/>
    <w:rsid w:val="00CC295D"/>
    <w:rsid w:val="00CC38D3"/>
    <w:rsid w:val="00CC461B"/>
    <w:rsid w:val="00CD17A7"/>
    <w:rsid w:val="00CD211B"/>
    <w:rsid w:val="00CD2190"/>
    <w:rsid w:val="00CD305C"/>
    <w:rsid w:val="00CD48EF"/>
    <w:rsid w:val="00CD53E2"/>
    <w:rsid w:val="00CD5E44"/>
    <w:rsid w:val="00CD6A0D"/>
    <w:rsid w:val="00CE1477"/>
    <w:rsid w:val="00CE35DD"/>
    <w:rsid w:val="00CE42B1"/>
    <w:rsid w:val="00CF300B"/>
    <w:rsid w:val="00CF5B2A"/>
    <w:rsid w:val="00CF6512"/>
    <w:rsid w:val="00CF6E12"/>
    <w:rsid w:val="00D004FB"/>
    <w:rsid w:val="00D02D01"/>
    <w:rsid w:val="00D03C4C"/>
    <w:rsid w:val="00D045E0"/>
    <w:rsid w:val="00D051E0"/>
    <w:rsid w:val="00D0546F"/>
    <w:rsid w:val="00D05549"/>
    <w:rsid w:val="00D05804"/>
    <w:rsid w:val="00D06B96"/>
    <w:rsid w:val="00D0762E"/>
    <w:rsid w:val="00D07A67"/>
    <w:rsid w:val="00D07CBA"/>
    <w:rsid w:val="00D12237"/>
    <w:rsid w:val="00D12812"/>
    <w:rsid w:val="00D134BF"/>
    <w:rsid w:val="00D13F5B"/>
    <w:rsid w:val="00D1462B"/>
    <w:rsid w:val="00D14ADB"/>
    <w:rsid w:val="00D15459"/>
    <w:rsid w:val="00D154B7"/>
    <w:rsid w:val="00D17322"/>
    <w:rsid w:val="00D22924"/>
    <w:rsid w:val="00D2310D"/>
    <w:rsid w:val="00D23EE9"/>
    <w:rsid w:val="00D24D92"/>
    <w:rsid w:val="00D2504A"/>
    <w:rsid w:val="00D26461"/>
    <w:rsid w:val="00D26B23"/>
    <w:rsid w:val="00D301EC"/>
    <w:rsid w:val="00D31F62"/>
    <w:rsid w:val="00D32D1B"/>
    <w:rsid w:val="00D33518"/>
    <w:rsid w:val="00D33CAD"/>
    <w:rsid w:val="00D34DF6"/>
    <w:rsid w:val="00D36AB8"/>
    <w:rsid w:val="00D36CBD"/>
    <w:rsid w:val="00D40B5A"/>
    <w:rsid w:val="00D40CD4"/>
    <w:rsid w:val="00D40E2C"/>
    <w:rsid w:val="00D420AD"/>
    <w:rsid w:val="00D452F8"/>
    <w:rsid w:val="00D45B5B"/>
    <w:rsid w:val="00D4687B"/>
    <w:rsid w:val="00D474F5"/>
    <w:rsid w:val="00D500A2"/>
    <w:rsid w:val="00D5135E"/>
    <w:rsid w:val="00D543AF"/>
    <w:rsid w:val="00D56259"/>
    <w:rsid w:val="00D616E6"/>
    <w:rsid w:val="00D61E50"/>
    <w:rsid w:val="00D631E1"/>
    <w:rsid w:val="00D634AB"/>
    <w:rsid w:val="00D63A81"/>
    <w:rsid w:val="00D6608C"/>
    <w:rsid w:val="00D66449"/>
    <w:rsid w:val="00D667D2"/>
    <w:rsid w:val="00D71076"/>
    <w:rsid w:val="00D73A95"/>
    <w:rsid w:val="00D73ECB"/>
    <w:rsid w:val="00D75241"/>
    <w:rsid w:val="00D81AF6"/>
    <w:rsid w:val="00D82D00"/>
    <w:rsid w:val="00D8519D"/>
    <w:rsid w:val="00D87858"/>
    <w:rsid w:val="00D9048C"/>
    <w:rsid w:val="00D914CB"/>
    <w:rsid w:val="00D93AC3"/>
    <w:rsid w:val="00D95A5C"/>
    <w:rsid w:val="00D961CE"/>
    <w:rsid w:val="00DA2831"/>
    <w:rsid w:val="00DA4F1D"/>
    <w:rsid w:val="00DA5A57"/>
    <w:rsid w:val="00DA6F94"/>
    <w:rsid w:val="00DB3EE4"/>
    <w:rsid w:val="00DB5303"/>
    <w:rsid w:val="00DB5435"/>
    <w:rsid w:val="00DB65F3"/>
    <w:rsid w:val="00DB6D1A"/>
    <w:rsid w:val="00DC2379"/>
    <w:rsid w:val="00DC24BA"/>
    <w:rsid w:val="00DC2E75"/>
    <w:rsid w:val="00DC3143"/>
    <w:rsid w:val="00DC3344"/>
    <w:rsid w:val="00DC4B24"/>
    <w:rsid w:val="00DC7C8B"/>
    <w:rsid w:val="00DD1139"/>
    <w:rsid w:val="00DD38CF"/>
    <w:rsid w:val="00DD4F92"/>
    <w:rsid w:val="00DD5952"/>
    <w:rsid w:val="00DE0B77"/>
    <w:rsid w:val="00DE1E28"/>
    <w:rsid w:val="00DF05E6"/>
    <w:rsid w:val="00DF0A57"/>
    <w:rsid w:val="00DF0E41"/>
    <w:rsid w:val="00DF2431"/>
    <w:rsid w:val="00DF2BA1"/>
    <w:rsid w:val="00DF42D3"/>
    <w:rsid w:val="00E014DF"/>
    <w:rsid w:val="00E01C86"/>
    <w:rsid w:val="00E02ADA"/>
    <w:rsid w:val="00E03C35"/>
    <w:rsid w:val="00E04317"/>
    <w:rsid w:val="00E061E5"/>
    <w:rsid w:val="00E14C99"/>
    <w:rsid w:val="00E15BA1"/>
    <w:rsid w:val="00E15BAB"/>
    <w:rsid w:val="00E16876"/>
    <w:rsid w:val="00E20A34"/>
    <w:rsid w:val="00E20ACA"/>
    <w:rsid w:val="00E21F71"/>
    <w:rsid w:val="00E2367B"/>
    <w:rsid w:val="00E3033F"/>
    <w:rsid w:val="00E31E7D"/>
    <w:rsid w:val="00E32CB4"/>
    <w:rsid w:val="00E36E57"/>
    <w:rsid w:val="00E40F13"/>
    <w:rsid w:val="00E412E2"/>
    <w:rsid w:val="00E41F1F"/>
    <w:rsid w:val="00E442B7"/>
    <w:rsid w:val="00E46F97"/>
    <w:rsid w:val="00E518D2"/>
    <w:rsid w:val="00E51DE8"/>
    <w:rsid w:val="00E544E1"/>
    <w:rsid w:val="00E56239"/>
    <w:rsid w:val="00E61A11"/>
    <w:rsid w:val="00E6215A"/>
    <w:rsid w:val="00E6421B"/>
    <w:rsid w:val="00E65C76"/>
    <w:rsid w:val="00E67413"/>
    <w:rsid w:val="00E67CC0"/>
    <w:rsid w:val="00E72858"/>
    <w:rsid w:val="00E75263"/>
    <w:rsid w:val="00E761C9"/>
    <w:rsid w:val="00E76234"/>
    <w:rsid w:val="00E7634A"/>
    <w:rsid w:val="00E7701C"/>
    <w:rsid w:val="00E82A07"/>
    <w:rsid w:val="00E8300E"/>
    <w:rsid w:val="00E83DF8"/>
    <w:rsid w:val="00E840F6"/>
    <w:rsid w:val="00E84A60"/>
    <w:rsid w:val="00E84B67"/>
    <w:rsid w:val="00E855F2"/>
    <w:rsid w:val="00E857DB"/>
    <w:rsid w:val="00E86892"/>
    <w:rsid w:val="00E90ECE"/>
    <w:rsid w:val="00E910C0"/>
    <w:rsid w:val="00E91F44"/>
    <w:rsid w:val="00E930FD"/>
    <w:rsid w:val="00E94F4F"/>
    <w:rsid w:val="00E95D6F"/>
    <w:rsid w:val="00EA0CF4"/>
    <w:rsid w:val="00EA32FA"/>
    <w:rsid w:val="00EA46C6"/>
    <w:rsid w:val="00EA612D"/>
    <w:rsid w:val="00EB17CA"/>
    <w:rsid w:val="00EB3562"/>
    <w:rsid w:val="00EB3E23"/>
    <w:rsid w:val="00EB55BD"/>
    <w:rsid w:val="00EB5F67"/>
    <w:rsid w:val="00EB6B4A"/>
    <w:rsid w:val="00EC1360"/>
    <w:rsid w:val="00EC176A"/>
    <w:rsid w:val="00EC4253"/>
    <w:rsid w:val="00EC4C8E"/>
    <w:rsid w:val="00EC5168"/>
    <w:rsid w:val="00EC57A7"/>
    <w:rsid w:val="00EC5C97"/>
    <w:rsid w:val="00EC7A38"/>
    <w:rsid w:val="00ED01E8"/>
    <w:rsid w:val="00ED1BBD"/>
    <w:rsid w:val="00ED20E1"/>
    <w:rsid w:val="00ED20E2"/>
    <w:rsid w:val="00ED2F8D"/>
    <w:rsid w:val="00ED4650"/>
    <w:rsid w:val="00ED52CD"/>
    <w:rsid w:val="00ED52F9"/>
    <w:rsid w:val="00EE2389"/>
    <w:rsid w:val="00EE3260"/>
    <w:rsid w:val="00EE3C91"/>
    <w:rsid w:val="00EE3FC9"/>
    <w:rsid w:val="00EE63C1"/>
    <w:rsid w:val="00EE6BAF"/>
    <w:rsid w:val="00EE6C3A"/>
    <w:rsid w:val="00EE7012"/>
    <w:rsid w:val="00EE74F9"/>
    <w:rsid w:val="00EE7AA7"/>
    <w:rsid w:val="00EF0702"/>
    <w:rsid w:val="00EF0B4D"/>
    <w:rsid w:val="00EF0D8C"/>
    <w:rsid w:val="00EF1B9C"/>
    <w:rsid w:val="00EF44A1"/>
    <w:rsid w:val="00EF45EC"/>
    <w:rsid w:val="00F00DCD"/>
    <w:rsid w:val="00F01621"/>
    <w:rsid w:val="00F02983"/>
    <w:rsid w:val="00F02FFE"/>
    <w:rsid w:val="00F04201"/>
    <w:rsid w:val="00F062C7"/>
    <w:rsid w:val="00F07115"/>
    <w:rsid w:val="00F10EF5"/>
    <w:rsid w:val="00F1111C"/>
    <w:rsid w:val="00F1147F"/>
    <w:rsid w:val="00F119FA"/>
    <w:rsid w:val="00F12025"/>
    <w:rsid w:val="00F148C7"/>
    <w:rsid w:val="00F153DB"/>
    <w:rsid w:val="00F162C3"/>
    <w:rsid w:val="00F16D41"/>
    <w:rsid w:val="00F17AE5"/>
    <w:rsid w:val="00F24165"/>
    <w:rsid w:val="00F2542C"/>
    <w:rsid w:val="00F26CB0"/>
    <w:rsid w:val="00F3014E"/>
    <w:rsid w:val="00F307FB"/>
    <w:rsid w:val="00F33E6F"/>
    <w:rsid w:val="00F35A1E"/>
    <w:rsid w:val="00F37C84"/>
    <w:rsid w:val="00F40084"/>
    <w:rsid w:val="00F40AA8"/>
    <w:rsid w:val="00F4172F"/>
    <w:rsid w:val="00F4307F"/>
    <w:rsid w:val="00F44506"/>
    <w:rsid w:val="00F47B24"/>
    <w:rsid w:val="00F51065"/>
    <w:rsid w:val="00F51A41"/>
    <w:rsid w:val="00F51EBB"/>
    <w:rsid w:val="00F528D9"/>
    <w:rsid w:val="00F52AB7"/>
    <w:rsid w:val="00F54397"/>
    <w:rsid w:val="00F5473A"/>
    <w:rsid w:val="00F54C2B"/>
    <w:rsid w:val="00F55076"/>
    <w:rsid w:val="00F55880"/>
    <w:rsid w:val="00F56088"/>
    <w:rsid w:val="00F56B79"/>
    <w:rsid w:val="00F56C08"/>
    <w:rsid w:val="00F56C38"/>
    <w:rsid w:val="00F5742D"/>
    <w:rsid w:val="00F579DF"/>
    <w:rsid w:val="00F57C9B"/>
    <w:rsid w:val="00F57CB1"/>
    <w:rsid w:val="00F6022C"/>
    <w:rsid w:val="00F6039D"/>
    <w:rsid w:val="00F60F99"/>
    <w:rsid w:val="00F61027"/>
    <w:rsid w:val="00F63B5E"/>
    <w:rsid w:val="00F64097"/>
    <w:rsid w:val="00F65EAB"/>
    <w:rsid w:val="00F67E40"/>
    <w:rsid w:val="00F73F34"/>
    <w:rsid w:val="00F76671"/>
    <w:rsid w:val="00F76A39"/>
    <w:rsid w:val="00F77D70"/>
    <w:rsid w:val="00F82481"/>
    <w:rsid w:val="00F82C20"/>
    <w:rsid w:val="00F8415C"/>
    <w:rsid w:val="00F857BE"/>
    <w:rsid w:val="00F85B7E"/>
    <w:rsid w:val="00F85F1B"/>
    <w:rsid w:val="00F86BDB"/>
    <w:rsid w:val="00F87247"/>
    <w:rsid w:val="00F875AA"/>
    <w:rsid w:val="00F8792A"/>
    <w:rsid w:val="00F91773"/>
    <w:rsid w:val="00F942C8"/>
    <w:rsid w:val="00F945F1"/>
    <w:rsid w:val="00F966E6"/>
    <w:rsid w:val="00FA2458"/>
    <w:rsid w:val="00FA2CFC"/>
    <w:rsid w:val="00FA34A9"/>
    <w:rsid w:val="00FA37BB"/>
    <w:rsid w:val="00FA3F17"/>
    <w:rsid w:val="00FA42A0"/>
    <w:rsid w:val="00FA4CC5"/>
    <w:rsid w:val="00FA502E"/>
    <w:rsid w:val="00FA6FCB"/>
    <w:rsid w:val="00FB0FA0"/>
    <w:rsid w:val="00FB2FDC"/>
    <w:rsid w:val="00FB4EC1"/>
    <w:rsid w:val="00FB7506"/>
    <w:rsid w:val="00FB7E22"/>
    <w:rsid w:val="00FC1CBB"/>
    <w:rsid w:val="00FC2BC4"/>
    <w:rsid w:val="00FC5B59"/>
    <w:rsid w:val="00FC5D67"/>
    <w:rsid w:val="00FC6CE3"/>
    <w:rsid w:val="00FC7D9E"/>
    <w:rsid w:val="00FD16DD"/>
    <w:rsid w:val="00FD1D9A"/>
    <w:rsid w:val="00FD252D"/>
    <w:rsid w:val="00FD410E"/>
    <w:rsid w:val="00FD4E88"/>
    <w:rsid w:val="00FD60B3"/>
    <w:rsid w:val="00FE19CC"/>
    <w:rsid w:val="00FE2006"/>
    <w:rsid w:val="00FE4C79"/>
    <w:rsid w:val="00FE619A"/>
    <w:rsid w:val="00FF09AC"/>
    <w:rsid w:val="00FF1919"/>
    <w:rsid w:val="00FF4205"/>
    <w:rsid w:val="00FF5F5B"/>
    <w:rsid w:val="00FF7F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5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A16"/>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6B8E"/>
    <w:pPr>
      <w:ind w:left="720"/>
      <w:contextualSpacing/>
    </w:pPr>
  </w:style>
  <w:style w:type="paragraph" w:styleId="Voetnoottekst">
    <w:name w:val="footnote text"/>
    <w:basedOn w:val="Standaard"/>
    <w:link w:val="VoetnoottekstChar"/>
    <w:uiPriority w:val="99"/>
    <w:unhideWhenUsed/>
    <w:rsid w:val="006F6B8E"/>
    <w:pPr>
      <w:spacing w:after="0" w:line="240" w:lineRule="auto"/>
    </w:pPr>
    <w:rPr>
      <w:sz w:val="20"/>
      <w:szCs w:val="20"/>
    </w:rPr>
  </w:style>
  <w:style w:type="character" w:customStyle="1" w:styleId="VoetnoottekstChar">
    <w:name w:val="Voetnoottekst Char"/>
    <w:basedOn w:val="Standaardalinea-lettertype"/>
    <w:link w:val="Voetnoottekst"/>
    <w:uiPriority w:val="99"/>
    <w:rsid w:val="006F6B8E"/>
    <w:rPr>
      <w:sz w:val="20"/>
      <w:szCs w:val="20"/>
      <w:lang w:val="nl-NL"/>
    </w:rPr>
  </w:style>
  <w:style w:type="character" w:styleId="Voetnootmarkering">
    <w:name w:val="footnote reference"/>
    <w:aliases w:val="Footnote Reference Number,Footnote Reference_LVL6,Footnote Reference_LVL61,Footnote Reference_LVL62,Footnote Reference_LVL63,Footnote Reference_LVL64,SUPERS,Footnote Reference Superscript,BVI fnr,Footnote symbol,Footnote sign"/>
    <w:basedOn w:val="Standaardalinea-lettertype"/>
    <w:uiPriority w:val="99"/>
    <w:semiHidden/>
    <w:unhideWhenUsed/>
    <w:qFormat/>
    <w:rsid w:val="006F6B8E"/>
    <w:rPr>
      <w:vertAlign w:val="superscript"/>
    </w:rPr>
  </w:style>
  <w:style w:type="character" w:styleId="Hyperlink">
    <w:name w:val="Hyperlink"/>
    <w:basedOn w:val="Standaardalinea-lettertype"/>
    <w:uiPriority w:val="99"/>
    <w:unhideWhenUsed/>
    <w:rsid w:val="00661DEE"/>
    <w:rPr>
      <w:color w:val="0563C1" w:themeColor="hyperlink"/>
      <w:u w:val="single"/>
    </w:rPr>
  </w:style>
  <w:style w:type="character" w:styleId="Onopgelostemelding">
    <w:name w:val="Unresolved Mention"/>
    <w:basedOn w:val="Standaardalinea-lettertype"/>
    <w:uiPriority w:val="99"/>
    <w:semiHidden/>
    <w:unhideWhenUsed/>
    <w:rsid w:val="00661DEE"/>
    <w:rPr>
      <w:color w:val="605E5C"/>
      <w:shd w:val="clear" w:color="auto" w:fill="E1DFDD"/>
    </w:rPr>
  </w:style>
  <w:style w:type="paragraph" w:styleId="Koptekst">
    <w:name w:val="header"/>
    <w:basedOn w:val="Standaard"/>
    <w:link w:val="KoptekstChar"/>
    <w:uiPriority w:val="99"/>
    <w:unhideWhenUsed/>
    <w:rsid w:val="001E4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4C45"/>
    <w:rPr>
      <w:lang w:val="nl-NL"/>
    </w:rPr>
  </w:style>
  <w:style w:type="paragraph" w:styleId="Voettekst">
    <w:name w:val="footer"/>
    <w:basedOn w:val="Standaard"/>
    <w:link w:val="VoettekstChar"/>
    <w:uiPriority w:val="99"/>
    <w:unhideWhenUsed/>
    <w:rsid w:val="001E4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4C45"/>
    <w:rPr>
      <w:lang w:val="nl-NL"/>
    </w:rPr>
  </w:style>
  <w:style w:type="table" w:styleId="Tabelraster">
    <w:name w:val="Table Grid"/>
    <w:basedOn w:val="Standaardtabel"/>
    <w:uiPriority w:val="39"/>
    <w:rsid w:val="006F6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51C7"/>
    <w:pPr>
      <w:autoSpaceDE w:val="0"/>
      <w:autoSpaceDN w:val="0"/>
      <w:adjustRightInd w:val="0"/>
      <w:spacing w:after="0" w:line="240" w:lineRule="auto"/>
    </w:pPr>
    <w:rPr>
      <w:rFonts w:ascii="EUAlbertina" w:hAnsi="EUAlbertina" w:cs="EUAlbertina"/>
      <w:color w:val="000000"/>
      <w:kern w:val="0"/>
      <w:sz w:val="24"/>
      <w:szCs w:val="24"/>
      <w:lang w:val="nl-NL"/>
    </w:rPr>
  </w:style>
  <w:style w:type="paragraph" w:styleId="Geenafstand">
    <w:name w:val="No Spacing"/>
    <w:uiPriority w:val="1"/>
    <w:qFormat/>
    <w:rsid w:val="00281C24"/>
    <w:pPr>
      <w:spacing w:after="0" w:line="240" w:lineRule="auto"/>
    </w:pPr>
    <w:rPr>
      <w:lang w:val="nl-NL"/>
    </w:rPr>
  </w:style>
  <w:style w:type="character" w:styleId="GevolgdeHyperlink">
    <w:name w:val="FollowedHyperlink"/>
    <w:basedOn w:val="Standaardalinea-lettertype"/>
    <w:uiPriority w:val="99"/>
    <w:semiHidden/>
    <w:unhideWhenUsed/>
    <w:rsid w:val="00B006EB"/>
    <w:rPr>
      <w:color w:val="954F72" w:themeColor="followedHyperlink"/>
      <w:u w:val="single"/>
    </w:rPr>
  </w:style>
  <w:style w:type="paragraph" w:styleId="Eindnoottekst">
    <w:name w:val="endnote text"/>
    <w:basedOn w:val="Standaard"/>
    <w:link w:val="EindnoottekstChar"/>
    <w:uiPriority w:val="99"/>
    <w:semiHidden/>
    <w:unhideWhenUsed/>
    <w:rsid w:val="00B006EB"/>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006EB"/>
    <w:rPr>
      <w:sz w:val="20"/>
      <w:szCs w:val="20"/>
      <w:lang w:val="nl-NL"/>
    </w:rPr>
  </w:style>
  <w:style w:type="character" w:styleId="Eindnootmarkering">
    <w:name w:val="endnote reference"/>
    <w:basedOn w:val="Standaardalinea-lettertype"/>
    <w:uiPriority w:val="99"/>
    <w:semiHidden/>
    <w:unhideWhenUsed/>
    <w:rsid w:val="00B006EB"/>
    <w:rPr>
      <w:vertAlign w:val="superscript"/>
    </w:rPr>
  </w:style>
  <w:style w:type="paragraph" w:styleId="Revisie">
    <w:name w:val="Revision"/>
    <w:hidden/>
    <w:uiPriority w:val="99"/>
    <w:semiHidden/>
    <w:rsid w:val="00AC263E"/>
    <w:pPr>
      <w:spacing w:after="0" w:line="240" w:lineRule="auto"/>
    </w:pPr>
    <w:rPr>
      <w:lang w:val="nl-NL"/>
    </w:rPr>
  </w:style>
  <w:style w:type="character" w:styleId="Verwijzingopmerking">
    <w:name w:val="annotation reference"/>
    <w:basedOn w:val="Standaardalinea-lettertype"/>
    <w:uiPriority w:val="99"/>
    <w:semiHidden/>
    <w:unhideWhenUsed/>
    <w:rsid w:val="00193D79"/>
    <w:rPr>
      <w:sz w:val="16"/>
      <w:szCs w:val="16"/>
    </w:rPr>
  </w:style>
  <w:style w:type="paragraph" w:styleId="Tekstopmerking">
    <w:name w:val="annotation text"/>
    <w:basedOn w:val="Standaard"/>
    <w:link w:val="TekstopmerkingChar"/>
    <w:uiPriority w:val="99"/>
    <w:unhideWhenUsed/>
    <w:rsid w:val="00193D79"/>
    <w:pPr>
      <w:spacing w:line="240" w:lineRule="auto"/>
    </w:pPr>
    <w:rPr>
      <w:sz w:val="20"/>
      <w:szCs w:val="20"/>
    </w:rPr>
  </w:style>
  <w:style w:type="character" w:customStyle="1" w:styleId="TekstopmerkingChar">
    <w:name w:val="Tekst opmerking Char"/>
    <w:basedOn w:val="Standaardalinea-lettertype"/>
    <w:link w:val="Tekstopmerking"/>
    <w:uiPriority w:val="99"/>
    <w:rsid w:val="00193D7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93D79"/>
    <w:rPr>
      <w:b/>
      <w:bCs/>
    </w:rPr>
  </w:style>
  <w:style w:type="character" w:customStyle="1" w:styleId="OnderwerpvanopmerkingChar">
    <w:name w:val="Onderwerp van opmerking Char"/>
    <w:basedOn w:val="TekstopmerkingChar"/>
    <w:link w:val="Onderwerpvanopmerking"/>
    <w:uiPriority w:val="99"/>
    <w:semiHidden/>
    <w:rsid w:val="00193D79"/>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6831">
      <w:bodyDiv w:val="1"/>
      <w:marLeft w:val="0"/>
      <w:marRight w:val="0"/>
      <w:marTop w:val="0"/>
      <w:marBottom w:val="0"/>
      <w:divBdr>
        <w:top w:val="none" w:sz="0" w:space="0" w:color="auto"/>
        <w:left w:val="none" w:sz="0" w:space="0" w:color="auto"/>
        <w:bottom w:val="none" w:sz="0" w:space="0" w:color="auto"/>
        <w:right w:val="none" w:sz="0" w:space="0" w:color="auto"/>
      </w:divBdr>
    </w:div>
    <w:div w:id="305663790">
      <w:bodyDiv w:val="1"/>
      <w:marLeft w:val="0"/>
      <w:marRight w:val="0"/>
      <w:marTop w:val="0"/>
      <w:marBottom w:val="0"/>
      <w:divBdr>
        <w:top w:val="none" w:sz="0" w:space="0" w:color="auto"/>
        <w:left w:val="none" w:sz="0" w:space="0" w:color="auto"/>
        <w:bottom w:val="none" w:sz="0" w:space="0" w:color="auto"/>
        <w:right w:val="none" w:sz="0" w:space="0" w:color="auto"/>
      </w:divBdr>
    </w:div>
    <w:div w:id="621349213">
      <w:bodyDiv w:val="1"/>
      <w:marLeft w:val="0"/>
      <w:marRight w:val="0"/>
      <w:marTop w:val="0"/>
      <w:marBottom w:val="0"/>
      <w:divBdr>
        <w:top w:val="none" w:sz="0" w:space="0" w:color="auto"/>
        <w:left w:val="none" w:sz="0" w:space="0" w:color="auto"/>
        <w:bottom w:val="none" w:sz="0" w:space="0" w:color="auto"/>
        <w:right w:val="none" w:sz="0" w:space="0" w:color="auto"/>
      </w:divBdr>
      <w:divsChild>
        <w:div w:id="1890724901">
          <w:marLeft w:val="0"/>
          <w:marRight w:val="0"/>
          <w:marTop w:val="0"/>
          <w:marBottom w:val="0"/>
          <w:divBdr>
            <w:top w:val="none" w:sz="0" w:space="0" w:color="auto"/>
            <w:left w:val="none" w:sz="0" w:space="0" w:color="auto"/>
            <w:bottom w:val="none" w:sz="0" w:space="0" w:color="auto"/>
            <w:right w:val="none" w:sz="0" w:space="0" w:color="auto"/>
          </w:divBdr>
          <w:divsChild>
            <w:div w:id="991524338">
              <w:marLeft w:val="0"/>
              <w:marRight w:val="0"/>
              <w:marTop w:val="0"/>
              <w:marBottom w:val="0"/>
              <w:divBdr>
                <w:top w:val="none" w:sz="0" w:space="0" w:color="auto"/>
                <w:left w:val="none" w:sz="0" w:space="0" w:color="auto"/>
                <w:bottom w:val="none" w:sz="0" w:space="0" w:color="auto"/>
                <w:right w:val="none" w:sz="0" w:space="0" w:color="auto"/>
              </w:divBdr>
            </w:div>
          </w:divsChild>
        </w:div>
        <w:div w:id="1976177967">
          <w:marLeft w:val="0"/>
          <w:marRight w:val="0"/>
          <w:marTop w:val="0"/>
          <w:marBottom w:val="0"/>
          <w:divBdr>
            <w:top w:val="none" w:sz="0" w:space="0" w:color="auto"/>
            <w:left w:val="none" w:sz="0" w:space="0" w:color="auto"/>
            <w:bottom w:val="none" w:sz="0" w:space="0" w:color="auto"/>
            <w:right w:val="none" w:sz="0" w:space="0" w:color="auto"/>
          </w:divBdr>
          <w:divsChild>
            <w:div w:id="16808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30881">
      <w:bodyDiv w:val="1"/>
      <w:marLeft w:val="0"/>
      <w:marRight w:val="0"/>
      <w:marTop w:val="0"/>
      <w:marBottom w:val="0"/>
      <w:divBdr>
        <w:top w:val="none" w:sz="0" w:space="0" w:color="auto"/>
        <w:left w:val="none" w:sz="0" w:space="0" w:color="auto"/>
        <w:bottom w:val="none" w:sz="0" w:space="0" w:color="auto"/>
        <w:right w:val="none" w:sz="0" w:space="0" w:color="auto"/>
      </w:divBdr>
    </w:div>
    <w:div w:id="823159822">
      <w:bodyDiv w:val="1"/>
      <w:marLeft w:val="0"/>
      <w:marRight w:val="0"/>
      <w:marTop w:val="0"/>
      <w:marBottom w:val="0"/>
      <w:divBdr>
        <w:top w:val="none" w:sz="0" w:space="0" w:color="auto"/>
        <w:left w:val="none" w:sz="0" w:space="0" w:color="auto"/>
        <w:bottom w:val="none" w:sz="0" w:space="0" w:color="auto"/>
        <w:right w:val="none" w:sz="0" w:space="0" w:color="auto"/>
      </w:divBdr>
    </w:div>
    <w:div w:id="935753153">
      <w:bodyDiv w:val="1"/>
      <w:marLeft w:val="0"/>
      <w:marRight w:val="0"/>
      <w:marTop w:val="0"/>
      <w:marBottom w:val="0"/>
      <w:divBdr>
        <w:top w:val="none" w:sz="0" w:space="0" w:color="auto"/>
        <w:left w:val="none" w:sz="0" w:space="0" w:color="auto"/>
        <w:bottom w:val="none" w:sz="0" w:space="0" w:color="auto"/>
        <w:right w:val="none" w:sz="0" w:space="0" w:color="auto"/>
      </w:divBdr>
    </w:div>
    <w:div w:id="939794167">
      <w:bodyDiv w:val="1"/>
      <w:marLeft w:val="0"/>
      <w:marRight w:val="0"/>
      <w:marTop w:val="0"/>
      <w:marBottom w:val="0"/>
      <w:divBdr>
        <w:top w:val="none" w:sz="0" w:space="0" w:color="auto"/>
        <w:left w:val="none" w:sz="0" w:space="0" w:color="auto"/>
        <w:bottom w:val="none" w:sz="0" w:space="0" w:color="auto"/>
        <w:right w:val="none" w:sz="0" w:space="0" w:color="auto"/>
      </w:divBdr>
    </w:div>
    <w:div w:id="1449935510">
      <w:bodyDiv w:val="1"/>
      <w:marLeft w:val="0"/>
      <w:marRight w:val="0"/>
      <w:marTop w:val="0"/>
      <w:marBottom w:val="0"/>
      <w:divBdr>
        <w:top w:val="none" w:sz="0" w:space="0" w:color="auto"/>
        <w:left w:val="none" w:sz="0" w:space="0" w:color="auto"/>
        <w:bottom w:val="none" w:sz="0" w:space="0" w:color="auto"/>
        <w:right w:val="none" w:sz="0" w:space="0" w:color="auto"/>
      </w:divBdr>
    </w:div>
    <w:div w:id="1728413399">
      <w:bodyDiv w:val="1"/>
      <w:marLeft w:val="0"/>
      <w:marRight w:val="0"/>
      <w:marTop w:val="0"/>
      <w:marBottom w:val="0"/>
      <w:divBdr>
        <w:top w:val="none" w:sz="0" w:space="0" w:color="auto"/>
        <w:left w:val="none" w:sz="0" w:space="0" w:color="auto"/>
        <w:bottom w:val="none" w:sz="0" w:space="0" w:color="auto"/>
        <w:right w:val="none" w:sz="0" w:space="0" w:color="auto"/>
      </w:divBdr>
    </w:div>
    <w:div w:id="18738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ondernemersplein.overheid.nl/wetswijzigingen/meer-partijen-aansprakelijk-voor-gebrekkige-producten/"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bescherming-van-consumenten/vraag-en-antwoord/kopen-bij-webwinkels-buiten-de-eu" TargetMode="External"/><Relationship Id="rId7" Type="http://schemas.openxmlformats.org/officeDocument/2006/relationships/hyperlink" Target="https://www.rijksoverheid.nl/documenten/beleidsnotas/2023/02/03/nationaal-programma-circulaire-economie-2023-2030" TargetMode="External"/><Relationship Id="rId2" Type="http://schemas.openxmlformats.org/officeDocument/2006/relationships/hyperlink" Target="http://www.rechtspraak.nl/mvp" TargetMode="External"/><Relationship Id="rId1" Type="http://schemas.openxmlformats.org/officeDocument/2006/relationships/hyperlink" Target="https://www.rechtspraak.nl/Uitspraken/Paginas/Selectiecriteria.aspx" TargetMode="External"/><Relationship Id="rId6" Type="http://schemas.openxmlformats.org/officeDocument/2006/relationships/hyperlink" Target="https://www.rijksoverheid.nl/onderwerpen/bescherming-van-consumenten/vraag-en-antwoord/dropshipping-voor-ondernemers" TargetMode="External"/><Relationship Id="rId5" Type="http://schemas.openxmlformats.org/officeDocument/2006/relationships/hyperlink" Target="https://www.consuwijzer.nl/online-winkelen/dropshipping-check-goed-waar-je-bestelt" TargetMode="External"/><Relationship Id="rId4" Type="http://schemas.openxmlformats.org/officeDocument/2006/relationships/hyperlink" Target="https://www.nvwa.nl/documenten/videos/2019/11/26/video-laat-je-niet-inpak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24421</ap:Words>
  <ap:Characters>134317</ap:Characters>
  <ap:DocSecurity>0</ap:DocSecurity>
  <ap:Lines>1119</ap:Lines>
  <ap:Paragraphs>316</ap:Paragraphs>
  <ap:ScaleCrop>false</ap:ScaleCrop>
  <ap:LinksUpToDate>false</ap:LinksUpToDate>
  <ap:CharactersWithSpaces>158422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2026-03-03T09:24:00.0000000Z</dcterms:created>
  <dcterms:modified xsi:type="dcterms:W3CDTF">2026-03-03T09:25:00.0000000Z</dcterms:modified>
  <version/>
  <category/>
</coreProperties>
</file>