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0188" w:rsidR="00D97818" w:rsidP="00D97818" w:rsidRDefault="00211E10" w14:paraId="31CDB853" w14:textId="3B0C4349">
      <w:pPr>
        <w:pStyle w:val="Kop1"/>
        <w:rPr>
          <w:color w:val="auto"/>
        </w:rPr>
      </w:pPr>
      <w:r>
        <w:rPr>
          <w:color w:val="auto"/>
        </w:rPr>
        <w:t xml:space="preserve"> </w:t>
      </w:r>
      <w:r w:rsidRPr="00290188" w:rsidR="00D97818">
        <w:rPr>
          <w:color w:val="auto"/>
        </w:rPr>
        <w:t xml:space="preserve">Bijlage 1. 15c beoordeling per </w:t>
      </w:r>
      <w:r w:rsidRPr="00290188" w:rsidR="00C361DC">
        <w:rPr>
          <w:color w:val="auto"/>
        </w:rPr>
        <w:t>regio</w:t>
      </w:r>
      <w:r w:rsidRPr="00290188" w:rsidR="00D97818">
        <w:rPr>
          <w:color w:val="auto"/>
        </w:rPr>
        <w:t xml:space="preserve"> in Sudan </w:t>
      </w:r>
    </w:p>
    <w:p w:rsidRPr="00290188" w:rsidR="00D97818" w:rsidP="00D97818" w:rsidRDefault="00D97818" w14:paraId="3C251122" w14:textId="77777777">
      <w:pPr>
        <w:pStyle w:val="broodtekst"/>
        <w:rPr>
          <w:bCs/>
          <w:u w:val="single"/>
        </w:rPr>
      </w:pPr>
    </w:p>
    <w:p w:rsidRPr="00290188" w:rsidR="00D97818" w:rsidP="00D97818" w:rsidRDefault="00D97818" w14:paraId="0BBCD7F1" w14:textId="72635DE4">
      <w:pPr>
        <w:pStyle w:val="broodtekst"/>
      </w:pPr>
      <w:r w:rsidRPr="00290188">
        <w:t xml:space="preserve">Bij de </w:t>
      </w:r>
      <w:r w:rsidRPr="00290188" w:rsidR="00836371">
        <w:t xml:space="preserve">15c </w:t>
      </w:r>
      <w:r w:rsidRPr="00290188">
        <w:t xml:space="preserve">beoordeling dient men eerst te beoordelen of er sprake is van een gewapend conflict in de zin van artikel 15, onder c van de Kwalificatierichtlijn (2011/95/EU). </w:t>
      </w:r>
      <w:r w:rsidRPr="00290188">
        <w:rPr>
          <w:b/>
          <w:bCs/>
        </w:rPr>
        <w:t xml:space="preserve">Gelet op de in het ambtsbericht geschetste situatie is dit in </w:t>
      </w:r>
      <w:r w:rsidRPr="00290188" w:rsidR="002C2577">
        <w:rPr>
          <w:b/>
          <w:bCs/>
        </w:rPr>
        <w:t xml:space="preserve">heel </w:t>
      </w:r>
      <w:r w:rsidRPr="00290188">
        <w:rPr>
          <w:b/>
          <w:bCs/>
        </w:rPr>
        <w:t>Sudan het geval.</w:t>
      </w:r>
      <w:r w:rsidRPr="00290188" w:rsidR="002C4861">
        <w:t xml:space="preserve"> </w:t>
      </w:r>
      <w:r w:rsidRPr="00290188" w:rsidR="00EC6D15">
        <w:t>Hierna worden</w:t>
      </w:r>
      <w:r w:rsidRPr="00290188">
        <w:t xml:space="preserve"> </w:t>
      </w:r>
      <w:r w:rsidRPr="00290188" w:rsidR="00EC6D15">
        <w:t xml:space="preserve">per </w:t>
      </w:r>
      <w:r w:rsidRPr="00290188" w:rsidR="008E75AB">
        <w:t>deelstaat</w:t>
      </w:r>
      <w:r w:rsidRPr="00290188" w:rsidR="00EC6D15">
        <w:t xml:space="preserve"> de volgende elementen gewogen </w:t>
      </w:r>
      <w:r w:rsidRPr="00290188">
        <w:t>om de intensiteit van het willekeurig geweld en de mate van het risico dat een burger hier slachtoffer van kan worden te bepalen:</w:t>
      </w:r>
    </w:p>
    <w:p w:rsidRPr="00290188" w:rsidR="008E504A" w:rsidP="00D97818" w:rsidRDefault="00D97818" w14:paraId="1164D589" w14:textId="1C88EEFF">
      <w:pPr>
        <w:pStyle w:val="broodtekst"/>
        <w:numPr>
          <w:ilvl w:val="0"/>
          <w:numId w:val="1"/>
        </w:numPr>
        <w:rPr>
          <w:u w:val="single"/>
        </w:rPr>
      </w:pPr>
      <w:r w:rsidRPr="00290188">
        <w:t xml:space="preserve">de vraag </w:t>
      </w:r>
      <w:r w:rsidRPr="00290188" w:rsidR="008E504A">
        <w:t>of partijen bij het conflict oorlogsmethoden hanteren die de kans op burgerslachtoffers vergroten of burgers als doel nemen;</w:t>
      </w:r>
    </w:p>
    <w:p w:rsidRPr="00290188" w:rsidR="00D97818" w:rsidP="00D97818" w:rsidRDefault="008E504A" w14:paraId="66B4F70A" w14:textId="73B846B2">
      <w:pPr>
        <w:pStyle w:val="broodtekst"/>
        <w:numPr>
          <w:ilvl w:val="0"/>
          <w:numId w:val="1"/>
        </w:numPr>
        <w:rPr>
          <w:u w:val="single"/>
        </w:rPr>
      </w:pPr>
      <w:r w:rsidRPr="00290188">
        <w:t xml:space="preserve">de vraag </w:t>
      </w:r>
      <w:r w:rsidRPr="00290188" w:rsidR="00EE20BE">
        <w:t>of het gebruik van die methoden wijdverbreid is bij de strijdende partijen</w:t>
      </w:r>
      <w:r w:rsidRPr="00290188" w:rsidR="00D97818">
        <w:t>;</w:t>
      </w:r>
    </w:p>
    <w:p w:rsidRPr="00290188" w:rsidR="00D97818" w:rsidP="00D97818" w:rsidRDefault="00D97818" w14:paraId="1ACAD74D" w14:textId="77777777">
      <w:pPr>
        <w:pStyle w:val="broodtekst"/>
        <w:numPr>
          <w:ilvl w:val="0"/>
          <w:numId w:val="1"/>
        </w:numPr>
        <w:rPr>
          <w:u w:val="single"/>
        </w:rPr>
      </w:pPr>
      <w:r w:rsidRPr="00290188">
        <w:t>de vraag of het geweld wijdverbreid is of plaatselijk;</w:t>
      </w:r>
    </w:p>
    <w:p w:rsidRPr="00290188" w:rsidR="00D97818" w:rsidP="00D97818" w:rsidRDefault="00D97818" w14:paraId="72B25D8A" w14:textId="77777777">
      <w:pPr>
        <w:pStyle w:val="broodtekst"/>
        <w:numPr>
          <w:ilvl w:val="0"/>
          <w:numId w:val="1"/>
        </w:numPr>
        <w:rPr>
          <w:u w:val="single"/>
        </w:rPr>
      </w:pPr>
      <w:r w:rsidRPr="00290188">
        <w:t>de vraag of er een veiligheidsstructuur aanwezig is;</w:t>
      </w:r>
    </w:p>
    <w:p w:rsidRPr="00290188" w:rsidR="00D97818" w:rsidP="00D97818" w:rsidRDefault="00D97818" w14:paraId="3FBB7CA8" w14:textId="5F0D561C">
      <w:pPr>
        <w:pStyle w:val="broodtekst"/>
        <w:numPr>
          <w:ilvl w:val="0"/>
          <w:numId w:val="1"/>
        </w:numPr>
        <w:rPr>
          <w:u w:val="single"/>
        </w:rPr>
      </w:pPr>
      <w:r w:rsidRPr="00290188">
        <w:t xml:space="preserve">de intensiteit van de </w:t>
      </w:r>
      <w:r w:rsidRPr="00290188" w:rsidR="00836371">
        <w:t xml:space="preserve">gewapende </w:t>
      </w:r>
      <w:r w:rsidRPr="00290188">
        <w:t>confrontaties en organisatieniveau van de strijdkrachten;</w:t>
      </w:r>
    </w:p>
    <w:p w:rsidRPr="00290188" w:rsidR="004F4CEA" w:rsidP="004F4CEA" w:rsidRDefault="00D97818" w14:paraId="780623B4" w14:textId="77777777">
      <w:pPr>
        <w:pStyle w:val="broodtekst"/>
        <w:numPr>
          <w:ilvl w:val="0"/>
          <w:numId w:val="1"/>
        </w:numPr>
        <w:rPr>
          <w:u w:val="single"/>
        </w:rPr>
      </w:pPr>
      <w:r w:rsidRPr="00290188">
        <w:t xml:space="preserve">de aantallen doden, gewonden en ontheemden </w:t>
      </w:r>
      <w:r w:rsidRPr="00290188" w:rsidR="008E504A">
        <w:t xml:space="preserve">onder de burgerbevolking </w:t>
      </w:r>
      <w:r w:rsidRPr="00290188" w:rsidR="00836371">
        <w:t>als gevolg van het conflict</w:t>
      </w:r>
      <w:r w:rsidRPr="00290188" w:rsidR="00C746AF">
        <w:t>;</w:t>
      </w:r>
    </w:p>
    <w:p w:rsidRPr="00290188" w:rsidR="008E504A" w:rsidP="00D97818" w:rsidRDefault="008E504A" w14:paraId="702E5D31" w14:textId="77777777">
      <w:pPr>
        <w:pStyle w:val="broodtekst"/>
        <w:rPr>
          <w:bCs/>
        </w:rPr>
      </w:pPr>
    </w:p>
    <w:p w:rsidRPr="00290188" w:rsidR="00D97818" w:rsidP="00D97818" w:rsidRDefault="00D97818" w14:paraId="1D9ED4B8" w14:textId="40468065">
      <w:pPr>
        <w:pStyle w:val="broodtekst"/>
        <w:rPr>
          <w:bCs/>
        </w:rPr>
      </w:pPr>
      <w:r w:rsidRPr="00290188">
        <w:rPr>
          <w:bCs/>
        </w:rPr>
        <w:t xml:space="preserve">Op basis van de </w:t>
      </w:r>
      <w:r w:rsidRPr="00290188" w:rsidR="006852D0">
        <w:rPr>
          <w:bCs/>
        </w:rPr>
        <w:t xml:space="preserve">globale </w:t>
      </w:r>
      <w:r w:rsidRPr="00290188">
        <w:rPr>
          <w:bCs/>
        </w:rPr>
        <w:t xml:space="preserve">beoordeling van deze elementen in onderlinge samenhang wordt geconcludeerd </w:t>
      </w:r>
      <w:r w:rsidRPr="00290188" w:rsidR="008E75AB">
        <w:rPr>
          <w:bCs/>
        </w:rPr>
        <w:t xml:space="preserve">in welke mate </w:t>
      </w:r>
      <w:r w:rsidRPr="00290188">
        <w:rPr>
          <w:bCs/>
        </w:rPr>
        <w:t xml:space="preserve">er sprake is van een willekeurig geweld </w:t>
      </w:r>
      <w:r w:rsidRPr="00290188" w:rsidR="008E75AB">
        <w:rPr>
          <w:bCs/>
        </w:rPr>
        <w:t>en</w:t>
      </w:r>
      <w:r w:rsidRPr="00290188">
        <w:rPr>
          <w:bCs/>
        </w:rPr>
        <w:t xml:space="preserve"> welke gradatie van artikel 15c </w:t>
      </w:r>
      <w:r w:rsidRPr="00290188" w:rsidR="008E75AB">
        <w:rPr>
          <w:bCs/>
        </w:rPr>
        <w:t xml:space="preserve">daarmee </w:t>
      </w:r>
      <w:r w:rsidRPr="00290188">
        <w:rPr>
          <w:bCs/>
        </w:rPr>
        <w:t>van toepassing is op (</w:t>
      </w:r>
      <w:r w:rsidRPr="00290188" w:rsidR="006852D0">
        <w:rPr>
          <w:bCs/>
        </w:rPr>
        <w:t xml:space="preserve">het </w:t>
      </w:r>
      <w:r w:rsidRPr="00290188">
        <w:rPr>
          <w:bCs/>
        </w:rPr>
        <w:t>deel van) Sudan.</w:t>
      </w:r>
      <w:r w:rsidRPr="00290188" w:rsidR="00836371">
        <w:rPr>
          <w:bCs/>
        </w:rPr>
        <w:t xml:space="preserve"> </w:t>
      </w:r>
      <w:r w:rsidRPr="00290188">
        <w:rPr>
          <w:bCs/>
        </w:rPr>
        <w:t xml:space="preserve">Beleidsmatig </w:t>
      </w:r>
      <w:r w:rsidRPr="00290188" w:rsidR="007E2D74">
        <w:rPr>
          <w:bCs/>
        </w:rPr>
        <w:t>zijn er drie gradaties:</w:t>
      </w:r>
    </w:p>
    <w:p w:rsidRPr="00290188" w:rsidR="00D97818" w:rsidP="00D97818" w:rsidRDefault="008E504A" w14:paraId="7153606C" w14:textId="70685241">
      <w:pPr>
        <w:pStyle w:val="broodtekst"/>
        <w:numPr>
          <w:ilvl w:val="0"/>
          <w:numId w:val="2"/>
        </w:numPr>
        <w:rPr>
          <w:bCs/>
        </w:rPr>
      </w:pPr>
      <w:r w:rsidRPr="00290188">
        <w:rPr>
          <w:bCs/>
        </w:rPr>
        <w:t>Uitzonderlijk niveau van willekeurig geweld</w:t>
      </w:r>
      <w:r w:rsidRPr="00290188" w:rsidR="003210DC">
        <w:rPr>
          <w:bCs/>
        </w:rPr>
        <w:t>;</w:t>
      </w:r>
    </w:p>
    <w:p w:rsidRPr="00290188" w:rsidR="00D97818" w:rsidP="00D97818" w:rsidRDefault="008E75AB" w14:paraId="26A6F750" w14:textId="63387302">
      <w:pPr>
        <w:pStyle w:val="broodtekst"/>
        <w:numPr>
          <w:ilvl w:val="0"/>
          <w:numId w:val="2"/>
        </w:numPr>
        <w:rPr>
          <w:bCs/>
        </w:rPr>
      </w:pPr>
      <w:bookmarkStart w:name="_Hlk168653879" w:id="0"/>
      <w:r w:rsidRPr="00290188">
        <w:rPr>
          <w:bCs/>
        </w:rPr>
        <w:t>Relatief hoger niveau van willekeurig geweld</w:t>
      </w:r>
      <w:r w:rsidRPr="00290188" w:rsidR="003210DC">
        <w:rPr>
          <w:bCs/>
        </w:rPr>
        <w:t>;</w:t>
      </w:r>
    </w:p>
    <w:bookmarkEnd w:id="0"/>
    <w:p w:rsidRPr="00290188" w:rsidR="00D97818" w:rsidP="00D97818" w:rsidRDefault="00836371" w14:paraId="6E6A7713" w14:textId="25F909E3">
      <w:pPr>
        <w:pStyle w:val="broodtekst"/>
        <w:numPr>
          <w:ilvl w:val="0"/>
          <w:numId w:val="2"/>
        </w:numPr>
        <w:rPr>
          <w:bCs/>
        </w:rPr>
      </w:pPr>
      <w:r w:rsidRPr="00290188">
        <w:rPr>
          <w:bCs/>
        </w:rPr>
        <w:t>Relatief lager niveau van willekeurig geweld</w:t>
      </w:r>
      <w:r w:rsidRPr="00290188" w:rsidR="003210DC">
        <w:rPr>
          <w:bCs/>
        </w:rPr>
        <w:t>.</w:t>
      </w:r>
    </w:p>
    <w:p w:rsidRPr="00290188" w:rsidR="00D97818" w:rsidP="00D97818" w:rsidRDefault="00D97818" w14:paraId="05670AE4" w14:textId="77777777">
      <w:pPr>
        <w:pStyle w:val="broodtekst"/>
        <w:rPr>
          <w:bCs/>
        </w:rPr>
      </w:pPr>
    </w:p>
    <w:p w:rsidRPr="00290188" w:rsidR="00D97818" w:rsidP="00D97818" w:rsidRDefault="00D12BFB" w14:paraId="5D199163" w14:textId="27D28469">
      <w:pPr>
        <w:pStyle w:val="broodtekst"/>
        <w:rPr>
          <w:b/>
          <w:bCs/>
          <w:u w:val="single"/>
        </w:rPr>
      </w:pPr>
      <w:r w:rsidRPr="00290188">
        <w:rPr>
          <w:b/>
          <w:bCs/>
          <w:u w:val="single"/>
        </w:rPr>
        <w:t>D</w:t>
      </w:r>
      <w:r w:rsidRPr="00290188" w:rsidR="00D97818">
        <w:rPr>
          <w:b/>
          <w:bCs/>
          <w:u w:val="single"/>
        </w:rPr>
        <w:t xml:space="preserve">e volgende punten dienen nadrukkelijk in acht te worden genomen: </w:t>
      </w:r>
    </w:p>
    <w:p w:rsidRPr="00290188" w:rsidR="00C12F2B" w:rsidP="00C12F2B" w:rsidRDefault="00C12F2B" w14:paraId="3B164805" w14:textId="3312B03B">
      <w:pPr>
        <w:pStyle w:val="broodtekst"/>
        <w:numPr>
          <w:ilvl w:val="0"/>
          <w:numId w:val="1"/>
        </w:numPr>
      </w:pPr>
      <w:r w:rsidRPr="00290188">
        <w:t>Informatie komt uit het ambtsbericht, tenzij expliciet een andere bron wordt vermeld.</w:t>
      </w:r>
    </w:p>
    <w:p w:rsidRPr="00290188" w:rsidR="002C4861" w:rsidP="00C12F2B" w:rsidRDefault="002C4861" w14:paraId="56DE7D3D" w14:textId="4A3BA134">
      <w:pPr>
        <w:pStyle w:val="broodtekst"/>
        <w:numPr>
          <w:ilvl w:val="0"/>
          <w:numId w:val="1"/>
        </w:numPr>
      </w:pPr>
      <w:r w:rsidRPr="00290188">
        <w:t>In het AAB was het niet altijd mogelijk om de humanitaire situatie per staat te duiden.</w:t>
      </w:r>
    </w:p>
    <w:p w:rsidRPr="00290188" w:rsidR="00E21857" w:rsidP="00E21857" w:rsidRDefault="00D97818" w14:paraId="2723764B" w14:textId="406A88FE">
      <w:pPr>
        <w:pStyle w:val="broodtekst"/>
        <w:numPr>
          <w:ilvl w:val="0"/>
          <w:numId w:val="1"/>
        </w:numPr>
      </w:pPr>
      <w:r w:rsidRPr="00290188">
        <w:t xml:space="preserve">Het </w:t>
      </w:r>
      <w:proofErr w:type="spellStart"/>
      <w:r w:rsidRPr="00290188">
        <w:t>Armed</w:t>
      </w:r>
      <w:proofErr w:type="spellEnd"/>
      <w:r w:rsidRPr="00290188">
        <w:t xml:space="preserve"> Conflict </w:t>
      </w:r>
      <w:proofErr w:type="spellStart"/>
      <w:r w:rsidRPr="00290188">
        <w:t>Location</w:t>
      </w:r>
      <w:proofErr w:type="spellEnd"/>
      <w:r w:rsidRPr="00290188">
        <w:t xml:space="preserve"> </w:t>
      </w:r>
      <w:proofErr w:type="spellStart"/>
      <w:r w:rsidRPr="00290188">
        <w:t>and</w:t>
      </w:r>
      <w:proofErr w:type="spellEnd"/>
      <w:r w:rsidRPr="00290188">
        <w:t xml:space="preserve"> Event Data Project (ACLED) is de primaire informatiebron van het ambtsbericht Sudan, wat betreft cijfers over geweldsincidenten en slachtoffers</w:t>
      </w:r>
      <w:r w:rsidRPr="00290188" w:rsidR="00E21857">
        <w:t>.</w:t>
      </w:r>
      <w:r w:rsidRPr="00290188" w:rsidR="00E10D80">
        <w:t xml:space="preserve"> De gegevens worden gebruikt als illustratie van trends en zijn niet absoluut.</w:t>
      </w:r>
    </w:p>
    <w:p w:rsidRPr="00290188" w:rsidR="008E504A" w:rsidP="008E504A" w:rsidRDefault="00D97818" w14:paraId="19B42105" w14:textId="51784F9E">
      <w:pPr>
        <w:pStyle w:val="broodtekst"/>
        <w:numPr>
          <w:ilvl w:val="0"/>
          <w:numId w:val="1"/>
        </w:numPr>
      </w:pPr>
      <w:r w:rsidRPr="00290188">
        <w:t xml:space="preserve">ACLED baseert zich naar eigen zeggen op de meest conservatieve schattingen. </w:t>
      </w:r>
      <w:r w:rsidRPr="00290188" w:rsidR="00FE74DB">
        <w:t xml:space="preserve">De actieve conflictsituatie bemoeilijkt het rapporteren van incidenten. </w:t>
      </w:r>
      <w:r w:rsidRPr="00290188">
        <w:t xml:space="preserve">Indien bij een gerapporteerd geweldsincident het dodental onbekend is, noteert ACLED bijvoorbeeld géén dodelijke slachtoffers. </w:t>
      </w:r>
    </w:p>
    <w:p w:rsidRPr="00290188" w:rsidR="00D97818" w:rsidP="00D97818" w:rsidRDefault="00D97818" w14:paraId="397C2F30" w14:textId="450CBDEF">
      <w:pPr>
        <w:pStyle w:val="broodtekst"/>
        <w:numPr>
          <w:ilvl w:val="0"/>
          <w:numId w:val="1"/>
        </w:numPr>
      </w:pPr>
      <w:r w:rsidRPr="00290188">
        <w:t xml:space="preserve">Het ACLED is niet in staat onderscheid te maken tussen burgerslachtoffers en gesneuvelde </w:t>
      </w:r>
      <w:r w:rsidRPr="00290188" w:rsidR="002C4861">
        <w:t>combattanten.</w:t>
      </w:r>
      <w:r w:rsidRPr="00290188" w:rsidR="00836371">
        <w:t xml:space="preserve"> </w:t>
      </w:r>
    </w:p>
    <w:p w:rsidRPr="00290188" w:rsidR="00D97818" w:rsidP="00D97818" w:rsidRDefault="00D97818" w14:paraId="6C2B1B5A" w14:textId="6A2B286D">
      <w:pPr>
        <w:pStyle w:val="broodtekst"/>
        <w:numPr>
          <w:ilvl w:val="0"/>
          <w:numId w:val="1"/>
        </w:numPr>
      </w:pPr>
      <w:r w:rsidRPr="00290188">
        <w:t xml:space="preserve">De cijfers van ACLED omvatten géén slachtoffers van niet-dodelijk geweld zoals gewonden </w:t>
      </w:r>
      <w:r w:rsidRPr="00290188" w:rsidR="00C12F2B">
        <w:t>of</w:t>
      </w:r>
      <w:r w:rsidRPr="00290188">
        <w:t xml:space="preserve"> overlevenden van </w:t>
      </w:r>
      <w:r w:rsidRPr="00290188" w:rsidR="00C12F2B">
        <w:t>conflict-gerelateerd seksueel geweld.</w:t>
      </w:r>
      <w:r w:rsidRPr="00290188">
        <w:t xml:space="preserve"> Deze informatie kon daarom niet opgenomen worden in onderstaand overzicht. Dit kan leiden tot een vertekend beeld van de mate van geweld. </w:t>
      </w:r>
    </w:p>
    <w:p w:rsidRPr="00290188" w:rsidR="004B2C9F" w:rsidP="00D97818" w:rsidRDefault="00CE29D6" w14:paraId="3BF0C853" w14:textId="7072E996">
      <w:pPr>
        <w:pStyle w:val="broodtekst"/>
        <w:numPr>
          <w:ilvl w:val="0"/>
          <w:numId w:val="1"/>
        </w:numPr>
      </w:pPr>
      <w:r w:rsidRPr="00290188">
        <w:t xml:space="preserve">Het genoemde aantal </w:t>
      </w:r>
      <w:r w:rsidRPr="00290188" w:rsidR="00D97818">
        <w:t>geweldsincidenten en dode</w:t>
      </w:r>
      <w:r w:rsidRPr="00290188" w:rsidR="00475638">
        <w:t xml:space="preserve">lijke slachtoffers </w:t>
      </w:r>
      <w:r w:rsidRPr="00290188" w:rsidR="00D97818">
        <w:t xml:space="preserve">is op basis van de stand van de ACLED database </w:t>
      </w:r>
      <w:r w:rsidRPr="00290188">
        <w:t>voor k</w:t>
      </w:r>
      <w:r w:rsidRPr="00290188" w:rsidR="00202D1A">
        <w:t xml:space="preserve">alenderjaar </w:t>
      </w:r>
      <w:r w:rsidRPr="00290188" w:rsidR="00D8658C">
        <w:t xml:space="preserve">2023, </w:t>
      </w:r>
      <w:r w:rsidRPr="00290188">
        <w:t xml:space="preserve">2024 </w:t>
      </w:r>
      <w:r w:rsidRPr="00290188" w:rsidR="00202D1A">
        <w:t xml:space="preserve">en </w:t>
      </w:r>
      <w:r w:rsidRPr="00290188">
        <w:t>2025 (tot 8 augustus 2025).</w:t>
      </w:r>
    </w:p>
    <w:p w:rsidRPr="00290188" w:rsidR="004B2C9F" w:rsidP="004B2C9F" w:rsidRDefault="004B2C9F" w14:paraId="3FC458F1" w14:textId="77777777">
      <w:pPr>
        <w:pStyle w:val="broodtekst"/>
        <w:numPr>
          <w:ilvl w:val="0"/>
          <w:numId w:val="1"/>
        </w:numPr>
      </w:pPr>
      <w:r w:rsidRPr="00290188">
        <w:t>ACLED maakt onderscheid tussen doden als gevolg van:</w:t>
      </w:r>
    </w:p>
    <w:p w:rsidRPr="00290188" w:rsidR="004B2C9F" w:rsidP="004B2C9F" w:rsidRDefault="004B2C9F" w14:paraId="6A94E918" w14:textId="4D69DBAD">
      <w:pPr>
        <w:pStyle w:val="broodtekst"/>
        <w:numPr>
          <w:ilvl w:val="1"/>
          <w:numId w:val="1"/>
        </w:numPr>
      </w:pPr>
      <w:r w:rsidRPr="00290188">
        <w:t>Gevechten (‘gewapend treffen tussen strijdende partijen</w:t>
      </w:r>
      <w:r w:rsidRPr="00290188" w:rsidR="00356A86">
        <w:t>’</w:t>
      </w:r>
      <w:r w:rsidRPr="00290188">
        <w:t>);</w:t>
      </w:r>
    </w:p>
    <w:p w:rsidRPr="00290188" w:rsidR="004B2C9F" w:rsidP="004B2C9F" w:rsidRDefault="004B2C9F" w14:paraId="6DBF2BDC" w14:textId="77777777">
      <w:pPr>
        <w:pStyle w:val="broodtekst"/>
        <w:numPr>
          <w:ilvl w:val="1"/>
          <w:numId w:val="1"/>
        </w:numPr>
      </w:pPr>
      <w:r w:rsidRPr="00290188">
        <w:t>Explosies en geweld op afstand (‘geweld waarop het doelwit niet kan reageren’);</w:t>
      </w:r>
    </w:p>
    <w:p w:rsidRPr="00290188" w:rsidR="00836371" w:rsidP="00836371" w:rsidRDefault="004B2C9F" w14:paraId="0BC8C786" w14:textId="1BECF0BE">
      <w:pPr>
        <w:pStyle w:val="broodtekst"/>
        <w:numPr>
          <w:ilvl w:val="1"/>
          <w:numId w:val="1"/>
        </w:numPr>
      </w:pPr>
      <w:r w:rsidRPr="00290188">
        <w:t>Geweld tegen burgers (‘doelbewust geweld van een gewapende groep tegen ongewapende burgers</w:t>
      </w:r>
      <w:r w:rsidRPr="00290188" w:rsidR="00356A86">
        <w:t>’</w:t>
      </w:r>
      <w:r w:rsidRPr="00290188">
        <w:t>).</w:t>
      </w:r>
    </w:p>
    <w:p w:rsidRPr="00290188" w:rsidR="00E21857" w:rsidP="00C746AF" w:rsidRDefault="00E21857" w14:paraId="72584D11" w14:textId="7F6D8E0F">
      <w:pPr>
        <w:pStyle w:val="broodtekst"/>
        <w:numPr>
          <w:ilvl w:val="0"/>
          <w:numId w:val="1"/>
        </w:numPr>
      </w:pPr>
      <w:r w:rsidRPr="00290188">
        <w:rPr>
          <w:b/>
          <w:bCs/>
        </w:rPr>
        <w:t>Let op:</w:t>
      </w:r>
      <w:r w:rsidRPr="00290188">
        <w:t xml:space="preserve"> Het komt voor dat aanvallen als gevecht geregistreerd worden terwijl deze ook gericht kunnen zijn op burgers of waarbij </w:t>
      </w:r>
      <w:r w:rsidRPr="00290188" w:rsidR="002C4861">
        <w:t>burgerslachtoffers vallen</w:t>
      </w:r>
      <w:r w:rsidRPr="00290188">
        <w:t>.</w:t>
      </w:r>
      <w:r w:rsidRPr="00290188" w:rsidR="00D12BFB">
        <w:t xml:space="preserve"> Daarnaast maakt ACLED in het coderen van incidenten geen expliciet onderscheid tussen willekeurig en gericht geweld jegens burgers.</w:t>
      </w:r>
    </w:p>
    <w:p w:rsidRPr="00290188" w:rsidR="00D12BFB" w:rsidP="003210DC" w:rsidRDefault="008E504A" w14:paraId="5134B5E9" w14:textId="45FE8EAD">
      <w:pPr>
        <w:pStyle w:val="broodtekst"/>
        <w:numPr>
          <w:ilvl w:val="0"/>
          <w:numId w:val="1"/>
        </w:numPr>
      </w:pPr>
      <w:r w:rsidRPr="00290188">
        <w:t xml:space="preserve">OHCHR wordt als bron voor </w:t>
      </w:r>
      <w:r w:rsidRPr="00290188">
        <w:rPr>
          <w:u w:val="single"/>
        </w:rPr>
        <w:t xml:space="preserve">geregistreerde </w:t>
      </w:r>
      <w:r w:rsidRPr="00290188">
        <w:t>burgerslachtoffers gebruikt.</w:t>
      </w:r>
      <w:r w:rsidRPr="00290188" w:rsidR="00D12BFB">
        <w:t xml:space="preserve"> Dit betreft volgens OHCHR onderrapportages, </w:t>
      </w:r>
      <w:r w:rsidRPr="00290188">
        <w:t>aangezien maar een fractie van het aantal burgerslachtoffers daadwerkelijk geregistreerd kan worden door de omstandigheden in Sudan.</w:t>
      </w:r>
      <w:r w:rsidRPr="00290188" w:rsidR="004F4CEA">
        <w:t xml:space="preserve"> Ook hanteert OHCHR een andere verslagperiode dan ACLED.</w:t>
      </w:r>
    </w:p>
    <w:p w:rsidRPr="00290188" w:rsidR="00E479E8" w:rsidP="00E479E8" w:rsidRDefault="00E479E8" w14:paraId="285F5F8F" w14:textId="77777777">
      <w:pPr>
        <w:pStyle w:val="broodtekst"/>
      </w:pPr>
    </w:p>
    <w:p w:rsidRPr="00290188" w:rsidR="00E479E8" w:rsidP="00E479E8" w:rsidRDefault="00E479E8" w14:paraId="09E2BC6C" w14:textId="77777777">
      <w:pPr>
        <w:pStyle w:val="broodtekst"/>
      </w:pPr>
    </w:p>
    <w:tbl>
      <w:tblPr>
        <w:tblStyle w:val="Tabelraster"/>
        <w:tblW w:w="0" w:type="auto"/>
        <w:tblInd w:w="0" w:type="dxa"/>
        <w:tblLook w:val="04A0" w:firstRow="1" w:lastRow="0" w:firstColumn="1" w:lastColumn="0" w:noHBand="0" w:noVBand="1"/>
      </w:tblPr>
      <w:tblGrid>
        <w:gridCol w:w="2263"/>
        <w:gridCol w:w="6663"/>
      </w:tblGrid>
      <w:tr w:rsidRPr="00290188" w:rsidR="00D97818" w:rsidTr="00802BA7" w14:paraId="427D3F96" w14:textId="77777777">
        <w:tc>
          <w:tcPr>
            <w:tcW w:w="8926" w:type="dxa"/>
            <w:gridSpan w:val="2"/>
            <w:shd w:val="clear" w:color="auto" w:fill="DEEAF6" w:themeFill="accent1" w:themeFillTint="33"/>
          </w:tcPr>
          <w:p w:rsidRPr="00290188" w:rsidR="00D97818" w:rsidP="00B73F69" w:rsidRDefault="00D97818" w14:paraId="48DC322A" w14:textId="5BCDFABF">
            <w:pPr>
              <w:pStyle w:val="broodtekst"/>
              <w:rPr>
                <w:b/>
                <w:bCs/>
              </w:rPr>
            </w:pPr>
            <w:proofErr w:type="spellStart"/>
            <w:r w:rsidRPr="00290188">
              <w:rPr>
                <w:b/>
                <w:bCs/>
              </w:rPr>
              <w:lastRenderedPageBreak/>
              <w:t>Khartoum</w:t>
            </w:r>
            <w:proofErr w:type="spellEnd"/>
            <w:r w:rsidRPr="00290188">
              <w:rPr>
                <w:b/>
                <w:bCs/>
              </w:rPr>
              <w:t xml:space="preserve">  </w:t>
            </w:r>
            <w:r w:rsidRPr="00290188" w:rsidR="002627F5">
              <w:rPr>
                <w:b/>
                <w:bCs/>
              </w:rPr>
              <w:t>(</w:t>
            </w:r>
            <w:r w:rsidRPr="00290188" w:rsidR="005F5114">
              <w:rPr>
                <w:b/>
                <w:bCs/>
              </w:rPr>
              <w:t>5,2</w:t>
            </w:r>
            <w:r w:rsidRPr="00290188" w:rsidR="002627F5">
              <w:rPr>
                <w:b/>
                <w:bCs/>
              </w:rPr>
              <w:t xml:space="preserve"> </w:t>
            </w:r>
            <w:r w:rsidRPr="00290188">
              <w:rPr>
                <w:b/>
                <w:bCs/>
              </w:rPr>
              <w:t>miljoen inwoners</w:t>
            </w:r>
            <w:r w:rsidRPr="00290188" w:rsidR="002627F5">
              <w:rPr>
                <w:b/>
                <w:bCs/>
              </w:rPr>
              <w:t>)</w:t>
            </w:r>
          </w:p>
        </w:tc>
      </w:tr>
      <w:tr w:rsidRPr="00290188" w:rsidR="00D97818" w:rsidTr="00D97818" w14:paraId="3B51751E" w14:textId="77777777">
        <w:tc>
          <w:tcPr>
            <w:tcW w:w="2263" w:type="dxa"/>
          </w:tcPr>
          <w:p w:rsidRPr="00290188" w:rsidR="00D97818" w:rsidP="00B73F69" w:rsidRDefault="00D97818" w14:paraId="59FD3E86" w14:textId="77777777">
            <w:pPr>
              <w:pStyle w:val="broodtekst"/>
            </w:pPr>
            <w:r w:rsidRPr="00290188">
              <w:t>Controle</w:t>
            </w:r>
          </w:p>
        </w:tc>
        <w:tc>
          <w:tcPr>
            <w:tcW w:w="6663" w:type="dxa"/>
          </w:tcPr>
          <w:p w:rsidRPr="00290188" w:rsidR="00D97818" w:rsidP="00B73F69" w:rsidRDefault="00CF7C19" w14:paraId="63547D22" w14:textId="5CC8AAFD">
            <w:pPr>
              <w:pStyle w:val="broodtekst"/>
            </w:pPr>
            <w:proofErr w:type="spellStart"/>
            <w:r w:rsidRPr="00290188">
              <w:t>Khartoum</w:t>
            </w:r>
            <w:proofErr w:type="spellEnd"/>
            <w:r w:rsidRPr="00290188">
              <w:t xml:space="preserve"> is lange tijd het toneel geweest van hevige strijd om </w:t>
            </w:r>
            <w:r w:rsidRPr="00290188" w:rsidR="004352FB">
              <w:t xml:space="preserve">het controlegebied, </w:t>
            </w:r>
            <w:r w:rsidRPr="00290188">
              <w:t xml:space="preserve">waarbij de RSF het grootste deel van de stad controleerden. Nadat de SAF er na een offensief van een half jaar in slaagde om geheel </w:t>
            </w:r>
            <w:proofErr w:type="spellStart"/>
            <w:r w:rsidRPr="00290188">
              <w:t>Khartoum</w:t>
            </w:r>
            <w:proofErr w:type="spellEnd"/>
            <w:r w:rsidRPr="00290188">
              <w:t xml:space="preserve"> stad onder controle te krijgen, moesten de RSF in mei 2025 ook hun posities in Omdurman opgeven. De gehele stad </w:t>
            </w:r>
            <w:proofErr w:type="spellStart"/>
            <w:r w:rsidRPr="00290188">
              <w:t>Khartoum</w:t>
            </w:r>
            <w:proofErr w:type="spellEnd"/>
            <w:r w:rsidRPr="00290188">
              <w:t xml:space="preserve"> is daarmee momenteel in handen van de SAF.</w:t>
            </w:r>
          </w:p>
        </w:tc>
      </w:tr>
      <w:tr w:rsidRPr="00290188" w:rsidR="00D97818" w:rsidTr="00D97818" w14:paraId="7889B1B6" w14:textId="77777777">
        <w:tc>
          <w:tcPr>
            <w:tcW w:w="2263" w:type="dxa"/>
          </w:tcPr>
          <w:p w:rsidRPr="00290188" w:rsidR="00D97818" w:rsidP="00B73F69" w:rsidRDefault="00D97818" w14:paraId="3F06CBBA" w14:textId="77777777">
            <w:pPr>
              <w:pStyle w:val="broodtekst"/>
            </w:pPr>
            <w:r w:rsidRPr="00290188">
              <w:t>Strijdende partijen</w:t>
            </w:r>
          </w:p>
        </w:tc>
        <w:tc>
          <w:tcPr>
            <w:tcW w:w="6663" w:type="dxa"/>
          </w:tcPr>
          <w:p w:rsidRPr="00290188" w:rsidR="00D97818" w:rsidP="00B73F69" w:rsidRDefault="004B2C9F" w14:paraId="02C27185" w14:textId="1C8183F1">
            <w:pPr>
              <w:pStyle w:val="broodtekst"/>
            </w:pPr>
            <w:r w:rsidRPr="00290188">
              <w:t xml:space="preserve">SAF (inclusief gelieerde </w:t>
            </w:r>
            <w:r w:rsidRPr="00290188" w:rsidR="002C4861">
              <w:t>milities</w:t>
            </w:r>
            <w:r w:rsidRPr="00290188">
              <w:t>) &amp; RSF (inclusief gelieerde milities)</w:t>
            </w:r>
            <w:r w:rsidRPr="00290188" w:rsidR="003210DC">
              <w:t>.</w:t>
            </w:r>
          </w:p>
        </w:tc>
      </w:tr>
      <w:tr w:rsidRPr="00290188" w:rsidR="00D97818" w:rsidTr="00D97818" w14:paraId="19EAD105" w14:textId="77777777">
        <w:tc>
          <w:tcPr>
            <w:tcW w:w="2263" w:type="dxa"/>
          </w:tcPr>
          <w:p w:rsidRPr="00290188" w:rsidR="00D97818" w:rsidP="00B73F69" w:rsidRDefault="00D97818" w14:paraId="55738E60" w14:textId="77777777">
            <w:pPr>
              <w:pStyle w:val="broodtekst"/>
            </w:pPr>
            <w:r w:rsidRPr="00290188">
              <w:t>Aard van het geweld &amp; gevechtsmethodes</w:t>
            </w:r>
          </w:p>
        </w:tc>
        <w:tc>
          <w:tcPr>
            <w:tcW w:w="6663" w:type="dxa"/>
          </w:tcPr>
          <w:p w:rsidRPr="00290188" w:rsidR="00D97818" w:rsidP="00B73F69" w:rsidRDefault="00D97818" w14:paraId="4D29E200" w14:textId="4DFC7233">
            <w:pPr>
              <w:pStyle w:val="broodtekst"/>
            </w:pPr>
            <w:r w:rsidRPr="00290188">
              <w:t xml:space="preserve">In </w:t>
            </w:r>
            <w:proofErr w:type="spellStart"/>
            <w:r w:rsidRPr="00290188">
              <w:t>Khartoum</w:t>
            </w:r>
            <w:proofErr w:type="spellEnd"/>
            <w:r w:rsidRPr="00290188">
              <w:t xml:space="preserve"> is er sprake geweest van </w:t>
            </w:r>
            <w:r w:rsidRPr="00290188" w:rsidR="00CF7C19">
              <w:t>excessief geweld</w:t>
            </w:r>
            <w:r w:rsidRPr="00290188" w:rsidR="009F192E">
              <w:t xml:space="preserve"> door beide strijdende partijen. Hieronder volgen een paar voorbeelden:</w:t>
            </w:r>
          </w:p>
          <w:p w:rsidRPr="00290188" w:rsidR="00D97818" w:rsidP="007443D2" w:rsidRDefault="00CF7C19" w14:paraId="230D458F" w14:textId="682E4EBF">
            <w:pPr>
              <w:pStyle w:val="broodtekst"/>
              <w:numPr>
                <w:ilvl w:val="0"/>
                <w:numId w:val="1"/>
              </w:numPr>
            </w:pPr>
            <w:r w:rsidRPr="00290188">
              <w:t xml:space="preserve">In de eerste periode van het SAF offensief werden </w:t>
            </w:r>
            <w:r w:rsidRPr="00290188" w:rsidR="009F192E">
              <w:t>(</w:t>
            </w:r>
            <w:r w:rsidRPr="00290188">
              <w:t>lucht</w:t>
            </w:r>
            <w:r w:rsidRPr="00290188" w:rsidR="009F192E">
              <w:t>)</w:t>
            </w:r>
            <w:r w:rsidRPr="00290188">
              <w:t>aanvallen op dichtbevolkte gebieden gepleegd, waaronder droneaanvallen gericht op burgers</w:t>
            </w:r>
            <w:r w:rsidRPr="00290188" w:rsidR="0069058E">
              <w:t>.</w:t>
            </w:r>
            <w:r w:rsidRPr="00290188" w:rsidR="009F192E">
              <w:rPr>
                <w:rStyle w:val="Voetnootmarkering"/>
              </w:rPr>
              <w:footnoteReference w:id="1"/>
            </w:r>
          </w:p>
          <w:p w:rsidRPr="00290188" w:rsidR="00D12BFB" w:rsidP="007443D2" w:rsidRDefault="00D615E5" w14:paraId="3573E34B" w14:textId="7CA45F1C">
            <w:pPr>
              <w:pStyle w:val="broodtekst"/>
              <w:numPr>
                <w:ilvl w:val="0"/>
                <w:numId w:val="1"/>
              </w:numPr>
            </w:pPr>
            <w:r w:rsidRPr="00290188">
              <w:t>Tijdens</w:t>
            </w:r>
            <w:r w:rsidRPr="00290188" w:rsidR="00D12BFB">
              <w:t xml:space="preserve"> gevechten tussen de RSF en de SAF werden burgers gedood in het hevige artillerievuur in </w:t>
            </w:r>
            <w:proofErr w:type="spellStart"/>
            <w:r w:rsidRPr="00290188" w:rsidR="00D12BFB">
              <w:t>Khartoum</w:t>
            </w:r>
            <w:proofErr w:type="spellEnd"/>
            <w:r w:rsidRPr="00290188" w:rsidR="00D12BFB">
              <w:t xml:space="preserve">, Omdurman en </w:t>
            </w:r>
            <w:proofErr w:type="spellStart"/>
            <w:r w:rsidRPr="00290188" w:rsidR="00D12BFB">
              <w:t>Bahri</w:t>
            </w:r>
            <w:proofErr w:type="spellEnd"/>
            <w:r w:rsidRPr="00290188" w:rsidR="00D12BFB">
              <w:t>.</w:t>
            </w:r>
            <w:r w:rsidRPr="00290188" w:rsidR="00D12BFB">
              <w:rPr>
                <w:rStyle w:val="Voetnootmarkering"/>
              </w:rPr>
              <w:footnoteReference w:id="2"/>
            </w:r>
          </w:p>
          <w:p w:rsidRPr="00290188" w:rsidR="0069058E" w:rsidP="007443D2" w:rsidRDefault="0069058E" w14:paraId="145BC7B3" w14:textId="45300C4A">
            <w:pPr>
              <w:pStyle w:val="broodtekst"/>
              <w:numPr>
                <w:ilvl w:val="0"/>
                <w:numId w:val="1"/>
              </w:numPr>
            </w:pPr>
            <w:r w:rsidRPr="00290188">
              <w:t xml:space="preserve">98% van het totaal aantal droneaanvallen tussen april 2023 en augustus 2024 vonden plaats in </w:t>
            </w:r>
            <w:proofErr w:type="spellStart"/>
            <w:r w:rsidRPr="00290188">
              <w:t>Khartoum</w:t>
            </w:r>
            <w:proofErr w:type="spellEnd"/>
            <w:r w:rsidRPr="00290188">
              <w:t>.</w:t>
            </w:r>
          </w:p>
          <w:p w:rsidRPr="00290188" w:rsidR="009F192E" w:rsidP="00646E85" w:rsidRDefault="0069058E" w14:paraId="13C8D046" w14:textId="2E1D1B37">
            <w:pPr>
              <w:pStyle w:val="broodtekst"/>
              <w:numPr>
                <w:ilvl w:val="0"/>
                <w:numId w:val="1"/>
              </w:numPr>
            </w:pPr>
            <w:r w:rsidRPr="00290188">
              <w:t>Uit bronnen die het ambtsbericht aanhaalt</w:t>
            </w:r>
            <w:r w:rsidRPr="00290188" w:rsidR="002C4861">
              <w:t>,</w:t>
            </w:r>
            <w:r w:rsidRPr="00290188">
              <w:t xml:space="preserve"> blijkt dat de SAF vaatbommen met chloorgas hebben afgeworpen bij een olieraffinaderij ten noorden van </w:t>
            </w:r>
            <w:proofErr w:type="spellStart"/>
            <w:r w:rsidRPr="00290188">
              <w:t>Khartoum</w:t>
            </w:r>
            <w:proofErr w:type="spellEnd"/>
            <w:r w:rsidRPr="00290188">
              <w:t>. Dit wordt verboden door het internationaal rech</w:t>
            </w:r>
            <w:r w:rsidRPr="00290188" w:rsidR="00646E85">
              <w:t xml:space="preserve">t. </w:t>
            </w:r>
          </w:p>
        </w:tc>
      </w:tr>
      <w:tr w:rsidRPr="00290188" w:rsidR="00D97818" w:rsidTr="00316EAD" w14:paraId="14ED1CAC" w14:textId="77777777">
        <w:trPr>
          <w:trHeight w:val="1798"/>
        </w:trPr>
        <w:tc>
          <w:tcPr>
            <w:tcW w:w="2263" w:type="dxa"/>
          </w:tcPr>
          <w:p w:rsidRPr="00290188" w:rsidR="00D97818" w:rsidP="00B73F69" w:rsidRDefault="00D97818" w14:paraId="60615A25" w14:textId="77777777">
            <w:pPr>
              <w:pStyle w:val="broodtekst"/>
            </w:pPr>
            <w:r w:rsidRPr="00290188">
              <w:t>Aantal geweldsincidenten</w:t>
            </w:r>
          </w:p>
        </w:tc>
        <w:tc>
          <w:tcPr>
            <w:tcW w:w="6663" w:type="dxa"/>
          </w:tcPr>
          <w:p w:rsidRPr="00290188" w:rsidR="00646E85" w:rsidP="00B73F69" w:rsidRDefault="00646E85" w14:paraId="051F3DFC"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793"/>
              <w:gridCol w:w="793"/>
              <w:gridCol w:w="1434"/>
            </w:tblGrid>
            <w:tr w:rsidRPr="00290188" w:rsidR="00646E85" w:rsidTr="00316EAD" w14:paraId="226F70E7" w14:textId="77777777">
              <w:trPr>
                <w:trHeight w:val="123"/>
                <w:jc w:val="center"/>
              </w:trPr>
              <w:tc>
                <w:tcPr>
                  <w:tcW w:w="0" w:type="auto"/>
                </w:tcPr>
                <w:p w:rsidRPr="00290188" w:rsidR="00646E85" w:rsidP="00646E85" w:rsidRDefault="00646E85" w14:paraId="2B5303DA" w14:textId="77777777">
                  <w:pPr>
                    <w:pStyle w:val="Default"/>
                    <w:rPr>
                      <w:b/>
                      <w:bCs/>
                      <w:sz w:val="18"/>
                      <w:szCs w:val="18"/>
                    </w:rPr>
                  </w:pPr>
                </w:p>
              </w:tc>
              <w:tc>
                <w:tcPr>
                  <w:tcW w:w="0" w:type="auto"/>
                </w:tcPr>
                <w:p w:rsidRPr="00290188" w:rsidR="00646E85" w:rsidP="00646E85" w:rsidRDefault="00646E85" w14:paraId="2AC77EE4" w14:textId="7CA42D64">
                  <w:pPr>
                    <w:pStyle w:val="Default"/>
                    <w:rPr>
                      <w:b/>
                      <w:bCs/>
                      <w:sz w:val="18"/>
                      <w:szCs w:val="18"/>
                    </w:rPr>
                  </w:pPr>
                  <w:r w:rsidRPr="00290188">
                    <w:rPr>
                      <w:b/>
                      <w:bCs/>
                      <w:sz w:val="18"/>
                      <w:szCs w:val="18"/>
                    </w:rPr>
                    <w:t>2023</w:t>
                  </w:r>
                </w:p>
              </w:tc>
              <w:tc>
                <w:tcPr>
                  <w:tcW w:w="0" w:type="auto"/>
                </w:tcPr>
                <w:p w:rsidRPr="00290188" w:rsidR="00646E85" w:rsidP="00646E85" w:rsidRDefault="00646E85" w14:paraId="425BA940" w14:textId="45A08712">
                  <w:pPr>
                    <w:pStyle w:val="Default"/>
                    <w:rPr>
                      <w:b/>
                      <w:bCs/>
                      <w:sz w:val="18"/>
                      <w:szCs w:val="18"/>
                    </w:rPr>
                  </w:pPr>
                  <w:r w:rsidRPr="00290188">
                    <w:rPr>
                      <w:b/>
                      <w:bCs/>
                      <w:sz w:val="18"/>
                      <w:szCs w:val="18"/>
                    </w:rPr>
                    <w:t>2024</w:t>
                  </w:r>
                </w:p>
              </w:tc>
              <w:tc>
                <w:tcPr>
                  <w:tcW w:w="0" w:type="auto"/>
                </w:tcPr>
                <w:p w:rsidRPr="00290188" w:rsidR="00646E85" w:rsidP="00646E85" w:rsidRDefault="00646E85" w14:paraId="5178CD79" w14:textId="2326158C">
                  <w:pPr>
                    <w:pStyle w:val="Default"/>
                    <w:rPr>
                      <w:b/>
                      <w:bCs/>
                      <w:sz w:val="18"/>
                      <w:szCs w:val="18"/>
                    </w:rPr>
                  </w:pPr>
                  <w:r w:rsidRPr="00290188">
                    <w:rPr>
                      <w:b/>
                      <w:bCs/>
                      <w:sz w:val="18"/>
                      <w:szCs w:val="18"/>
                    </w:rPr>
                    <w:t xml:space="preserve">2025 </w:t>
                  </w:r>
                  <w:r w:rsidRPr="00290188">
                    <w:rPr>
                      <w:b/>
                      <w:bCs/>
                      <w:sz w:val="18"/>
                      <w:szCs w:val="18"/>
                    </w:rPr>
                    <w:br/>
                    <w:t>(t/m 8 aug)</w:t>
                  </w:r>
                </w:p>
              </w:tc>
            </w:tr>
            <w:tr w:rsidRPr="00290188" w:rsidR="00646E85" w:rsidTr="00316EAD" w14:paraId="62897B9B" w14:textId="77777777">
              <w:trPr>
                <w:trHeight w:val="123"/>
                <w:jc w:val="center"/>
              </w:trPr>
              <w:tc>
                <w:tcPr>
                  <w:tcW w:w="0" w:type="auto"/>
                </w:tcPr>
                <w:p w:rsidRPr="00290188" w:rsidR="00646E85" w:rsidP="00646E85" w:rsidRDefault="003210DC" w14:paraId="496F13BB" w14:textId="0C8C2F46">
                  <w:pPr>
                    <w:pStyle w:val="Default"/>
                    <w:rPr>
                      <w:sz w:val="18"/>
                      <w:szCs w:val="18"/>
                    </w:rPr>
                  </w:pPr>
                  <w:r w:rsidRPr="00290188">
                    <w:rPr>
                      <w:b/>
                      <w:bCs/>
                      <w:sz w:val="18"/>
                      <w:szCs w:val="18"/>
                    </w:rPr>
                    <w:t>Totaal</w:t>
                  </w:r>
                </w:p>
              </w:tc>
              <w:tc>
                <w:tcPr>
                  <w:tcW w:w="0" w:type="auto"/>
                </w:tcPr>
                <w:p w:rsidRPr="00290188" w:rsidR="00646E85" w:rsidP="00646E85" w:rsidRDefault="00646E85" w14:paraId="4554BA42" w14:textId="77777777">
                  <w:pPr>
                    <w:pStyle w:val="Default"/>
                    <w:rPr>
                      <w:sz w:val="18"/>
                      <w:szCs w:val="18"/>
                    </w:rPr>
                  </w:pPr>
                  <w:r w:rsidRPr="00290188">
                    <w:rPr>
                      <w:b/>
                      <w:bCs/>
                      <w:sz w:val="18"/>
                      <w:szCs w:val="18"/>
                    </w:rPr>
                    <w:t xml:space="preserve">2.967 </w:t>
                  </w:r>
                </w:p>
              </w:tc>
              <w:tc>
                <w:tcPr>
                  <w:tcW w:w="0" w:type="auto"/>
                </w:tcPr>
                <w:p w:rsidRPr="00290188" w:rsidR="00646E85" w:rsidP="00646E85" w:rsidRDefault="00646E85" w14:paraId="5E7A6133" w14:textId="77777777">
                  <w:pPr>
                    <w:pStyle w:val="Default"/>
                    <w:rPr>
                      <w:sz w:val="18"/>
                      <w:szCs w:val="18"/>
                    </w:rPr>
                  </w:pPr>
                  <w:r w:rsidRPr="00290188">
                    <w:rPr>
                      <w:b/>
                      <w:bCs/>
                      <w:sz w:val="18"/>
                      <w:szCs w:val="18"/>
                    </w:rPr>
                    <w:t xml:space="preserve">2.191 </w:t>
                  </w:r>
                </w:p>
              </w:tc>
              <w:tc>
                <w:tcPr>
                  <w:tcW w:w="0" w:type="auto"/>
                </w:tcPr>
                <w:p w:rsidRPr="00290188" w:rsidR="00646E85" w:rsidP="00646E85" w:rsidRDefault="00646E85" w14:paraId="17EFB899" w14:textId="77777777">
                  <w:pPr>
                    <w:pStyle w:val="Default"/>
                    <w:rPr>
                      <w:sz w:val="18"/>
                      <w:szCs w:val="18"/>
                    </w:rPr>
                  </w:pPr>
                  <w:r w:rsidRPr="00290188">
                    <w:rPr>
                      <w:b/>
                      <w:bCs/>
                      <w:sz w:val="18"/>
                      <w:szCs w:val="18"/>
                    </w:rPr>
                    <w:t xml:space="preserve">476 </w:t>
                  </w:r>
                </w:p>
              </w:tc>
            </w:tr>
            <w:tr w:rsidRPr="00290188" w:rsidR="00646E85" w:rsidTr="00316EAD" w14:paraId="4054AE74" w14:textId="77777777">
              <w:trPr>
                <w:trHeight w:val="121"/>
                <w:jc w:val="center"/>
              </w:trPr>
              <w:tc>
                <w:tcPr>
                  <w:tcW w:w="0" w:type="auto"/>
                </w:tcPr>
                <w:p w:rsidRPr="00290188" w:rsidR="00646E85" w:rsidP="00646E85" w:rsidRDefault="00646E85" w14:paraId="4F57C1B9" w14:textId="77777777">
                  <w:pPr>
                    <w:pStyle w:val="Default"/>
                    <w:rPr>
                      <w:sz w:val="18"/>
                      <w:szCs w:val="18"/>
                    </w:rPr>
                  </w:pPr>
                  <w:r w:rsidRPr="00290188">
                    <w:rPr>
                      <w:sz w:val="18"/>
                      <w:szCs w:val="18"/>
                    </w:rPr>
                    <w:t xml:space="preserve">Gevechten </w:t>
                  </w:r>
                </w:p>
              </w:tc>
              <w:tc>
                <w:tcPr>
                  <w:tcW w:w="0" w:type="auto"/>
                </w:tcPr>
                <w:p w:rsidRPr="00290188" w:rsidR="00646E85" w:rsidP="00646E85" w:rsidRDefault="00646E85" w14:paraId="74AFBCEE" w14:textId="77777777">
                  <w:pPr>
                    <w:pStyle w:val="Default"/>
                    <w:rPr>
                      <w:sz w:val="18"/>
                      <w:szCs w:val="18"/>
                    </w:rPr>
                  </w:pPr>
                  <w:r w:rsidRPr="00290188">
                    <w:rPr>
                      <w:sz w:val="18"/>
                      <w:szCs w:val="18"/>
                    </w:rPr>
                    <w:t xml:space="preserve">1.642 </w:t>
                  </w:r>
                </w:p>
              </w:tc>
              <w:tc>
                <w:tcPr>
                  <w:tcW w:w="0" w:type="auto"/>
                </w:tcPr>
                <w:p w:rsidRPr="00290188" w:rsidR="00646E85" w:rsidP="00646E85" w:rsidRDefault="00646E85" w14:paraId="14EFF7CA" w14:textId="77777777">
                  <w:pPr>
                    <w:pStyle w:val="Default"/>
                    <w:rPr>
                      <w:sz w:val="18"/>
                      <w:szCs w:val="18"/>
                    </w:rPr>
                  </w:pPr>
                  <w:r w:rsidRPr="00290188">
                    <w:rPr>
                      <w:sz w:val="18"/>
                      <w:szCs w:val="18"/>
                    </w:rPr>
                    <w:t xml:space="preserve">825 </w:t>
                  </w:r>
                </w:p>
              </w:tc>
              <w:tc>
                <w:tcPr>
                  <w:tcW w:w="0" w:type="auto"/>
                </w:tcPr>
                <w:p w:rsidRPr="00290188" w:rsidR="00646E85" w:rsidP="00646E85" w:rsidRDefault="00646E85" w14:paraId="5501C7A3" w14:textId="77777777">
                  <w:pPr>
                    <w:pStyle w:val="Default"/>
                    <w:rPr>
                      <w:sz w:val="18"/>
                      <w:szCs w:val="18"/>
                    </w:rPr>
                  </w:pPr>
                  <w:r w:rsidRPr="00290188">
                    <w:rPr>
                      <w:sz w:val="18"/>
                      <w:szCs w:val="18"/>
                    </w:rPr>
                    <w:t xml:space="preserve">181 </w:t>
                  </w:r>
                </w:p>
              </w:tc>
            </w:tr>
            <w:tr w:rsidRPr="00290188" w:rsidR="00646E85" w:rsidTr="00316EAD" w14:paraId="09D28183" w14:textId="77777777">
              <w:trPr>
                <w:trHeight w:val="121"/>
                <w:jc w:val="center"/>
              </w:trPr>
              <w:tc>
                <w:tcPr>
                  <w:tcW w:w="0" w:type="auto"/>
                </w:tcPr>
                <w:p w:rsidRPr="00290188" w:rsidR="00646E85" w:rsidP="00646E85" w:rsidRDefault="00646E85" w14:paraId="0BB563BF" w14:textId="77777777">
                  <w:pPr>
                    <w:pStyle w:val="Default"/>
                    <w:rPr>
                      <w:sz w:val="18"/>
                      <w:szCs w:val="18"/>
                    </w:rPr>
                  </w:pPr>
                  <w:r w:rsidRPr="00290188">
                    <w:rPr>
                      <w:sz w:val="18"/>
                      <w:szCs w:val="18"/>
                    </w:rPr>
                    <w:t xml:space="preserve">Explosies/geweld op afstand </w:t>
                  </w:r>
                </w:p>
              </w:tc>
              <w:tc>
                <w:tcPr>
                  <w:tcW w:w="0" w:type="auto"/>
                </w:tcPr>
                <w:p w:rsidRPr="00290188" w:rsidR="00646E85" w:rsidP="00646E85" w:rsidRDefault="00646E85" w14:paraId="48C0546D" w14:textId="77777777">
                  <w:pPr>
                    <w:pStyle w:val="Default"/>
                    <w:rPr>
                      <w:sz w:val="18"/>
                      <w:szCs w:val="18"/>
                    </w:rPr>
                  </w:pPr>
                  <w:r w:rsidRPr="00290188">
                    <w:rPr>
                      <w:sz w:val="18"/>
                      <w:szCs w:val="18"/>
                    </w:rPr>
                    <w:t xml:space="preserve">940 </w:t>
                  </w:r>
                </w:p>
              </w:tc>
              <w:tc>
                <w:tcPr>
                  <w:tcW w:w="0" w:type="auto"/>
                </w:tcPr>
                <w:p w:rsidRPr="00290188" w:rsidR="00646E85" w:rsidP="00646E85" w:rsidRDefault="00646E85" w14:paraId="1573C2BA" w14:textId="77777777">
                  <w:pPr>
                    <w:pStyle w:val="Default"/>
                    <w:rPr>
                      <w:sz w:val="18"/>
                      <w:szCs w:val="18"/>
                    </w:rPr>
                  </w:pPr>
                  <w:r w:rsidRPr="00290188">
                    <w:rPr>
                      <w:sz w:val="18"/>
                      <w:szCs w:val="18"/>
                    </w:rPr>
                    <w:t xml:space="preserve">1.166 </w:t>
                  </w:r>
                </w:p>
              </w:tc>
              <w:tc>
                <w:tcPr>
                  <w:tcW w:w="0" w:type="auto"/>
                </w:tcPr>
                <w:p w:rsidRPr="00290188" w:rsidR="00646E85" w:rsidP="00646E85" w:rsidRDefault="00646E85" w14:paraId="150206FB" w14:textId="77777777">
                  <w:pPr>
                    <w:pStyle w:val="Default"/>
                    <w:rPr>
                      <w:sz w:val="18"/>
                      <w:szCs w:val="18"/>
                    </w:rPr>
                  </w:pPr>
                  <w:r w:rsidRPr="00290188">
                    <w:rPr>
                      <w:sz w:val="18"/>
                      <w:szCs w:val="18"/>
                    </w:rPr>
                    <w:t xml:space="preserve">174 </w:t>
                  </w:r>
                </w:p>
              </w:tc>
            </w:tr>
            <w:tr w:rsidRPr="00290188" w:rsidR="00646E85" w:rsidTr="00316EAD" w14:paraId="3791ABCC" w14:textId="77777777">
              <w:trPr>
                <w:trHeight w:val="121"/>
                <w:jc w:val="center"/>
              </w:trPr>
              <w:tc>
                <w:tcPr>
                  <w:tcW w:w="0" w:type="auto"/>
                </w:tcPr>
                <w:p w:rsidRPr="00290188" w:rsidR="00646E85" w:rsidP="00646E85" w:rsidRDefault="00646E85" w14:paraId="6BBF2626" w14:textId="77777777">
                  <w:pPr>
                    <w:pStyle w:val="Default"/>
                    <w:rPr>
                      <w:sz w:val="18"/>
                      <w:szCs w:val="18"/>
                    </w:rPr>
                  </w:pPr>
                  <w:r w:rsidRPr="00290188">
                    <w:rPr>
                      <w:sz w:val="18"/>
                      <w:szCs w:val="18"/>
                    </w:rPr>
                    <w:t xml:space="preserve">Geweld tegen burgers </w:t>
                  </w:r>
                </w:p>
              </w:tc>
              <w:tc>
                <w:tcPr>
                  <w:tcW w:w="0" w:type="auto"/>
                </w:tcPr>
                <w:p w:rsidRPr="00290188" w:rsidR="00646E85" w:rsidP="00646E85" w:rsidRDefault="00646E85" w14:paraId="1F277C6A" w14:textId="77777777">
                  <w:pPr>
                    <w:pStyle w:val="Default"/>
                    <w:rPr>
                      <w:sz w:val="18"/>
                      <w:szCs w:val="18"/>
                    </w:rPr>
                  </w:pPr>
                  <w:r w:rsidRPr="00290188">
                    <w:rPr>
                      <w:sz w:val="18"/>
                      <w:szCs w:val="18"/>
                    </w:rPr>
                    <w:t xml:space="preserve">385 </w:t>
                  </w:r>
                </w:p>
              </w:tc>
              <w:tc>
                <w:tcPr>
                  <w:tcW w:w="0" w:type="auto"/>
                </w:tcPr>
                <w:p w:rsidRPr="00290188" w:rsidR="00646E85" w:rsidP="00646E85" w:rsidRDefault="00646E85" w14:paraId="48DCA4AE" w14:textId="77777777">
                  <w:pPr>
                    <w:pStyle w:val="Default"/>
                    <w:rPr>
                      <w:sz w:val="18"/>
                      <w:szCs w:val="18"/>
                    </w:rPr>
                  </w:pPr>
                  <w:r w:rsidRPr="00290188">
                    <w:rPr>
                      <w:sz w:val="18"/>
                      <w:szCs w:val="18"/>
                    </w:rPr>
                    <w:t xml:space="preserve">200 </w:t>
                  </w:r>
                </w:p>
              </w:tc>
              <w:tc>
                <w:tcPr>
                  <w:tcW w:w="0" w:type="auto"/>
                </w:tcPr>
                <w:p w:rsidRPr="00290188" w:rsidR="00646E85" w:rsidP="00646E85" w:rsidRDefault="00646E85" w14:paraId="53A68D90" w14:textId="77777777">
                  <w:pPr>
                    <w:pStyle w:val="Default"/>
                    <w:rPr>
                      <w:sz w:val="18"/>
                      <w:szCs w:val="18"/>
                    </w:rPr>
                  </w:pPr>
                  <w:r w:rsidRPr="00290188">
                    <w:rPr>
                      <w:sz w:val="18"/>
                      <w:szCs w:val="18"/>
                    </w:rPr>
                    <w:t xml:space="preserve">121 </w:t>
                  </w:r>
                </w:p>
              </w:tc>
            </w:tr>
          </w:tbl>
          <w:p w:rsidRPr="00290188" w:rsidR="00646E85" w:rsidP="00B73F69" w:rsidRDefault="00646E85" w14:paraId="1EAE0471" w14:textId="68B5FCAB">
            <w:pPr>
              <w:pStyle w:val="broodtekst"/>
            </w:pPr>
          </w:p>
        </w:tc>
      </w:tr>
      <w:tr w:rsidRPr="00290188" w:rsidR="00D97818" w:rsidTr="00D97818" w14:paraId="6C1ED4DD" w14:textId="77777777">
        <w:tc>
          <w:tcPr>
            <w:tcW w:w="2263" w:type="dxa"/>
          </w:tcPr>
          <w:p w:rsidRPr="00290188" w:rsidR="00D97818" w:rsidP="00B73F69" w:rsidRDefault="00D97818" w14:paraId="6771C01C" w14:textId="77777777">
            <w:pPr>
              <w:pStyle w:val="broodtekst"/>
            </w:pPr>
            <w:r w:rsidRPr="00290188">
              <w:t>Geografische ligging geweld</w:t>
            </w:r>
          </w:p>
        </w:tc>
        <w:tc>
          <w:tcPr>
            <w:tcW w:w="6663" w:type="dxa"/>
          </w:tcPr>
          <w:p w:rsidRPr="00290188" w:rsidR="00D97818" w:rsidP="00B73F69" w:rsidRDefault="00D97818" w14:paraId="11E3D2E8" w14:textId="1CD8A75A">
            <w:pPr>
              <w:pStyle w:val="broodtekst"/>
            </w:pPr>
            <w:r w:rsidRPr="00290188">
              <w:t xml:space="preserve">Het geweld vond plaats in zowel </w:t>
            </w:r>
            <w:proofErr w:type="spellStart"/>
            <w:r w:rsidRPr="00290188">
              <w:t>Khartoum</w:t>
            </w:r>
            <w:proofErr w:type="spellEnd"/>
            <w:r w:rsidRPr="00290188" w:rsidR="002C4861">
              <w:t xml:space="preserve"> (binnenstad)</w:t>
            </w:r>
            <w:r w:rsidRPr="00290188">
              <w:t>, Noord-</w:t>
            </w:r>
            <w:proofErr w:type="spellStart"/>
            <w:r w:rsidRPr="00290188">
              <w:t>Khartoum</w:t>
            </w:r>
            <w:proofErr w:type="spellEnd"/>
            <w:r w:rsidRPr="00290188">
              <w:t xml:space="preserve"> </w:t>
            </w:r>
            <w:r w:rsidRPr="00290188" w:rsidR="002C4861">
              <w:t>(</w:t>
            </w:r>
            <w:proofErr w:type="spellStart"/>
            <w:r w:rsidRPr="00290188" w:rsidR="002C4861">
              <w:t>Bahri</w:t>
            </w:r>
            <w:proofErr w:type="spellEnd"/>
            <w:r w:rsidRPr="00290188" w:rsidR="002C4861">
              <w:t xml:space="preserve">) </w:t>
            </w:r>
            <w:r w:rsidRPr="00290188">
              <w:t xml:space="preserve">en Omdurman. </w:t>
            </w:r>
          </w:p>
        </w:tc>
      </w:tr>
      <w:tr w:rsidRPr="00290188" w:rsidR="00D97818" w:rsidTr="00D97818" w14:paraId="0E13580B" w14:textId="77777777">
        <w:tc>
          <w:tcPr>
            <w:tcW w:w="2263" w:type="dxa"/>
          </w:tcPr>
          <w:p w:rsidRPr="00290188" w:rsidR="00D97818" w:rsidP="00B73F69" w:rsidRDefault="00D97818" w14:paraId="75D9002B" w14:textId="77777777">
            <w:pPr>
              <w:pStyle w:val="broodtekst"/>
            </w:pPr>
            <w:r w:rsidRPr="00290188">
              <w:t>Veiligheidsstructuur</w:t>
            </w:r>
          </w:p>
        </w:tc>
        <w:tc>
          <w:tcPr>
            <w:tcW w:w="6663" w:type="dxa"/>
          </w:tcPr>
          <w:p w:rsidRPr="00290188" w:rsidR="00D97818" w:rsidP="00B73F69" w:rsidRDefault="00D97818" w14:paraId="20E86264" w14:textId="4AA8A813">
            <w:pPr>
              <w:pStyle w:val="broodtekst"/>
            </w:pPr>
            <w:r w:rsidRPr="00290188">
              <w:t>Door</w:t>
            </w:r>
            <w:r w:rsidRPr="00290188" w:rsidR="009F192E">
              <w:t xml:space="preserve">dat er in </w:t>
            </w:r>
            <w:proofErr w:type="spellStart"/>
            <w:r w:rsidRPr="00290188" w:rsidR="009F192E">
              <w:t>Khartoum</w:t>
            </w:r>
            <w:proofErr w:type="spellEnd"/>
            <w:r w:rsidRPr="00290188" w:rsidR="009F192E">
              <w:t xml:space="preserve"> lange tijd is gestreden om controle en op grote schaal aanvallen zijn gepleegd door beide strijdende partijen, was er in </w:t>
            </w:r>
            <w:proofErr w:type="spellStart"/>
            <w:r w:rsidRPr="00290188" w:rsidR="009F192E">
              <w:t>Khartoum</w:t>
            </w:r>
            <w:proofErr w:type="spellEnd"/>
            <w:r w:rsidRPr="00290188" w:rsidR="009F192E">
              <w:t xml:space="preserve"> zo goed als geen sprake meer van een functionerende infrastructuur en veiligheidsstructuur. Ook de gezondheidssector is volledig ingestort.</w:t>
            </w:r>
            <w:r w:rsidRPr="00290188" w:rsidR="009F192E">
              <w:rPr>
                <w:rStyle w:val="Voetnootmarkering"/>
              </w:rPr>
              <w:footnoteReference w:id="3"/>
            </w:r>
            <w:r w:rsidRPr="00290188" w:rsidR="00CE29D6">
              <w:t xml:space="preserve"> </w:t>
            </w:r>
            <w:r w:rsidRPr="00290188" w:rsidR="00D615E5">
              <w:t xml:space="preserve">De SAF hebben nu de controle over </w:t>
            </w:r>
            <w:proofErr w:type="spellStart"/>
            <w:r w:rsidRPr="00290188" w:rsidR="00D615E5">
              <w:t>Khartoum</w:t>
            </w:r>
            <w:proofErr w:type="spellEnd"/>
            <w:r w:rsidRPr="00290188" w:rsidR="00D615E5">
              <w:t>. Volgens het ambtsbericht houden de SAF geen rekening met het beschermen van de burgerbevolking.</w:t>
            </w:r>
          </w:p>
        </w:tc>
      </w:tr>
      <w:tr w:rsidRPr="00290188" w:rsidR="00D97818" w:rsidTr="00D97818" w14:paraId="1DA42327" w14:textId="77777777">
        <w:tc>
          <w:tcPr>
            <w:tcW w:w="2263" w:type="dxa"/>
          </w:tcPr>
          <w:p w:rsidRPr="00290188" w:rsidR="00D97818" w:rsidP="00B73F69" w:rsidRDefault="00D97818" w14:paraId="17255CF0" w14:textId="77777777">
            <w:pPr>
              <w:pStyle w:val="broodtekst"/>
            </w:pPr>
            <w:r w:rsidRPr="00290188">
              <w:t>Doelwitten</w:t>
            </w:r>
          </w:p>
        </w:tc>
        <w:tc>
          <w:tcPr>
            <w:tcW w:w="6663" w:type="dxa"/>
          </w:tcPr>
          <w:p w:rsidRPr="00290188" w:rsidR="009D4984" w:rsidP="00B73F69" w:rsidRDefault="00CE29D6" w14:paraId="0650446D" w14:textId="4B930974">
            <w:pPr>
              <w:pStyle w:val="broodtekst"/>
            </w:pPr>
            <w:r w:rsidRPr="00290188">
              <w:t>Gedurende de verslagperiode centreerden gewapende confrontaties zich vaak rondom locaties van strategisch belang, maar zijn er ook veel confrontaties en veiligheidsincidenten geweest met directe impact op burgers of expliciet gericht op burgers.</w:t>
            </w:r>
            <w:r w:rsidRPr="00290188">
              <w:rPr>
                <w:rStyle w:val="Voetnootmarkering"/>
              </w:rPr>
              <w:footnoteReference w:id="4"/>
            </w:r>
            <w:r w:rsidRPr="00290188">
              <w:t xml:space="preserve"> </w:t>
            </w:r>
            <w:r w:rsidRPr="00290188" w:rsidR="00D615E5">
              <w:t>Door het gebruik van explosieve wapens in dichtbevolkte gebieden zijn er op grote schaal huizen, scholen, ziekenhuizen en andere vitale infrastructuur verwoest.</w:t>
            </w:r>
            <w:r w:rsidRPr="00290188" w:rsidR="00D615E5">
              <w:rPr>
                <w:rStyle w:val="Voetnootmarkering"/>
              </w:rPr>
              <w:footnoteReference w:id="5"/>
            </w:r>
            <w:r w:rsidRPr="00290188" w:rsidR="00D615E5">
              <w:t xml:space="preserve"> Zo werd een luchtaanval op een tankstation in </w:t>
            </w:r>
            <w:proofErr w:type="spellStart"/>
            <w:r w:rsidRPr="00290188" w:rsidR="00D615E5">
              <w:t>Khartoum</w:t>
            </w:r>
            <w:proofErr w:type="spellEnd"/>
            <w:r w:rsidRPr="00290188" w:rsidR="00D615E5">
              <w:t xml:space="preserve"> gepleegd waarbij tientallen burgers gedood werden.</w:t>
            </w:r>
          </w:p>
          <w:p w:rsidRPr="00290188" w:rsidR="009D4984" w:rsidP="00B73F69" w:rsidRDefault="009D4984" w14:paraId="39EE73C3" w14:textId="77777777">
            <w:pPr>
              <w:pStyle w:val="broodtekst"/>
            </w:pPr>
          </w:p>
          <w:p w:rsidRPr="00290188" w:rsidR="00D97818" w:rsidP="00B73F69" w:rsidRDefault="00D97818" w14:paraId="0F6B2CD8" w14:textId="78AF3404">
            <w:pPr>
              <w:pStyle w:val="broodtekst"/>
            </w:pPr>
            <w:r w:rsidRPr="00290188">
              <w:t xml:space="preserve">De SAF en RSF maakten </w:t>
            </w:r>
            <w:r w:rsidRPr="00290188" w:rsidR="00CE29D6">
              <w:t xml:space="preserve">dus </w:t>
            </w:r>
            <w:r w:rsidRPr="00290188">
              <w:t xml:space="preserve">zowel elkaar tot doelwit van beschietingen, als ook </w:t>
            </w:r>
            <w:r w:rsidRPr="00290188" w:rsidR="0052318E">
              <w:t xml:space="preserve">burgerdoelen en </w:t>
            </w:r>
            <w:r w:rsidRPr="00290188">
              <w:t>dichtbevolkte gebieden waar burgers wonen</w:t>
            </w:r>
            <w:r w:rsidRPr="00290188" w:rsidR="009F192E">
              <w:t>.</w:t>
            </w:r>
            <w:r w:rsidRPr="00290188">
              <w:t xml:space="preserve"> </w:t>
            </w:r>
          </w:p>
        </w:tc>
      </w:tr>
      <w:tr w:rsidRPr="00290188" w:rsidR="00D97818" w:rsidTr="00D97818" w14:paraId="11193AB6" w14:textId="77777777">
        <w:tc>
          <w:tcPr>
            <w:tcW w:w="2263" w:type="dxa"/>
          </w:tcPr>
          <w:p w:rsidRPr="00290188" w:rsidR="00D97818" w:rsidP="00B73F69" w:rsidRDefault="00D97818" w14:paraId="3CE549FD" w14:textId="77777777">
            <w:pPr>
              <w:pStyle w:val="broodtekst"/>
            </w:pPr>
            <w:r w:rsidRPr="00290188">
              <w:t>Dodelijke slachtoffers</w:t>
            </w:r>
          </w:p>
        </w:tc>
        <w:tc>
          <w:tcPr>
            <w:tcW w:w="6663" w:type="dxa"/>
          </w:tcPr>
          <w:p w:rsidRPr="00290188" w:rsidR="002C4861" w:rsidP="00B73F69" w:rsidRDefault="003210DC" w14:paraId="37B73EF6" w14:textId="5D8C42A2">
            <w:pPr>
              <w:pStyle w:val="broodtekst"/>
            </w:pPr>
            <w:r w:rsidRPr="00290188">
              <w:t xml:space="preserve">Aantallen door ACLED geregistreerde </w:t>
            </w:r>
            <w:r w:rsidRPr="00290188" w:rsidR="001D0DC1">
              <w:t>doden: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
              <w:gridCol w:w="971"/>
              <w:gridCol w:w="1843"/>
            </w:tblGrid>
            <w:tr w:rsidRPr="00290188" w:rsidR="00832221" w:rsidTr="00316EAD" w14:paraId="18484FD4" w14:textId="77777777">
              <w:trPr>
                <w:trHeight w:val="121"/>
                <w:jc w:val="center"/>
              </w:trPr>
              <w:tc>
                <w:tcPr>
                  <w:tcW w:w="963" w:type="dxa"/>
                </w:tcPr>
                <w:p w:rsidRPr="00290188" w:rsidR="00832221" w:rsidP="003210DC" w:rsidRDefault="00832221" w14:paraId="421E139F" w14:textId="714084EA">
                  <w:pPr>
                    <w:pStyle w:val="Default"/>
                    <w:rPr>
                      <w:b/>
                      <w:bCs/>
                      <w:sz w:val="18"/>
                      <w:szCs w:val="18"/>
                    </w:rPr>
                  </w:pPr>
                  <w:r w:rsidRPr="00290188">
                    <w:rPr>
                      <w:b/>
                      <w:bCs/>
                      <w:sz w:val="18"/>
                      <w:szCs w:val="18"/>
                    </w:rPr>
                    <w:t>2023</w:t>
                  </w:r>
                </w:p>
              </w:tc>
              <w:tc>
                <w:tcPr>
                  <w:tcW w:w="971" w:type="dxa"/>
                </w:tcPr>
                <w:p w:rsidRPr="00290188" w:rsidR="00832221" w:rsidP="003210DC" w:rsidRDefault="00832221" w14:paraId="16E39F8B" w14:textId="3D87021F">
                  <w:pPr>
                    <w:pStyle w:val="Default"/>
                    <w:rPr>
                      <w:b/>
                      <w:bCs/>
                      <w:sz w:val="18"/>
                      <w:szCs w:val="18"/>
                    </w:rPr>
                  </w:pPr>
                  <w:r w:rsidRPr="00290188">
                    <w:rPr>
                      <w:b/>
                      <w:bCs/>
                      <w:sz w:val="18"/>
                      <w:szCs w:val="18"/>
                    </w:rPr>
                    <w:t>2024</w:t>
                  </w:r>
                </w:p>
              </w:tc>
              <w:tc>
                <w:tcPr>
                  <w:tcW w:w="1843" w:type="dxa"/>
                </w:tcPr>
                <w:p w:rsidRPr="00290188" w:rsidR="00832221" w:rsidP="003210DC" w:rsidRDefault="00832221" w14:paraId="356C56BD" w14:textId="6B07585F">
                  <w:pPr>
                    <w:pStyle w:val="Default"/>
                    <w:rPr>
                      <w:b/>
                      <w:bCs/>
                      <w:sz w:val="18"/>
                      <w:szCs w:val="18"/>
                    </w:rPr>
                  </w:pPr>
                  <w:r w:rsidRPr="00290188">
                    <w:rPr>
                      <w:b/>
                      <w:bCs/>
                      <w:sz w:val="18"/>
                      <w:szCs w:val="18"/>
                    </w:rPr>
                    <w:t>2025 t/m 8 aug</w:t>
                  </w:r>
                </w:p>
              </w:tc>
            </w:tr>
            <w:tr w:rsidRPr="00290188" w:rsidR="00832221" w:rsidTr="00316EAD" w14:paraId="73EDE6F8" w14:textId="77777777">
              <w:trPr>
                <w:trHeight w:val="121"/>
                <w:jc w:val="center"/>
              </w:trPr>
              <w:tc>
                <w:tcPr>
                  <w:tcW w:w="963" w:type="dxa"/>
                </w:tcPr>
                <w:p w:rsidRPr="00290188" w:rsidR="00832221" w:rsidP="003210DC" w:rsidRDefault="00832221" w14:paraId="134BC9BD" w14:textId="27E4B217">
                  <w:pPr>
                    <w:pStyle w:val="Default"/>
                    <w:rPr>
                      <w:sz w:val="18"/>
                      <w:szCs w:val="18"/>
                    </w:rPr>
                  </w:pPr>
                  <w:r w:rsidRPr="00290188">
                    <w:rPr>
                      <w:sz w:val="18"/>
                      <w:szCs w:val="18"/>
                    </w:rPr>
                    <w:t xml:space="preserve">6.652 </w:t>
                  </w:r>
                </w:p>
              </w:tc>
              <w:tc>
                <w:tcPr>
                  <w:tcW w:w="971" w:type="dxa"/>
                </w:tcPr>
                <w:p w:rsidRPr="00290188" w:rsidR="00832221" w:rsidP="003210DC" w:rsidRDefault="00832221" w14:paraId="5D87170C" w14:textId="77777777">
                  <w:pPr>
                    <w:pStyle w:val="Default"/>
                    <w:rPr>
                      <w:sz w:val="18"/>
                      <w:szCs w:val="18"/>
                    </w:rPr>
                  </w:pPr>
                  <w:r w:rsidRPr="00290188">
                    <w:rPr>
                      <w:sz w:val="18"/>
                      <w:szCs w:val="18"/>
                    </w:rPr>
                    <w:t xml:space="preserve">3.025 </w:t>
                  </w:r>
                </w:p>
              </w:tc>
              <w:tc>
                <w:tcPr>
                  <w:tcW w:w="1843" w:type="dxa"/>
                </w:tcPr>
                <w:p w:rsidRPr="00290188" w:rsidR="00832221" w:rsidP="003210DC" w:rsidRDefault="00832221" w14:paraId="228C1AD3" w14:textId="77777777">
                  <w:pPr>
                    <w:pStyle w:val="Default"/>
                    <w:rPr>
                      <w:sz w:val="18"/>
                      <w:szCs w:val="18"/>
                    </w:rPr>
                  </w:pPr>
                  <w:r w:rsidRPr="00290188">
                    <w:rPr>
                      <w:sz w:val="18"/>
                      <w:szCs w:val="18"/>
                    </w:rPr>
                    <w:t xml:space="preserve">1.455 </w:t>
                  </w:r>
                </w:p>
              </w:tc>
            </w:tr>
          </w:tbl>
          <w:p w:rsidRPr="00290188" w:rsidR="003210DC" w:rsidP="00B73F69" w:rsidRDefault="003210DC" w14:paraId="43636ABF" w14:textId="77777777">
            <w:pPr>
              <w:pStyle w:val="broodtekst"/>
            </w:pPr>
          </w:p>
          <w:p w:rsidRPr="00290188" w:rsidR="00DE22D2" w:rsidP="00B73F69" w:rsidRDefault="00784D8A" w14:paraId="55C9EC47" w14:textId="77777777">
            <w:pPr>
              <w:pStyle w:val="broodtekst"/>
            </w:pPr>
            <w:r w:rsidRPr="00290188">
              <w:t>OHCHR registreerde 691 burgerdoden in de periode van 1 januari 2025 tot 30 juni 2025.</w:t>
            </w:r>
          </w:p>
          <w:p w:rsidRPr="00290188" w:rsidR="002B5800" w:rsidP="00B73F69" w:rsidRDefault="002B5800" w14:paraId="7593E465" w14:textId="77777777">
            <w:pPr>
              <w:pStyle w:val="broodtekst"/>
            </w:pPr>
          </w:p>
          <w:p w:rsidRPr="00290188" w:rsidR="002B5800" w:rsidP="00B73F69" w:rsidRDefault="002B5800" w14:paraId="435438F0" w14:textId="4E6D9B0B">
            <w:pPr>
              <w:pStyle w:val="broodtekst"/>
            </w:pPr>
            <w:r w:rsidRPr="00290188">
              <w:t xml:space="preserve">Het AAB haalt een onderzoek van de Sudan Research Group aan dat in de periode van 15 april 2023 tot 4 juni 2024 enkel in de staat </w:t>
            </w:r>
            <w:proofErr w:type="spellStart"/>
            <w:r w:rsidRPr="00290188">
              <w:t>Khartoum</w:t>
            </w:r>
            <w:proofErr w:type="spellEnd"/>
            <w:r w:rsidRPr="00290188">
              <w:t xml:space="preserve"> 61.202 doden registreerde als gevolg van oorlogsgeweld.</w:t>
            </w:r>
          </w:p>
        </w:tc>
      </w:tr>
      <w:tr w:rsidRPr="00290188" w:rsidR="00D97818" w:rsidTr="00D97818" w14:paraId="1E07297F" w14:textId="77777777">
        <w:tc>
          <w:tcPr>
            <w:tcW w:w="2263" w:type="dxa"/>
          </w:tcPr>
          <w:p w:rsidRPr="00290188" w:rsidR="00D97818" w:rsidP="00B73F69" w:rsidRDefault="00D97818" w14:paraId="0FEE24B2" w14:textId="6C2A78C9">
            <w:pPr>
              <w:pStyle w:val="broodtekst"/>
            </w:pPr>
            <w:r w:rsidRPr="00290188">
              <w:lastRenderedPageBreak/>
              <w:t>Aantal ontheemden</w:t>
            </w:r>
          </w:p>
        </w:tc>
        <w:tc>
          <w:tcPr>
            <w:tcW w:w="6663" w:type="dxa"/>
          </w:tcPr>
          <w:p w:rsidRPr="00290188" w:rsidR="00D97818" w:rsidP="00B73F69" w:rsidRDefault="00D97818" w14:paraId="3E028C91" w14:textId="662E9176">
            <w:pPr>
              <w:pStyle w:val="broodtekst"/>
            </w:pPr>
            <w:r w:rsidRPr="00290188">
              <w:t xml:space="preserve">In </w:t>
            </w:r>
            <w:proofErr w:type="spellStart"/>
            <w:r w:rsidRPr="00290188">
              <w:t>Khartoum</w:t>
            </w:r>
            <w:proofErr w:type="spellEnd"/>
            <w:r w:rsidRPr="00290188">
              <w:t xml:space="preserve"> </w:t>
            </w:r>
            <w:r w:rsidRPr="00290188" w:rsidR="0031461A">
              <w:t>verbleven</w:t>
            </w:r>
            <w:r w:rsidRPr="00290188">
              <w:t xml:space="preserve"> </w:t>
            </w:r>
            <w:r w:rsidRPr="00290188" w:rsidR="00475638">
              <w:t>230.326 binnenlandse</w:t>
            </w:r>
            <w:r w:rsidRPr="00290188">
              <w:t xml:space="preserve"> ontheemden</w:t>
            </w:r>
            <w:r w:rsidRPr="00290188" w:rsidR="0031461A">
              <w:t xml:space="preserve"> (</w:t>
            </w:r>
            <w:r w:rsidRPr="00290188" w:rsidR="007443D2">
              <w:t>d.d.</w:t>
            </w:r>
            <w:r w:rsidRPr="00290188" w:rsidR="00475638">
              <w:t xml:space="preserve"> 9 juli 2025</w:t>
            </w:r>
            <w:r w:rsidRPr="00290188" w:rsidR="0031461A">
              <w:t>)</w:t>
            </w:r>
            <w:r w:rsidRPr="00290188" w:rsidR="00832221">
              <w:t>.</w:t>
            </w:r>
          </w:p>
          <w:p w:rsidRPr="00290188" w:rsidR="0031461A" w:rsidP="00B73F69" w:rsidRDefault="0031461A" w14:paraId="3EF3A37A" w14:textId="77777777">
            <w:pPr>
              <w:pStyle w:val="broodtekst"/>
            </w:pPr>
          </w:p>
          <w:p w:rsidRPr="00290188" w:rsidR="00D97818" w:rsidP="00B73F69" w:rsidRDefault="00D97818" w14:paraId="02D77098" w14:textId="42BEE687">
            <w:pPr>
              <w:pStyle w:val="broodtekst"/>
            </w:pPr>
            <w:r w:rsidRPr="00290188">
              <w:t xml:space="preserve">Er vertrokken ruim </w:t>
            </w:r>
            <w:r w:rsidRPr="00290188" w:rsidR="001768F2">
              <w:t>3,7</w:t>
            </w:r>
            <w:r w:rsidRPr="00290188">
              <w:t xml:space="preserve"> miljoen ontheemden uit </w:t>
            </w:r>
            <w:proofErr w:type="spellStart"/>
            <w:r w:rsidRPr="00290188">
              <w:t>Khartoum</w:t>
            </w:r>
            <w:proofErr w:type="spellEnd"/>
            <w:r w:rsidRPr="00290188">
              <w:t xml:space="preserve"> (</w:t>
            </w:r>
            <w:r w:rsidRPr="00290188" w:rsidR="001768F2">
              <w:t>32%</w:t>
            </w:r>
            <w:r w:rsidRPr="00290188">
              <w:t xml:space="preserve"> van het totale aantal </w:t>
            </w:r>
            <w:r w:rsidRPr="00290188" w:rsidR="001768F2">
              <w:t>ontheemd geraakte mensen in Sudan als gevolg van het conflict</w:t>
            </w:r>
            <w:r w:rsidRPr="00290188">
              <w:t>)</w:t>
            </w:r>
            <w:r w:rsidRPr="00290188" w:rsidR="007443D2">
              <w:t>.</w:t>
            </w:r>
            <w:r w:rsidRPr="00290188" w:rsidR="001768F2">
              <w:rPr>
                <w:rStyle w:val="Voetnootmarkering"/>
              </w:rPr>
              <w:footnoteReference w:id="6"/>
            </w:r>
          </w:p>
        </w:tc>
      </w:tr>
      <w:tr w:rsidRPr="00290188" w:rsidR="00D615E5" w:rsidTr="00D97818" w14:paraId="1D6020D9" w14:textId="77777777">
        <w:tc>
          <w:tcPr>
            <w:tcW w:w="2263" w:type="dxa"/>
          </w:tcPr>
          <w:p w:rsidRPr="00290188" w:rsidR="00D615E5" w:rsidP="00B73F69" w:rsidRDefault="00D615E5" w14:paraId="62105C45" w14:textId="28FE55C9">
            <w:pPr>
              <w:pStyle w:val="broodtekst"/>
            </w:pPr>
            <w:r w:rsidRPr="00290188">
              <w:t>Humanitaire omstandigheden als gevolg van het conflict</w:t>
            </w:r>
          </w:p>
        </w:tc>
        <w:tc>
          <w:tcPr>
            <w:tcW w:w="6663" w:type="dxa"/>
          </w:tcPr>
          <w:p w:rsidRPr="00290188" w:rsidR="00D615E5" w:rsidP="00D615E5" w:rsidRDefault="00D615E5" w14:paraId="2B1449C8" w14:textId="5E8B374F">
            <w:pPr>
              <w:pStyle w:val="broodtekst"/>
            </w:pPr>
            <w:r w:rsidRPr="00290188">
              <w:t xml:space="preserve">Het zorgsysteem van </w:t>
            </w:r>
            <w:proofErr w:type="spellStart"/>
            <w:r w:rsidRPr="00290188">
              <w:t>Khartoum</w:t>
            </w:r>
            <w:proofErr w:type="spellEnd"/>
            <w:r w:rsidRPr="00290188">
              <w:t xml:space="preserve"> is door het conflict zo goed als verwoest, waarbij Artsen zonder Grenzen </w:t>
            </w:r>
            <w:r w:rsidRPr="00290188" w:rsidR="002C4861">
              <w:t>(</w:t>
            </w:r>
            <w:proofErr w:type="spellStart"/>
            <w:r w:rsidRPr="00290188" w:rsidR="002C4861">
              <w:t>AzG</w:t>
            </w:r>
            <w:proofErr w:type="spellEnd"/>
            <w:r w:rsidRPr="00290188" w:rsidR="002C4861">
              <w:t xml:space="preserve">) </w:t>
            </w:r>
            <w:r w:rsidRPr="00290188">
              <w:t>in januari 2025 waarschuwde dat de gezondheidszorg in de staat ‘op het punt van instorten’ stond.</w:t>
            </w:r>
          </w:p>
          <w:p w:rsidRPr="00290188" w:rsidR="00D615E5" w:rsidP="00D615E5" w:rsidRDefault="00D615E5" w14:paraId="6492AD03" w14:textId="77777777">
            <w:pPr>
              <w:pStyle w:val="broodtekst"/>
            </w:pPr>
          </w:p>
          <w:p w:rsidRPr="00290188" w:rsidR="00D615E5" w:rsidP="00D615E5" w:rsidRDefault="00D615E5" w14:paraId="28B0B017" w14:textId="617E49E6">
            <w:pPr>
              <w:pStyle w:val="broodtekst"/>
            </w:pPr>
            <w:proofErr w:type="spellStart"/>
            <w:r w:rsidRPr="00290188">
              <w:t>Khartoum</w:t>
            </w:r>
            <w:proofErr w:type="spellEnd"/>
            <w:r w:rsidRPr="00290188">
              <w:t xml:space="preserve"> is getroffen door ernstige voedselonzekerheid als gevolg van het voortdurende conflict, met berichten over sterfgevallen door hongersnood, ook onder kinderen. De </w:t>
            </w:r>
            <w:proofErr w:type="spellStart"/>
            <w:r w:rsidRPr="00290188">
              <w:rPr>
                <w:i/>
                <w:iCs/>
              </w:rPr>
              <w:t>Integrated</w:t>
            </w:r>
            <w:proofErr w:type="spellEnd"/>
            <w:r w:rsidRPr="00290188">
              <w:rPr>
                <w:i/>
                <w:iCs/>
              </w:rPr>
              <w:t xml:space="preserve"> Food Security </w:t>
            </w:r>
            <w:proofErr w:type="spellStart"/>
            <w:r w:rsidRPr="00290188">
              <w:rPr>
                <w:i/>
                <w:iCs/>
              </w:rPr>
              <w:t>Phase</w:t>
            </w:r>
            <w:proofErr w:type="spellEnd"/>
            <w:r w:rsidRPr="00290188">
              <w:rPr>
                <w:i/>
                <w:iCs/>
              </w:rPr>
              <w:t xml:space="preserve"> </w:t>
            </w:r>
            <w:proofErr w:type="spellStart"/>
            <w:r w:rsidRPr="00290188">
              <w:rPr>
                <w:i/>
                <w:iCs/>
              </w:rPr>
              <w:t>Classification</w:t>
            </w:r>
            <w:proofErr w:type="spellEnd"/>
            <w:r w:rsidRPr="00290188">
              <w:t xml:space="preserve"> (IPC) </w:t>
            </w:r>
            <w:r w:rsidRPr="00290188" w:rsidR="002C4861">
              <w:t xml:space="preserve">van de VN </w:t>
            </w:r>
            <w:r w:rsidRPr="00290188">
              <w:t xml:space="preserve">beoordeelde in december 2024 dat het risico op hongersnood in de staat </w:t>
            </w:r>
            <w:proofErr w:type="spellStart"/>
            <w:r w:rsidRPr="00290188">
              <w:t>Khartoum</w:t>
            </w:r>
            <w:proofErr w:type="spellEnd"/>
            <w:r w:rsidRPr="00290188">
              <w:t xml:space="preserve"> ‘uiterst hoog’ was. In juli 2024 werden meer dan 90.000 inwoners van de stad Khartoem geconfronteerd met ‘catastrofale niveaus van honger (IPC5)’ – wat betekent dat zij niet in staat waren voldoende voedsel te verkrijgen om te overleven en risico liepen op verhongering.</w:t>
            </w:r>
            <w:r w:rsidRPr="00290188">
              <w:rPr>
                <w:rStyle w:val="Voetnootmarkering"/>
              </w:rPr>
              <w:footnoteReference w:id="7"/>
            </w:r>
          </w:p>
        </w:tc>
      </w:tr>
    </w:tbl>
    <w:p w:rsidRPr="00290188" w:rsidR="00D97818" w:rsidP="00D97818" w:rsidRDefault="00D97818" w14:paraId="13CFC269" w14:textId="2390A36C">
      <w:pPr>
        <w:pStyle w:val="broodtekst"/>
      </w:pPr>
    </w:p>
    <w:p w:rsidRPr="00290188" w:rsidR="00C95930" w:rsidP="00D97818" w:rsidRDefault="00C95930" w14:paraId="79D3BDF8" w14:textId="0A996607">
      <w:pPr>
        <w:pStyle w:val="broodtekst"/>
      </w:pPr>
      <w:r w:rsidRPr="00290188">
        <w:rPr>
          <w:b/>
          <w:bCs/>
        </w:rPr>
        <w:t xml:space="preserve">Conclusie: </w:t>
      </w:r>
      <w:r w:rsidRPr="00290188" w:rsidR="0019450A">
        <w:t xml:space="preserve">Er wordt momenteel een </w:t>
      </w:r>
      <w:r w:rsidRPr="00290188" w:rsidR="003210DC">
        <w:t xml:space="preserve">uitzonderlijk niveau van willekeurig geweld </w:t>
      </w:r>
      <w:r w:rsidRPr="00290188" w:rsidR="0019450A">
        <w:t xml:space="preserve">voor </w:t>
      </w:r>
      <w:proofErr w:type="spellStart"/>
      <w:r w:rsidRPr="00290188" w:rsidR="0019450A">
        <w:t>Khartoum</w:t>
      </w:r>
      <w:proofErr w:type="spellEnd"/>
      <w:r w:rsidRPr="00290188" w:rsidR="0019450A">
        <w:t xml:space="preserve"> aangenomen. Ten opzichte van de vorige verslagperiode lijkt de intensiteit van het geweld</w:t>
      </w:r>
      <w:r w:rsidRPr="00290188" w:rsidR="00784D8A">
        <w:t xml:space="preserve"> en het aantal doden ten gevolge daarvan</w:t>
      </w:r>
      <w:r w:rsidRPr="00290188" w:rsidR="0019450A">
        <w:t xml:space="preserve"> in </w:t>
      </w:r>
      <w:proofErr w:type="spellStart"/>
      <w:r w:rsidRPr="00290188" w:rsidR="0019450A">
        <w:t>Khartoum</w:t>
      </w:r>
      <w:proofErr w:type="spellEnd"/>
      <w:r w:rsidRPr="00290188" w:rsidR="0019450A">
        <w:t xml:space="preserve"> te zijn afgenomen, doordat de stad in de loop van 2025 volledig in handen van de SAF viel. </w:t>
      </w:r>
      <w:proofErr w:type="spellStart"/>
      <w:r w:rsidRPr="00290188" w:rsidR="0019450A">
        <w:t>Khartoum</w:t>
      </w:r>
      <w:proofErr w:type="spellEnd"/>
      <w:r w:rsidRPr="00290188" w:rsidR="0019450A">
        <w:t xml:space="preserve"> vormde en vormt als hoofdstad van Sudan het grootste strijdtoneel in dit conflict en gelet op de fluïde aard van het conflict</w:t>
      </w:r>
      <w:r w:rsidRPr="00290188" w:rsidR="00391025">
        <w:t xml:space="preserve"> en het nog altijd grote aantal incidenten en burgerslachtoffers</w:t>
      </w:r>
      <w:r w:rsidRPr="00290188" w:rsidR="000E2FC9">
        <w:t xml:space="preserve"> en ontheemden</w:t>
      </w:r>
      <w:r w:rsidRPr="00290188" w:rsidR="00FA3728">
        <w:t>,</w:t>
      </w:r>
      <w:r w:rsidRPr="00290188" w:rsidR="0019450A">
        <w:t xml:space="preserve"> </w:t>
      </w:r>
      <w:r w:rsidRPr="00290188" w:rsidR="00D84A3E">
        <w:t xml:space="preserve">blijft de veiligheidssituatie daar precair. </w:t>
      </w:r>
      <w:r w:rsidRPr="00290188" w:rsidR="0019450A">
        <w:t xml:space="preserve">Duidelijk wordt dat er gedurende de verslagperiode sprake is geweest van grootschalig geweld met een willekeurige aard zoals luchtaanvallen op burgerdoelen, waar </w:t>
      </w:r>
      <w:r w:rsidRPr="00290188" w:rsidR="00C746AF">
        <w:t xml:space="preserve">een groot aantal </w:t>
      </w:r>
      <w:r w:rsidRPr="00290188" w:rsidR="0019450A">
        <w:t>burgers het slachtoffer</w:t>
      </w:r>
      <w:r w:rsidRPr="00290188" w:rsidR="00C746AF">
        <w:t xml:space="preserve"> </w:t>
      </w:r>
      <w:r w:rsidRPr="00290188" w:rsidR="0019450A">
        <w:t>van werd</w:t>
      </w:r>
      <w:r w:rsidRPr="00290188">
        <w:t xml:space="preserve"> en </w:t>
      </w:r>
      <w:r w:rsidRPr="00290188" w:rsidR="00C746AF">
        <w:t xml:space="preserve">wat </w:t>
      </w:r>
      <w:r w:rsidRPr="00290188">
        <w:t xml:space="preserve">tot omvangrijke ontheemding van burgers uit </w:t>
      </w:r>
      <w:proofErr w:type="spellStart"/>
      <w:r w:rsidRPr="00290188">
        <w:t>Khartoum</w:t>
      </w:r>
      <w:proofErr w:type="spellEnd"/>
      <w:r w:rsidRPr="00290188">
        <w:t xml:space="preserve"> </w:t>
      </w:r>
      <w:r w:rsidRPr="00290188" w:rsidR="00C746AF">
        <w:t>heeft geleid.</w:t>
      </w:r>
      <w:r w:rsidRPr="00290188">
        <w:t xml:space="preserve"> </w:t>
      </w:r>
    </w:p>
    <w:p w:rsidRPr="00290188" w:rsidR="00C95930" w:rsidP="00D97818" w:rsidRDefault="00C95930" w14:paraId="6A110B0B" w14:textId="77777777">
      <w:pPr>
        <w:pStyle w:val="broodtekst"/>
      </w:pPr>
    </w:p>
    <w:p w:rsidRPr="00290188" w:rsidR="007443D2" w:rsidP="00D97818" w:rsidRDefault="00D84A3E" w14:paraId="05D6AC9E" w14:textId="7194A4CE">
      <w:pPr>
        <w:pStyle w:val="broodtekst"/>
      </w:pPr>
      <w:r w:rsidRPr="00290188">
        <w:rPr>
          <w:u w:val="single"/>
        </w:rPr>
        <w:t xml:space="preserve">Deze factoren in acht nemend, wordt geadviseerd om een </w:t>
      </w:r>
      <w:proofErr w:type="spellStart"/>
      <w:r w:rsidRPr="00290188">
        <w:rPr>
          <w:u w:val="single"/>
        </w:rPr>
        <w:t>mere</w:t>
      </w:r>
      <w:proofErr w:type="spellEnd"/>
      <w:r w:rsidRPr="00290188">
        <w:rPr>
          <w:u w:val="single"/>
        </w:rPr>
        <w:t xml:space="preserve"> </w:t>
      </w:r>
      <w:proofErr w:type="spellStart"/>
      <w:r w:rsidRPr="00290188">
        <w:rPr>
          <w:u w:val="single"/>
        </w:rPr>
        <w:t>presence</w:t>
      </w:r>
      <w:proofErr w:type="spellEnd"/>
      <w:r w:rsidRPr="00290188">
        <w:rPr>
          <w:u w:val="single"/>
        </w:rPr>
        <w:t xml:space="preserve"> situatie aan te blijven houden voor de deelstaat </w:t>
      </w:r>
      <w:proofErr w:type="spellStart"/>
      <w:r w:rsidRPr="00290188">
        <w:rPr>
          <w:u w:val="single"/>
        </w:rPr>
        <w:t>Khartoum</w:t>
      </w:r>
      <w:proofErr w:type="spellEnd"/>
      <w:r w:rsidRPr="00290188">
        <w:t xml:space="preserve">. </w:t>
      </w:r>
      <w:bookmarkStart w:name="_Hlk213167525" w:id="1"/>
      <w:r w:rsidRPr="00290188">
        <w:t xml:space="preserve">Aan de hand van het volgende ambtsbericht zal ten aanzien van </w:t>
      </w:r>
      <w:proofErr w:type="spellStart"/>
      <w:r w:rsidRPr="00290188">
        <w:t>Khartoum</w:t>
      </w:r>
      <w:proofErr w:type="spellEnd"/>
      <w:r w:rsidRPr="00290188">
        <w:t xml:space="preserve"> bezien moeten worden of de controle door de SAF is gestabiliseerd en of het aantal geweldsincidenten en slachtoffers</w:t>
      </w:r>
      <w:r w:rsidRPr="00290188" w:rsidR="00FA3728">
        <w:t xml:space="preserve"> daarmee</w:t>
      </w:r>
      <w:r w:rsidRPr="00290188" w:rsidR="00D41089">
        <w:t xml:space="preserve"> verder</w:t>
      </w:r>
      <w:r w:rsidRPr="00290188">
        <w:t xml:space="preserve"> </w:t>
      </w:r>
      <w:r w:rsidRPr="00290188" w:rsidR="00391025">
        <w:t>afneemt</w:t>
      </w:r>
      <w:r w:rsidRPr="00290188">
        <w:t>, wat te zijner tijd zou kunnen leiden tot een ander oordeel over de toepasselijke gradatie.</w:t>
      </w:r>
      <w:bookmarkEnd w:id="1"/>
    </w:p>
    <w:p w:rsidRPr="00290188" w:rsidR="00D97818" w:rsidP="00D97818" w:rsidRDefault="00D97818" w14:paraId="5D0F9621" w14:textId="77777777">
      <w:pPr>
        <w:pStyle w:val="broodtekst"/>
      </w:pPr>
    </w:p>
    <w:p w:rsidRPr="00290188" w:rsidR="00B20D25" w:rsidP="00D97818" w:rsidRDefault="00B20D25" w14:paraId="14DBA1D1" w14:textId="77777777">
      <w:pPr>
        <w:pStyle w:val="broodtekst"/>
      </w:pPr>
    </w:p>
    <w:tbl>
      <w:tblPr>
        <w:tblStyle w:val="Tabelraster"/>
        <w:tblW w:w="0" w:type="auto"/>
        <w:tblInd w:w="0" w:type="dxa"/>
        <w:tblLook w:val="04A0" w:firstRow="1" w:lastRow="0" w:firstColumn="1" w:lastColumn="0" w:noHBand="0" w:noVBand="1"/>
      </w:tblPr>
      <w:tblGrid>
        <w:gridCol w:w="2263"/>
        <w:gridCol w:w="6663"/>
      </w:tblGrid>
      <w:tr w:rsidRPr="00290188" w:rsidR="00D97818" w:rsidTr="00802BA7" w14:paraId="1275338B" w14:textId="77777777">
        <w:tc>
          <w:tcPr>
            <w:tcW w:w="8926" w:type="dxa"/>
            <w:gridSpan w:val="2"/>
            <w:shd w:val="clear" w:color="auto" w:fill="DEEAF6" w:themeFill="accent1" w:themeFillTint="33"/>
          </w:tcPr>
          <w:p w:rsidRPr="00290188" w:rsidR="00D97818" w:rsidP="00B73F69" w:rsidRDefault="00D97818" w14:paraId="39FF4E8C" w14:textId="3EBAC844">
            <w:pPr>
              <w:pStyle w:val="broodtekst"/>
              <w:rPr>
                <w:b/>
                <w:bCs/>
              </w:rPr>
            </w:pPr>
            <w:proofErr w:type="spellStart"/>
            <w:r w:rsidRPr="00290188">
              <w:rPr>
                <w:b/>
                <w:bCs/>
              </w:rPr>
              <w:t>Darfur</w:t>
            </w:r>
            <w:proofErr w:type="spellEnd"/>
            <w:r w:rsidRPr="00290188" w:rsidR="005F5114">
              <w:rPr>
                <w:b/>
                <w:bCs/>
              </w:rPr>
              <w:t xml:space="preserve"> </w:t>
            </w:r>
            <w:r w:rsidRPr="00290188" w:rsidR="004B2C9F">
              <w:rPr>
                <w:b/>
                <w:bCs/>
              </w:rPr>
              <w:t>– Noord (</w:t>
            </w:r>
            <w:r w:rsidRPr="00290188" w:rsidR="005F5114">
              <w:rPr>
                <w:b/>
                <w:bCs/>
              </w:rPr>
              <w:t xml:space="preserve">2,8 </w:t>
            </w:r>
            <w:proofErr w:type="spellStart"/>
            <w:r w:rsidRPr="00290188" w:rsidR="004B2C9F">
              <w:rPr>
                <w:b/>
                <w:bCs/>
              </w:rPr>
              <w:t>mln</w:t>
            </w:r>
            <w:proofErr w:type="spellEnd"/>
            <w:r w:rsidRPr="00290188" w:rsidR="004B2C9F">
              <w:rPr>
                <w:b/>
                <w:bCs/>
              </w:rPr>
              <w:t xml:space="preserve"> inwoners, Zuid (</w:t>
            </w:r>
            <w:r w:rsidRPr="00290188" w:rsidR="005F5114">
              <w:rPr>
                <w:b/>
                <w:bCs/>
              </w:rPr>
              <w:t xml:space="preserve">3,7 </w:t>
            </w:r>
            <w:proofErr w:type="spellStart"/>
            <w:r w:rsidRPr="00290188" w:rsidR="004B2C9F">
              <w:rPr>
                <w:b/>
                <w:bCs/>
              </w:rPr>
              <w:t>mln</w:t>
            </w:r>
            <w:proofErr w:type="spellEnd"/>
            <w:r w:rsidRPr="00290188" w:rsidR="004B2C9F">
              <w:rPr>
                <w:b/>
                <w:bCs/>
              </w:rPr>
              <w:t xml:space="preserve"> inwoners), West (</w:t>
            </w:r>
            <w:r w:rsidRPr="00290188" w:rsidR="005F5114">
              <w:rPr>
                <w:b/>
                <w:bCs/>
              </w:rPr>
              <w:t xml:space="preserve">1,3 </w:t>
            </w:r>
            <w:proofErr w:type="spellStart"/>
            <w:r w:rsidRPr="00290188" w:rsidR="004B2C9F">
              <w:rPr>
                <w:b/>
                <w:bCs/>
              </w:rPr>
              <w:t>mln</w:t>
            </w:r>
            <w:proofErr w:type="spellEnd"/>
            <w:r w:rsidRPr="00290188" w:rsidR="004B2C9F">
              <w:rPr>
                <w:b/>
                <w:bCs/>
              </w:rPr>
              <w:t xml:space="preserve"> inwoners), Centraal (</w:t>
            </w:r>
            <w:r w:rsidRPr="00290188" w:rsidR="005F5114">
              <w:rPr>
                <w:b/>
                <w:bCs/>
              </w:rPr>
              <w:t xml:space="preserve">2,0 </w:t>
            </w:r>
            <w:proofErr w:type="spellStart"/>
            <w:r w:rsidRPr="00290188" w:rsidR="004B2C9F">
              <w:rPr>
                <w:b/>
                <w:bCs/>
              </w:rPr>
              <w:t>mln</w:t>
            </w:r>
            <w:proofErr w:type="spellEnd"/>
            <w:r w:rsidRPr="00290188" w:rsidR="004B2C9F">
              <w:rPr>
                <w:b/>
                <w:bCs/>
              </w:rPr>
              <w:t xml:space="preserve"> inwoners), Oost (</w:t>
            </w:r>
            <w:r w:rsidRPr="00290188" w:rsidR="005F5114">
              <w:rPr>
                <w:b/>
                <w:bCs/>
              </w:rPr>
              <w:t xml:space="preserve">1,8 </w:t>
            </w:r>
            <w:proofErr w:type="spellStart"/>
            <w:r w:rsidRPr="00290188" w:rsidR="004B2C9F">
              <w:rPr>
                <w:b/>
                <w:bCs/>
              </w:rPr>
              <w:t>mln</w:t>
            </w:r>
            <w:proofErr w:type="spellEnd"/>
            <w:r w:rsidRPr="00290188" w:rsidR="004B2C9F">
              <w:rPr>
                <w:b/>
                <w:bCs/>
              </w:rPr>
              <w:t xml:space="preserve"> inwoners)</w:t>
            </w:r>
          </w:p>
        </w:tc>
      </w:tr>
      <w:tr w:rsidRPr="00290188" w:rsidR="00D97818" w:rsidTr="00D97818" w14:paraId="5688E106" w14:textId="77777777">
        <w:tc>
          <w:tcPr>
            <w:tcW w:w="2263" w:type="dxa"/>
          </w:tcPr>
          <w:p w:rsidRPr="00290188" w:rsidR="00D97818" w:rsidP="00B73F69" w:rsidRDefault="00D97818" w14:paraId="35471771" w14:textId="77777777">
            <w:pPr>
              <w:pStyle w:val="broodtekst"/>
            </w:pPr>
            <w:r w:rsidRPr="00290188">
              <w:t>Controle</w:t>
            </w:r>
          </w:p>
        </w:tc>
        <w:tc>
          <w:tcPr>
            <w:tcW w:w="6663" w:type="dxa"/>
          </w:tcPr>
          <w:p w:rsidRPr="00290188" w:rsidR="00281F89" w:rsidP="00281F89" w:rsidRDefault="001768F2" w14:paraId="359791AC" w14:textId="62681857">
            <w:pPr>
              <w:pStyle w:val="broodtekst"/>
            </w:pPr>
            <w:r w:rsidRPr="00290188">
              <w:t xml:space="preserve">De RSF brachten in de voorgaande verslagperiode in een hoog tempo grote delen van </w:t>
            </w:r>
            <w:proofErr w:type="spellStart"/>
            <w:r w:rsidRPr="00290188">
              <w:t>Darfur</w:t>
            </w:r>
            <w:proofErr w:type="spellEnd"/>
            <w:r w:rsidRPr="00290188">
              <w:t xml:space="preserve"> onder hun controle, en wisten daarbij vier van de vijf deelstaathoofdsteden te veroveren, op El</w:t>
            </w:r>
            <w:r w:rsidRPr="00290188" w:rsidR="00281F89">
              <w:t xml:space="preserve"> </w:t>
            </w:r>
            <w:proofErr w:type="spellStart"/>
            <w:r w:rsidRPr="00290188">
              <w:t>Fasher</w:t>
            </w:r>
            <w:proofErr w:type="spellEnd"/>
            <w:r w:rsidRPr="00290188" w:rsidR="00BC769F">
              <w:t xml:space="preserve"> (Noord </w:t>
            </w:r>
            <w:proofErr w:type="spellStart"/>
            <w:r w:rsidRPr="00290188" w:rsidR="00BC769F">
              <w:t>Darfur</w:t>
            </w:r>
            <w:proofErr w:type="spellEnd"/>
            <w:r w:rsidRPr="00290188" w:rsidR="00BC769F">
              <w:t>)</w:t>
            </w:r>
            <w:r w:rsidRPr="00290188">
              <w:t xml:space="preserve"> na. </w:t>
            </w:r>
          </w:p>
          <w:p w:rsidRPr="00290188" w:rsidR="00281F89" w:rsidP="00281F89" w:rsidRDefault="00281F89" w14:paraId="5D67F564" w14:textId="77777777">
            <w:pPr>
              <w:pStyle w:val="broodtekst"/>
            </w:pPr>
          </w:p>
          <w:p w:rsidRPr="00290188" w:rsidR="00D97818" w:rsidP="00B73F69" w:rsidRDefault="001768F2" w14:paraId="035B0985" w14:textId="720235DD">
            <w:pPr>
              <w:pStyle w:val="broodtekst"/>
            </w:pPr>
            <w:r w:rsidRPr="00290188">
              <w:t>In mei 2024 begon de RSF belegering van El</w:t>
            </w:r>
            <w:r w:rsidRPr="00290188" w:rsidR="00281F89">
              <w:t xml:space="preserve"> </w:t>
            </w:r>
            <w:proofErr w:type="spellStart"/>
            <w:r w:rsidRPr="00290188">
              <w:t>Fasher</w:t>
            </w:r>
            <w:proofErr w:type="spellEnd"/>
            <w:r w:rsidRPr="00290188">
              <w:t xml:space="preserve">, </w:t>
            </w:r>
            <w:r w:rsidRPr="00290188" w:rsidR="00EE1C24">
              <w:t>de enige stad die nog in handen van de SAF was</w:t>
            </w:r>
            <w:r w:rsidRPr="00290188" w:rsidR="00281F89">
              <w:t xml:space="preserve">. Eind oktober 2025 </w:t>
            </w:r>
            <w:r w:rsidRPr="00290188" w:rsidR="00391025">
              <w:t>nam de RSF E</w:t>
            </w:r>
            <w:r w:rsidRPr="00290188" w:rsidR="00BC769F">
              <w:t>l</w:t>
            </w:r>
            <w:r w:rsidRPr="00290188" w:rsidR="00391025">
              <w:t xml:space="preserve"> </w:t>
            </w:r>
            <w:proofErr w:type="spellStart"/>
            <w:r w:rsidRPr="00290188" w:rsidR="00391025">
              <w:t>Fasher</w:t>
            </w:r>
            <w:proofErr w:type="spellEnd"/>
            <w:r w:rsidRPr="00290188" w:rsidR="00391025">
              <w:t xml:space="preserve"> na een belegering van anderhalf jaar in. </w:t>
            </w:r>
            <w:r w:rsidRPr="00290188" w:rsidR="00281F89">
              <w:t xml:space="preserve">Bij de inname van El </w:t>
            </w:r>
            <w:proofErr w:type="spellStart"/>
            <w:r w:rsidRPr="00290188" w:rsidR="00281F89">
              <w:t>Fasher</w:t>
            </w:r>
            <w:proofErr w:type="spellEnd"/>
            <w:r w:rsidRPr="00290188" w:rsidR="00281F89">
              <w:t xml:space="preserve"> zijn </w:t>
            </w:r>
            <w:r w:rsidRPr="00290188" w:rsidR="00391025">
              <w:t>vele</w:t>
            </w:r>
            <w:r w:rsidRPr="00290188" w:rsidR="00281F89">
              <w:t xml:space="preserve"> burgers gedood en </w:t>
            </w:r>
            <w:r w:rsidRPr="00290188" w:rsidR="002C4861">
              <w:t xml:space="preserve">vonden </w:t>
            </w:r>
            <w:r w:rsidRPr="00290188" w:rsidR="00281F89">
              <w:t xml:space="preserve"> grootschalige gruweldaden</w:t>
            </w:r>
            <w:r w:rsidRPr="00290188" w:rsidR="002C4861">
              <w:t xml:space="preserve"> plaats</w:t>
            </w:r>
            <w:r w:rsidRPr="00290188" w:rsidR="00281F89">
              <w:t xml:space="preserve">, zoals </w:t>
            </w:r>
            <w:r w:rsidRPr="00290188" w:rsidR="00281F89">
              <w:lastRenderedPageBreak/>
              <w:t>ook plaatsvond bij eerdere veroveringen door de RSF</w:t>
            </w:r>
            <w:r w:rsidRPr="00290188" w:rsidR="002C4861">
              <w:t xml:space="preserve"> (zoals El </w:t>
            </w:r>
            <w:proofErr w:type="spellStart"/>
            <w:r w:rsidRPr="00290188" w:rsidR="002C4861">
              <w:t>Geneina</w:t>
            </w:r>
            <w:proofErr w:type="spellEnd"/>
            <w:r w:rsidRPr="00290188" w:rsidR="002C4861">
              <w:t xml:space="preserve">, </w:t>
            </w:r>
            <w:proofErr w:type="spellStart"/>
            <w:r w:rsidRPr="00290188" w:rsidR="002C4861">
              <w:t>Adamata</w:t>
            </w:r>
            <w:proofErr w:type="spellEnd"/>
            <w:r w:rsidRPr="00290188" w:rsidR="002C4861">
              <w:t xml:space="preserve"> en </w:t>
            </w:r>
            <w:proofErr w:type="spellStart"/>
            <w:r w:rsidRPr="00290188" w:rsidR="002C4861">
              <w:t>Zamzam</w:t>
            </w:r>
            <w:proofErr w:type="spellEnd"/>
            <w:r w:rsidRPr="00290188" w:rsidR="002C4861">
              <w:t>)</w:t>
            </w:r>
            <w:r w:rsidRPr="00290188" w:rsidR="00281F89">
              <w:t>.</w:t>
            </w:r>
            <w:r w:rsidRPr="00290188" w:rsidR="00281F89">
              <w:rPr>
                <w:rStyle w:val="Voetnootmarkering"/>
              </w:rPr>
              <w:footnoteReference w:id="8"/>
            </w:r>
            <w:r w:rsidRPr="00290188" w:rsidR="00281F89">
              <w:t xml:space="preserve"> </w:t>
            </w:r>
          </w:p>
        </w:tc>
      </w:tr>
      <w:tr w:rsidRPr="00290188" w:rsidR="00D97818" w:rsidTr="00D97818" w14:paraId="3A8535F4" w14:textId="77777777">
        <w:tc>
          <w:tcPr>
            <w:tcW w:w="2263" w:type="dxa"/>
          </w:tcPr>
          <w:p w:rsidRPr="00290188" w:rsidR="00D97818" w:rsidP="00B73F69" w:rsidRDefault="00D97818" w14:paraId="5C2D7560" w14:textId="77777777">
            <w:pPr>
              <w:pStyle w:val="broodtekst"/>
            </w:pPr>
            <w:r w:rsidRPr="00290188">
              <w:lastRenderedPageBreak/>
              <w:t>Strijdende partijen</w:t>
            </w:r>
          </w:p>
        </w:tc>
        <w:tc>
          <w:tcPr>
            <w:tcW w:w="6663" w:type="dxa"/>
          </w:tcPr>
          <w:p w:rsidRPr="00290188" w:rsidR="00D97818" w:rsidP="00B73F69" w:rsidRDefault="00D97818" w14:paraId="56FCC7AE" w14:textId="788EA1A8">
            <w:pPr>
              <w:pStyle w:val="broodtekst"/>
            </w:pPr>
            <w:r w:rsidRPr="00290188">
              <w:t xml:space="preserve">SAF (inclusief gelieerde </w:t>
            </w:r>
            <w:r w:rsidRPr="00290188" w:rsidR="002C4861">
              <w:t>milities</w:t>
            </w:r>
            <w:r w:rsidRPr="00290188">
              <w:t>) &amp; RSF (inclusief gelieerde milities)</w:t>
            </w:r>
            <w:r w:rsidRPr="00290188" w:rsidR="001768F2">
              <w:t xml:space="preserve">. </w:t>
            </w:r>
            <w:r w:rsidRPr="00290188" w:rsidR="002C4861">
              <w:t xml:space="preserve">El </w:t>
            </w:r>
            <w:proofErr w:type="spellStart"/>
            <w:r w:rsidRPr="00290188" w:rsidR="002C4861">
              <w:t>Fasher</w:t>
            </w:r>
            <w:proofErr w:type="spellEnd"/>
            <w:r w:rsidRPr="00290188" w:rsidR="002C4861">
              <w:t xml:space="preserve"> was de uitvalsbasis van de SLM-MM. De SLM-AW stelt zich neutraal op en heeft als controlegebied het </w:t>
            </w:r>
            <w:proofErr w:type="spellStart"/>
            <w:r w:rsidRPr="00290188" w:rsidR="002C4861">
              <w:t>Jebel</w:t>
            </w:r>
            <w:proofErr w:type="spellEnd"/>
            <w:r w:rsidRPr="00290188" w:rsidR="002C4861">
              <w:t xml:space="preserve"> </w:t>
            </w:r>
            <w:proofErr w:type="spellStart"/>
            <w:r w:rsidRPr="00290188" w:rsidR="002C4861">
              <w:t>Marra</w:t>
            </w:r>
            <w:proofErr w:type="spellEnd"/>
            <w:r w:rsidRPr="00290188" w:rsidR="002C4861">
              <w:t xml:space="preserve">-gebergte in het midden van </w:t>
            </w:r>
            <w:proofErr w:type="spellStart"/>
            <w:r w:rsidRPr="00290188" w:rsidR="002C4861">
              <w:t>Darfur</w:t>
            </w:r>
            <w:proofErr w:type="spellEnd"/>
            <w:r w:rsidRPr="00290188" w:rsidR="002C4861">
              <w:t xml:space="preserve">. </w:t>
            </w:r>
          </w:p>
        </w:tc>
      </w:tr>
      <w:tr w:rsidRPr="00290188" w:rsidR="00D97818" w:rsidTr="00D97818" w14:paraId="6FD3B92B" w14:textId="77777777">
        <w:tc>
          <w:tcPr>
            <w:tcW w:w="2263" w:type="dxa"/>
          </w:tcPr>
          <w:p w:rsidRPr="00290188" w:rsidR="00D97818" w:rsidP="00B73F69" w:rsidRDefault="00D97818" w14:paraId="2373A005" w14:textId="77777777">
            <w:pPr>
              <w:pStyle w:val="broodtekst"/>
            </w:pPr>
            <w:r w:rsidRPr="00290188">
              <w:t>Aard van het geweld &amp; gevechtsmethodes</w:t>
            </w:r>
          </w:p>
        </w:tc>
        <w:tc>
          <w:tcPr>
            <w:tcW w:w="6663" w:type="dxa"/>
          </w:tcPr>
          <w:p w:rsidRPr="00290188" w:rsidR="002C2577" w:rsidP="001768F2" w:rsidRDefault="001768F2" w14:paraId="78D7EDBE" w14:textId="6385E91B">
            <w:pPr>
              <w:pStyle w:val="broodtekst"/>
            </w:pPr>
            <w:r w:rsidRPr="00290188">
              <w:t xml:space="preserve">De machtsovername van de RSF in grote delen van </w:t>
            </w:r>
            <w:proofErr w:type="spellStart"/>
            <w:r w:rsidRPr="00290188">
              <w:t>Darfur</w:t>
            </w:r>
            <w:proofErr w:type="spellEnd"/>
            <w:r w:rsidRPr="00290188">
              <w:t xml:space="preserve"> ging gepaard met </w:t>
            </w:r>
            <w:r w:rsidRPr="00290188" w:rsidR="003210DC">
              <w:t>geweld waar burgers slachtoffer van werden:</w:t>
            </w:r>
          </w:p>
          <w:p w:rsidRPr="00290188" w:rsidR="00281F89" w:rsidP="00281F89" w:rsidRDefault="001768F2" w14:paraId="5FC39DA7" w14:textId="6314C5D7">
            <w:pPr>
              <w:pStyle w:val="broodtekst"/>
              <w:numPr>
                <w:ilvl w:val="0"/>
                <w:numId w:val="1"/>
              </w:numPr>
            </w:pPr>
            <w:r w:rsidRPr="00290188">
              <w:t xml:space="preserve">Met de belegering van El </w:t>
            </w:r>
            <w:proofErr w:type="spellStart"/>
            <w:r w:rsidRPr="00290188">
              <w:t>Fasher</w:t>
            </w:r>
            <w:proofErr w:type="spellEnd"/>
            <w:r w:rsidRPr="00290188">
              <w:t xml:space="preserve"> </w:t>
            </w:r>
            <w:r w:rsidRPr="00290188" w:rsidR="00EE1C24">
              <w:t xml:space="preserve">sinds mei 2024 </w:t>
            </w:r>
            <w:r w:rsidRPr="00290188">
              <w:t xml:space="preserve">sloten de RSF de hele stad en haar </w:t>
            </w:r>
            <w:r w:rsidRPr="00290188" w:rsidR="00220875">
              <w:t xml:space="preserve">honderdduizenden inwoners </w:t>
            </w:r>
            <w:r w:rsidRPr="00290188">
              <w:t>af van humanitaire hulp.</w:t>
            </w:r>
            <w:r w:rsidRPr="00290188" w:rsidR="00EE1C24">
              <w:t xml:space="preserve"> El </w:t>
            </w:r>
            <w:proofErr w:type="spellStart"/>
            <w:r w:rsidRPr="00290188" w:rsidR="00EE1C24">
              <w:t>Fasher</w:t>
            </w:r>
            <w:proofErr w:type="spellEnd"/>
            <w:r w:rsidRPr="00290188" w:rsidR="00EE1C24">
              <w:t xml:space="preserve"> was het laatste grote SAF bolwerk</w:t>
            </w:r>
            <w:r w:rsidRPr="00290188" w:rsidR="00391025">
              <w:t xml:space="preserve"> in </w:t>
            </w:r>
            <w:proofErr w:type="spellStart"/>
            <w:r w:rsidRPr="00290188" w:rsidR="00391025">
              <w:t>Darfur</w:t>
            </w:r>
            <w:proofErr w:type="spellEnd"/>
            <w:r w:rsidRPr="00290188" w:rsidR="00EE1C24">
              <w:t>, waar veel burgers eerder naartoe vluchtten.</w:t>
            </w:r>
            <w:r w:rsidRPr="00290188">
              <w:t xml:space="preserve"> De RSF </w:t>
            </w:r>
            <w:r w:rsidRPr="00290188" w:rsidR="00391025">
              <w:t>waren</w:t>
            </w:r>
            <w:r w:rsidRPr="00290188">
              <w:t xml:space="preserve"> sinds mei 2025 bezig met het aanleggen van een </w:t>
            </w:r>
            <w:r w:rsidRPr="00290188" w:rsidR="002C4861">
              <w:t xml:space="preserve">aarden </w:t>
            </w:r>
            <w:r w:rsidRPr="00290188">
              <w:t xml:space="preserve">wal rondom El </w:t>
            </w:r>
            <w:proofErr w:type="spellStart"/>
            <w:r w:rsidRPr="00290188">
              <w:t>Fasher</w:t>
            </w:r>
            <w:proofErr w:type="spellEnd"/>
            <w:r w:rsidRPr="00290188">
              <w:t xml:space="preserve">, die drie meter hoog </w:t>
            </w:r>
            <w:r w:rsidRPr="00290188" w:rsidR="002C4861">
              <w:t>was en</w:t>
            </w:r>
            <w:r w:rsidRPr="00290188">
              <w:t xml:space="preserve"> bijna 70km lang. </w:t>
            </w:r>
            <w:r w:rsidRPr="00290188" w:rsidR="009D4984">
              <w:t>Met deze wal wil</w:t>
            </w:r>
            <w:r w:rsidRPr="00290188" w:rsidR="00844AC6">
              <w:t>de</w:t>
            </w:r>
            <w:r w:rsidRPr="00290188" w:rsidR="00391025">
              <w:t>n</w:t>
            </w:r>
            <w:r w:rsidRPr="00290188" w:rsidR="009D4984">
              <w:t xml:space="preserve"> de RSF voorkomen </w:t>
            </w:r>
            <w:r w:rsidRPr="00290188">
              <w:t xml:space="preserve">dat noodhulp de stad in gesmokkeld </w:t>
            </w:r>
            <w:r w:rsidRPr="00290188" w:rsidR="00391025">
              <w:t>kon worden</w:t>
            </w:r>
            <w:r w:rsidRPr="00290188">
              <w:t xml:space="preserve"> en dat mensen de stad </w:t>
            </w:r>
            <w:r w:rsidRPr="00290188" w:rsidR="00391025">
              <w:t>konden</w:t>
            </w:r>
            <w:r w:rsidRPr="00290188">
              <w:t xml:space="preserve"> ontvluchten. </w:t>
            </w:r>
            <w:r w:rsidRPr="00290188" w:rsidR="007712DC">
              <w:t>Dit leidde tot ernstige hongersnood onder de bevolking in El</w:t>
            </w:r>
            <w:r w:rsidRPr="00290188" w:rsidR="00391025">
              <w:t xml:space="preserve"> </w:t>
            </w:r>
            <w:proofErr w:type="spellStart"/>
            <w:r w:rsidRPr="00290188" w:rsidR="007712DC">
              <w:t>Fasher</w:t>
            </w:r>
            <w:proofErr w:type="spellEnd"/>
            <w:r w:rsidRPr="00290188" w:rsidR="007712DC">
              <w:t xml:space="preserve">, die zich gedwongen zag om veevoer te eten. De belegering </w:t>
            </w:r>
            <w:r w:rsidRPr="00290188" w:rsidR="00EE1C24">
              <w:t xml:space="preserve">wordt beschreven als “klassieke uithongeringsstrategie gecombineerd met </w:t>
            </w:r>
            <w:r w:rsidRPr="00290188" w:rsidR="00281F89">
              <w:t>hightech</w:t>
            </w:r>
            <w:r w:rsidRPr="00290188" w:rsidR="00EE1C24">
              <w:t xml:space="preserve"> oorlogsvoering”.</w:t>
            </w:r>
            <w:r w:rsidRPr="00290188" w:rsidR="00281F89">
              <w:rPr>
                <w:rStyle w:val="Voetnootmarkering"/>
              </w:rPr>
              <w:footnoteReference w:id="9"/>
            </w:r>
          </w:p>
          <w:p w:rsidRPr="00290188" w:rsidR="00844AC6" w:rsidP="00281F89" w:rsidRDefault="00844AC6" w14:paraId="37198468" w14:textId="2EC67DE6">
            <w:pPr>
              <w:pStyle w:val="broodtekst"/>
              <w:numPr>
                <w:ilvl w:val="0"/>
                <w:numId w:val="1"/>
              </w:numPr>
            </w:pPr>
            <w:r w:rsidRPr="00290188">
              <w:t xml:space="preserve">Op 26 oktober 2025 namen de RSF El </w:t>
            </w:r>
            <w:proofErr w:type="spellStart"/>
            <w:r w:rsidRPr="00290188">
              <w:t>Fasher</w:t>
            </w:r>
            <w:proofErr w:type="spellEnd"/>
            <w:r w:rsidRPr="00290188">
              <w:t xml:space="preserve"> in na een beleg</w:t>
            </w:r>
            <w:r w:rsidRPr="00290188" w:rsidR="00734164">
              <w:t>ering</w:t>
            </w:r>
            <w:r w:rsidRPr="00290188">
              <w:t xml:space="preserve"> van anderhalf jaar. Gelijk na de inname van de stad begingen de RSF ernstige </w:t>
            </w:r>
            <w:r w:rsidRPr="00290188" w:rsidR="002C4861">
              <w:t xml:space="preserve">grootschalige </w:t>
            </w:r>
            <w:r w:rsidRPr="00290188">
              <w:t>wreedheden</w:t>
            </w:r>
            <w:r w:rsidRPr="00290188" w:rsidR="002C4861">
              <w:t xml:space="preserve"> tegen de burgerbevolking.</w:t>
            </w:r>
            <w:r w:rsidRPr="00290188">
              <w:t xml:space="preserve"> Zo vielen de RSF een ziekenhuis aan en </w:t>
            </w:r>
            <w:r w:rsidRPr="00290188" w:rsidR="00CE49E2">
              <w:t>doodden</w:t>
            </w:r>
            <w:r w:rsidRPr="00290188">
              <w:t xml:space="preserve"> zij ruim 460 patiënten en hun begeleiders.</w:t>
            </w:r>
          </w:p>
          <w:p w:rsidRPr="00290188" w:rsidR="00220875" w:rsidP="001768F2" w:rsidRDefault="00220875" w14:paraId="6DE8717D" w14:textId="61CC16AB">
            <w:pPr>
              <w:pStyle w:val="broodtekst"/>
              <w:numPr>
                <w:ilvl w:val="0"/>
                <w:numId w:val="1"/>
              </w:numPr>
            </w:pPr>
            <w:r w:rsidRPr="00290188">
              <w:t xml:space="preserve">De RSF bestookten ontheemdenkamp Abu </w:t>
            </w:r>
            <w:proofErr w:type="spellStart"/>
            <w:r w:rsidRPr="00290188">
              <w:t>Shouk</w:t>
            </w:r>
            <w:proofErr w:type="spellEnd"/>
            <w:r w:rsidRPr="00290188" w:rsidR="00281F89">
              <w:t xml:space="preserve"> (</w:t>
            </w:r>
            <w:r w:rsidRPr="00290188" w:rsidR="00844AC6">
              <w:t>ten noorden van El</w:t>
            </w:r>
            <w:r w:rsidRPr="00290188" w:rsidR="00281F89">
              <w:t xml:space="preserve"> </w:t>
            </w:r>
            <w:proofErr w:type="spellStart"/>
            <w:r w:rsidRPr="00290188" w:rsidR="00281F89">
              <w:t>Fasher</w:t>
            </w:r>
            <w:proofErr w:type="spellEnd"/>
            <w:r w:rsidRPr="00290188" w:rsidR="00281F89">
              <w:t xml:space="preserve">) sinds de belegering van El </w:t>
            </w:r>
            <w:proofErr w:type="spellStart"/>
            <w:r w:rsidRPr="00290188" w:rsidR="00281F89">
              <w:t>Fasher</w:t>
            </w:r>
            <w:proofErr w:type="spellEnd"/>
            <w:r w:rsidRPr="00290188" w:rsidR="00281F89">
              <w:t xml:space="preserve"> vrijwel </w:t>
            </w:r>
            <w:r w:rsidRPr="00290188">
              <w:t>dagelijks op willekeurige wijze met artillerievuur en drones,</w:t>
            </w:r>
            <w:r w:rsidRPr="00290188" w:rsidR="006C5A7C">
              <w:t xml:space="preserve"> </w:t>
            </w:r>
            <w:r w:rsidRPr="00290188" w:rsidR="00281F89">
              <w:t xml:space="preserve">gericht op o.a. </w:t>
            </w:r>
            <w:r w:rsidRPr="00290188" w:rsidR="006C5A7C">
              <w:t>markten,</w:t>
            </w:r>
            <w:r w:rsidRPr="00290188">
              <w:t xml:space="preserve"> waardoor inwoners gedwongen waren om ondergrondse schuilplaatsen te graven</w:t>
            </w:r>
            <w:r w:rsidRPr="00290188" w:rsidR="00734164">
              <w:t>.</w:t>
            </w:r>
          </w:p>
          <w:p w:rsidRPr="00290188" w:rsidR="00220875" w:rsidP="001768F2" w:rsidRDefault="006C5A7C" w14:paraId="717C7CB7" w14:textId="2EF6A4F8">
            <w:pPr>
              <w:pStyle w:val="broodtekst"/>
              <w:numPr>
                <w:ilvl w:val="0"/>
                <w:numId w:val="1"/>
              </w:numPr>
            </w:pPr>
            <w:r w:rsidRPr="00290188">
              <w:t xml:space="preserve">In ontheemdenkamp </w:t>
            </w:r>
            <w:proofErr w:type="spellStart"/>
            <w:r w:rsidRPr="00290188">
              <w:t>Zamzam</w:t>
            </w:r>
            <w:proofErr w:type="spellEnd"/>
            <w:r w:rsidRPr="00290188">
              <w:t xml:space="preserve"> </w:t>
            </w:r>
            <w:r w:rsidRPr="00290188" w:rsidR="00113381">
              <w:t>in Noord-</w:t>
            </w:r>
            <w:proofErr w:type="spellStart"/>
            <w:r w:rsidRPr="00290188" w:rsidR="00113381">
              <w:t>Darfur</w:t>
            </w:r>
            <w:proofErr w:type="spellEnd"/>
            <w:r w:rsidRPr="00290188" w:rsidR="00113381">
              <w:t xml:space="preserve"> </w:t>
            </w:r>
            <w:r w:rsidRPr="00290188">
              <w:t xml:space="preserve">vond excessief en grootschalig geweld </w:t>
            </w:r>
            <w:r w:rsidRPr="00290188" w:rsidR="00867DE2">
              <w:t xml:space="preserve">door de RSF </w:t>
            </w:r>
            <w:r w:rsidRPr="00290188">
              <w:t xml:space="preserve">plaats, waaronder een driedaagse aanval </w:t>
            </w:r>
            <w:r w:rsidRPr="00290188" w:rsidR="009569C3">
              <w:t xml:space="preserve">met </w:t>
            </w:r>
            <w:r w:rsidRPr="00290188" w:rsidR="00734164">
              <w:t>artillerie- en dronebeschietingen</w:t>
            </w:r>
            <w:r w:rsidRPr="00290188" w:rsidR="002C4861">
              <w:t>,</w:t>
            </w:r>
            <w:r w:rsidRPr="00290188" w:rsidR="009569C3">
              <w:t xml:space="preserve"> </w:t>
            </w:r>
            <w:r w:rsidRPr="00290188">
              <w:t>waarbij meer dan 1.500 burgers gedood werden</w:t>
            </w:r>
            <w:r w:rsidRPr="00290188" w:rsidR="00734164">
              <w:t>.</w:t>
            </w:r>
          </w:p>
          <w:p w:rsidRPr="00290188" w:rsidR="00B331B4" w:rsidP="001768F2" w:rsidRDefault="00B331B4" w14:paraId="70124C8D" w14:textId="30A9E8A7">
            <w:pPr>
              <w:pStyle w:val="broodtekst"/>
              <w:numPr>
                <w:ilvl w:val="0"/>
                <w:numId w:val="1"/>
              </w:numPr>
            </w:pPr>
            <w:proofErr w:type="spellStart"/>
            <w:r w:rsidRPr="00290188">
              <w:t>Nyala</w:t>
            </w:r>
            <w:proofErr w:type="spellEnd"/>
            <w:r w:rsidRPr="00290188">
              <w:t>, de hoofdstad van Zuid-</w:t>
            </w:r>
            <w:proofErr w:type="spellStart"/>
            <w:r w:rsidRPr="00290188">
              <w:t>Darfur</w:t>
            </w:r>
            <w:proofErr w:type="spellEnd"/>
            <w:r w:rsidRPr="00290188">
              <w:t xml:space="preserve">, wordt door Instituut Clingendael beschreven als wetteloze stad die het toneel vormt van overvallen, schietpartijen en ontvoeringen. Zo schoten RSF strijders met automatische wapens vier ontheemden neer die onderweg waren naar een ontheemdenkamp bij </w:t>
            </w:r>
            <w:proofErr w:type="spellStart"/>
            <w:r w:rsidRPr="00290188">
              <w:t>Nyala</w:t>
            </w:r>
            <w:proofErr w:type="spellEnd"/>
            <w:r w:rsidRPr="00290188" w:rsidR="00734164">
              <w:t>.</w:t>
            </w:r>
          </w:p>
          <w:p w:rsidRPr="00290188" w:rsidR="00867DE2" w:rsidP="00734164" w:rsidRDefault="00867DE2" w14:paraId="67B27BF9" w14:textId="0D78B247">
            <w:pPr>
              <w:pStyle w:val="broodtekst"/>
              <w:numPr>
                <w:ilvl w:val="0"/>
                <w:numId w:val="1"/>
              </w:numPr>
            </w:pPr>
            <w:r w:rsidRPr="00290188">
              <w:t xml:space="preserve">De SAF pleegden veelvuldig luchtaanvallen van willekeurige aard in heel </w:t>
            </w:r>
            <w:proofErr w:type="spellStart"/>
            <w:r w:rsidRPr="00290188">
              <w:t>Darfur</w:t>
            </w:r>
            <w:proofErr w:type="spellEnd"/>
            <w:r w:rsidRPr="00290188">
              <w:t xml:space="preserve"> waarbij burgerslachtoffers vielen. Zo zijn er luchtaanvallen gerapporteerd in</w:t>
            </w:r>
            <w:r w:rsidRPr="00290188" w:rsidR="004352FB">
              <w:t xml:space="preserve"> onder andere</w:t>
            </w:r>
            <w:r w:rsidRPr="00290188">
              <w:t xml:space="preserve"> </w:t>
            </w:r>
            <w:proofErr w:type="spellStart"/>
            <w:r w:rsidRPr="00290188">
              <w:t>Nyala</w:t>
            </w:r>
            <w:proofErr w:type="spellEnd"/>
            <w:r w:rsidRPr="00290188">
              <w:t xml:space="preserve"> in Zuid-</w:t>
            </w:r>
            <w:proofErr w:type="spellStart"/>
            <w:r w:rsidRPr="00290188">
              <w:t>Darfur</w:t>
            </w:r>
            <w:proofErr w:type="spellEnd"/>
            <w:r w:rsidRPr="00290188">
              <w:t xml:space="preserve">, in El </w:t>
            </w:r>
            <w:proofErr w:type="spellStart"/>
            <w:r w:rsidRPr="00290188">
              <w:t>Geneina</w:t>
            </w:r>
            <w:proofErr w:type="spellEnd"/>
            <w:r w:rsidRPr="00290188">
              <w:t xml:space="preserve"> in West-Darfur en in El-</w:t>
            </w:r>
            <w:proofErr w:type="spellStart"/>
            <w:r w:rsidRPr="00290188">
              <w:t>Daein</w:t>
            </w:r>
            <w:proofErr w:type="spellEnd"/>
            <w:r w:rsidRPr="00290188">
              <w:t xml:space="preserve"> in Oost-Darfur.</w:t>
            </w:r>
            <w:r w:rsidRPr="00290188">
              <w:rPr>
                <w:rStyle w:val="Voetnootmarkering"/>
              </w:rPr>
              <w:footnoteReference w:id="10"/>
            </w:r>
            <w:r w:rsidRPr="00290188" w:rsidR="00734164">
              <w:t xml:space="preserve"> De SAF bombardeerden geregeld drukbezochte markten in RSF</w:t>
            </w:r>
            <w:r w:rsidRPr="00290188" w:rsidR="002C4861">
              <w:t>-</w:t>
            </w:r>
            <w:r w:rsidRPr="00290188" w:rsidR="00734164">
              <w:t xml:space="preserve">gebied. </w:t>
            </w:r>
            <w:r w:rsidRPr="00290188">
              <w:t xml:space="preserve">Daarbij vielen tientallen tot honderden doden en nog meer gewonden. De aanval op de markt in </w:t>
            </w:r>
            <w:proofErr w:type="spellStart"/>
            <w:r w:rsidRPr="00290188">
              <w:t>Tora</w:t>
            </w:r>
            <w:proofErr w:type="spellEnd"/>
            <w:r w:rsidRPr="00290188">
              <w:t xml:space="preserve"> op 24 maart 2025 wordt als </w:t>
            </w:r>
            <w:r w:rsidRPr="00290188" w:rsidR="002C4861">
              <w:t>‘</w:t>
            </w:r>
            <w:r w:rsidRPr="00290188">
              <w:t>mogelijke oorlogsmisdaad</w:t>
            </w:r>
            <w:r w:rsidRPr="00290188" w:rsidR="002C4861">
              <w:t>’</w:t>
            </w:r>
            <w:r w:rsidRPr="00290188">
              <w:t xml:space="preserve"> beschreven.</w:t>
            </w:r>
          </w:p>
          <w:p w:rsidRPr="00290188" w:rsidR="006C5A7C" w:rsidP="000D64BF" w:rsidRDefault="00590619" w14:paraId="55AD2E3D" w14:textId="2641B34D">
            <w:pPr>
              <w:pStyle w:val="broodtekst"/>
              <w:numPr>
                <w:ilvl w:val="0"/>
                <w:numId w:val="1"/>
              </w:numPr>
            </w:pPr>
            <w:r w:rsidRPr="00290188">
              <w:t xml:space="preserve">In heel </w:t>
            </w:r>
            <w:proofErr w:type="spellStart"/>
            <w:r w:rsidRPr="00290188">
              <w:t>Darfur</w:t>
            </w:r>
            <w:proofErr w:type="spellEnd"/>
            <w:r w:rsidRPr="00290188">
              <w:t xml:space="preserve"> werd conflict-gerelateerd seksueel geweld gepleegd, met name door de RSF. </w:t>
            </w:r>
          </w:p>
        </w:tc>
      </w:tr>
      <w:tr w:rsidRPr="00290188" w:rsidR="00D97818" w:rsidTr="00316EAD" w14:paraId="3D778837" w14:textId="77777777">
        <w:trPr>
          <w:trHeight w:val="5519"/>
        </w:trPr>
        <w:tc>
          <w:tcPr>
            <w:tcW w:w="2263" w:type="dxa"/>
          </w:tcPr>
          <w:p w:rsidRPr="00290188" w:rsidR="00D97818" w:rsidP="00B73F69" w:rsidRDefault="00D97818" w14:paraId="28738CC0" w14:textId="77777777">
            <w:pPr>
              <w:pStyle w:val="broodtekst"/>
            </w:pPr>
            <w:r w:rsidRPr="00290188">
              <w:lastRenderedPageBreak/>
              <w:t>Aantal geweldsincidenten</w:t>
            </w:r>
          </w:p>
        </w:tc>
        <w:tc>
          <w:tcPr>
            <w:tcW w:w="6663" w:type="dxa"/>
          </w:tcPr>
          <w:p w:rsidRPr="00290188" w:rsidR="00646E85" w:rsidP="00646E85" w:rsidRDefault="00646E85" w14:paraId="638F1E4E" w14:textId="77777777">
            <w:pPr>
              <w:pStyle w:val="broodtekst"/>
              <w:ind w:left="72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827"/>
              <w:gridCol w:w="850"/>
              <w:gridCol w:w="1221"/>
            </w:tblGrid>
            <w:tr w:rsidRPr="00290188" w:rsidR="00646E85" w:rsidTr="00316EAD" w14:paraId="11428CF9" w14:textId="77777777">
              <w:trPr>
                <w:trHeight w:val="123"/>
                <w:jc w:val="center"/>
              </w:trPr>
              <w:tc>
                <w:tcPr>
                  <w:tcW w:w="0" w:type="auto"/>
                </w:tcPr>
                <w:p w:rsidRPr="00290188" w:rsidR="00646E85" w:rsidP="00646E85" w:rsidRDefault="00646E85" w14:paraId="0B231B5A" w14:textId="77777777">
                  <w:pPr>
                    <w:pStyle w:val="Default"/>
                    <w:rPr>
                      <w:b/>
                      <w:bCs/>
                      <w:sz w:val="18"/>
                      <w:szCs w:val="18"/>
                    </w:rPr>
                  </w:pPr>
                </w:p>
              </w:tc>
              <w:tc>
                <w:tcPr>
                  <w:tcW w:w="827" w:type="dxa"/>
                </w:tcPr>
                <w:p w:rsidRPr="00290188" w:rsidR="00646E85" w:rsidP="00646E85" w:rsidRDefault="00646E85" w14:paraId="5CDD0D08" w14:textId="6BFA87C1">
                  <w:pPr>
                    <w:pStyle w:val="Default"/>
                    <w:rPr>
                      <w:b/>
                      <w:bCs/>
                      <w:sz w:val="18"/>
                      <w:szCs w:val="18"/>
                    </w:rPr>
                  </w:pPr>
                  <w:r w:rsidRPr="00290188">
                    <w:rPr>
                      <w:b/>
                      <w:bCs/>
                      <w:sz w:val="18"/>
                      <w:szCs w:val="18"/>
                    </w:rPr>
                    <w:t>2023</w:t>
                  </w:r>
                </w:p>
              </w:tc>
              <w:tc>
                <w:tcPr>
                  <w:tcW w:w="850" w:type="dxa"/>
                </w:tcPr>
                <w:p w:rsidRPr="00290188" w:rsidR="00646E85" w:rsidP="00646E85" w:rsidRDefault="00646E85" w14:paraId="2749D4BC" w14:textId="3E622B44">
                  <w:pPr>
                    <w:pStyle w:val="Default"/>
                    <w:rPr>
                      <w:b/>
                      <w:bCs/>
                      <w:sz w:val="18"/>
                      <w:szCs w:val="18"/>
                    </w:rPr>
                  </w:pPr>
                  <w:r w:rsidRPr="00290188">
                    <w:rPr>
                      <w:b/>
                      <w:bCs/>
                      <w:sz w:val="18"/>
                      <w:szCs w:val="18"/>
                    </w:rPr>
                    <w:t>2024</w:t>
                  </w:r>
                </w:p>
              </w:tc>
              <w:tc>
                <w:tcPr>
                  <w:tcW w:w="1221" w:type="dxa"/>
                </w:tcPr>
                <w:p w:rsidRPr="00290188" w:rsidR="00646E85" w:rsidP="00646E85" w:rsidRDefault="00646E85" w14:paraId="5672E831" w14:textId="7671A81A">
                  <w:pPr>
                    <w:pStyle w:val="Default"/>
                    <w:rPr>
                      <w:b/>
                      <w:bCs/>
                      <w:sz w:val="18"/>
                      <w:szCs w:val="18"/>
                    </w:rPr>
                  </w:pPr>
                  <w:r w:rsidRPr="00290188">
                    <w:rPr>
                      <w:b/>
                      <w:bCs/>
                      <w:sz w:val="18"/>
                      <w:szCs w:val="18"/>
                    </w:rPr>
                    <w:t xml:space="preserve">2025 t/m </w:t>
                  </w:r>
                  <w:r w:rsidRPr="00290188" w:rsidR="001D0DC1">
                    <w:rPr>
                      <w:b/>
                      <w:bCs/>
                      <w:sz w:val="18"/>
                      <w:szCs w:val="18"/>
                    </w:rPr>
                    <w:t xml:space="preserve">8 </w:t>
                  </w:r>
                  <w:r w:rsidRPr="00290188">
                    <w:rPr>
                      <w:b/>
                      <w:bCs/>
                      <w:sz w:val="18"/>
                      <w:szCs w:val="18"/>
                    </w:rPr>
                    <w:t>aug</w:t>
                  </w:r>
                </w:p>
              </w:tc>
            </w:tr>
            <w:tr w:rsidRPr="00290188" w:rsidR="00646E85" w:rsidTr="00316EAD" w14:paraId="3796B688" w14:textId="77777777">
              <w:trPr>
                <w:trHeight w:val="123"/>
                <w:jc w:val="center"/>
              </w:trPr>
              <w:tc>
                <w:tcPr>
                  <w:tcW w:w="0" w:type="auto"/>
                </w:tcPr>
                <w:p w:rsidRPr="00290188" w:rsidR="00646E85" w:rsidP="00646E85" w:rsidRDefault="00646E85" w14:paraId="0DD11DD5" w14:textId="6EB083AB">
                  <w:pPr>
                    <w:pStyle w:val="Default"/>
                    <w:rPr>
                      <w:sz w:val="18"/>
                      <w:szCs w:val="18"/>
                    </w:rPr>
                  </w:pPr>
                  <w:r w:rsidRPr="00290188">
                    <w:rPr>
                      <w:b/>
                      <w:bCs/>
                      <w:sz w:val="18"/>
                      <w:szCs w:val="18"/>
                    </w:rPr>
                    <w:t>Centraal-</w:t>
                  </w:r>
                  <w:proofErr w:type="spellStart"/>
                  <w:r w:rsidRPr="00290188">
                    <w:rPr>
                      <w:b/>
                      <w:bCs/>
                      <w:sz w:val="18"/>
                      <w:szCs w:val="18"/>
                    </w:rPr>
                    <w:t>Darfur</w:t>
                  </w:r>
                  <w:proofErr w:type="spellEnd"/>
                  <w:r w:rsidRPr="00290188">
                    <w:rPr>
                      <w:b/>
                      <w:bCs/>
                      <w:sz w:val="18"/>
                      <w:szCs w:val="18"/>
                    </w:rPr>
                    <w:t xml:space="preserve"> </w:t>
                  </w:r>
                </w:p>
              </w:tc>
              <w:tc>
                <w:tcPr>
                  <w:tcW w:w="827" w:type="dxa"/>
                </w:tcPr>
                <w:p w:rsidRPr="00290188" w:rsidR="00646E85" w:rsidP="00646E85" w:rsidRDefault="00646E85" w14:paraId="2A72320C" w14:textId="77777777">
                  <w:pPr>
                    <w:pStyle w:val="Default"/>
                    <w:rPr>
                      <w:sz w:val="18"/>
                      <w:szCs w:val="18"/>
                    </w:rPr>
                  </w:pPr>
                  <w:r w:rsidRPr="00290188">
                    <w:rPr>
                      <w:b/>
                      <w:bCs/>
                      <w:sz w:val="18"/>
                      <w:szCs w:val="18"/>
                    </w:rPr>
                    <w:t xml:space="preserve">170 </w:t>
                  </w:r>
                </w:p>
              </w:tc>
              <w:tc>
                <w:tcPr>
                  <w:tcW w:w="850" w:type="dxa"/>
                </w:tcPr>
                <w:p w:rsidRPr="00290188" w:rsidR="00646E85" w:rsidP="00646E85" w:rsidRDefault="00646E85" w14:paraId="79F6BCA4" w14:textId="77777777">
                  <w:pPr>
                    <w:pStyle w:val="Default"/>
                    <w:rPr>
                      <w:sz w:val="18"/>
                      <w:szCs w:val="18"/>
                    </w:rPr>
                  </w:pPr>
                  <w:r w:rsidRPr="00290188">
                    <w:rPr>
                      <w:b/>
                      <w:bCs/>
                      <w:sz w:val="18"/>
                      <w:szCs w:val="18"/>
                    </w:rPr>
                    <w:t xml:space="preserve">48 </w:t>
                  </w:r>
                </w:p>
              </w:tc>
              <w:tc>
                <w:tcPr>
                  <w:tcW w:w="1221" w:type="dxa"/>
                </w:tcPr>
                <w:p w:rsidRPr="00290188" w:rsidR="00646E85" w:rsidP="00646E85" w:rsidRDefault="00646E85" w14:paraId="09AFC7F5" w14:textId="77777777">
                  <w:pPr>
                    <w:pStyle w:val="Default"/>
                    <w:rPr>
                      <w:sz w:val="18"/>
                      <w:szCs w:val="18"/>
                    </w:rPr>
                  </w:pPr>
                  <w:r w:rsidRPr="00290188">
                    <w:rPr>
                      <w:b/>
                      <w:bCs/>
                      <w:sz w:val="18"/>
                      <w:szCs w:val="18"/>
                    </w:rPr>
                    <w:t xml:space="preserve">38 </w:t>
                  </w:r>
                </w:p>
              </w:tc>
            </w:tr>
            <w:tr w:rsidRPr="00290188" w:rsidR="00646E85" w:rsidTr="00316EAD" w14:paraId="0B59F492" w14:textId="77777777">
              <w:trPr>
                <w:trHeight w:val="121"/>
                <w:jc w:val="center"/>
              </w:trPr>
              <w:tc>
                <w:tcPr>
                  <w:tcW w:w="0" w:type="auto"/>
                </w:tcPr>
                <w:p w:rsidRPr="00290188" w:rsidR="00646E85" w:rsidP="00646E85" w:rsidRDefault="00646E85" w14:paraId="2BE53F8C" w14:textId="77777777">
                  <w:pPr>
                    <w:pStyle w:val="Default"/>
                    <w:rPr>
                      <w:sz w:val="18"/>
                      <w:szCs w:val="18"/>
                    </w:rPr>
                  </w:pPr>
                  <w:r w:rsidRPr="00290188">
                    <w:rPr>
                      <w:sz w:val="18"/>
                      <w:szCs w:val="18"/>
                    </w:rPr>
                    <w:t xml:space="preserve">Gevechten </w:t>
                  </w:r>
                </w:p>
              </w:tc>
              <w:tc>
                <w:tcPr>
                  <w:tcW w:w="827" w:type="dxa"/>
                </w:tcPr>
                <w:p w:rsidRPr="00290188" w:rsidR="00646E85" w:rsidP="00646E85" w:rsidRDefault="00646E85" w14:paraId="14C3A3EC" w14:textId="77777777">
                  <w:pPr>
                    <w:pStyle w:val="Default"/>
                    <w:rPr>
                      <w:sz w:val="18"/>
                      <w:szCs w:val="18"/>
                    </w:rPr>
                  </w:pPr>
                  <w:r w:rsidRPr="00290188">
                    <w:rPr>
                      <w:sz w:val="18"/>
                      <w:szCs w:val="18"/>
                    </w:rPr>
                    <w:t xml:space="preserve">83 </w:t>
                  </w:r>
                </w:p>
              </w:tc>
              <w:tc>
                <w:tcPr>
                  <w:tcW w:w="850" w:type="dxa"/>
                </w:tcPr>
                <w:p w:rsidRPr="00290188" w:rsidR="00646E85" w:rsidP="00646E85" w:rsidRDefault="00646E85" w14:paraId="307441D8" w14:textId="77777777">
                  <w:pPr>
                    <w:pStyle w:val="Default"/>
                    <w:rPr>
                      <w:sz w:val="18"/>
                      <w:szCs w:val="18"/>
                    </w:rPr>
                  </w:pPr>
                  <w:r w:rsidRPr="00290188">
                    <w:rPr>
                      <w:sz w:val="18"/>
                      <w:szCs w:val="18"/>
                    </w:rPr>
                    <w:t xml:space="preserve">3 </w:t>
                  </w:r>
                </w:p>
              </w:tc>
              <w:tc>
                <w:tcPr>
                  <w:tcW w:w="1221" w:type="dxa"/>
                </w:tcPr>
                <w:p w:rsidRPr="00290188" w:rsidR="00646E85" w:rsidP="00646E85" w:rsidRDefault="00646E85" w14:paraId="770EBC47" w14:textId="77777777">
                  <w:pPr>
                    <w:pStyle w:val="Default"/>
                    <w:rPr>
                      <w:sz w:val="18"/>
                      <w:szCs w:val="18"/>
                    </w:rPr>
                  </w:pPr>
                  <w:r w:rsidRPr="00290188">
                    <w:rPr>
                      <w:sz w:val="18"/>
                      <w:szCs w:val="18"/>
                    </w:rPr>
                    <w:t xml:space="preserve">4 </w:t>
                  </w:r>
                </w:p>
              </w:tc>
            </w:tr>
            <w:tr w:rsidRPr="00290188" w:rsidR="00646E85" w:rsidTr="00316EAD" w14:paraId="0A91393F" w14:textId="77777777">
              <w:trPr>
                <w:trHeight w:val="121"/>
                <w:jc w:val="center"/>
              </w:trPr>
              <w:tc>
                <w:tcPr>
                  <w:tcW w:w="0" w:type="auto"/>
                </w:tcPr>
                <w:p w:rsidRPr="00290188" w:rsidR="00646E85" w:rsidP="00646E85" w:rsidRDefault="00646E85" w14:paraId="1508336C" w14:textId="77777777">
                  <w:pPr>
                    <w:pStyle w:val="Default"/>
                    <w:rPr>
                      <w:sz w:val="18"/>
                      <w:szCs w:val="18"/>
                    </w:rPr>
                  </w:pPr>
                  <w:r w:rsidRPr="00290188">
                    <w:rPr>
                      <w:sz w:val="18"/>
                      <w:szCs w:val="18"/>
                    </w:rPr>
                    <w:t xml:space="preserve">Explosies/geweld op afstand </w:t>
                  </w:r>
                </w:p>
              </w:tc>
              <w:tc>
                <w:tcPr>
                  <w:tcW w:w="827" w:type="dxa"/>
                </w:tcPr>
                <w:p w:rsidRPr="00290188" w:rsidR="00646E85" w:rsidP="00646E85" w:rsidRDefault="00646E85" w14:paraId="76A97A6B" w14:textId="77777777">
                  <w:pPr>
                    <w:pStyle w:val="Default"/>
                    <w:rPr>
                      <w:sz w:val="18"/>
                      <w:szCs w:val="18"/>
                    </w:rPr>
                  </w:pPr>
                  <w:r w:rsidRPr="00290188">
                    <w:rPr>
                      <w:sz w:val="18"/>
                      <w:szCs w:val="18"/>
                    </w:rPr>
                    <w:t xml:space="preserve">14 </w:t>
                  </w:r>
                </w:p>
              </w:tc>
              <w:tc>
                <w:tcPr>
                  <w:tcW w:w="850" w:type="dxa"/>
                </w:tcPr>
                <w:p w:rsidRPr="00290188" w:rsidR="00646E85" w:rsidP="00646E85" w:rsidRDefault="00646E85" w14:paraId="5ECA3FF3" w14:textId="77777777">
                  <w:pPr>
                    <w:pStyle w:val="Default"/>
                    <w:rPr>
                      <w:sz w:val="18"/>
                      <w:szCs w:val="18"/>
                    </w:rPr>
                  </w:pPr>
                  <w:r w:rsidRPr="00290188">
                    <w:rPr>
                      <w:sz w:val="18"/>
                      <w:szCs w:val="18"/>
                    </w:rPr>
                    <w:t xml:space="preserve">3 </w:t>
                  </w:r>
                </w:p>
              </w:tc>
              <w:tc>
                <w:tcPr>
                  <w:tcW w:w="1221" w:type="dxa"/>
                </w:tcPr>
                <w:p w:rsidRPr="00290188" w:rsidR="00646E85" w:rsidP="00646E85" w:rsidRDefault="00646E85" w14:paraId="10042878" w14:textId="77777777">
                  <w:pPr>
                    <w:pStyle w:val="Default"/>
                    <w:rPr>
                      <w:sz w:val="18"/>
                      <w:szCs w:val="18"/>
                    </w:rPr>
                  </w:pPr>
                  <w:r w:rsidRPr="00290188">
                    <w:rPr>
                      <w:sz w:val="18"/>
                      <w:szCs w:val="18"/>
                    </w:rPr>
                    <w:t xml:space="preserve">2 </w:t>
                  </w:r>
                </w:p>
              </w:tc>
            </w:tr>
            <w:tr w:rsidRPr="00290188" w:rsidR="00646E85" w:rsidTr="00316EAD" w14:paraId="0036A421" w14:textId="77777777">
              <w:trPr>
                <w:trHeight w:val="121"/>
                <w:jc w:val="center"/>
              </w:trPr>
              <w:tc>
                <w:tcPr>
                  <w:tcW w:w="0" w:type="auto"/>
                </w:tcPr>
                <w:p w:rsidRPr="00290188" w:rsidR="00646E85" w:rsidP="00646E85" w:rsidRDefault="00646E85" w14:paraId="004DDB77" w14:textId="77777777">
                  <w:pPr>
                    <w:pStyle w:val="Default"/>
                    <w:rPr>
                      <w:sz w:val="18"/>
                      <w:szCs w:val="18"/>
                    </w:rPr>
                  </w:pPr>
                  <w:r w:rsidRPr="00290188">
                    <w:rPr>
                      <w:sz w:val="18"/>
                      <w:szCs w:val="18"/>
                    </w:rPr>
                    <w:t xml:space="preserve">Geweld tegen burgers </w:t>
                  </w:r>
                </w:p>
              </w:tc>
              <w:tc>
                <w:tcPr>
                  <w:tcW w:w="827" w:type="dxa"/>
                </w:tcPr>
                <w:p w:rsidRPr="00290188" w:rsidR="00646E85" w:rsidP="00646E85" w:rsidRDefault="00646E85" w14:paraId="45E912D6" w14:textId="77777777">
                  <w:pPr>
                    <w:pStyle w:val="Default"/>
                    <w:rPr>
                      <w:sz w:val="18"/>
                      <w:szCs w:val="18"/>
                    </w:rPr>
                  </w:pPr>
                  <w:r w:rsidRPr="00290188">
                    <w:rPr>
                      <w:sz w:val="18"/>
                      <w:szCs w:val="18"/>
                    </w:rPr>
                    <w:t xml:space="preserve">73 </w:t>
                  </w:r>
                </w:p>
              </w:tc>
              <w:tc>
                <w:tcPr>
                  <w:tcW w:w="850" w:type="dxa"/>
                </w:tcPr>
                <w:p w:rsidRPr="00290188" w:rsidR="00646E85" w:rsidP="00646E85" w:rsidRDefault="00646E85" w14:paraId="198474D6" w14:textId="77777777">
                  <w:pPr>
                    <w:pStyle w:val="Default"/>
                    <w:rPr>
                      <w:sz w:val="18"/>
                      <w:szCs w:val="18"/>
                    </w:rPr>
                  </w:pPr>
                  <w:r w:rsidRPr="00290188">
                    <w:rPr>
                      <w:sz w:val="18"/>
                      <w:szCs w:val="18"/>
                    </w:rPr>
                    <w:t xml:space="preserve">42 </w:t>
                  </w:r>
                </w:p>
              </w:tc>
              <w:tc>
                <w:tcPr>
                  <w:tcW w:w="1221" w:type="dxa"/>
                </w:tcPr>
                <w:p w:rsidRPr="00290188" w:rsidR="00646E85" w:rsidP="00646E85" w:rsidRDefault="00646E85" w14:paraId="0982F67C" w14:textId="77777777">
                  <w:pPr>
                    <w:pStyle w:val="Default"/>
                    <w:rPr>
                      <w:sz w:val="18"/>
                      <w:szCs w:val="18"/>
                    </w:rPr>
                  </w:pPr>
                  <w:r w:rsidRPr="00290188">
                    <w:rPr>
                      <w:sz w:val="18"/>
                      <w:szCs w:val="18"/>
                    </w:rPr>
                    <w:t xml:space="preserve">32 </w:t>
                  </w:r>
                </w:p>
              </w:tc>
            </w:tr>
            <w:tr w:rsidRPr="00290188" w:rsidR="00646E85" w:rsidTr="00316EAD" w14:paraId="0F599510" w14:textId="77777777">
              <w:trPr>
                <w:trHeight w:val="123"/>
                <w:jc w:val="center"/>
              </w:trPr>
              <w:tc>
                <w:tcPr>
                  <w:tcW w:w="0" w:type="auto"/>
                </w:tcPr>
                <w:p w:rsidRPr="00290188" w:rsidR="00646E85" w:rsidP="00646E85" w:rsidRDefault="00646E85" w14:paraId="4B43387D" w14:textId="6604D372">
                  <w:pPr>
                    <w:pStyle w:val="Default"/>
                    <w:rPr>
                      <w:sz w:val="18"/>
                      <w:szCs w:val="18"/>
                    </w:rPr>
                  </w:pPr>
                  <w:r w:rsidRPr="00290188">
                    <w:rPr>
                      <w:b/>
                      <w:bCs/>
                      <w:sz w:val="18"/>
                      <w:szCs w:val="18"/>
                    </w:rPr>
                    <w:t xml:space="preserve">Oost-Darfur </w:t>
                  </w:r>
                </w:p>
              </w:tc>
              <w:tc>
                <w:tcPr>
                  <w:tcW w:w="827" w:type="dxa"/>
                </w:tcPr>
                <w:p w:rsidRPr="00290188" w:rsidR="00646E85" w:rsidP="00646E85" w:rsidRDefault="00646E85" w14:paraId="6CDAFD95" w14:textId="77777777">
                  <w:pPr>
                    <w:pStyle w:val="Default"/>
                    <w:rPr>
                      <w:sz w:val="18"/>
                      <w:szCs w:val="18"/>
                    </w:rPr>
                  </w:pPr>
                  <w:r w:rsidRPr="00290188">
                    <w:rPr>
                      <w:b/>
                      <w:bCs/>
                      <w:sz w:val="18"/>
                      <w:szCs w:val="18"/>
                    </w:rPr>
                    <w:t xml:space="preserve">23 </w:t>
                  </w:r>
                </w:p>
              </w:tc>
              <w:tc>
                <w:tcPr>
                  <w:tcW w:w="850" w:type="dxa"/>
                </w:tcPr>
                <w:p w:rsidRPr="00290188" w:rsidR="00646E85" w:rsidP="00646E85" w:rsidRDefault="00646E85" w14:paraId="283F341E" w14:textId="77777777">
                  <w:pPr>
                    <w:pStyle w:val="Default"/>
                    <w:rPr>
                      <w:sz w:val="18"/>
                      <w:szCs w:val="18"/>
                    </w:rPr>
                  </w:pPr>
                  <w:r w:rsidRPr="00290188">
                    <w:rPr>
                      <w:b/>
                      <w:bCs/>
                      <w:sz w:val="18"/>
                      <w:szCs w:val="18"/>
                    </w:rPr>
                    <w:t xml:space="preserve">55 </w:t>
                  </w:r>
                </w:p>
              </w:tc>
              <w:tc>
                <w:tcPr>
                  <w:tcW w:w="1221" w:type="dxa"/>
                </w:tcPr>
                <w:p w:rsidRPr="00290188" w:rsidR="00646E85" w:rsidP="00646E85" w:rsidRDefault="00646E85" w14:paraId="1BBF2776" w14:textId="77777777">
                  <w:pPr>
                    <w:pStyle w:val="Default"/>
                    <w:rPr>
                      <w:sz w:val="18"/>
                      <w:szCs w:val="18"/>
                    </w:rPr>
                  </w:pPr>
                  <w:r w:rsidRPr="00290188">
                    <w:rPr>
                      <w:b/>
                      <w:bCs/>
                      <w:sz w:val="18"/>
                      <w:szCs w:val="18"/>
                    </w:rPr>
                    <w:t xml:space="preserve">56 </w:t>
                  </w:r>
                </w:p>
              </w:tc>
            </w:tr>
            <w:tr w:rsidRPr="00290188" w:rsidR="00646E85" w:rsidTr="00316EAD" w14:paraId="62055AD6" w14:textId="77777777">
              <w:trPr>
                <w:trHeight w:val="121"/>
                <w:jc w:val="center"/>
              </w:trPr>
              <w:tc>
                <w:tcPr>
                  <w:tcW w:w="0" w:type="auto"/>
                </w:tcPr>
                <w:p w:rsidRPr="00290188" w:rsidR="00646E85" w:rsidP="00646E85" w:rsidRDefault="00646E85" w14:paraId="7AB84D51" w14:textId="77777777">
                  <w:pPr>
                    <w:pStyle w:val="Default"/>
                    <w:rPr>
                      <w:sz w:val="18"/>
                      <w:szCs w:val="18"/>
                    </w:rPr>
                  </w:pPr>
                  <w:r w:rsidRPr="00290188">
                    <w:rPr>
                      <w:sz w:val="18"/>
                      <w:szCs w:val="18"/>
                    </w:rPr>
                    <w:t xml:space="preserve">Gevechten </w:t>
                  </w:r>
                </w:p>
              </w:tc>
              <w:tc>
                <w:tcPr>
                  <w:tcW w:w="827" w:type="dxa"/>
                </w:tcPr>
                <w:p w:rsidRPr="00290188" w:rsidR="00646E85" w:rsidP="00646E85" w:rsidRDefault="00646E85" w14:paraId="0B7B19B6" w14:textId="77777777">
                  <w:pPr>
                    <w:pStyle w:val="Default"/>
                    <w:rPr>
                      <w:sz w:val="18"/>
                      <w:szCs w:val="18"/>
                    </w:rPr>
                  </w:pPr>
                  <w:r w:rsidRPr="00290188">
                    <w:rPr>
                      <w:sz w:val="18"/>
                      <w:szCs w:val="18"/>
                    </w:rPr>
                    <w:t xml:space="preserve">15 </w:t>
                  </w:r>
                </w:p>
              </w:tc>
              <w:tc>
                <w:tcPr>
                  <w:tcW w:w="850" w:type="dxa"/>
                </w:tcPr>
                <w:p w:rsidRPr="00290188" w:rsidR="00646E85" w:rsidP="00646E85" w:rsidRDefault="00646E85" w14:paraId="0C960335" w14:textId="77777777">
                  <w:pPr>
                    <w:pStyle w:val="Default"/>
                    <w:rPr>
                      <w:sz w:val="18"/>
                      <w:szCs w:val="18"/>
                    </w:rPr>
                  </w:pPr>
                  <w:r w:rsidRPr="00290188">
                    <w:rPr>
                      <w:sz w:val="18"/>
                      <w:szCs w:val="18"/>
                    </w:rPr>
                    <w:t xml:space="preserve">10 </w:t>
                  </w:r>
                </w:p>
              </w:tc>
              <w:tc>
                <w:tcPr>
                  <w:tcW w:w="1221" w:type="dxa"/>
                </w:tcPr>
                <w:p w:rsidRPr="00290188" w:rsidR="00646E85" w:rsidP="00646E85" w:rsidRDefault="00646E85" w14:paraId="7205C28C" w14:textId="77777777">
                  <w:pPr>
                    <w:pStyle w:val="Default"/>
                    <w:rPr>
                      <w:sz w:val="18"/>
                      <w:szCs w:val="18"/>
                    </w:rPr>
                  </w:pPr>
                  <w:r w:rsidRPr="00290188">
                    <w:rPr>
                      <w:sz w:val="18"/>
                      <w:szCs w:val="18"/>
                    </w:rPr>
                    <w:t xml:space="preserve">8 </w:t>
                  </w:r>
                </w:p>
              </w:tc>
            </w:tr>
            <w:tr w:rsidRPr="00290188" w:rsidR="00646E85" w:rsidTr="00316EAD" w14:paraId="4D84EB3A" w14:textId="77777777">
              <w:trPr>
                <w:trHeight w:val="121"/>
                <w:jc w:val="center"/>
              </w:trPr>
              <w:tc>
                <w:tcPr>
                  <w:tcW w:w="0" w:type="auto"/>
                </w:tcPr>
                <w:p w:rsidRPr="00290188" w:rsidR="00646E85" w:rsidP="00646E85" w:rsidRDefault="00646E85" w14:paraId="027AA5D4" w14:textId="77777777">
                  <w:pPr>
                    <w:pStyle w:val="Default"/>
                    <w:rPr>
                      <w:sz w:val="18"/>
                      <w:szCs w:val="18"/>
                    </w:rPr>
                  </w:pPr>
                  <w:r w:rsidRPr="00290188">
                    <w:rPr>
                      <w:sz w:val="18"/>
                      <w:szCs w:val="18"/>
                    </w:rPr>
                    <w:t xml:space="preserve">Explosies/geweld op afstand </w:t>
                  </w:r>
                </w:p>
              </w:tc>
              <w:tc>
                <w:tcPr>
                  <w:tcW w:w="827" w:type="dxa"/>
                </w:tcPr>
                <w:p w:rsidRPr="00290188" w:rsidR="00646E85" w:rsidP="00646E85" w:rsidRDefault="00646E85" w14:paraId="36386093" w14:textId="77777777">
                  <w:pPr>
                    <w:pStyle w:val="Default"/>
                    <w:rPr>
                      <w:sz w:val="18"/>
                      <w:szCs w:val="18"/>
                    </w:rPr>
                  </w:pPr>
                  <w:r w:rsidRPr="00290188">
                    <w:rPr>
                      <w:sz w:val="18"/>
                      <w:szCs w:val="18"/>
                    </w:rPr>
                    <w:t xml:space="preserve">1 </w:t>
                  </w:r>
                </w:p>
              </w:tc>
              <w:tc>
                <w:tcPr>
                  <w:tcW w:w="850" w:type="dxa"/>
                </w:tcPr>
                <w:p w:rsidRPr="00290188" w:rsidR="00646E85" w:rsidP="00646E85" w:rsidRDefault="00646E85" w14:paraId="2BDDC7D7" w14:textId="77777777">
                  <w:pPr>
                    <w:pStyle w:val="Default"/>
                    <w:rPr>
                      <w:sz w:val="18"/>
                      <w:szCs w:val="18"/>
                    </w:rPr>
                  </w:pPr>
                  <w:r w:rsidRPr="00290188">
                    <w:rPr>
                      <w:sz w:val="18"/>
                      <w:szCs w:val="18"/>
                    </w:rPr>
                    <w:t xml:space="preserve">19 </w:t>
                  </w:r>
                </w:p>
              </w:tc>
              <w:tc>
                <w:tcPr>
                  <w:tcW w:w="1221" w:type="dxa"/>
                </w:tcPr>
                <w:p w:rsidRPr="00290188" w:rsidR="00646E85" w:rsidP="00646E85" w:rsidRDefault="00646E85" w14:paraId="764844D1" w14:textId="77777777">
                  <w:pPr>
                    <w:pStyle w:val="Default"/>
                    <w:rPr>
                      <w:sz w:val="18"/>
                      <w:szCs w:val="18"/>
                    </w:rPr>
                  </w:pPr>
                  <w:r w:rsidRPr="00290188">
                    <w:rPr>
                      <w:sz w:val="18"/>
                      <w:szCs w:val="18"/>
                    </w:rPr>
                    <w:t xml:space="preserve">8 </w:t>
                  </w:r>
                </w:p>
              </w:tc>
            </w:tr>
            <w:tr w:rsidRPr="00290188" w:rsidR="00646E85" w:rsidTr="00316EAD" w14:paraId="00F7C9BC" w14:textId="77777777">
              <w:trPr>
                <w:trHeight w:val="121"/>
                <w:jc w:val="center"/>
              </w:trPr>
              <w:tc>
                <w:tcPr>
                  <w:tcW w:w="0" w:type="auto"/>
                </w:tcPr>
                <w:p w:rsidRPr="00290188" w:rsidR="00646E85" w:rsidP="00646E85" w:rsidRDefault="00646E85" w14:paraId="077AC37A" w14:textId="6F3DFB05">
                  <w:pPr>
                    <w:pStyle w:val="Default"/>
                    <w:rPr>
                      <w:sz w:val="18"/>
                      <w:szCs w:val="18"/>
                    </w:rPr>
                  </w:pPr>
                  <w:r w:rsidRPr="00290188">
                    <w:rPr>
                      <w:sz w:val="18"/>
                      <w:szCs w:val="18"/>
                    </w:rPr>
                    <w:t>Geweld tegen burgers</w:t>
                  </w:r>
                </w:p>
              </w:tc>
              <w:tc>
                <w:tcPr>
                  <w:tcW w:w="827" w:type="dxa"/>
                </w:tcPr>
                <w:p w:rsidRPr="00290188" w:rsidR="00646E85" w:rsidP="00646E85" w:rsidRDefault="00646E85" w14:paraId="0BA9C11E" w14:textId="79276C2E">
                  <w:pPr>
                    <w:pStyle w:val="Default"/>
                    <w:rPr>
                      <w:sz w:val="18"/>
                      <w:szCs w:val="18"/>
                    </w:rPr>
                  </w:pPr>
                  <w:r w:rsidRPr="00290188">
                    <w:rPr>
                      <w:sz w:val="18"/>
                      <w:szCs w:val="18"/>
                    </w:rPr>
                    <w:t>7</w:t>
                  </w:r>
                </w:p>
              </w:tc>
              <w:tc>
                <w:tcPr>
                  <w:tcW w:w="850" w:type="dxa"/>
                </w:tcPr>
                <w:p w:rsidRPr="00290188" w:rsidR="00646E85" w:rsidP="00646E85" w:rsidRDefault="00646E85" w14:paraId="0A624C4E" w14:textId="21EB7D0B">
                  <w:pPr>
                    <w:pStyle w:val="Default"/>
                    <w:rPr>
                      <w:sz w:val="18"/>
                      <w:szCs w:val="18"/>
                    </w:rPr>
                  </w:pPr>
                  <w:r w:rsidRPr="00290188">
                    <w:rPr>
                      <w:sz w:val="18"/>
                      <w:szCs w:val="18"/>
                    </w:rPr>
                    <w:t>26</w:t>
                  </w:r>
                </w:p>
              </w:tc>
              <w:tc>
                <w:tcPr>
                  <w:tcW w:w="1221" w:type="dxa"/>
                </w:tcPr>
                <w:p w:rsidRPr="00290188" w:rsidR="00646E85" w:rsidP="00646E85" w:rsidRDefault="00646E85" w14:paraId="78160CD9" w14:textId="467F0276">
                  <w:pPr>
                    <w:pStyle w:val="Default"/>
                    <w:rPr>
                      <w:sz w:val="18"/>
                      <w:szCs w:val="18"/>
                    </w:rPr>
                  </w:pPr>
                  <w:r w:rsidRPr="00290188">
                    <w:rPr>
                      <w:sz w:val="18"/>
                      <w:szCs w:val="18"/>
                    </w:rPr>
                    <w:t>40</w:t>
                  </w:r>
                </w:p>
              </w:tc>
            </w:tr>
            <w:tr w:rsidRPr="00290188" w:rsidR="00646E85" w:rsidTr="00316EAD" w14:paraId="6B33C8EB" w14:textId="77777777">
              <w:trPr>
                <w:trHeight w:val="121"/>
                <w:jc w:val="center"/>
              </w:trPr>
              <w:tc>
                <w:tcPr>
                  <w:tcW w:w="0" w:type="auto"/>
                </w:tcPr>
                <w:p w:rsidRPr="00290188" w:rsidR="00646E85" w:rsidP="00646E85" w:rsidRDefault="00646E85" w14:paraId="18748B30" w14:textId="24460758">
                  <w:pPr>
                    <w:pStyle w:val="Default"/>
                    <w:rPr>
                      <w:sz w:val="18"/>
                      <w:szCs w:val="18"/>
                    </w:rPr>
                  </w:pPr>
                  <w:r w:rsidRPr="00290188">
                    <w:rPr>
                      <w:b/>
                      <w:bCs/>
                      <w:sz w:val="18"/>
                      <w:szCs w:val="18"/>
                    </w:rPr>
                    <w:t>Noord-</w:t>
                  </w:r>
                  <w:proofErr w:type="spellStart"/>
                  <w:r w:rsidRPr="00290188">
                    <w:rPr>
                      <w:b/>
                      <w:bCs/>
                      <w:sz w:val="18"/>
                      <w:szCs w:val="18"/>
                    </w:rPr>
                    <w:t>Darfur</w:t>
                  </w:r>
                  <w:proofErr w:type="spellEnd"/>
                </w:p>
              </w:tc>
              <w:tc>
                <w:tcPr>
                  <w:tcW w:w="827" w:type="dxa"/>
                </w:tcPr>
                <w:p w:rsidRPr="00290188" w:rsidR="00646E85" w:rsidP="00646E85" w:rsidRDefault="00646E85" w14:paraId="4A0C6D6E" w14:textId="677064C5">
                  <w:pPr>
                    <w:pStyle w:val="Default"/>
                    <w:rPr>
                      <w:b/>
                      <w:bCs/>
                      <w:sz w:val="18"/>
                      <w:szCs w:val="18"/>
                    </w:rPr>
                  </w:pPr>
                  <w:r w:rsidRPr="00290188">
                    <w:rPr>
                      <w:b/>
                      <w:bCs/>
                      <w:sz w:val="18"/>
                      <w:szCs w:val="18"/>
                    </w:rPr>
                    <w:t>187</w:t>
                  </w:r>
                </w:p>
              </w:tc>
              <w:tc>
                <w:tcPr>
                  <w:tcW w:w="850" w:type="dxa"/>
                </w:tcPr>
                <w:p w:rsidRPr="00290188" w:rsidR="00646E85" w:rsidP="00646E85" w:rsidRDefault="00646E85" w14:paraId="59CEE941" w14:textId="1D82F244">
                  <w:pPr>
                    <w:pStyle w:val="Default"/>
                    <w:rPr>
                      <w:b/>
                      <w:bCs/>
                      <w:sz w:val="18"/>
                      <w:szCs w:val="18"/>
                    </w:rPr>
                  </w:pPr>
                  <w:r w:rsidRPr="00290188">
                    <w:rPr>
                      <w:b/>
                      <w:bCs/>
                      <w:sz w:val="18"/>
                      <w:szCs w:val="18"/>
                    </w:rPr>
                    <w:t>910</w:t>
                  </w:r>
                </w:p>
              </w:tc>
              <w:tc>
                <w:tcPr>
                  <w:tcW w:w="1221" w:type="dxa"/>
                </w:tcPr>
                <w:p w:rsidRPr="00290188" w:rsidR="00646E85" w:rsidP="00646E85" w:rsidRDefault="00646E85" w14:paraId="71D749B6" w14:textId="10211C25">
                  <w:pPr>
                    <w:pStyle w:val="Default"/>
                    <w:rPr>
                      <w:b/>
                      <w:bCs/>
                      <w:sz w:val="18"/>
                      <w:szCs w:val="18"/>
                    </w:rPr>
                  </w:pPr>
                  <w:r w:rsidRPr="00290188">
                    <w:rPr>
                      <w:b/>
                      <w:bCs/>
                      <w:sz w:val="18"/>
                      <w:szCs w:val="18"/>
                    </w:rPr>
                    <w:t>573</w:t>
                  </w:r>
                </w:p>
              </w:tc>
            </w:tr>
            <w:tr w:rsidRPr="00290188" w:rsidR="00646E85" w:rsidTr="00316EAD" w14:paraId="33BE1C23" w14:textId="77777777">
              <w:trPr>
                <w:trHeight w:val="121"/>
                <w:jc w:val="center"/>
              </w:trPr>
              <w:tc>
                <w:tcPr>
                  <w:tcW w:w="0" w:type="auto"/>
                </w:tcPr>
                <w:p w:rsidRPr="00290188" w:rsidR="00646E85" w:rsidP="00646E85" w:rsidRDefault="00646E85" w14:paraId="24410B52" w14:textId="6CFCB21E">
                  <w:pPr>
                    <w:pStyle w:val="Default"/>
                    <w:rPr>
                      <w:b/>
                      <w:bCs/>
                      <w:sz w:val="18"/>
                      <w:szCs w:val="18"/>
                    </w:rPr>
                  </w:pPr>
                  <w:r w:rsidRPr="00290188">
                    <w:rPr>
                      <w:sz w:val="18"/>
                      <w:szCs w:val="18"/>
                    </w:rPr>
                    <w:t xml:space="preserve">Gevechten </w:t>
                  </w:r>
                </w:p>
              </w:tc>
              <w:tc>
                <w:tcPr>
                  <w:tcW w:w="827" w:type="dxa"/>
                </w:tcPr>
                <w:p w:rsidRPr="00290188" w:rsidR="00646E85" w:rsidP="00646E85" w:rsidRDefault="00646E85" w14:paraId="6E5C0375" w14:textId="354A2D4C">
                  <w:pPr>
                    <w:pStyle w:val="Default"/>
                    <w:rPr>
                      <w:sz w:val="18"/>
                      <w:szCs w:val="18"/>
                    </w:rPr>
                  </w:pPr>
                  <w:r w:rsidRPr="00290188">
                    <w:rPr>
                      <w:sz w:val="18"/>
                      <w:szCs w:val="18"/>
                    </w:rPr>
                    <w:t xml:space="preserve">94 </w:t>
                  </w:r>
                </w:p>
              </w:tc>
              <w:tc>
                <w:tcPr>
                  <w:tcW w:w="850" w:type="dxa"/>
                </w:tcPr>
                <w:p w:rsidRPr="00290188" w:rsidR="00646E85" w:rsidP="00646E85" w:rsidRDefault="00646E85" w14:paraId="5AFD81F5" w14:textId="79B894F2">
                  <w:pPr>
                    <w:pStyle w:val="Default"/>
                    <w:rPr>
                      <w:sz w:val="18"/>
                      <w:szCs w:val="18"/>
                    </w:rPr>
                  </w:pPr>
                  <w:r w:rsidRPr="00290188">
                    <w:rPr>
                      <w:sz w:val="18"/>
                      <w:szCs w:val="18"/>
                    </w:rPr>
                    <w:t xml:space="preserve">421 </w:t>
                  </w:r>
                </w:p>
              </w:tc>
              <w:tc>
                <w:tcPr>
                  <w:tcW w:w="1221" w:type="dxa"/>
                </w:tcPr>
                <w:p w:rsidRPr="00290188" w:rsidR="00646E85" w:rsidP="00646E85" w:rsidRDefault="00646E85" w14:paraId="4A6F87EB" w14:textId="39370E09">
                  <w:pPr>
                    <w:pStyle w:val="Default"/>
                    <w:rPr>
                      <w:sz w:val="18"/>
                      <w:szCs w:val="18"/>
                    </w:rPr>
                  </w:pPr>
                  <w:r w:rsidRPr="00290188">
                    <w:rPr>
                      <w:sz w:val="18"/>
                      <w:szCs w:val="18"/>
                    </w:rPr>
                    <w:t xml:space="preserve">235 </w:t>
                  </w:r>
                </w:p>
              </w:tc>
            </w:tr>
            <w:tr w:rsidRPr="00290188" w:rsidR="00646E85" w:rsidTr="00316EAD" w14:paraId="2D7350AE" w14:textId="77777777">
              <w:trPr>
                <w:trHeight w:val="121"/>
                <w:jc w:val="center"/>
              </w:trPr>
              <w:tc>
                <w:tcPr>
                  <w:tcW w:w="0" w:type="auto"/>
                </w:tcPr>
                <w:p w:rsidRPr="00290188" w:rsidR="00646E85" w:rsidP="00646E85" w:rsidRDefault="00646E85" w14:paraId="4678D520" w14:textId="3BEB00F2">
                  <w:pPr>
                    <w:pStyle w:val="Default"/>
                    <w:rPr>
                      <w:sz w:val="18"/>
                      <w:szCs w:val="18"/>
                    </w:rPr>
                  </w:pPr>
                  <w:r w:rsidRPr="00290188">
                    <w:rPr>
                      <w:sz w:val="18"/>
                      <w:szCs w:val="18"/>
                    </w:rPr>
                    <w:t xml:space="preserve">Explosies/geweld op afstand </w:t>
                  </w:r>
                </w:p>
              </w:tc>
              <w:tc>
                <w:tcPr>
                  <w:tcW w:w="827" w:type="dxa"/>
                </w:tcPr>
                <w:p w:rsidRPr="00290188" w:rsidR="00646E85" w:rsidP="00646E85" w:rsidRDefault="00646E85" w14:paraId="24950544" w14:textId="419026AB">
                  <w:pPr>
                    <w:pStyle w:val="Default"/>
                    <w:rPr>
                      <w:sz w:val="18"/>
                      <w:szCs w:val="18"/>
                    </w:rPr>
                  </w:pPr>
                  <w:r w:rsidRPr="00290188">
                    <w:rPr>
                      <w:sz w:val="18"/>
                      <w:szCs w:val="18"/>
                    </w:rPr>
                    <w:t xml:space="preserve">8 </w:t>
                  </w:r>
                </w:p>
              </w:tc>
              <w:tc>
                <w:tcPr>
                  <w:tcW w:w="850" w:type="dxa"/>
                </w:tcPr>
                <w:p w:rsidRPr="00290188" w:rsidR="00646E85" w:rsidP="00646E85" w:rsidRDefault="00646E85" w14:paraId="03F7D6FA" w14:textId="52285765">
                  <w:pPr>
                    <w:pStyle w:val="Default"/>
                    <w:rPr>
                      <w:sz w:val="18"/>
                      <w:szCs w:val="18"/>
                    </w:rPr>
                  </w:pPr>
                  <w:r w:rsidRPr="00290188">
                    <w:rPr>
                      <w:sz w:val="18"/>
                      <w:szCs w:val="18"/>
                    </w:rPr>
                    <w:t xml:space="preserve">243 </w:t>
                  </w:r>
                </w:p>
              </w:tc>
              <w:tc>
                <w:tcPr>
                  <w:tcW w:w="1221" w:type="dxa"/>
                </w:tcPr>
                <w:p w:rsidRPr="00290188" w:rsidR="00646E85" w:rsidP="00646E85" w:rsidRDefault="00646E85" w14:paraId="55FEDD0E" w14:textId="70AD9F65">
                  <w:pPr>
                    <w:pStyle w:val="Default"/>
                    <w:rPr>
                      <w:sz w:val="18"/>
                      <w:szCs w:val="18"/>
                    </w:rPr>
                  </w:pPr>
                  <w:r w:rsidRPr="00290188">
                    <w:rPr>
                      <w:sz w:val="18"/>
                      <w:szCs w:val="18"/>
                    </w:rPr>
                    <w:t xml:space="preserve">226 </w:t>
                  </w:r>
                </w:p>
              </w:tc>
            </w:tr>
            <w:tr w:rsidRPr="00290188" w:rsidR="00646E85" w:rsidTr="00316EAD" w14:paraId="35E89CED" w14:textId="77777777">
              <w:trPr>
                <w:trHeight w:val="121"/>
                <w:jc w:val="center"/>
              </w:trPr>
              <w:tc>
                <w:tcPr>
                  <w:tcW w:w="0" w:type="auto"/>
                </w:tcPr>
                <w:p w:rsidRPr="00290188" w:rsidR="00646E85" w:rsidP="00646E85" w:rsidRDefault="00646E85" w14:paraId="6506DF4A" w14:textId="37D8F110">
                  <w:pPr>
                    <w:pStyle w:val="Default"/>
                    <w:rPr>
                      <w:sz w:val="18"/>
                      <w:szCs w:val="18"/>
                    </w:rPr>
                  </w:pPr>
                  <w:r w:rsidRPr="00290188">
                    <w:rPr>
                      <w:sz w:val="18"/>
                      <w:szCs w:val="18"/>
                    </w:rPr>
                    <w:t xml:space="preserve">Geweld tegen burgers </w:t>
                  </w:r>
                </w:p>
              </w:tc>
              <w:tc>
                <w:tcPr>
                  <w:tcW w:w="827" w:type="dxa"/>
                </w:tcPr>
                <w:p w:rsidRPr="00290188" w:rsidR="00646E85" w:rsidP="00646E85" w:rsidRDefault="00646E85" w14:paraId="53B0FC1D" w14:textId="18A4B8CC">
                  <w:pPr>
                    <w:pStyle w:val="Default"/>
                    <w:rPr>
                      <w:sz w:val="18"/>
                      <w:szCs w:val="18"/>
                    </w:rPr>
                  </w:pPr>
                  <w:r w:rsidRPr="00290188">
                    <w:rPr>
                      <w:sz w:val="18"/>
                      <w:szCs w:val="18"/>
                    </w:rPr>
                    <w:t xml:space="preserve">85 </w:t>
                  </w:r>
                </w:p>
              </w:tc>
              <w:tc>
                <w:tcPr>
                  <w:tcW w:w="850" w:type="dxa"/>
                </w:tcPr>
                <w:p w:rsidRPr="00290188" w:rsidR="00646E85" w:rsidP="00646E85" w:rsidRDefault="00646E85" w14:paraId="47C4C365" w14:textId="0252369E">
                  <w:pPr>
                    <w:pStyle w:val="Default"/>
                    <w:rPr>
                      <w:sz w:val="18"/>
                      <w:szCs w:val="18"/>
                    </w:rPr>
                  </w:pPr>
                  <w:r w:rsidRPr="00290188">
                    <w:rPr>
                      <w:sz w:val="18"/>
                      <w:szCs w:val="18"/>
                    </w:rPr>
                    <w:t xml:space="preserve">246 </w:t>
                  </w:r>
                </w:p>
              </w:tc>
              <w:tc>
                <w:tcPr>
                  <w:tcW w:w="1221" w:type="dxa"/>
                </w:tcPr>
                <w:p w:rsidRPr="00290188" w:rsidR="00646E85" w:rsidP="00646E85" w:rsidRDefault="00646E85" w14:paraId="6288D1E1" w14:textId="2705E9F9">
                  <w:pPr>
                    <w:pStyle w:val="Default"/>
                    <w:rPr>
                      <w:sz w:val="18"/>
                      <w:szCs w:val="18"/>
                    </w:rPr>
                  </w:pPr>
                  <w:r w:rsidRPr="00290188">
                    <w:rPr>
                      <w:sz w:val="18"/>
                      <w:szCs w:val="18"/>
                    </w:rPr>
                    <w:t xml:space="preserve">112 </w:t>
                  </w:r>
                </w:p>
              </w:tc>
            </w:tr>
            <w:tr w:rsidRPr="00290188" w:rsidR="00646E85" w:rsidTr="00316EAD" w14:paraId="028E6887" w14:textId="77777777">
              <w:trPr>
                <w:trHeight w:val="121"/>
                <w:jc w:val="center"/>
              </w:trPr>
              <w:tc>
                <w:tcPr>
                  <w:tcW w:w="0" w:type="auto"/>
                </w:tcPr>
                <w:p w:rsidRPr="00290188" w:rsidR="00646E85" w:rsidP="00646E85" w:rsidRDefault="00646E85" w14:paraId="588D92A1" w14:textId="3A6C054D">
                  <w:pPr>
                    <w:pStyle w:val="Default"/>
                    <w:rPr>
                      <w:b/>
                      <w:bCs/>
                      <w:sz w:val="18"/>
                      <w:szCs w:val="18"/>
                    </w:rPr>
                  </w:pPr>
                  <w:r w:rsidRPr="00290188">
                    <w:rPr>
                      <w:b/>
                      <w:bCs/>
                      <w:sz w:val="18"/>
                      <w:szCs w:val="18"/>
                    </w:rPr>
                    <w:t>Zuid-</w:t>
                  </w:r>
                  <w:proofErr w:type="spellStart"/>
                  <w:r w:rsidRPr="00290188">
                    <w:rPr>
                      <w:b/>
                      <w:bCs/>
                      <w:sz w:val="18"/>
                      <w:szCs w:val="18"/>
                    </w:rPr>
                    <w:t>Darfur</w:t>
                  </w:r>
                  <w:proofErr w:type="spellEnd"/>
                </w:p>
              </w:tc>
              <w:tc>
                <w:tcPr>
                  <w:tcW w:w="827" w:type="dxa"/>
                </w:tcPr>
                <w:p w:rsidRPr="00290188" w:rsidR="00646E85" w:rsidP="00646E85" w:rsidRDefault="00646E85" w14:paraId="4A3F12CA" w14:textId="00C94F04">
                  <w:pPr>
                    <w:pStyle w:val="Default"/>
                    <w:rPr>
                      <w:b/>
                      <w:bCs/>
                      <w:sz w:val="18"/>
                      <w:szCs w:val="18"/>
                    </w:rPr>
                  </w:pPr>
                  <w:r w:rsidRPr="00290188">
                    <w:rPr>
                      <w:b/>
                      <w:bCs/>
                      <w:sz w:val="18"/>
                      <w:szCs w:val="18"/>
                    </w:rPr>
                    <w:t>281</w:t>
                  </w:r>
                </w:p>
              </w:tc>
              <w:tc>
                <w:tcPr>
                  <w:tcW w:w="850" w:type="dxa"/>
                </w:tcPr>
                <w:p w:rsidRPr="00290188" w:rsidR="00646E85" w:rsidP="00646E85" w:rsidRDefault="00646E85" w14:paraId="70C0A33A" w14:textId="4CDF9C98">
                  <w:pPr>
                    <w:pStyle w:val="Default"/>
                    <w:rPr>
                      <w:b/>
                      <w:bCs/>
                      <w:sz w:val="18"/>
                      <w:szCs w:val="18"/>
                    </w:rPr>
                  </w:pPr>
                  <w:r w:rsidRPr="00290188">
                    <w:rPr>
                      <w:b/>
                      <w:bCs/>
                      <w:sz w:val="18"/>
                      <w:szCs w:val="18"/>
                    </w:rPr>
                    <w:t>146</w:t>
                  </w:r>
                </w:p>
              </w:tc>
              <w:tc>
                <w:tcPr>
                  <w:tcW w:w="1221" w:type="dxa"/>
                </w:tcPr>
                <w:p w:rsidRPr="00290188" w:rsidR="00646E85" w:rsidP="00646E85" w:rsidRDefault="00646E85" w14:paraId="2942CBBA" w14:textId="170E3D39">
                  <w:pPr>
                    <w:pStyle w:val="Default"/>
                    <w:rPr>
                      <w:b/>
                      <w:bCs/>
                      <w:sz w:val="18"/>
                      <w:szCs w:val="18"/>
                    </w:rPr>
                  </w:pPr>
                  <w:r w:rsidRPr="00290188">
                    <w:rPr>
                      <w:b/>
                      <w:bCs/>
                      <w:sz w:val="18"/>
                      <w:szCs w:val="18"/>
                    </w:rPr>
                    <w:t>193</w:t>
                  </w:r>
                </w:p>
              </w:tc>
            </w:tr>
            <w:tr w:rsidRPr="00290188" w:rsidR="00646E85" w:rsidTr="00316EAD" w14:paraId="37AB638C" w14:textId="77777777">
              <w:trPr>
                <w:trHeight w:val="121"/>
                <w:jc w:val="center"/>
              </w:trPr>
              <w:tc>
                <w:tcPr>
                  <w:tcW w:w="0" w:type="auto"/>
                </w:tcPr>
                <w:p w:rsidRPr="00290188" w:rsidR="00646E85" w:rsidP="00646E85" w:rsidRDefault="00646E85" w14:paraId="52C19F08" w14:textId="4BD02448">
                  <w:pPr>
                    <w:pStyle w:val="Default"/>
                    <w:rPr>
                      <w:sz w:val="18"/>
                      <w:szCs w:val="18"/>
                    </w:rPr>
                  </w:pPr>
                  <w:r w:rsidRPr="00290188">
                    <w:rPr>
                      <w:sz w:val="18"/>
                      <w:szCs w:val="18"/>
                    </w:rPr>
                    <w:t xml:space="preserve">Gevechten </w:t>
                  </w:r>
                </w:p>
              </w:tc>
              <w:tc>
                <w:tcPr>
                  <w:tcW w:w="827" w:type="dxa"/>
                </w:tcPr>
                <w:p w:rsidRPr="00290188" w:rsidR="00646E85" w:rsidP="00646E85" w:rsidRDefault="00646E85" w14:paraId="68FED031" w14:textId="7227F7DC">
                  <w:pPr>
                    <w:pStyle w:val="Default"/>
                    <w:rPr>
                      <w:sz w:val="18"/>
                      <w:szCs w:val="18"/>
                    </w:rPr>
                  </w:pPr>
                  <w:r w:rsidRPr="00290188">
                    <w:rPr>
                      <w:sz w:val="18"/>
                      <w:szCs w:val="18"/>
                    </w:rPr>
                    <w:t>178</w:t>
                  </w:r>
                </w:p>
              </w:tc>
              <w:tc>
                <w:tcPr>
                  <w:tcW w:w="850" w:type="dxa"/>
                </w:tcPr>
                <w:p w:rsidRPr="00290188" w:rsidR="00646E85" w:rsidP="00646E85" w:rsidRDefault="00646E85" w14:paraId="1285E349" w14:textId="788A217B">
                  <w:pPr>
                    <w:pStyle w:val="Default"/>
                    <w:rPr>
                      <w:sz w:val="18"/>
                      <w:szCs w:val="18"/>
                    </w:rPr>
                  </w:pPr>
                  <w:r w:rsidRPr="00290188">
                    <w:rPr>
                      <w:sz w:val="18"/>
                      <w:szCs w:val="18"/>
                    </w:rPr>
                    <w:t>23</w:t>
                  </w:r>
                </w:p>
              </w:tc>
              <w:tc>
                <w:tcPr>
                  <w:tcW w:w="1221" w:type="dxa"/>
                </w:tcPr>
                <w:p w:rsidRPr="00290188" w:rsidR="00646E85" w:rsidP="00646E85" w:rsidRDefault="00646E85" w14:paraId="356D282F" w14:textId="00C23ABE">
                  <w:pPr>
                    <w:pStyle w:val="Default"/>
                    <w:rPr>
                      <w:sz w:val="18"/>
                      <w:szCs w:val="18"/>
                    </w:rPr>
                  </w:pPr>
                  <w:r w:rsidRPr="00290188">
                    <w:rPr>
                      <w:sz w:val="18"/>
                      <w:szCs w:val="18"/>
                    </w:rPr>
                    <w:t>34</w:t>
                  </w:r>
                </w:p>
              </w:tc>
            </w:tr>
            <w:tr w:rsidRPr="00290188" w:rsidR="00646E85" w:rsidTr="00316EAD" w14:paraId="7631359C" w14:textId="77777777">
              <w:trPr>
                <w:trHeight w:val="121"/>
                <w:jc w:val="center"/>
              </w:trPr>
              <w:tc>
                <w:tcPr>
                  <w:tcW w:w="0" w:type="auto"/>
                </w:tcPr>
                <w:p w:rsidRPr="00290188" w:rsidR="00646E85" w:rsidP="00646E85" w:rsidRDefault="00646E85" w14:paraId="1B7F95C6" w14:textId="58E2A399">
                  <w:pPr>
                    <w:pStyle w:val="Default"/>
                    <w:rPr>
                      <w:sz w:val="18"/>
                      <w:szCs w:val="18"/>
                    </w:rPr>
                  </w:pPr>
                  <w:r w:rsidRPr="00290188">
                    <w:rPr>
                      <w:sz w:val="18"/>
                      <w:szCs w:val="18"/>
                    </w:rPr>
                    <w:t xml:space="preserve">Explosies/geweld op afstand </w:t>
                  </w:r>
                </w:p>
              </w:tc>
              <w:tc>
                <w:tcPr>
                  <w:tcW w:w="827" w:type="dxa"/>
                </w:tcPr>
                <w:p w:rsidRPr="00290188" w:rsidR="00646E85" w:rsidP="00646E85" w:rsidRDefault="00646E85" w14:paraId="08A19B02" w14:textId="2F5B5FED">
                  <w:pPr>
                    <w:pStyle w:val="Default"/>
                    <w:rPr>
                      <w:sz w:val="18"/>
                      <w:szCs w:val="18"/>
                    </w:rPr>
                  </w:pPr>
                  <w:r w:rsidRPr="00290188">
                    <w:rPr>
                      <w:sz w:val="18"/>
                      <w:szCs w:val="18"/>
                    </w:rPr>
                    <w:t>14</w:t>
                  </w:r>
                </w:p>
              </w:tc>
              <w:tc>
                <w:tcPr>
                  <w:tcW w:w="850" w:type="dxa"/>
                </w:tcPr>
                <w:p w:rsidRPr="00290188" w:rsidR="00646E85" w:rsidP="00646E85" w:rsidRDefault="00646E85" w14:paraId="3AC4598B" w14:textId="12D330E1">
                  <w:pPr>
                    <w:pStyle w:val="Default"/>
                    <w:rPr>
                      <w:sz w:val="18"/>
                      <w:szCs w:val="18"/>
                    </w:rPr>
                  </w:pPr>
                  <w:r w:rsidRPr="00290188">
                    <w:rPr>
                      <w:sz w:val="18"/>
                      <w:szCs w:val="18"/>
                    </w:rPr>
                    <w:t>40</w:t>
                  </w:r>
                </w:p>
              </w:tc>
              <w:tc>
                <w:tcPr>
                  <w:tcW w:w="1221" w:type="dxa"/>
                </w:tcPr>
                <w:p w:rsidRPr="00290188" w:rsidR="00646E85" w:rsidP="00646E85" w:rsidRDefault="00646E85" w14:paraId="19ABFDB8" w14:textId="2AFB5DBF">
                  <w:pPr>
                    <w:pStyle w:val="Default"/>
                    <w:rPr>
                      <w:sz w:val="18"/>
                      <w:szCs w:val="18"/>
                    </w:rPr>
                  </w:pPr>
                  <w:r w:rsidRPr="00290188">
                    <w:rPr>
                      <w:sz w:val="18"/>
                      <w:szCs w:val="18"/>
                    </w:rPr>
                    <w:t>60</w:t>
                  </w:r>
                </w:p>
              </w:tc>
            </w:tr>
            <w:tr w:rsidRPr="00290188" w:rsidR="00646E85" w:rsidTr="00316EAD" w14:paraId="1363CC7E" w14:textId="77777777">
              <w:trPr>
                <w:trHeight w:val="121"/>
                <w:jc w:val="center"/>
              </w:trPr>
              <w:tc>
                <w:tcPr>
                  <w:tcW w:w="0" w:type="auto"/>
                </w:tcPr>
                <w:p w:rsidRPr="00290188" w:rsidR="00646E85" w:rsidP="00646E85" w:rsidRDefault="00646E85" w14:paraId="0AC0E2D7" w14:textId="76A8A7F4">
                  <w:pPr>
                    <w:pStyle w:val="Default"/>
                    <w:rPr>
                      <w:sz w:val="18"/>
                      <w:szCs w:val="18"/>
                    </w:rPr>
                  </w:pPr>
                  <w:r w:rsidRPr="00290188">
                    <w:rPr>
                      <w:sz w:val="18"/>
                      <w:szCs w:val="18"/>
                    </w:rPr>
                    <w:t xml:space="preserve">Geweld tegen burgers </w:t>
                  </w:r>
                </w:p>
              </w:tc>
              <w:tc>
                <w:tcPr>
                  <w:tcW w:w="827" w:type="dxa"/>
                </w:tcPr>
                <w:p w:rsidRPr="00290188" w:rsidR="00646E85" w:rsidP="00646E85" w:rsidRDefault="00646E85" w14:paraId="24CB0A61" w14:textId="1656B9FE">
                  <w:pPr>
                    <w:pStyle w:val="Default"/>
                    <w:rPr>
                      <w:sz w:val="18"/>
                      <w:szCs w:val="18"/>
                    </w:rPr>
                  </w:pPr>
                  <w:r w:rsidRPr="00290188">
                    <w:rPr>
                      <w:sz w:val="18"/>
                      <w:szCs w:val="18"/>
                    </w:rPr>
                    <w:t>89</w:t>
                  </w:r>
                </w:p>
              </w:tc>
              <w:tc>
                <w:tcPr>
                  <w:tcW w:w="850" w:type="dxa"/>
                </w:tcPr>
                <w:p w:rsidRPr="00290188" w:rsidR="00646E85" w:rsidP="00646E85" w:rsidRDefault="00646E85" w14:paraId="1C59EE87" w14:textId="67C7DDA4">
                  <w:pPr>
                    <w:pStyle w:val="Default"/>
                    <w:rPr>
                      <w:sz w:val="18"/>
                      <w:szCs w:val="18"/>
                    </w:rPr>
                  </w:pPr>
                  <w:r w:rsidRPr="00290188">
                    <w:rPr>
                      <w:sz w:val="18"/>
                      <w:szCs w:val="18"/>
                    </w:rPr>
                    <w:t>83</w:t>
                  </w:r>
                </w:p>
              </w:tc>
              <w:tc>
                <w:tcPr>
                  <w:tcW w:w="1221" w:type="dxa"/>
                </w:tcPr>
                <w:p w:rsidRPr="00290188" w:rsidR="00646E85" w:rsidP="00646E85" w:rsidRDefault="00646E85" w14:paraId="412068DD" w14:textId="7727D1F7">
                  <w:pPr>
                    <w:pStyle w:val="Default"/>
                    <w:rPr>
                      <w:sz w:val="18"/>
                      <w:szCs w:val="18"/>
                    </w:rPr>
                  </w:pPr>
                  <w:r w:rsidRPr="00290188">
                    <w:rPr>
                      <w:sz w:val="18"/>
                      <w:szCs w:val="18"/>
                    </w:rPr>
                    <w:t>99</w:t>
                  </w:r>
                </w:p>
              </w:tc>
            </w:tr>
            <w:tr w:rsidRPr="00290188" w:rsidR="00646E85" w:rsidTr="00316EAD" w14:paraId="6A0F140E" w14:textId="77777777">
              <w:trPr>
                <w:trHeight w:val="121"/>
                <w:jc w:val="center"/>
              </w:trPr>
              <w:tc>
                <w:tcPr>
                  <w:tcW w:w="0" w:type="auto"/>
                </w:tcPr>
                <w:p w:rsidRPr="00290188" w:rsidR="00646E85" w:rsidP="00646E85" w:rsidRDefault="00646E85" w14:paraId="44C84748" w14:textId="21D2F961">
                  <w:pPr>
                    <w:pStyle w:val="Default"/>
                    <w:rPr>
                      <w:b/>
                      <w:bCs/>
                      <w:sz w:val="18"/>
                      <w:szCs w:val="18"/>
                    </w:rPr>
                  </w:pPr>
                  <w:r w:rsidRPr="00290188">
                    <w:rPr>
                      <w:b/>
                      <w:bCs/>
                      <w:sz w:val="18"/>
                      <w:szCs w:val="18"/>
                    </w:rPr>
                    <w:t>West-Darfur</w:t>
                  </w:r>
                </w:p>
              </w:tc>
              <w:tc>
                <w:tcPr>
                  <w:tcW w:w="827" w:type="dxa"/>
                </w:tcPr>
                <w:p w:rsidRPr="00290188" w:rsidR="00646E85" w:rsidP="00646E85" w:rsidRDefault="00646E85" w14:paraId="52637104" w14:textId="5182CE35">
                  <w:pPr>
                    <w:pStyle w:val="Default"/>
                    <w:rPr>
                      <w:b/>
                      <w:bCs/>
                      <w:sz w:val="18"/>
                      <w:szCs w:val="18"/>
                    </w:rPr>
                  </w:pPr>
                  <w:r w:rsidRPr="00290188">
                    <w:rPr>
                      <w:b/>
                      <w:bCs/>
                      <w:sz w:val="18"/>
                      <w:szCs w:val="18"/>
                    </w:rPr>
                    <w:t>234</w:t>
                  </w:r>
                </w:p>
              </w:tc>
              <w:tc>
                <w:tcPr>
                  <w:tcW w:w="850" w:type="dxa"/>
                </w:tcPr>
                <w:p w:rsidRPr="00290188" w:rsidR="00646E85" w:rsidP="00646E85" w:rsidRDefault="00646E85" w14:paraId="4BF39AD1" w14:textId="7D5BF471">
                  <w:pPr>
                    <w:pStyle w:val="Default"/>
                    <w:rPr>
                      <w:b/>
                      <w:bCs/>
                      <w:sz w:val="18"/>
                      <w:szCs w:val="18"/>
                    </w:rPr>
                  </w:pPr>
                  <w:r w:rsidRPr="00290188">
                    <w:rPr>
                      <w:b/>
                      <w:bCs/>
                      <w:sz w:val="18"/>
                      <w:szCs w:val="18"/>
                    </w:rPr>
                    <w:t>62</w:t>
                  </w:r>
                </w:p>
              </w:tc>
              <w:tc>
                <w:tcPr>
                  <w:tcW w:w="1221" w:type="dxa"/>
                </w:tcPr>
                <w:p w:rsidRPr="00290188" w:rsidR="00646E85" w:rsidP="00646E85" w:rsidRDefault="00646E85" w14:paraId="5B872123" w14:textId="5FA66118">
                  <w:pPr>
                    <w:pStyle w:val="Default"/>
                    <w:rPr>
                      <w:b/>
                      <w:bCs/>
                      <w:sz w:val="18"/>
                      <w:szCs w:val="18"/>
                    </w:rPr>
                  </w:pPr>
                  <w:r w:rsidRPr="00290188">
                    <w:rPr>
                      <w:b/>
                      <w:bCs/>
                      <w:sz w:val="18"/>
                      <w:szCs w:val="18"/>
                    </w:rPr>
                    <w:t>29</w:t>
                  </w:r>
                </w:p>
              </w:tc>
            </w:tr>
            <w:tr w:rsidRPr="00290188" w:rsidR="00646E85" w:rsidTr="00316EAD" w14:paraId="5ED344DF" w14:textId="77777777">
              <w:trPr>
                <w:trHeight w:val="121"/>
                <w:jc w:val="center"/>
              </w:trPr>
              <w:tc>
                <w:tcPr>
                  <w:tcW w:w="0" w:type="auto"/>
                </w:tcPr>
                <w:p w:rsidRPr="00290188" w:rsidR="00646E85" w:rsidP="00646E85" w:rsidRDefault="00646E85" w14:paraId="5DDFF415" w14:textId="7D59EDA9">
                  <w:pPr>
                    <w:pStyle w:val="Default"/>
                    <w:rPr>
                      <w:b/>
                      <w:bCs/>
                      <w:sz w:val="18"/>
                      <w:szCs w:val="18"/>
                    </w:rPr>
                  </w:pPr>
                  <w:r w:rsidRPr="00290188">
                    <w:rPr>
                      <w:sz w:val="18"/>
                      <w:szCs w:val="18"/>
                    </w:rPr>
                    <w:t xml:space="preserve">Gevechten </w:t>
                  </w:r>
                </w:p>
              </w:tc>
              <w:tc>
                <w:tcPr>
                  <w:tcW w:w="827" w:type="dxa"/>
                </w:tcPr>
                <w:p w:rsidRPr="00290188" w:rsidR="00646E85" w:rsidP="00646E85" w:rsidRDefault="00646E85" w14:paraId="73A3BE11" w14:textId="00A42CD7">
                  <w:pPr>
                    <w:pStyle w:val="Default"/>
                    <w:rPr>
                      <w:sz w:val="18"/>
                      <w:szCs w:val="18"/>
                    </w:rPr>
                  </w:pPr>
                  <w:r w:rsidRPr="00290188">
                    <w:rPr>
                      <w:sz w:val="18"/>
                      <w:szCs w:val="18"/>
                    </w:rPr>
                    <w:t>74</w:t>
                  </w:r>
                </w:p>
              </w:tc>
              <w:tc>
                <w:tcPr>
                  <w:tcW w:w="850" w:type="dxa"/>
                </w:tcPr>
                <w:p w:rsidRPr="00290188" w:rsidR="00646E85" w:rsidP="00646E85" w:rsidRDefault="00646E85" w14:paraId="6BBF765A" w14:textId="69C8B132">
                  <w:pPr>
                    <w:pStyle w:val="Default"/>
                    <w:rPr>
                      <w:sz w:val="18"/>
                      <w:szCs w:val="18"/>
                    </w:rPr>
                  </w:pPr>
                  <w:r w:rsidRPr="00290188">
                    <w:rPr>
                      <w:sz w:val="18"/>
                      <w:szCs w:val="18"/>
                    </w:rPr>
                    <w:t>25</w:t>
                  </w:r>
                </w:p>
              </w:tc>
              <w:tc>
                <w:tcPr>
                  <w:tcW w:w="1221" w:type="dxa"/>
                </w:tcPr>
                <w:p w:rsidRPr="00290188" w:rsidR="00646E85" w:rsidP="00646E85" w:rsidRDefault="00646E85" w14:paraId="2B2C555B" w14:textId="0BFD4DFA">
                  <w:pPr>
                    <w:pStyle w:val="Default"/>
                    <w:rPr>
                      <w:sz w:val="18"/>
                      <w:szCs w:val="18"/>
                    </w:rPr>
                  </w:pPr>
                  <w:r w:rsidRPr="00290188">
                    <w:rPr>
                      <w:sz w:val="18"/>
                      <w:szCs w:val="18"/>
                    </w:rPr>
                    <w:t>4</w:t>
                  </w:r>
                </w:p>
              </w:tc>
            </w:tr>
            <w:tr w:rsidRPr="00290188" w:rsidR="00646E85" w:rsidTr="00316EAD" w14:paraId="43A111BC" w14:textId="77777777">
              <w:trPr>
                <w:trHeight w:val="121"/>
                <w:jc w:val="center"/>
              </w:trPr>
              <w:tc>
                <w:tcPr>
                  <w:tcW w:w="0" w:type="auto"/>
                </w:tcPr>
                <w:p w:rsidRPr="00290188" w:rsidR="00646E85" w:rsidP="00646E85" w:rsidRDefault="00646E85" w14:paraId="02239634" w14:textId="153225E0">
                  <w:pPr>
                    <w:pStyle w:val="Default"/>
                    <w:rPr>
                      <w:sz w:val="18"/>
                      <w:szCs w:val="18"/>
                    </w:rPr>
                  </w:pPr>
                  <w:r w:rsidRPr="00290188">
                    <w:rPr>
                      <w:sz w:val="18"/>
                      <w:szCs w:val="18"/>
                    </w:rPr>
                    <w:t xml:space="preserve">Explosies/geweld op afstand </w:t>
                  </w:r>
                </w:p>
              </w:tc>
              <w:tc>
                <w:tcPr>
                  <w:tcW w:w="827" w:type="dxa"/>
                </w:tcPr>
                <w:p w:rsidRPr="00290188" w:rsidR="00646E85" w:rsidP="00646E85" w:rsidRDefault="00646E85" w14:paraId="2A45FC5E" w14:textId="52B257AB">
                  <w:pPr>
                    <w:pStyle w:val="Default"/>
                    <w:rPr>
                      <w:sz w:val="18"/>
                      <w:szCs w:val="18"/>
                    </w:rPr>
                  </w:pPr>
                  <w:r w:rsidRPr="00290188">
                    <w:rPr>
                      <w:sz w:val="18"/>
                      <w:szCs w:val="18"/>
                    </w:rPr>
                    <w:t>12</w:t>
                  </w:r>
                </w:p>
              </w:tc>
              <w:tc>
                <w:tcPr>
                  <w:tcW w:w="850" w:type="dxa"/>
                </w:tcPr>
                <w:p w:rsidRPr="00290188" w:rsidR="00646E85" w:rsidP="00646E85" w:rsidRDefault="00646E85" w14:paraId="59EF73D2" w14:textId="79679F79">
                  <w:pPr>
                    <w:pStyle w:val="Default"/>
                    <w:rPr>
                      <w:sz w:val="18"/>
                      <w:szCs w:val="18"/>
                    </w:rPr>
                  </w:pPr>
                  <w:r w:rsidRPr="00290188">
                    <w:rPr>
                      <w:sz w:val="18"/>
                      <w:szCs w:val="18"/>
                    </w:rPr>
                    <w:t>10</w:t>
                  </w:r>
                </w:p>
              </w:tc>
              <w:tc>
                <w:tcPr>
                  <w:tcW w:w="1221" w:type="dxa"/>
                </w:tcPr>
                <w:p w:rsidRPr="00290188" w:rsidR="00646E85" w:rsidP="00646E85" w:rsidRDefault="00646E85" w14:paraId="523B2FAE" w14:textId="27DE19D0">
                  <w:pPr>
                    <w:pStyle w:val="Default"/>
                    <w:rPr>
                      <w:sz w:val="18"/>
                      <w:szCs w:val="18"/>
                    </w:rPr>
                  </w:pPr>
                  <w:r w:rsidRPr="00290188">
                    <w:rPr>
                      <w:sz w:val="18"/>
                      <w:szCs w:val="18"/>
                    </w:rPr>
                    <w:t>4</w:t>
                  </w:r>
                </w:p>
              </w:tc>
            </w:tr>
            <w:tr w:rsidRPr="00290188" w:rsidR="00646E85" w:rsidTr="00316EAD" w14:paraId="4C953723" w14:textId="77777777">
              <w:trPr>
                <w:trHeight w:val="121"/>
                <w:jc w:val="center"/>
              </w:trPr>
              <w:tc>
                <w:tcPr>
                  <w:tcW w:w="0" w:type="auto"/>
                </w:tcPr>
                <w:p w:rsidRPr="00290188" w:rsidR="00646E85" w:rsidP="00646E85" w:rsidRDefault="00646E85" w14:paraId="7078BE1D" w14:textId="13711954">
                  <w:pPr>
                    <w:pStyle w:val="Default"/>
                    <w:rPr>
                      <w:sz w:val="18"/>
                      <w:szCs w:val="18"/>
                    </w:rPr>
                  </w:pPr>
                  <w:r w:rsidRPr="00290188">
                    <w:rPr>
                      <w:sz w:val="18"/>
                      <w:szCs w:val="18"/>
                    </w:rPr>
                    <w:t xml:space="preserve">Geweld tegen burgers </w:t>
                  </w:r>
                </w:p>
              </w:tc>
              <w:tc>
                <w:tcPr>
                  <w:tcW w:w="827" w:type="dxa"/>
                </w:tcPr>
                <w:p w:rsidRPr="00290188" w:rsidR="00646E85" w:rsidP="00646E85" w:rsidRDefault="00646E85" w14:paraId="63225B10" w14:textId="5D3E1622">
                  <w:pPr>
                    <w:pStyle w:val="Default"/>
                    <w:rPr>
                      <w:sz w:val="18"/>
                      <w:szCs w:val="18"/>
                    </w:rPr>
                  </w:pPr>
                  <w:r w:rsidRPr="00290188">
                    <w:rPr>
                      <w:sz w:val="18"/>
                      <w:szCs w:val="18"/>
                    </w:rPr>
                    <w:t>148</w:t>
                  </w:r>
                </w:p>
              </w:tc>
              <w:tc>
                <w:tcPr>
                  <w:tcW w:w="850" w:type="dxa"/>
                </w:tcPr>
                <w:p w:rsidRPr="00290188" w:rsidR="00646E85" w:rsidP="00646E85" w:rsidRDefault="00646E85" w14:paraId="380C70D2" w14:textId="1EBBD08E">
                  <w:pPr>
                    <w:pStyle w:val="Default"/>
                    <w:rPr>
                      <w:sz w:val="18"/>
                      <w:szCs w:val="18"/>
                    </w:rPr>
                  </w:pPr>
                  <w:r w:rsidRPr="00290188">
                    <w:rPr>
                      <w:sz w:val="18"/>
                      <w:szCs w:val="18"/>
                    </w:rPr>
                    <w:t>27</w:t>
                  </w:r>
                </w:p>
              </w:tc>
              <w:tc>
                <w:tcPr>
                  <w:tcW w:w="1221" w:type="dxa"/>
                </w:tcPr>
                <w:p w:rsidRPr="00290188" w:rsidR="00646E85" w:rsidP="00646E85" w:rsidRDefault="00646E85" w14:paraId="5050F35E" w14:textId="2DF38512">
                  <w:pPr>
                    <w:pStyle w:val="Default"/>
                    <w:rPr>
                      <w:sz w:val="18"/>
                      <w:szCs w:val="18"/>
                    </w:rPr>
                  </w:pPr>
                  <w:r w:rsidRPr="00290188">
                    <w:rPr>
                      <w:sz w:val="18"/>
                      <w:szCs w:val="18"/>
                    </w:rPr>
                    <w:t>21</w:t>
                  </w:r>
                </w:p>
              </w:tc>
            </w:tr>
          </w:tbl>
          <w:p w:rsidRPr="00290188" w:rsidR="00D97818" w:rsidP="00646E85" w:rsidRDefault="00D97818" w14:paraId="0F6F575F" w14:textId="020CCB5F">
            <w:pPr>
              <w:pStyle w:val="broodtekst"/>
            </w:pPr>
          </w:p>
        </w:tc>
      </w:tr>
      <w:tr w:rsidRPr="00290188" w:rsidR="00D97818" w:rsidTr="00D97818" w14:paraId="08DDDCC6" w14:textId="77777777">
        <w:tc>
          <w:tcPr>
            <w:tcW w:w="2263" w:type="dxa"/>
          </w:tcPr>
          <w:p w:rsidRPr="00290188" w:rsidR="00D97818" w:rsidP="00B73F69" w:rsidRDefault="00D97818" w14:paraId="2DB1825E" w14:textId="77777777">
            <w:pPr>
              <w:pStyle w:val="broodtekst"/>
            </w:pPr>
            <w:r w:rsidRPr="00290188">
              <w:t>Geografische omvang geweld</w:t>
            </w:r>
          </w:p>
        </w:tc>
        <w:tc>
          <w:tcPr>
            <w:tcW w:w="6663" w:type="dxa"/>
          </w:tcPr>
          <w:p w:rsidRPr="00290188" w:rsidR="00D97818" w:rsidP="006C5A7C" w:rsidRDefault="002C2577" w14:paraId="63066F04" w14:textId="4B5B6885">
            <w:pPr>
              <w:pStyle w:val="broodtekst"/>
            </w:pPr>
            <w:r w:rsidRPr="00290188">
              <w:t>I</w:t>
            </w:r>
            <w:r w:rsidRPr="00290188" w:rsidR="00D97818">
              <w:t xml:space="preserve">ncidenten werden in alle staten van </w:t>
            </w:r>
            <w:proofErr w:type="spellStart"/>
            <w:r w:rsidRPr="00290188" w:rsidR="00D97818">
              <w:t>Darfur</w:t>
            </w:r>
            <w:proofErr w:type="spellEnd"/>
            <w:r w:rsidRPr="00290188" w:rsidR="00D97818">
              <w:t xml:space="preserve"> geregistreerd, waarbij </w:t>
            </w:r>
            <w:r w:rsidRPr="00290188" w:rsidR="006C5A7C">
              <w:t>de meeste incidenten</w:t>
            </w:r>
            <w:r w:rsidRPr="00290188" w:rsidR="00D97818">
              <w:t xml:space="preserve"> in </w:t>
            </w:r>
            <w:r w:rsidRPr="00290188" w:rsidR="006C5A7C">
              <w:t>Noord</w:t>
            </w:r>
            <w:r w:rsidRPr="00290188" w:rsidR="00D97818">
              <w:t>-</w:t>
            </w:r>
            <w:proofErr w:type="spellStart"/>
            <w:r w:rsidRPr="00290188" w:rsidR="00D97818">
              <w:t>Darfur</w:t>
            </w:r>
            <w:proofErr w:type="spellEnd"/>
            <w:r w:rsidRPr="00290188" w:rsidR="00D97818">
              <w:t xml:space="preserve"> plaatsvonden.</w:t>
            </w:r>
            <w:r w:rsidRPr="00290188" w:rsidR="00B20D25">
              <w:t xml:space="preserve"> In Centraal-, Oost-, West- en Zuid-</w:t>
            </w:r>
            <w:proofErr w:type="spellStart"/>
            <w:r w:rsidRPr="00290188" w:rsidR="00B20D25">
              <w:t>Darfur</w:t>
            </w:r>
            <w:proofErr w:type="spellEnd"/>
            <w:r w:rsidRPr="00290188" w:rsidR="00B20D25">
              <w:t xml:space="preserve"> vond in de verslagperiode geen grootschalig oorlogsgeweld met fluctuerende frontlinies plaats volgens het ambtsbericht.</w:t>
            </w:r>
          </w:p>
        </w:tc>
      </w:tr>
      <w:tr w:rsidRPr="00290188" w:rsidR="00D97818" w:rsidTr="00D97818" w14:paraId="16ABAFE6" w14:textId="77777777">
        <w:tc>
          <w:tcPr>
            <w:tcW w:w="2263" w:type="dxa"/>
          </w:tcPr>
          <w:p w:rsidRPr="00290188" w:rsidR="00D97818" w:rsidP="00B73F69" w:rsidRDefault="00D97818" w14:paraId="426B561F" w14:textId="77777777">
            <w:pPr>
              <w:pStyle w:val="broodtekst"/>
            </w:pPr>
            <w:r w:rsidRPr="00290188">
              <w:t>Veiligheidsstructuur</w:t>
            </w:r>
          </w:p>
        </w:tc>
        <w:tc>
          <w:tcPr>
            <w:tcW w:w="6663" w:type="dxa"/>
          </w:tcPr>
          <w:p w:rsidRPr="00290188" w:rsidR="00D97818" w:rsidP="00B73F69" w:rsidRDefault="00281F89" w14:paraId="2AD3B3F6" w14:textId="47660D0F">
            <w:pPr>
              <w:pStyle w:val="broodtekst"/>
            </w:pPr>
            <w:r w:rsidRPr="00290188">
              <w:t>Zo goed als alle</w:t>
            </w:r>
            <w:r w:rsidRPr="00290188" w:rsidR="00D97818">
              <w:t xml:space="preserve"> delen van </w:t>
            </w:r>
            <w:proofErr w:type="spellStart"/>
            <w:r w:rsidRPr="00290188" w:rsidR="00D97818">
              <w:t>Darfur</w:t>
            </w:r>
            <w:proofErr w:type="spellEnd"/>
            <w:r w:rsidRPr="00290188" w:rsidR="00D97818">
              <w:t xml:space="preserve"> worden door de RSF gecontroleerd. In algemene zin is er in de controlegebieden van de RSF geen sprake van een justitieel en bestuurlijk apparaat en daarmee geen betrouwbare veiligheidsstructuren. </w:t>
            </w:r>
          </w:p>
        </w:tc>
      </w:tr>
      <w:tr w:rsidRPr="00290188" w:rsidR="00D97818" w:rsidTr="00D97818" w14:paraId="3FE083E8" w14:textId="77777777">
        <w:tc>
          <w:tcPr>
            <w:tcW w:w="2263" w:type="dxa"/>
          </w:tcPr>
          <w:p w:rsidRPr="00290188" w:rsidR="00D97818" w:rsidP="00B73F69" w:rsidRDefault="00D97818" w14:paraId="5387C1A0" w14:textId="77777777">
            <w:pPr>
              <w:pStyle w:val="broodtekst"/>
            </w:pPr>
            <w:r w:rsidRPr="00290188">
              <w:t>Doelwitten</w:t>
            </w:r>
          </w:p>
        </w:tc>
        <w:tc>
          <w:tcPr>
            <w:tcW w:w="6663" w:type="dxa"/>
          </w:tcPr>
          <w:p w:rsidRPr="00290188" w:rsidR="00867DE2" w:rsidP="009D4984" w:rsidRDefault="006C5A7C" w14:paraId="2A9ED0EB" w14:textId="33172D4B">
            <w:pPr>
              <w:pStyle w:val="broodtekst"/>
            </w:pPr>
            <w:r w:rsidRPr="00290188">
              <w:t xml:space="preserve">In </w:t>
            </w:r>
            <w:proofErr w:type="spellStart"/>
            <w:r w:rsidRPr="00290188">
              <w:t>Darfur</w:t>
            </w:r>
            <w:proofErr w:type="spellEnd"/>
            <w:r w:rsidRPr="00290188">
              <w:t xml:space="preserve"> </w:t>
            </w:r>
            <w:r w:rsidRPr="00290188" w:rsidR="00281F89">
              <w:t xml:space="preserve">vallen de strijdende partijen niet alleen militaire en strategische doelen aan waarbij burgers slachtoffer worden, maar </w:t>
            </w:r>
            <w:r w:rsidRPr="00290188">
              <w:t xml:space="preserve">vormen grote groepen burgers </w:t>
            </w:r>
            <w:r w:rsidRPr="00290188" w:rsidR="00281F89">
              <w:t xml:space="preserve">ook </w:t>
            </w:r>
            <w:r w:rsidRPr="00290188">
              <w:t xml:space="preserve">het expliciete doelwit van beide strijdende partijen. De SAF hebben op grote schaal luchtaanvallen op burgerdoelen </w:t>
            </w:r>
            <w:r w:rsidRPr="00290188" w:rsidR="00867DE2">
              <w:t xml:space="preserve">gepleegd, zoals bombardementen op een school, meerdere markten, gebieden rondom ontheemdenkampen, </w:t>
            </w:r>
            <w:r w:rsidRPr="00290188" w:rsidR="009569C3">
              <w:t xml:space="preserve">een ziekenhuis, </w:t>
            </w:r>
            <w:r w:rsidRPr="00290188" w:rsidR="00867DE2">
              <w:t xml:space="preserve">overheidsgebouwen en </w:t>
            </w:r>
            <w:r w:rsidRPr="00290188" w:rsidR="009569C3">
              <w:t>op woonwijken</w:t>
            </w:r>
            <w:r w:rsidRPr="00290188" w:rsidR="00867DE2">
              <w:t>.</w:t>
            </w:r>
            <w:r w:rsidRPr="00290188" w:rsidR="009569C3">
              <w:rPr>
                <w:rStyle w:val="Voetnootmarkering"/>
              </w:rPr>
              <w:footnoteReference w:id="11"/>
            </w:r>
            <w:r w:rsidRPr="00290188" w:rsidR="009569C3">
              <w:t xml:space="preserve"> Deze aanvallen vonden in heel </w:t>
            </w:r>
            <w:proofErr w:type="spellStart"/>
            <w:r w:rsidRPr="00290188" w:rsidR="009569C3">
              <w:t>Darfur</w:t>
            </w:r>
            <w:proofErr w:type="spellEnd"/>
            <w:r w:rsidRPr="00290188" w:rsidR="009569C3">
              <w:t xml:space="preserve"> plaats.</w:t>
            </w:r>
            <w:r w:rsidRPr="00290188" w:rsidR="009D4984">
              <w:t xml:space="preserve"> Volgens het ambtsbericht hielden de SAF met de aanvallen geen rekening met de bescherming van de burgerbevolking, en werden er zelfs expliciet burgerdoelen aangevallen.</w:t>
            </w:r>
          </w:p>
          <w:p w:rsidRPr="00290188" w:rsidR="00867DE2" w:rsidP="00B73F69" w:rsidRDefault="00867DE2" w14:paraId="003095E3" w14:textId="77777777">
            <w:pPr>
              <w:pStyle w:val="broodtekst"/>
            </w:pPr>
          </w:p>
          <w:p w:rsidRPr="00290188" w:rsidR="00D97818" w:rsidP="00B73F69" w:rsidRDefault="00867DE2" w14:paraId="1A1C0460" w14:textId="1B31703D">
            <w:pPr>
              <w:pStyle w:val="broodtekst"/>
            </w:pPr>
            <w:r w:rsidRPr="00290188">
              <w:t xml:space="preserve">De </w:t>
            </w:r>
            <w:r w:rsidRPr="00290188" w:rsidR="006C5A7C">
              <w:t xml:space="preserve">RSF hebben de bevolking van </w:t>
            </w:r>
            <w:r w:rsidRPr="00290188" w:rsidR="004352FB">
              <w:t xml:space="preserve">ontheemdenkampen, dorpen en </w:t>
            </w:r>
            <w:r w:rsidRPr="00290188" w:rsidR="006C5A7C">
              <w:t xml:space="preserve">steden als El </w:t>
            </w:r>
            <w:proofErr w:type="spellStart"/>
            <w:r w:rsidRPr="00290188" w:rsidR="006C5A7C">
              <w:t>Fasher</w:t>
            </w:r>
            <w:proofErr w:type="spellEnd"/>
            <w:r w:rsidRPr="00290188" w:rsidR="006C5A7C">
              <w:t xml:space="preserve"> </w:t>
            </w:r>
            <w:r w:rsidRPr="00290188" w:rsidR="004352FB">
              <w:t xml:space="preserve">als doelwit genomen van diverse soorten aanvallen, van belegering tot lukrake beschietingen, granaataanvallen en droneaanvallen. </w:t>
            </w:r>
            <w:r w:rsidRPr="00290188">
              <w:t>Daarnaast verwoestten de RSF doelbewust burgerdoelen en infrastructuur zoals ziekenhuizen.</w:t>
            </w:r>
          </w:p>
        </w:tc>
      </w:tr>
      <w:tr w:rsidRPr="00290188" w:rsidR="00D97818" w:rsidTr="00D97818" w14:paraId="25D6C98F" w14:textId="77777777">
        <w:tc>
          <w:tcPr>
            <w:tcW w:w="2263" w:type="dxa"/>
          </w:tcPr>
          <w:p w:rsidRPr="00290188" w:rsidR="00D97818" w:rsidP="00B73F69" w:rsidRDefault="00D97818" w14:paraId="23313B7E" w14:textId="77777777">
            <w:pPr>
              <w:pStyle w:val="broodtekst"/>
            </w:pPr>
            <w:r w:rsidRPr="00290188">
              <w:t>Dodelijke slachtoffers</w:t>
            </w:r>
          </w:p>
        </w:tc>
        <w:tc>
          <w:tcPr>
            <w:tcW w:w="6663" w:type="dxa"/>
          </w:tcPr>
          <w:p w:rsidRPr="00290188" w:rsidR="00832221" w:rsidP="00832221" w:rsidRDefault="00832221" w14:paraId="2947BA9F" w14:textId="40DD9EB6">
            <w:pPr>
              <w:pStyle w:val="broodtekst"/>
            </w:pPr>
            <w:r w:rsidRPr="00290188">
              <w:t>Aantallen door ACLED geregistreerde doden</w:t>
            </w:r>
            <w:r w:rsidRPr="00290188" w:rsidR="001D0DC1">
              <w:t>:</w:t>
            </w:r>
          </w:p>
          <w:p w:rsidRPr="00290188" w:rsidR="00832221" w:rsidP="00832221" w:rsidRDefault="00832221" w14:paraId="0521C704"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94"/>
              <w:gridCol w:w="963"/>
              <w:gridCol w:w="971"/>
              <w:gridCol w:w="1843"/>
            </w:tblGrid>
            <w:tr w:rsidRPr="00290188" w:rsidR="00832221" w:rsidTr="00316EAD" w14:paraId="23C8F662" w14:textId="77777777">
              <w:trPr>
                <w:trHeight w:val="121"/>
                <w:jc w:val="center"/>
              </w:trPr>
              <w:tc>
                <w:tcPr>
                  <w:tcW w:w="1694" w:type="dxa"/>
                </w:tcPr>
                <w:p w:rsidRPr="00290188" w:rsidR="00832221" w:rsidP="00832221" w:rsidRDefault="00832221" w14:paraId="6B3EA0EB" w14:textId="77777777">
                  <w:pPr>
                    <w:pStyle w:val="Default"/>
                    <w:rPr>
                      <w:b/>
                      <w:bCs/>
                      <w:sz w:val="18"/>
                      <w:szCs w:val="18"/>
                    </w:rPr>
                  </w:pPr>
                </w:p>
              </w:tc>
              <w:tc>
                <w:tcPr>
                  <w:tcW w:w="963" w:type="dxa"/>
                </w:tcPr>
                <w:p w:rsidRPr="00290188" w:rsidR="00832221" w:rsidP="00832221" w:rsidRDefault="00832221" w14:paraId="7BDC8771" w14:textId="557B0368">
                  <w:pPr>
                    <w:pStyle w:val="Default"/>
                    <w:rPr>
                      <w:b/>
                      <w:bCs/>
                      <w:sz w:val="18"/>
                      <w:szCs w:val="18"/>
                    </w:rPr>
                  </w:pPr>
                  <w:r w:rsidRPr="00290188">
                    <w:rPr>
                      <w:b/>
                      <w:bCs/>
                      <w:sz w:val="18"/>
                      <w:szCs w:val="18"/>
                    </w:rPr>
                    <w:t>2023</w:t>
                  </w:r>
                </w:p>
              </w:tc>
              <w:tc>
                <w:tcPr>
                  <w:tcW w:w="971" w:type="dxa"/>
                </w:tcPr>
                <w:p w:rsidRPr="00290188" w:rsidR="00832221" w:rsidP="00832221" w:rsidRDefault="00832221" w14:paraId="5644F395" w14:textId="77777777">
                  <w:pPr>
                    <w:pStyle w:val="Default"/>
                    <w:rPr>
                      <w:b/>
                      <w:bCs/>
                      <w:sz w:val="18"/>
                      <w:szCs w:val="18"/>
                    </w:rPr>
                  </w:pPr>
                  <w:r w:rsidRPr="00290188">
                    <w:rPr>
                      <w:b/>
                      <w:bCs/>
                      <w:sz w:val="18"/>
                      <w:szCs w:val="18"/>
                    </w:rPr>
                    <w:t>2024</w:t>
                  </w:r>
                </w:p>
              </w:tc>
              <w:tc>
                <w:tcPr>
                  <w:tcW w:w="1843" w:type="dxa"/>
                </w:tcPr>
                <w:p w:rsidRPr="00290188" w:rsidR="00832221" w:rsidP="00832221" w:rsidRDefault="00832221" w14:paraId="2E418CF2" w14:textId="77777777">
                  <w:pPr>
                    <w:pStyle w:val="Default"/>
                    <w:rPr>
                      <w:b/>
                      <w:bCs/>
                      <w:sz w:val="18"/>
                      <w:szCs w:val="18"/>
                    </w:rPr>
                  </w:pPr>
                  <w:r w:rsidRPr="00290188">
                    <w:rPr>
                      <w:b/>
                      <w:bCs/>
                      <w:sz w:val="18"/>
                      <w:szCs w:val="18"/>
                    </w:rPr>
                    <w:t>2025 t/m 8 aug</w:t>
                  </w:r>
                </w:p>
              </w:tc>
            </w:tr>
            <w:tr w:rsidRPr="00290188" w:rsidR="00832221" w:rsidTr="00316EAD" w14:paraId="3A3F00A9" w14:textId="77777777">
              <w:trPr>
                <w:trHeight w:val="121"/>
                <w:jc w:val="center"/>
              </w:trPr>
              <w:tc>
                <w:tcPr>
                  <w:tcW w:w="1694" w:type="dxa"/>
                </w:tcPr>
                <w:p w:rsidRPr="00290188" w:rsidR="00832221" w:rsidP="00832221" w:rsidRDefault="00832221" w14:paraId="717BD269" w14:textId="07E186BE">
                  <w:pPr>
                    <w:pStyle w:val="Default"/>
                    <w:rPr>
                      <w:sz w:val="18"/>
                      <w:szCs w:val="18"/>
                    </w:rPr>
                  </w:pPr>
                  <w:r w:rsidRPr="00290188">
                    <w:rPr>
                      <w:sz w:val="18"/>
                      <w:szCs w:val="18"/>
                    </w:rPr>
                    <w:t>Centraal-</w:t>
                  </w:r>
                  <w:proofErr w:type="spellStart"/>
                  <w:r w:rsidRPr="00290188">
                    <w:rPr>
                      <w:sz w:val="18"/>
                      <w:szCs w:val="18"/>
                    </w:rPr>
                    <w:t>Darfur</w:t>
                  </w:r>
                  <w:proofErr w:type="spellEnd"/>
                </w:p>
              </w:tc>
              <w:tc>
                <w:tcPr>
                  <w:tcW w:w="963" w:type="dxa"/>
                </w:tcPr>
                <w:p w:rsidRPr="00290188" w:rsidR="00832221" w:rsidP="00832221" w:rsidRDefault="00832221" w14:paraId="6FA0D89A" w14:textId="0FD1130B">
                  <w:pPr>
                    <w:pStyle w:val="Default"/>
                    <w:rPr>
                      <w:sz w:val="18"/>
                      <w:szCs w:val="18"/>
                    </w:rPr>
                  </w:pPr>
                  <w:r w:rsidRPr="00290188">
                    <w:rPr>
                      <w:sz w:val="18"/>
                      <w:szCs w:val="18"/>
                    </w:rPr>
                    <w:t>487</w:t>
                  </w:r>
                </w:p>
              </w:tc>
              <w:tc>
                <w:tcPr>
                  <w:tcW w:w="971" w:type="dxa"/>
                </w:tcPr>
                <w:p w:rsidRPr="00290188" w:rsidR="00832221" w:rsidP="00832221" w:rsidRDefault="00832221" w14:paraId="08A28555" w14:textId="740284DB">
                  <w:pPr>
                    <w:pStyle w:val="Default"/>
                    <w:rPr>
                      <w:sz w:val="18"/>
                      <w:szCs w:val="18"/>
                    </w:rPr>
                  </w:pPr>
                  <w:r w:rsidRPr="00290188">
                    <w:rPr>
                      <w:sz w:val="18"/>
                      <w:szCs w:val="18"/>
                    </w:rPr>
                    <w:t>45</w:t>
                  </w:r>
                </w:p>
              </w:tc>
              <w:tc>
                <w:tcPr>
                  <w:tcW w:w="1843" w:type="dxa"/>
                </w:tcPr>
                <w:p w:rsidRPr="00290188" w:rsidR="00832221" w:rsidP="00832221" w:rsidRDefault="00832221" w14:paraId="5DE1CB3E" w14:textId="508B1C2D">
                  <w:pPr>
                    <w:pStyle w:val="Default"/>
                    <w:rPr>
                      <w:sz w:val="18"/>
                      <w:szCs w:val="18"/>
                    </w:rPr>
                  </w:pPr>
                  <w:r w:rsidRPr="00290188">
                    <w:rPr>
                      <w:sz w:val="18"/>
                      <w:szCs w:val="18"/>
                    </w:rPr>
                    <w:t>45</w:t>
                  </w:r>
                </w:p>
              </w:tc>
            </w:tr>
            <w:tr w:rsidRPr="00290188" w:rsidR="00832221" w:rsidTr="00316EAD" w14:paraId="058A70B8" w14:textId="77777777">
              <w:trPr>
                <w:trHeight w:val="121"/>
                <w:jc w:val="center"/>
              </w:trPr>
              <w:tc>
                <w:tcPr>
                  <w:tcW w:w="1694" w:type="dxa"/>
                </w:tcPr>
                <w:p w:rsidRPr="00290188" w:rsidR="00832221" w:rsidP="00832221" w:rsidRDefault="00832221" w14:paraId="62A4F83A" w14:textId="479FEC81">
                  <w:pPr>
                    <w:pStyle w:val="Default"/>
                    <w:rPr>
                      <w:sz w:val="18"/>
                      <w:szCs w:val="18"/>
                    </w:rPr>
                  </w:pPr>
                  <w:r w:rsidRPr="00290188">
                    <w:rPr>
                      <w:sz w:val="18"/>
                      <w:szCs w:val="18"/>
                    </w:rPr>
                    <w:t>Oost-Darfur</w:t>
                  </w:r>
                </w:p>
              </w:tc>
              <w:tc>
                <w:tcPr>
                  <w:tcW w:w="963" w:type="dxa"/>
                </w:tcPr>
                <w:p w:rsidRPr="00290188" w:rsidR="00832221" w:rsidP="00832221" w:rsidRDefault="00832221" w14:paraId="6DD3C5D3" w14:textId="538F3E73">
                  <w:pPr>
                    <w:pStyle w:val="Default"/>
                    <w:rPr>
                      <w:sz w:val="18"/>
                      <w:szCs w:val="18"/>
                    </w:rPr>
                  </w:pPr>
                  <w:r w:rsidRPr="00290188">
                    <w:rPr>
                      <w:sz w:val="18"/>
                      <w:szCs w:val="18"/>
                    </w:rPr>
                    <w:t>48</w:t>
                  </w:r>
                </w:p>
              </w:tc>
              <w:tc>
                <w:tcPr>
                  <w:tcW w:w="971" w:type="dxa"/>
                </w:tcPr>
                <w:p w:rsidRPr="00290188" w:rsidR="00832221" w:rsidP="00832221" w:rsidRDefault="00832221" w14:paraId="70591A0C" w14:textId="2152ED61">
                  <w:pPr>
                    <w:pStyle w:val="Default"/>
                    <w:rPr>
                      <w:sz w:val="18"/>
                      <w:szCs w:val="18"/>
                    </w:rPr>
                  </w:pPr>
                  <w:r w:rsidRPr="00290188">
                    <w:rPr>
                      <w:sz w:val="18"/>
                      <w:szCs w:val="18"/>
                    </w:rPr>
                    <w:t>105</w:t>
                  </w:r>
                </w:p>
              </w:tc>
              <w:tc>
                <w:tcPr>
                  <w:tcW w:w="1843" w:type="dxa"/>
                </w:tcPr>
                <w:p w:rsidRPr="00290188" w:rsidR="00832221" w:rsidP="00832221" w:rsidRDefault="00832221" w14:paraId="25493BDE" w14:textId="6DBDB27D">
                  <w:pPr>
                    <w:pStyle w:val="Default"/>
                    <w:rPr>
                      <w:sz w:val="18"/>
                      <w:szCs w:val="18"/>
                    </w:rPr>
                  </w:pPr>
                  <w:r w:rsidRPr="00290188">
                    <w:rPr>
                      <w:sz w:val="18"/>
                      <w:szCs w:val="18"/>
                    </w:rPr>
                    <w:t>33</w:t>
                  </w:r>
                </w:p>
              </w:tc>
            </w:tr>
            <w:tr w:rsidRPr="00290188" w:rsidR="00832221" w:rsidTr="00316EAD" w14:paraId="320A81B5" w14:textId="77777777">
              <w:trPr>
                <w:trHeight w:val="121"/>
                <w:jc w:val="center"/>
              </w:trPr>
              <w:tc>
                <w:tcPr>
                  <w:tcW w:w="1694" w:type="dxa"/>
                </w:tcPr>
                <w:p w:rsidRPr="00290188" w:rsidR="00832221" w:rsidP="00832221" w:rsidRDefault="00832221" w14:paraId="6A8AEA5B" w14:textId="7492D0AD">
                  <w:pPr>
                    <w:pStyle w:val="Default"/>
                    <w:rPr>
                      <w:sz w:val="18"/>
                      <w:szCs w:val="18"/>
                    </w:rPr>
                  </w:pPr>
                  <w:r w:rsidRPr="00290188">
                    <w:rPr>
                      <w:sz w:val="18"/>
                      <w:szCs w:val="18"/>
                    </w:rPr>
                    <w:t>Noord-</w:t>
                  </w:r>
                  <w:proofErr w:type="spellStart"/>
                  <w:r w:rsidRPr="00290188">
                    <w:rPr>
                      <w:sz w:val="18"/>
                      <w:szCs w:val="18"/>
                    </w:rPr>
                    <w:t>Darfur</w:t>
                  </w:r>
                  <w:proofErr w:type="spellEnd"/>
                </w:p>
              </w:tc>
              <w:tc>
                <w:tcPr>
                  <w:tcW w:w="963" w:type="dxa"/>
                </w:tcPr>
                <w:p w:rsidRPr="00290188" w:rsidR="00832221" w:rsidP="00832221" w:rsidRDefault="00832221" w14:paraId="6E4D94ED" w14:textId="6857DF53">
                  <w:pPr>
                    <w:pStyle w:val="Default"/>
                    <w:rPr>
                      <w:sz w:val="18"/>
                      <w:szCs w:val="18"/>
                    </w:rPr>
                  </w:pPr>
                  <w:r w:rsidRPr="00290188">
                    <w:rPr>
                      <w:sz w:val="18"/>
                      <w:szCs w:val="18"/>
                    </w:rPr>
                    <w:t>632</w:t>
                  </w:r>
                </w:p>
              </w:tc>
              <w:tc>
                <w:tcPr>
                  <w:tcW w:w="971" w:type="dxa"/>
                </w:tcPr>
                <w:p w:rsidRPr="00290188" w:rsidR="00832221" w:rsidP="00832221" w:rsidRDefault="00832221" w14:paraId="31572935" w14:textId="6F2639AC">
                  <w:pPr>
                    <w:pStyle w:val="Default"/>
                    <w:rPr>
                      <w:sz w:val="18"/>
                      <w:szCs w:val="18"/>
                    </w:rPr>
                  </w:pPr>
                  <w:r w:rsidRPr="00290188">
                    <w:rPr>
                      <w:sz w:val="18"/>
                      <w:szCs w:val="18"/>
                    </w:rPr>
                    <w:t>5.498</w:t>
                  </w:r>
                </w:p>
              </w:tc>
              <w:tc>
                <w:tcPr>
                  <w:tcW w:w="1843" w:type="dxa"/>
                </w:tcPr>
                <w:p w:rsidRPr="00290188" w:rsidR="00832221" w:rsidP="00832221" w:rsidRDefault="00832221" w14:paraId="77D49950" w14:textId="618922C5">
                  <w:pPr>
                    <w:pStyle w:val="Default"/>
                    <w:rPr>
                      <w:sz w:val="18"/>
                      <w:szCs w:val="18"/>
                    </w:rPr>
                  </w:pPr>
                  <w:r w:rsidRPr="00290188">
                    <w:rPr>
                      <w:sz w:val="18"/>
                      <w:szCs w:val="18"/>
                    </w:rPr>
                    <w:t>4.851</w:t>
                  </w:r>
                </w:p>
              </w:tc>
            </w:tr>
            <w:tr w:rsidRPr="00290188" w:rsidR="00832221" w:rsidTr="00316EAD" w14:paraId="7F54B673" w14:textId="77777777">
              <w:trPr>
                <w:trHeight w:val="121"/>
                <w:jc w:val="center"/>
              </w:trPr>
              <w:tc>
                <w:tcPr>
                  <w:tcW w:w="1694" w:type="dxa"/>
                </w:tcPr>
                <w:p w:rsidRPr="00290188" w:rsidR="00832221" w:rsidP="00832221" w:rsidRDefault="00832221" w14:paraId="2A078ECE" w14:textId="4FAFAEEB">
                  <w:pPr>
                    <w:pStyle w:val="Default"/>
                    <w:rPr>
                      <w:sz w:val="18"/>
                      <w:szCs w:val="18"/>
                    </w:rPr>
                  </w:pPr>
                  <w:r w:rsidRPr="00290188">
                    <w:rPr>
                      <w:sz w:val="18"/>
                      <w:szCs w:val="18"/>
                    </w:rPr>
                    <w:t>Zuid-</w:t>
                  </w:r>
                  <w:proofErr w:type="spellStart"/>
                  <w:r w:rsidRPr="00290188">
                    <w:rPr>
                      <w:sz w:val="18"/>
                      <w:szCs w:val="18"/>
                    </w:rPr>
                    <w:t>Darfur</w:t>
                  </w:r>
                  <w:proofErr w:type="spellEnd"/>
                </w:p>
              </w:tc>
              <w:tc>
                <w:tcPr>
                  <w:tcW w:w="963" w:type="dxa"/>
                </w:tcPr>
                <w:p w:rsidRPr="00290188" w:rsidR="00832221" w:rsidP="00832221" w:rsidRDefault="00832221" w14:paraId="7EFE3A97" w14:textId="5C44A6C4">
                  <w:pPr>
                    <w:pStyle w:val="Default"/>
                    <w:rPr>
                      <w:sz w:val="18"/>
                      <w:szCs w:val="18"/>
                    </w:rPr>
                  </w:pPr>
                  <w:r w:rsidRPr="00290188">
                    <w:rPr>
                      <w:sz w:val="18"/>
                      <w:szCs w:val="18"/>
                    </w:rPr>
                    <w:t>1.831</w:t>
                  </w:r>
                </w:p>
              </w:tc>
              <w:tc>
                <w:tcPr>
                  <w:tcW w:w="971" w:type="dxa"/>
                </w:tcPr>
                <w:p w:rsidRPr="00290188" w:rsidR="00832221" w:rsidP="00832221" w:rsidRDefault="00832221" w14:paraId="7A1AB72D" w14:textId="23768211">
                  <w:pPr>
                    <w:pStyle w:val="Default"/>
                    <w:rPr>
                      <w:sz w:val="18"/>
                      <w:szCs w:val="18"/>
                    </w:rPr>
                  </w:pPr>
                  <w:r w:rsidRPr="00290188">
                    <w:rPr>
                      <w:sz w:val="18"/>
                      <w:szCs w:val="18"/>
                    </w:rPr>
                    <w:t>305</w:t>
                  </w:r>
                </w:p>
              </w:tc>
              <w:tc>
                <w:tcPr>
                  <w:tcW w:w="1843" w:type="dxa"/>
                </w:tcPr>
                <w:p w:rsidRPr="00290188" w:rsidR="00832221" w:rsidP="00832221" w:rsidRDefault="00832221" w14:paraId="6DF23128" w14:textId="0DF17047">
                  <w:pPr>
                    <w:pStyle w:val="Default"/>
                    <w:rPr>
                      <w:sz w:val="18"/>
                      <w:szCs w:val="18"/>
                    </w:rPr>
                  </w:pPr>
                  <w:r w:rsidRPr="00290188">
                    <w:rPr>
                      <w:sz w:val="18"/>
                      <w:szCs w:val="18"/>
                    </w:rPr>
                    <w:t>592</w:t>
                  </w:r>
                </w:p>
              </w:tc>
            </w:tr>
            <w:tr w:rsidRPr="00290188" w:rsidR="00832221" w:rsidTr="00316EAD" w14:paraId="250AB587" w14:textId="77777777">
              <w:trPr>
                <w:trHeight w:val="121"/>
                <w:jc w:val="center"/>
              </w:trPr>
              <w:tc>
                <w:tcPr>
                  <w:tcW w:w="1694" w:type="dxa"/>
                </w:tcPr>
                <w:p w:rsidRPr="00290188" w:rsidR="00832221" w:rsidP="00832221" w:rsidRDefault="00832221" w14:paraId="7D35FDEC" w14:textId="02AE9C02">
                  <w:pPr>
                    <w:pStyle w:val="Default"/>
                    <w:rPr>
                      <w:sz w:val="18"/>
                      <w:szCs w:val="18"/>
                    </w:rPr>
                  </w:pPr>
                  <w:r w:rsidRPr="00290188">
                    <w:rPr>
                      <w:sz w:val="18"/>
                      <w:szCs w:val="18"/>
                    </w:rPr>
                    <w:t>West-Darfur</w:t>
                  </w:r>
                </w:p>
              </w:tc>
              <w:tc>
                <w:tcPr>
                  <w:tcW w:w="963" w:type="dxa"/>
                </w:tcPr>
                <w:p w:rsidRPr="00290188" w:rsidR="00832221" w:rsidP="00832221" w:rsidRDefault="00832221" w14:paraId="1B5B400C" w14:textId="7712B9AD">
                  <w:pPr>
                    <w:pStyle w:val="Default"/>
                    <w:rPr>
                      <w:sz w:val="18"/>
                      <w:szCs w:val="18"/>
                    </w:rPr>
                  </w:pPr>
                  <w:r w:rsidRPr="00290188">
                    <w:rPr>
                      <w:sz w:val="18"/>
                      <w:szCs w:val="18"/>
                    </w:rPr>
                    <w:t>249</w:t>
                  </w:r>
                </w:p>
              </w:tc>
              <w:tc>
                <w:tcPr>
                  <w:tcW w:w="971" w:type="dxa"/>
                </w:tcPr>
                <w:p w:rsidRPr="00290188" w:rsidR="00832221" w:rsidP="00832221" w:rsidRDefault="00832221" w14:paraId="16B4C2D6" w14:textId="4D33797B">
                  <w:pPr>
                    <w:pStyle w:val="Default"/>
                    <w:rPr>
                      <w:sz w:val="18"/>
                      <w:szCs w:val="18"/>
                    </w:rPr>
                  </w:pPr>
                  <w:r w:rsidRPr="00290188">
                    <w:rPr>
                      <w:sz w:val="18"/>
                      <w:szCs w:val="18"/>
                    </w:rPr>
                    <w:t>652</w:t>
                  </w:r>
                </w:p>
              </w:tc>
              <w:tc>
                <w:tcPr>
                  <w:tcW w:w="1843" w:type="dxa"/>
                </w:tcPr>
                <w:p w:rsidRPr="00290188" w:rsidR="00832221" w:rsidP="00832221" w:rsidRDefault="00832221" w14:paraId="2FA3413E" w14:textId="506F8477">
                  <w:pPr>
                    <w:pStyle w:val="Default"/>
                    <w:rPr>
                      <w:sz w:val="18"/>
                      <w:szCs w:val="18"/>
                    </w:rPr>
                  </w:pPr>
                  <w:r w:rsidRPr="00290188">
                    <w:rPr>
                      <w:sz w:val="18"/>
                      <w:szCs w:val="18"/>
                    </w:rPr>
                    <w:t>1.307</w:t>
                  </w:r>
                </w:p>
              </w:tc>
            </w:tr>
          </w:tbl>
          <w:p w:rsidRPr="00290188" w:rsidR="00832221" w:rsidP="00B73F69" w:rsidRDefault="00832221" w14:paraId="339101C1" w14:textId="44ABB7E2">
            <w:pPr>
              <w:pStyle w:val="broodtekst"/>
            </w:pPr>
            <w:r w:rsidRPr="00290188">
              <w:lastRenderedPageBreak/>
              <w:br/>
              <w:t>OHCHR registreerde de volgende aantallen burgerdoden in de periode van 1 januari 2025 tot 30 juni 2025:</w:t>
            </w:r>
          </w:p>
          <w:p w:rsidRPr="00290188" w:rsidR="00832221" w:rsidP="00832221" w:rsidRDefault="00832221" w14:paraId="48CE65BE" w14:textId="77777777">
            <w:pPr>
              <w:pStyle w:val="broodtekst"/>
              <w:numPr>
                <w:ilvl w:val="0"/>
                <w:numId w:val="1"/>
              </w:numPr>
            </w:pPr>
            <w:r w:rsidRPr="00290188">
              <w:t>Centraal-</w:t>
            </w:r>
            <w:proofErr w:type="spellStart"/>
            <w:r w:rsidRPr="00290188">
              <w:t>Darfur</w:t>
            </w:r>
            <w:proofErr w:type="spellEnd"/>
            <w:r w:rsidRPr="00290188">
              <w:t>: 8 burgerdoden;</w:t>
            </w:r>
          </w:p>
          <w:p w:rsidRPr="00290188" w:rsidR="00832221" w:rsidP="00832221" w:rsidRDefault="00832221" w14:paraId="08E478E0" w14:textId="56243ECF">
            <w:pPr>
              <w:pStyle w:val="broodtekst"/>
              <w:numPr>
                <w:ilvl w:val="0"/>
                <w:numId w:val="1"/>
              </w:numPr>
            </w:pPr>
            <w:r w:rsidRPr="00290188">
              <w:t>Oost-Darfur:</w:t>
            </w:r>
            <w:r w:rsidRPr="00290188">
              <w:rPr>
                <w:lang w:val="de-DE"/>
              </w:rPr>
              <w:t xml:space="preserve"> </w:t>
            </w:r>
            <w:r w:rsidRPr="00290188">
              <w:t>12 burgerdoden;</w:t>
            </w:r>
          </w:p>
          <w:p w:rsidRPr="00290188" w:rsidR="00D97818" w:rsidP="00D97818" w:rsidRDefault="00D97818" w14:paraId="41C9357A" w14:textId="4A93BE07">
            <w:pPr>
              <w:pStyle w:val="broodtekst"/>
              <w:numPr>
                <w:ilvl w:val="0"/>
                <w:numId w:val="1"/>
              </w:numPr>
            </w:pPr>
            <w:r w:rsidRPr="00290188">
              <w:t>Noord</w:t>
            </w:r>
            <w:r w:rsidRPr="00290188" w:rsidR="00E7189C">
              <w:t>-</w:t>
            </w:r>
            <w:proofErr w:type="spellStart"/>
            <w:r w:rsidRPr="00290188">
              <w:t>Darfur</w:t>
            </w:r>
            <w:proofErr w:type="spellEnd"/>
            <w:r w:rsidRPr="00290188" w:rsidR="00832221">
              <w:t>:</w:t>
            </w:r>
            <w:r w:rsidRPr="00290188" w:rsidR="004E5E9A">
              <w:t xml:space="preserve"> 1380 burgerdoden</w:t>
            </w:r>
            <w:r w:rsidRPr="00290188" w:rsidR="00832221">
              <w:t>;</w:t>
            </w:r>
          </w:p>
          <w:p w:rsidRPr="00290188" w:rsidR="00832221" w:rsidP="00832221" w:rsidRDefault="00832221" w14:paraId="3C81498B" w14:textId="77777777">
            <w:pPr>
              <w:pStyle w:val="broodtekst"/>
              <w:numPr>
                <w:ilvl w:val="0"/>
                <w:numId w:val="1"/>
              </w:numPr>
            </w:pPr>
            <w:r w:rsidRPr="00290188">
              <w:t>Zuid-</w:t>
            </w:r>
            <w:proofErr w:type="spellStart"/>
            <w:r w:rsidRPr="00290188">
              <w:t>Darfur</w:t>
            </w:r>
            <w:proofErr w:type="spellEnd"/>
            <w:r w:rsidRPr="00290188">
              <w:t>: 124 burgerdoden;</w:t>
            </w:r>
          </w:p>
          <w:p w:rsidRPr="00290188" w:rsidR="00D97818" w:rsidP="00832221" w:rsidRDefault="00832221" w14:paraId="10BC60B5" w14:textId="1368CD76">
            <w:pPr>
              <w:pStyle w:val="broodtekst"/>
              <w:numPr>
                <w:ilvl w:val="0"/>
                <w:numId w:val="1"/>
              </w:numPr>
              <w:rPr>
                <w:lang w:val="de-DE"/>
              </w:rPr>
            </w:pPr>
            <w:r w:rsidRPr="00290188">
              <w:rPr>
                <w:lang w:val="de-DE"/>
              </w:rPr>
              <w:t xml:space="preserve">West-Darfur: 11 </w:t>
            </w:r>
            <w:proofErr w:type="spellStart"/>
            <w:r w:rsidRPr="00290188">
              <w:rPr>
                <w:lang w:val="de-DE"/>
              </w:rPr>
              <w:t>burgerdoden</w:t>
            </w:r>
            <w:proofErr w:type="spellEnd"/>
            <w:r w:rsidRPr="00290188">
              <w:rPr>
                <w:lang w:val="de-DE"/>
              </w:rPr>
              <w:t>.</w:t>
            </w:r>
          </w:p>
        </w:tc>
      </w:tr>
      <w:tr w:rsidRPr="00290188" w:rsidR="00D97818" w:rsidTr="00D97818" w14:paraId="368D946D" w14:textId="77777777">
        <w:tc>
          <w:tcPr>
            <w:tcW w:w="2263" w:type="dxa"/>
          </w:tcPr>
          <w:p w:rsidRPr="00290188" w:rsidR="00D97818" w:rsidP="00B73F69" w:rsidRDefault="00D97818" w14:paraId="3BFF4991" w14:textId="1F2511D9">
            <w:pPr>
              <w:pStyle w:val="broodtekst"/>
            </w:pPr>
            <w:r w:rsidRPr="00290188">
              <w:lastRenderedPageBreak/>
              <w:t>Aantal ontheemden</w:t>
            </w:r>
          </w:p>
        </w:tc>
        <w:tc>
          <w:tcPr>
            <w:tcW w:w="6663" w:type="dxa"/>
          </w:tcPr>
          <w:p w:rsidRPr="00290188" w:rsidR="00D97818" w:rsidP="00B73F69" w:rsidRDefault="00D97818" w14:paraId="4BB6189E" w14:textId="052353EE">
            <w:pPr>
              <w:pStyle w:val="broodtekst"/>
            </w:pPr>
            <w:r w:rsidRPr="00290188">
              <w:t>Ontheemden</w:t>
            </w:r>
            <w:r w:rsidRPr="00290188" w:rsidR="0031461A">
              <w:t xml:space="preserve"> die</w:t>
            </w:r>
            <w:r w:rsidRPr="00290188">
              <w:t xml:space="preserve"> in </w:t>
            </w:r>
            <w:proofErr w:type="spellStart"/>
            <w:r w:rsidRPr="00290188">
              <w:t>Darfur</w:t>
            </w:r>
            <w:proofErr w:type="spellEnd"/>
            <w:r w:rsidRPr="00290188" w:rsidR="0031461A">
              <w:t xml:space="preserve"> verblijven (</w:t>
            </w:r>
            <w:r w:rsidRPr="00290188" w:rsidR="007443D2">
              <w:t xml:space="preserve">d.d. </w:t>
            </w:r>
            <w:r w:rsidRPr="00290188" w:rsidR="00867DE2">
              <w:t>9 juli 2025</w:t>
            </w:r>
            <w:r w:rsidRPr="00290188" w:rsidR="0031461A">
              <w:t>):</w:t>
            </w:r>
          </w:p>
          <w:p w:rsidRPr="00290188" w:rsidR="0031461A" w:rsidP="00B73F69" w:rsidRDefault="00D97818" w14:paraId="6D2ED33F" w14:textId="29BDA209">
            <w:pPr>
              <w:pStyle w:val="broodtekst"/>
              <w:numPr>
                <w:ilvl w:val="0"/>
                <w:numId w:val="1"/>
              </w:numPr>
            </w:pPr>
            <w:r w:rsidRPr="00290188">
              <w:t>Zuid-</w:t>
            </w:r>
            <w:proofErr w:type="spellStart"/>
            <w:r w:rsidRPr="00290188">
              <w:t>Darfur</w:t>
            </w:r>
            <w:proofErr w:type="spellEnd"/>
            <w:r w:rsidRPr="00290188">
              <w:t xml:space="preserve">: </w:t>
            </w:r>
            <w:r w:rsidRPr="00290188" w:rsidR="00867DE2">
              <w:t>1.842.960</w:t>
            </w:r>
          </w:p>
          <w:p w:rsidRPr="00290188" w:rsidR="0031461A" w:rsidP="00B73F69" w:rsidRDefault="00D97818" w14:paraId="585C2555" w14:textId="2C87BC69">
            <w:pPr>
              <w:pStyle w:val="broodtekst"/>
              <w:numPr>
                <w:ilvl w:val="0"/>
                <w:numId w:val="1"/>
              </w:numPr>
            </w:pPr>
            <w:r w:rsidRPr="00290188">
              <w:t>Noord-</w:t>
            </w:r>
            <w:proofErr w:type="spellStart"/>
            <w:r w:rsidRPr="00290188">
              <w:t>Darfur</w:t>
            </w:r>
            <w:proofErr w:type="spellEnd"/>
            <w:r w:rsidRPr="00290188">
              <w:t>:</w:t>
            </w:r>
            <w:r w:rsidRPr="00290188" w:rsidR="00867DE2">
              <w:t xml:space="preserve"> 1.794.860</w:t>
            </w:r>
          </w:p>
          <w:p w:rsidRPr="00290188" w:rsidR="0031461A" w:rsidP="00B73F69" w:rsidRDefault="00D97818" w14:paraId="3149AA93" w14:textId="77FE6FD1">
            <w:pPr>
              <w:pStyle w:val="broodtekst"/>
              <w:numPr>
                <w:ilvl w:val="0"/>
                <w:numId w:val="1"/>
              </w:numPr>
            </w:pPr>
            <w:r w:rsidRPr="00290188">
              <w:t>Centraal-</w:t>
            </w:r>
            <w:proofErr w:type="spellStart"/>
            <w:r w:rsidRPr="00290188">
              <w:t>Darfur</w:t>
            </w:r>
            <w:proofErr w:type="spellEnd"/>
            <w:r w:rsidRPr="00290188">
              <w:t>:</w:t>
            </w:r>
            <w:r w:rsidRPr="00290188" w:rsidR="00867DE2">
              <w:t xml:space="preserve"> 970.797</w:t>
            </w:r>
          </w:p>
          <w:p w:rsidRPr="00290188" w:rsidR="0031461A" w:rsidP="00B73F69" w:rsidRDefault="00D97818" w14:paraId="4CC75828" w14:textId="0D0E683F">
            <w:pPr>
              <w:pStyle w:val="broodtekst"/>
              <w:numPr>
                <w:ilvl w:val="0"/>
                <w:numId w:val="1"/>
              </w:numPr>
            </w:pPr>
            <w:r w:rsidRPr="00290188">
              <w:t xml:space="preserve">Oost-Darfur: </w:t>
            </w:r>
            <w:r w:rsidRPr="00290188" w:rsidR="00867DE2">
              <w:t>802.944</w:t>
            </w:r>
          </w:p>
          <w:p w:rsidRPr="00290188" w:rsidR="00D97818" w:rsidP="00B73F69" w:rsidRDefault="00D97818" w14:paraId="31F1C449" w14:textId="664318A1">
            <w:pPr>
              <w:pStyle w:val="broodtekst"/>
              <w:numPr>
                <w:ilvl w:val="0"/>
                <w:numId w:val="1"/>
              </w:numPr>
            </w:pPr>
            <w:r w:rsidRPr="00290188">
              <w:t xml:space="preserve">West-Darfur: </w:t>
            </w:r>
            <w:r w:rsidRPr="00290188" w:rsidR="00867DE2">
              <w:t>347.342</w:t>
            </w:r>
          </w:p>
          <w:p w:rsidRPr="00290188" w:rsidR="00A002C0" w:rsidP="009569C3" w:rsidRDefault="00A002C0" w14:paraId="02923A74" w14:textId="5DC7D5F4">
            <w:pPr>
              <w:pStyle w:val="broodtekst"/>
            </w:pPr>
          </w:p>
          <w:p w:rsidRPr="00290188" w:rsidR="00403CED" w:rsidP="00B73F69" w:rsidRDefault="009569C3" w14:paraId="67A16ADD" w14:textId="6044D1A8">
            <w:pPr>
              <w:pStyle w:val="broodtekst"/>
            </w:pPr>
            <w:r w:rsidRPr="00290188">
              <w:t xml:space="preserve">De meeste ontheemden uit </w:t>
            </w:r>
            <w:proofErr w:type="spellStart"/>
            <w:r w:rsidRPr="00290188">
              <w:t>Darfur</w:t>
            </w:r>
            <w:proofErr w:type="spellEnd"/>
            <w:r w:rsidRPr="00290188">
              <w:t xml:space="preserve">, verbleven nog altijd in </w:t>
            </w:r>
            <w:proofErr w:type="spellStart"/>
            <w:r w:rsidRPr="00290188">
              <w:t>Darfur</w:t>
            </w:r>
            <w:proofErr w:type="spellEnd"/>
            <w:r w:rsidRPr="00290188">
              <w:t xml:space="preserve"> en waren dus binnen de deelstaat gebleven. Dit ligt mede aan de belegering van El </w:t>
            </w:r>
            <w:proofErr w:type="spellStart"/>
            <w:r w:rsidRPr="00290188">
              <w:t>Fasher</w:t>
            </w:r>
            <w:proofErr w:type="spellEnd"/>
            <w:r w:rsidRPr="00290188" w:rsidR="00C93CE9">
              <w:t>, waar veel mensen naartoe vluchtten omdat het de laatste plek was waar de SAF controle hadden</w:t>
            </w:r>
            <w:r w:rsidRPr="00290188">
              <w:t xml:space="preserve">. Momenteel zijn er 2,8 miljoen mensen in en rondom El </w:t>
            </w:r>
            <w:proofErr w:type="spellStart"/>
            <w:r w:rsidRPr="00290188">
              <w:t>Fasher</w:t>
            </w:r>
            <w:proofErr w:type="spellEnd"/>
            <w:r w:rsidRPr="00290188">
              <w:t>, waaronder ontheemden.</w:t>
            </w:r>
            <w:r w:rsidRPr="00290188" w:rsidR="00C93CE9">
              <w:t xml:space="preserve"> Door de belegering van El </w:t>
            </w:r>
            <w:proofErr w:type="spellStart"/>
            <w:r w:rsidRPr="00290188" w:rsidR="00C93CE9">
              <w:t>Fasher</w:t>
            </w:r>
            <w:proofErr w:type="spellEnd"/>
            <w:r w:rsidRPr="00290188" w:rsidR="00C93CE9">
              <w:t xml:space="preserve"> en het geweld rondom de stad kunnen velen niet vluchten.</w:t>
            </w:r>
            <w:r w:rsidRPr="00290188" w:rsidR="00202D1A">
              <w:rPr>
                <w:rStyle w:val="Voetnootmarkering"/>
              </w:rPr>
              <w:footnoteReference w:id="12"/>
            </w:r>
          </w:p>
        </w:tc>
      </w:tr>
      <w:tr w:rsidRPr="00290188" w:rsidR="000D64BF" w:rsidTr="00D97818" w14:paraId="51322A97" w14:textId="77777777">
        <w:tc>
          <w:tcPr>
            <w:tcW w:w="2263" w:type="dxa"/>
          </w:tcPr>
          <w:p w:rsidRPr="00290188" w:rsidR="000D64BF" w:rsidP="00B73F69" w:rsidRDefault="000D64BF" w14:paraId="6AB73432" w14:textId="089211F5">
            <w:pPr>
              <w:pStyle w:val="broodtekst"/>
            </w:pPr>
            <w:r w:rsidRPr="00290188">
              <w:t>Humanitaire omstandigheden als gevolg van het conflict</w:t>
            </w:r>
          </w:p>
        </w:tc>
        <w:tc>
          <w:tcPr>
            <w:tcW w:w="6663" w:type="dxa"/>
          </w:tcPr>
          <w:p w:rsidRPr="00290188" w:rsidR="000D64BF" w:rsidP="00B73F69" w:rsidRDefault="000D64BF" w14:paraId="115A5316" w14:textId="7E1614A8">
            <w:pPr>
              <w:pStyle w:val="broodtekst"/>
            </w:pPr>
            <w:r w:rsidRPr="00290188">
              <w:t xml:space="preserve">De strijdende partijen belemmerden de toegang van humanitaire hulpverleners tot de hongersnoodgebieden in </w:t>
            </w:r>
            <w:proofErr w:type="spellStart"/>
            <w:r w:rsidRPr="00290188">
              <w:t>Darfur</w:t>
            </w:r>
            <w:proofErr w:type="spellEnd"/>
            <w:r w:rsidRPr="00290188">
              <w:t xml:space="preserve">. Samen met </w:t>
            </w:r>
            <w:proofErr w:type="spellStart"/>
            <w:r w:rsidRPr="00290188" w:rsidR="007608C6">
              <w:t>Kordofan</w:t>
            </w:r>
            <w:proofErr w:type="spellEnd"/>
            <w:r w:rsidRPr="00290188" w:rsidR="007608C6">
              <w:t xml:space="preserve"> </w:t>
            </w:r>
            <w:r w:rsidRPr="00290188">
              <w:t xml:space="preserve">en Blauwe Nijl vormt </w:t>
            </w:r>
            <w:proofErr w:type="spellStart"/>
            <w:r w:rsidRPr="00290188">
              <w:t>Darfur</w:t>
            </w:r>
            <w:proofErr w:type="spellEnd"/>
            <w:r w:rsidRPr="00290188">
              <w:t xml:space="preserve"> het meest kwetsbare gebied in Sudan waar sprake is van een ernstige voedselcrisis en in </w:t>
            </w:r>
            <w:r w:rsidRPr="00290188" w:rsidR="006105AA">
              <w:t xml:space="preserve">El </w:t>
            </w:r>
            <w:proofErr w:type="spellStart"/>
            <w:r w:rsidRPr="00290188" w:rsidR="006105AA">
              <w:t>Fasher</w:t>
            </w:r>
            <w:proofErr w:type="spellEnd"/>
            <w:r w:rsidRPr="00290188">
              <w:t xml:space="preserve"> de hoogste gradatie hongersnood. </w:t>
            </w:r>
            <w:r w:rsidRPr="00290188" w:rsidR="002C4861">
              <w:t>Tussen 21 maart en 15 april 2025 hield CARE een enquête onder 492 boeren in Oost-Darfur, Zuid-</w:t>
            </w:r>
            <w:proofErr w:type="spellStart"/>
            <w:r w:rsidRPr="00290188" w:rsidR="002C4861">
              <w:t>Darfur</w:t>
            </w:r>
            <w:proofErr w:type="spellEnd"/>
            <w:r w:rsidRPr="00290188" w:rsidR="002C4861">
              <w:t xml:space="preserve"> en Zuid-</w:t>
            </w:r>
            <w:proofErr w:type="spellStart"/>
            <w:r w:rsidRPr="00290188" w:rsidR="002C4861">
              <w:t>Kordofan</w:t>
            </w:r>
            <w:proofErr w:type="spellEnd"/>
            <w:r w:rsidRPr="00290188" w:rsidR="002C4861">
              <w:t>. 89% van de boeren gaf aan dat de oogst achteruit was gegaan en 55,7% meldde dat de oogst door onveiligheid niet kon worden binnengehaald</w:t>
            </w:r>
            <w:r w:rsidRPr="00290188" w:rsidR="007608C6">
              <w:t>.</w:t>
            </w:r>
          </w:p>
        </w:tc>
      </w:tr>
    </w:tbl>
    <w:p w:rsidRPr="00290188" w:rsidR="00C5139F" w:rsidP="00D97818" w:rsidRDefault="00C5139F" w14:paraId="3319BF69" w14:textId="77777777">
      <w:pPr>
        <w:pStyle w:val="broodtekst"/>
        <w:rPr>
          <w:b/>
          <w:bCs/>
        </w:rPr>
      </w:pPr>
      <w:bookmarkStart w:name="_Hlk165561562" w:id="2"/>
    </w:p>
    <w:p w:rsidRPr="00290188" w:rsidR="00202D1A" w:rsidP="00D97818" w:rsidRDefault="00BC4695" w14:paraId="745EAB79" w14:textId="56D13637">
      <w:pPr>
        <w:pStyle w:val="broodtekst"/>
      </w:pPr>
      <w:r w:rsidRPr="00290188">
        <w:rPr>
          <w:b/>
          <w:bCs/>
        </w:rPr>
        <w:t xml:space="preserve">Conclusie: </w:t>
      </w:r>
    </w:p>
    <w:p w:rsidRPr="00290188" w:rsidR="00C93CE9" w:rsidP="00D97818" w:rsidRDefault="00C93CE9" w14:paraId="70B62C8C" w14:textId="77777777">
      <w:pPr>
        <w:pStyle w:val="broodtekst"/>
      </w:pPr>
    </w:p>
    <w:p w:rsidRPr="00290188" w:rsidR="00C93CE9" w:rsidP="00D97818" w:rsidRDefault="00C93CE9" w14:paraId="4EAA668C" w14:textId="60F88BD7">
      <w:pPr>
        <w:pStyle w:val="broodtekst"/>
      </w:pPr>
      <w:r w:rsidRPr="00290188">
        <w:rPr>
          <w:i/>
          <w:iCs/>
        </w:rPr>
        <w:t>Noord-</w:t>
      </w:r>
      <w:proofErr w:type="spellStart"/>
      <w:r w:rsidRPr="00290188">
        <w:rPr>
          <w:i/>
          <w:iCs/>
        </w:rPr>
        <w:t>Darfur</w:t>
      </w:r>
      <w:proofErr w:type="spellEnd"/>
      <w:r w:rsidRPr="00290188">
        <w:rPr>
          <w:i/>
          <w:iCs/>
        </w:rPr>
        <w:t xml:space="preserve">: </w:t>
      </w:r>
      <w:r w:rsidRPr="00290188" w:rsidR="0012651E">
        <w:t>Er wordt momenteel een uitzonderlijk niveau van willekeurig geweld voor Noord-</w:t>
      </w:r>
      <w:proofErr w:type="spellStart"/>
      <w:r w:rsidRPr="00290188" w:rsidR="0012651E">
        <w:t>Darfur</w:t>
      </w:r>
      <w:proofErr w:type="spellEnd"/>
      <w:r w:rsidRPr="00290188" w:rsidR="0012651E">
        <w:t xml:space="preserve"> aangenomen. </w:t>
      </w:r>
      <w:r w:rsidRPr="00290188">
        <w:t>In Noord-</w:t>
      </w:r>
      <w:proofErr w:type="spellStart"/>
      <w:r w:rsidRPr="00290188">
        <w:t>Darfur</w:t>
      </w:r>
      <w:proofErr w:type="spellEnd"/>
      <w:r w:rsidRPr="00290188">
        <w:t xml:space="preserve"> is sprake geweest van zeer veel geweldsincidenten, met name in en rondom </w:t>
      </w:r>
      <w:r w:rsidRPr="00290188" w:rsidR="00F8174E">
        <w:t xml:space="preserve">de inname van </w:t>
      </w:r>
      <w:r w:rsidRPr="00290188">
        <w:t xml:space="preserve">El </w:t>
      </w:r>
      <w:proofErr w:type="spellStart"/>
      <w:r w:rsidRPr="00290188">
        <w:t>Fasher</w:t>
      </w:r>
      <w:proofErr w:type="spellEnd"/>
      <w:r w:rsidRPr="00290188" w:rsidR="00F8174E">
        <w:t xml:space="preserve"> door de RSF op het SAF</w:t>
      </w:r>
      <w:r w:rsidRPr="00290188" w:rsidR="00734164">
        <w:t xml:space="preserve">. </w:t>
      </w:r>
      <w:r w:rsidRPr="00290188">
        <w:t>Excessief geweld jegens burgers, waaronder burgers in ontheemdenkampen, waren</w:t>
      </w:r>
      <w:r w:rsidRPr="00290188" w:rsidR="00F8174E">
        <w:t xml:space="preserve"> daarbij</w:t>
      </w:r>
      <w:r w:rsidRPr="00290188">
        <w:t xml:space="preserve"> aan de orde van de dag. Daarbij gebruikten de RSF diverse geweldsmethodes </w:t>
      </w:r>
      <w:r w:rsidRPr="00290188" w:rsidR="005B462A">
        <w:t>met een willekeurige aard zoals belegering, obstructie van noodhulp</w:t>
      </w:r>
      <w:r w:rsidRPr="00290188" w:rsidR="007712DC">
        <w:t xml:space="preserve"> met hongersnood als gevolg en</w:t>
      </w:r>
      <w:r w:rsidRPr="00290188" w:rsidR="005B462A">
        <w:t xml:space="preserve"> lukrake </w:t>
      </w:r>
      <w:r w:rsidRPr="00290188" w:rsidR="007608C6">
        <w:t>artillerie</w:t>
      </w:r>
      <w:r w:rsidRPr="00290188" w:rsidR="005B462A">
        <w:t>beschietingen en droneaanvallen</w:t>
      </w:r>
      <w:r w:rsidRPr="00290188" w:rsidR="007712DC">
        <w:t xml:space="preserve"> op burgerdoelen</w:t>
      </w:r>
      <w:r w:rsidRPr="00290188" w:rsidR="005B462A">
        <w:t xml:space="preserve">. Duidelijk wordt dat er nog altijd sprake is van een uitzonderlijke mate van willekeurig geweld, </w:t>
      </w:r>
      <w:r w:rsidRPr="00290188" w:rsidR="005B462A">
        <w:rPr>
          <w:u w:val="single"/>
        </w:rPr>
        <w:t xml:space="preserve">en het advies luidt dan ook om te blijven uitgaan van </w:t>
      </w:r>
      <w:r w:rsidRPr="00290188" w:rsidR="0012651E">
        <w:rPr>
          <w:u w:val="single"/>
        </w:rPr>
        <w:t>een uitzonderlijk niveau van willekeurig geweld.</w:t>
      </w:r>
    </w:p>
    <w:p w:rsidRPr="00290188" w:rsidR="00202D1A" w:rsidP="00D97818" w:rsidRDefault="00202D1A" w14:paraId="0FED782B" w14:textId="77777777">
      <w:pPr>
        <w:pStyle w:val="broodtekst"/>
      </w:pPr>
    </w:p>
    <w:p w:rsidRPr="00290188" w:rsidR="00B331B4" w:rsidP="00B331B4" w:rsidRDefault="005B462A" w14:paraId="7E349205" w14:textId="3A19B19D">
      <w:pPr>
        <w:pStyle w:val="broodtekst"/>
      </w:pPr>
      <w:r w:rsidRPr="00290188">
        <w:rPr>
          <w:i/>
          <w:iCs/>
        </w:rPr>
        <w:t>Zuid-</w:t>
      </w:r>
      <w:proofErr w:type="spellStart"/>
      <w:r w:rsidRPr="00290188">
        <w:rPr>
          <w:i/>
          <w:iCs/>
        </w:rPr>
        <w:t>Darfur</w:t>
      </w:r>
      <w:proofErr w:type="spellEnd"/>
      <w:r w:rsidRPr="00290188">
        <w:rPr>
          <w:i/>
          <w:iCs/>
        </w:rPr>
        <w:t xml:space="preserve">: </w:t>
      </w:r>
      <w:r w:rsidRPr="00290188" w:rsidR="0012651E">
        <w:t>Er wordt momenteel een uitzonderlijk niveau van willekeurig geweld voor Zuid-</w:t>
      </w:r>
      <w:proofErr w:type="spellStart"/>
      <w:r w:rsidRPr="00290188" w:rsidR="0012651E">
        <w:t>Darfur</w:t>
      </w:r>
      <w:proofErr w:type="spellEnd"/>
      <w:r w:rsidRPr="00290188" w:rsidR="0012651E">
        <w:t xml:space="preserve"> aangenomen. </w:t>
      </w:r>
      <w:r w:rsidRPr="00290188">
        <w:t>In Zuid-</w:t>
      </w:r>
      <w:proofErr w:type="spellStart"/>
      <w:r w:rsidRPr="00290188">
        <w:t>Darfur</w:t>
      </w:r>
      <w:proofErr w:type="spellEnd"/>
      <w:r w:rsidRPr="00290188">
        <w:t xml:space="preserve"> was het geweldsniveau niet zo hoog als in Noord-</w:t>
      </w:r>
      <w:proofErr w:type="spellStart"/>
      <w:r w:rsidRPr="00290188">
        <w:t>Darfur</w:t>
      </w:r>
      <w:proofErr w:type="spellEnd"/>
      <w:r w:rsidRPr="00290188">
        <w:t>, wat te verklaren is doordat de RSF en gelieerde partijen Zuid-</w:t>
      </w:r>
      <w:proofErr w:type="spellStart"/>
      <w:r w:rsidRPr="00290188">
        <w:t>Darfur</w:t>
      </w:r>
      <w:proofErr w:type="spellEnd"/>
      <w:r w:rsidRPr="00290188">
        <w:t xml:space="preserve"> gedurende de gehele verslagperiode in handen hadden en er geen sprake was van intensieve frontliniegevechten. Desalniettemin </w:t>
      </w:r>
      <w:r w:rsidRPr="00290188" w:rsidR="000D64BF">
        <w:t>was er in Zuid-</w:t>
      </w:r>
      <w:proofErr w:type="spellStart"/>
      <w:r w:rsidRPr="00290188" w:rsidR="000D64BF">
        <w:t>Darfur</w:t>
      </w:r>
      <w:proofErr w:type="spellEnd"/>
      <w:r w:rsidRPr="00290188" w:rsidR="000D64BF">
        <w:t xml:space="preserve"> een forse toename in 2025 in het aantal geweldsincidenten</w:t>
      </w:r>
      <w:r w:rsidRPr="00290188" w:rsidR="0012651E">
        <w:t xml:space="preserve"> en ook in het aantal geregistreerde doden</w:t>
      </w:r>
      <w:r w:rsidRPr="00290188" w:rsidR="00F8174E">
        <w:t xml:space="preserve"> ten opzichte van 2024</w:t>
      </w:r>
      <w:r w:rsidRPr="00290188" w:rsidR="000D64BF">
        <w:t>.</w:t>
      </w:r>
      <w:r w:rsidRPr="00290188">
        <w:t xml:space="preserve"> </w:t>
      </w:r>
      <w:r w:rsidRPr="00290188" w:rsidR="0012651E">
        <w:t xml:space="preserve">Het </w:t>
      </w:r>
      <w:r w:rsidRPr="00290188">
        <w:t>feit dat de RSF de controle in handen hadden</w:t>
      </w:r>
      <w:r w:rsidRPr="00290188" w:rsidR="0012651E">
        <w:t xml:space="preserve">, weerhield </w:t>
      </w:r>
      <w:r w:rsidRPr="00290188">
        <w:t>de SAF er niet van luchtaanvallen in Zuid-</w:t>
      </w:r>
      <w:proofErr w:type="spellStart"/>
      <w:r w:rsidRPr="00290188">
        <w:t>Darfur</w:t>
      </w:r>
      <w:proofErr w:type="spellEnd"/>
      <w:r w:rsidRPr="00290188">
        <w:t xml:space="preserve"> te plegen</w:t>
      </w:r>
      <w:r w:rsidRPr="00290188" w:rsidR="007608C6">
        <w:t>,</w:t>
      </w:r>
      <w:r w:rsidRPr="00290188">
        <w:t xml:space="preserve"> waarbij burgerdoelwitten aangevallen werden.</w:t>
      </w:r>
      <w:r w:rsidRPr="00290188" w:rsidR="00B331B4">
        <w:t xml:space="preserve"> Ook de RSF</w:t>
      </w:r>
      <w:r w:rsidRPr="00290188" w:rsidR="00D84A3E">
        <w:t xml:space="preserve"> bleef burgerdoelwitten aanvallen, </w:t>
      </w:r>
      <w:r w:rsidRPr="00290188" w:rsidR="00B331B4">
        <w:t>ondanks dat zij alle controle al in handen hadden.</w:t>
      </w:r>
      <w:r w:rsidRPr="00290188">
        <w:t xml:space="preserve"> </w:t>
      </w:r>
      <w:r w:rsidRPr="00290188" w:rsidR="00B331B4">
        <w:t xml:space="preserve">Kijkend naar de aard van de veiligheidsincidenten, werden er </w:t>
      </w:r>
      <w:r w:rsidRPr="00290188">
        <w:t>in Zuid-</w:t>
      </w:r>
      <w:proofErr w:type="spellStart"/>
      <w:r w:rsidRPr="00290188">
        <w:t>Darfur</w:t>
      </w:r>
      <w:proofErr w:type="spellEnd"/>
      <w:r w:rsidRPr="00290188">
        <w:t xml:space="preserve"> met name explosies en geweld op afstand en geweld jegens burgers gepleegd</w:t>
      </w:r>
      <w:r w:rsidRPr="00290188" w:rsidR="00B331B4">
        <w:t xml:space="preserve"> en in mindere mate gevechten. </w:t>
      </w:r>
      <w:r w:rsidRPr="00290188" w:rsidR="00B331B4">
        <w:rPr>
          <w:u w:val="single"/>
        </w:rPr>
        <w:t xml:space="preserve">Met het oog op </w:t>
      </w:r>
      <w:r w:rsidRPr="00290188" w:rsidR="00113381">
        <w:rPr>
          <w:u w:val="single"/>
        </w:rPr>
        <w:t xml:space="preserve">het aanhoudende </w:t>
      </w:r>
      <w:r w:rsidRPr="00290188" w:rsidR="0012651E">
        <w:rPr>
          <w:u w:val="single"/>
        </w:rPr>
        <w:t xml:space="preserve">en zelfs toenemende </w:t>
      </w:r>
      <w:r w:rsidRPr="00290188" w:rsidR="00113381">
        <w:rPr>
          <w:u w:val="single"/>
        </w:rPr>
        <w:t xml:space="preserve">geweld en de aard van het </w:t>
      </w:r>
      <w:r w:rsidRPr="00290188" w:rsidR="00113381">
        <w:rPr>
          <w:u w:val="single"/>
        </w:rPr>
        <w:lastRenderedPageBreak/>
        <w:t>geweld</w:t>
      </w:r>
      <w:r w:rsidRPr="00290188" w:rsidR="00B331B4">
        <w:rPr>
          <w:u w:val="single"/>
        </w:rPr>
        <w:t xml:space="preserve"> wordt geadviseerd om te blijven uitgaan van </w:t>
      </w:r>
      <w:r w:rsidRPr="00290188" w:rsidR="0012651E">
        <w:rPr>
          <w:u w:val="single"/>
        </w:rPr>
        <w:t>een uitzonderlijk niveau van willekeurig geweld</w:t>
      </w:r>
      <w:r w:rsidRPr="00290188" w:rsidR="00D84A3E">
        <w:t xml:space="preserve">. </w:t>
      </w:r>
    </w:p>
    <w:p w:rsidRPr="00290188" w:rsidR="005B462A" w:rsidP="005B462A" w:rsidRDefault="005B462A" w14:paraId="2AEE1030" w14:textId="41D2BE7B">
      <w:pPr>
        <w:pStyle w:val="broodtekst"/>
      </w:pPr>
    </w:p>
    <w:p w:rsidRPr="00290188" w:rsidR="00202D1A" w:rsidP="00DE22D2" w:rsidRDefault="00B331B4" w14:paraId="1FD951BA" w14:textId="23CD0D03">
      <w:pPr>
        <w:pStyle w:val="broodtekst"/>
      </w:pPr>
      <w:r w:rsidRPr="00290188">
        <w:rPr>
          <w:i/>
          <w:iCs/>
        </w:rPr>
        <w:t>West-Darfur:</w:t>
      </w:r>
      <w:r w:rsidRPr="00290188" w:rsidR="004F4CEA">
        <w:rPr>
          <w:i/>
          <w:iCs/>
        </w:rPr>
        <w:t xml:space="preserve"> </w:t>
      </w:r>
      <w:r w:rsidRPr="00290188" w:rsidR="004F4CEA">
        <w:t xml:space="preserve">Er wordt momenteel een relatief hoger niveau van willekeurig geweld voor West-Darfur aangenomen. </w:t>
      </w:r>
      <w:r w:rsidRPr="00290188" w:rsidR="00590619">
        <w:t xml:space="preserve">De reden hiervoor was dat </w:t>
      </w:r>
      <w:r w:rsidRPr="00290188" w:rsidR="00F27CF6">
        <w:t>de uitzonderlijke mate van</w:t>
      </w:r>
      <w:r w:rsidRPr="00290188" w:rsidR="00590619">
        <w:t xml:space="preserve"> geweld in West-Darfur in de vorige verslagperiode met name </w:t>
      </w:r>
      <w:r w:rsidRPr="00290188" w:rsidR="00590619">
        <w:rPr>
          <w:i/>
          <w:iCs/>
        </w:rPr>
        <w:t>gericht</w:t>
      </w:r>
      <w:r w:rsidRPr="00290188" w:rsidR="00590619">
        <w:t xml:space="preserve"> van aard was, gelet op het excessieve geweld jegens Afrikaanse bevolkingsgroepen en de </w:t>
      </w:r>
      <w:proofErr w:type="spellStart"/>
      <w:r w:rsidRPr="00290188" w:rsidR="00590619">
        <w:t>Masalit</w:t>
      </w:r>
      <w:proofErr w:type="spellEnd"/>
      <w:r w:rsidRPr="00290188" w:rsidR="00590619">
        <w:t xml:space="preserve"> in het bijzonder. Uit het ambtsbericht wordt duidelijk dat het</w:t>
      </w:r>
      <w:r w:rsidRPr="00290188" w:rsidR="00DE22D2">
        <w:t xml:space="preserve"> </w:t>
      </w:r>
      <w:r w:rsidRPr="00290188" w:rsidR="00DE22D2">
        <w:rPr>
          <w:b/>
          <w:bCs/>
        </w:rPr>
        <w:t>gerichte</w:t>
      </w:r>
      <w:r w:rsidRPr="00290188" w:rsidR="00590619">
        <w:t xml:space="preserve"> geweld in West-Darfur gedurende de huidige verslagperiode is afgenomen</w:t>
      </w:r>
      <w:r w:rsidRPr="00290188" w:rsidR="0012651E">
        <w:t xml:space="preserve">, o.a. omdat de meerderheid van de </w:t>
      </w:r>
      <w:proofErr w:type="spellStart"/>
      <w:r w:rsidRPr="00290188" w:rsidR="0012651E">
        <w:t>Masalit</w:t>
      </w:r>
      <w:proofErr w:type="spellEnd"/>
      <w:r w:rsidRPr="00290188" w:rsidR="0012651E">
        <w:t xml:space="preserve"> zijn verdreven of vermoord</w:t>
      </w:r>
      <w:r w:rsidRPr="00290188" w:rsidR="00590619">
        <w:t xml:space="preserve">. </w:t>
      </w:r>
      <w:r w:rsidRPr="00290188" w:rsidR="00DE22D2">
        <w:t xml:space="preserve">Uit de bovenstaande cijfers blijkt dat er desalniettemin een groot aantal dodelijke slachtoffers is gevallen. Vergeleken met het relatief lage aantal incidenten wijst dit erop dat het om omvangrijke incidenten ging waarbij vele mensen gedood werden. Daarnaast blijkt uit het ambtsbericht dat het </w:t>
      </w:r>
      <w:r w:rsidRPr="00290188" w:rsidR="00644145">
        <w:t xml:space="preserve">dodelijk </w:t>
      </w:r>
      <w:r w:rsidRPr="00290188" w:rsidR="00DE22D2">
        <w:t xml:space="preserve">geweld in West-Darfur </w:t>
      </w:r>
      <w:r w:rsidRPr="00290188" w:rsidR="00644145">
        <w:t xml:space="preserve">fors </w:t>
      </w:r>
      <w:r w:rsidRPr="00290188" w:rsidR="00DE22D2">
        <w:t xml:space="preserve">toeneemt. Van de 1959 dodelijke slachtoffers vielen er 652 in heel 2024 en 1.307 in 2025 tot 8 augustus. </w:t>
      </w:r>
      <w:r w:rsidRPr="00290188" w:rsidR="00644145">
        <w:t xml:space="preserve">In 2023 registreerde ACLED nog 249 dodelijke slachtoffers. </w:t>
      </w:r>
      <w:r w:rsidRPr="00290188" w:rsidR="00F27CF6">
        <w:t xml:space="preserve">Ook was er sprake van </w:t>
      </w:r>
      <w:r w:rsidRPr="00290188" w:rsidR="00E10E08">
        <w:t xml:space="preserve">obstructie van humanitaire hulp door de SAF. </w:t>
      </w:r>
      <w:r w:rsidRPr="00290188" w:rsidR="00DE22D2">
        <w:t>Met</w:t>
      </w:r>
      <w:r w:rsidRPr="00290188" w:rsidR="00E10E08">
        <w:t xml:space="preserve"> het oog op de nog altijd fragiele veiligheidssituatie, </w:t>
      </w:r>
      <w:r w:rsidRPr="00290188" w:rsidR="00644145">
        <w:t xml:space="preserve">de </w:t>
      </w:r>
      <w:r w:rsidRPr="00290188" w:rsidR="00E10E08">
        <w:t xml:space="preserve">humanitaire situatie en </w:t>
      </w:r>
      <w:r w:rsidRPr="00290188" w:rsidR="00DE22D2">
        <w:t xml:space="preserve">het </w:t>
      </w:r>
      <w:r w:rsidRPr="00290188" w:rsidR="00644145">
        <w:t xml:space="preserve">fors </w:t>
      </w:r>
      <w:r w:rsidRPr="00290188" w:rsidR="00B7452A">
        <w:t>toenemende</w:t>
      </w:r>
      <w:r w:rsidRPr="00290188" w:rsidR="00DE22D2">
        <w:t xml:space="preserve"> aantal </w:t>
      </w:r>
      <w:r w:rsidRPr="00290188" w:rsidR="00B7452A">
        <w:t xml:space="preserve">geregistreerde </w:t>
      </w:r>
      <w:r w:rsidRPr="00290188" w:rsidR="00DE22D2">
        <w:t xml:space="preserve">dodelijke slachtoffers, </w:t>
      </w:r>
      <w:r w:rsidRPr="00290188" w:rsidR="00DE22D2">
        <w:rPr>
          <w:u w:val="single"/>
        </w:rPr>
        <w:t>wordt geadviseerd om in West-Darfur</w:t>
      </w:r>
      <w:r w:rsidRPr="00290188" w:rsidR="004F4CEA">
        <w:rPr>
          <w:u w:val="single"/>
        </w:rPr>
        <w:t xml:space="preserve"> uit te gaan van</w:t>
      </w:r>
      <w:r w:rsidRPr="00290188" w:rsidR="00DE22D2">
        <w:rPr>
          <w:u w:val="single"/>
        </w:rPr>
        <w:t xml:space="preserve"> </w:t>
      </w:r>
      <w:r w:rsidRPr="00290188" w:rsidR="0012651E">
        <w:rPr>
          <w:u w:val="single"/>
        </w:rPr>
        <w:t>een uitzonderlijk niveau van willekeurig geweld</w:t>
      </w:r>
      <w:r w:rsidRPr="00290188" w:rsidR="00DE22D2">
        <w:rPr>
          <w:u w:val="single"/>
        </w:rPr>
        <w:t>.</w:t>
      </w:r>
    </w:p>
    <w:p w:rsidRPr="00290188" w:rsidR="00B331B4" w:rsidP="00D97818" w:rsidRDefault="00B331B4" w14:paraId="56999A22" w14:textId="77777777">
      <w:pPr>
        <w:pStyle w:val="broodtekst"/>
      </w:pPr>
    </w:p>
    <w:p w:rsidRPr="00290188" w:rsidR="00B331B4" w:rsidP="00D97818" w:rsidRDefault="00590619" w14:paraId="6715CEDB" w14:textId="08CCFFB8">
      <w:pPr>
        <w:pStyle w:val="broodtekst"/>
      </w:pPr>
      <w:r w:rsidRPr="00290188">
        <w:rPr>
          <w:i/>
          <w:iCs/>
        </w:rPr>
        <w:t>Centraal</w:t>
      </w:r>
      <w:r w:rsidRPr="00290188" w:rsidR="00B331B4">
        <w:rPr>
          <w:i/>
          <w:iCs/>
        </w:rPr>
        <w:t>-</w:t>
      </w:r>
      <w:proofErr w:type="spellStart"/>
      <w:r w:rsidRPr="00290188" w:rsidR="00B331B4">
        <w:rPr>
          <w:i/>
          <w:iCs/>
        </w:rPr>
        <w:t>Darfur</w:t>
      </w:r>
      <w:proofErr w:type="spellEnd"/>
      <w:r w:rsidRPr="00290188" w:rsidR="00B331B4">
        <w:rPr>
          <w:i/>
          <w:iCs/>
        </w:rPr>
        <w:t xml:space="preserve">: </w:t>
      </w:r>
      <w:r w:rsidRPr="00290188" w:rsidR="00B331B4">
        <w:t xml:space="preserve">Momenteel wordt voor </w:t>
      </w:r>
      <w:r w:rsidRPr="00290188">
        <w:t>Centraal</w:t>
      </w:r>
      <w:r w:rsidRPr="00290188" w:rsidR="00B331B4">
        <w:t>-</w:t>
      </w:r>
      <w:proofErr w:type="spellStart"/>
      <w:r w:rsidRPr="00290188" w:rsidR="00B331B4">
        <w:t>Darfur</w:t>
      </w:r>
      <w:proofErr w:type="spellEnd"/>
      <w:r w:rsidRPr="00290188" w:rsidR="00B331B4">
        <w:t xml:space="preserve"> </w:t>
      </w:r>
      <w:r w:rsidRPr="00290188" w:rsidR="00E62C4E">
        <w:t>aangenomen dat er sprake is van een uitzonderlijk niveau van willekeurig geweld</w:t>
      </w:r>
      <w:r w:rsidRPr="00290188" w:rsidR="00B331B4">
        <w:t>.</w:t>
      </w:r>
      <w:r w:rsidRPr="00290188" w:rsidR="00F27CF6">
        <w:t xml:space="preserve"> </w:t>
      </w:r>
      <w:r w:rsidRPr="00290188" w:rsidR="0012651E">
        <w:t>De veiligheidssituatie is vergeleken met de voorgaande verslagperiode enigszins</w:t>
      </w:r>
      <w:r w:rsidRPr="00290188" w:rsidR="00F27CF6">
        <w:t xml:space="preserve"> gestabiliseerd doordat de RSF de volledige controle heeft over het gebied. Uit de ACLED data wordt duidelijk dat de geweldsincidenten met name geweld jegens</w:t>
      </w:r>
      <w:r w:rsidRPr="00290188" w:rsidR="00E33F0D">
        <w:t xml:space="preserve"> willekeurige</w:t>
      </w:r>
      <w:r w:rsidRPr="00290188" w:rsidR="00F27CF6">
        <w:t xml:space="preserve"> burgers betroffen. </w:t>
      </w:r>
      <w:r w:rsidRPr="00290188" w:rsidR="007712DC">
        <w:t>Zo pleegden de SAF ook in Centraal-</w:t>
      </w:r>
      <w:proofErr w:type="spellStart"/>
      <w:r w:rsidRPr="00290188" w:rsidR="007712DC">
        <w:t>Darfur</w:t>
      </w:r>
      <w:proofErr w:type="spellEnd"/>
      <w:r w:rsidRPr="00290188" w:rsidR="007712DC">
        <w:t xml:space="preserve"> luchtaanvallen</w:t>
      </w:r>
      <w:r w:rsidRPr="00290188" w:rsidR="00E33F0D">
        <w:t>, een geweldsmethodiek die naar zijn aard willekeurige slachtoffers teweeg brengt</w:t>
      </w:r>
      <w:r w:rsidRPr="00290188" w:rsidR="00D84A3E">
        <w:t>.</w:t>
      </w:r>
      <w:r w:rsidRPr="00290188" w:rsidR="007712DC">
        <w:t xml:space="preserve"> </w:t>
      </w:r>
      <w:r w:rsidRPr="00290188" w:rsidR="0012651E">
        <w:t xml:space="preserve">Uit de cijfers wordt duidelijk dat het aantal geweldsincidenten relatief gezien niet af blijkt te nemen in 2025 ten opzichte van 2024. </w:t>
      </w:r>
      <w:r w:rsidRPr="00290188" w:rsidR="00644145">
        <w:t xml:space="preserve">Het aantal incidenten ligt lager dan in de voorgaande verslagperiode maar gelet op </w:t>
      </w:r>
      <w:r w:rsidRPr="00290188" w:rsidR="0012651E">
        <w:t>het feit dat er momenteel al van een uitzonderlijk niveau van willekeurig geweld uit wordt gegaan</w:t>
      </w:r>
      <w:r w:rsidRPr="00290188" w:rsidR="00644145">
        <w:t>, het gegeven dat er in grote delen van Centraal-</w:t>
      </w:r>
      <w:proofErr w:type="spellStart"/>
      <w:r w:rsidRPr="00290188" w:rsidR="00644145">
        <w:t>Darfur</w:t>
      </w:r>
      <w:proofErr w:type="spellEnd"/>
      <w:r w:rsidRPr="00290188" w:rsidR="00644145">
        <w:t xml:space="preserve"> sprake is van </w:t>
      </w:r>
      <w:r w:rsidRPr="00290188" w:rsidR="007608C6">
        <w:t xml:space="preserve">een noodsituatie m.b.t. voedselonzekerheid </w:t>
      </w:r>
      <w:r w:rsidRPr="00290188" w:rsidR="00644145">
        <w:t>als gevolg van het conflict</w:t>
      </w:r>
      <w:r w:rsidRPr="00290188" w:rsidR="007608C6">
        <w:t>, het ontbreken van een veiligheidsstructuur</w:t>
      </w:r>
      <w:r w:rsidRPr="00290188" w:rsidR="00644145">
        <w:t xml:space="preserve"> </w:t>
      </w:r>
      <w:r w:rsidRPr="00290188" w:rsidR="0012651E">
        <w:t xml:space="preserve">en het </w:t>
      </w:r>
      <w:r w:rsidRPr="00290188" w:rsidR="007712DC">
        <w:t>feit dat er nog altijd geweldsincidenten plaatsvinden</w:t>
      </w:r>
      <w:r w:rsidRPr="00290188" w:rsidR="00D84A3E">
        <w:t xml:space="preserve"> binnen een actieve conflictsituatie</w:t>
      </w:r>
      <w:r w:rsidRPr="00290188" w:rsidR="007712DC">
        <w:t xml:space="preserve">, </w:t>
      </w:r>
      <w:r w:rsidRPr="00290188" w:rsidR="007712DC">
        <w:rPr>
          <w:u w:val="single"/>
        </w:rPr>
        <w:t>luidt het advies om voor Centraal-</w:t>
      </w:r>
      <w:proofErr w:type="spellStart"/>
      <w:r w:rsidRPr="00290188" w:rsidR="007712DC">
        <w:rPr>
          <w:u w:val="single"/>
        </w:rPr>
        <w:t>Darfur</w:t>
      </w:r>
      <w:proofErr w:type="spellEnd"/>
      <w:r w:rsidRPr="00290188" w:rsidR="007712DC">
        <w:rPr>
          <w:u w:val="single"/>
        </w:rPr>
        <w:t xml:space="preserve"> </w:t>
      </w:r>
      <w:r w:rsidRPr="00290188" w:rsidR="00E62C4E">
        <w:rPr>
          <w:u w:val="single"/>
        </w:rPr>
        <w:t xml:space="preserve">aan te blijven nemen dat er sprake is van een uitzonderlijk niveau van willekeurig geweld. </w:t>
      </w:r>
      <w:r w:rsidRPr="00290188" w:rsidR="00E62C4E">
        <w:t>Aan de hand van het volgende ambtsbericht zal ten aanzien van Centraal-</w:t>
      </w:r>
      <w:proofErr w:type="spellStart"/>
      <w:r w:rsidRPr="00290188" w:rsidR="00E62C4E">
        <w:t>Darfur</w:t>
      </w:r>
      <w:proofErr w:type="spellEnd"/>
      <w:r w:rsidRPr="00290188" w:rsidR="00E62C4E">
        <w:t xml:space="preserve"> bezien moeten worden of de veiligheidssituatie</w:t>
      </w:r>
      <w:r w:rsidRPr="00290188" w:rsidR="00F8174E">
        <w:t xml:space="preserve"> op bestendige</w:t>
      </w:r>
      <w:r w:rsidRPr="00290188" w:rsidR="00C454BB">
        <w:t>re</w:t>
      </w:r>
      <w:r w:rsidRPr="00290188" w:rsidR="00F8174E">
        <w:t xml:space="preserve"> wijze</w:t>
      </w:r>
      <w:r w:rsidRPr="00290188" w:rsidR="00E62C4E">
        <w:t xml:space="preserve"> verbetert, wat te zijner tijd zou kunnen leiden tot een ander oordeel over de toepasselijke gradati</w:t>
      </w:r>
      <w:r w:rsidRPr="00290188" w:rsidR="007608C6">
        <w:t xml:space="preserve">e. </w:t>
      </w:r>
    </w:p>
    <w:p w:rsidRPr="00290188" w:rsidR="00B331B4" w:rsidP="00D97818" w:rsidRDefault="00B331B4" w14:paraId="428F184B" w14:textId="77777777">
      <w:pPr>
        <w:pStyle w:val="broodtekst"/>
      </w:pPr>
    </w:p>
    <w:p w:rsidRPr="00290188" w:rsidR="00B331B4" w:rsidP="00D97818" w:rsidRDefault="00590619" w14:paraId="53E500D4" w14:textId="5F618572">
      <w:pPr>
        <w:pStyle w:val="broodtekst"/>
      </w:pPr>
      <w:r w:rsidRPr="00290188">
        <w:rPr>
          <w:i/>
          <w:iCs/>
        </w:rPr>
        <w:t>Oost</w:t>
      </w:r>
      <w:r w:rsidRPr="00290188" w:rsidR="00B331B4">
        <w:rPr>
          <w:i/>
          <w:iCs/>
        </w:rPr>
        <w:t xml:space="preserve">-Darfur: </w:t>
      </w:r>
      <w:r w:rsidRPr="00290188">
        <w:t>Momenteel wordt voor Oost-Darfur aangenomen dat er een relatief lager niveau van willekeurig geweld is.</w:t>
      </w:r>
      <w:r w:rsidRPr="00290188" w:rsidR="007712DC">
        <w:t xml:space="preserve"> Het aantal veiligheidsincidenten in Oost-Darfur lijkt te zijn toegenomen ten opzichte van de eerdere verslagperiode. Relatief gezien zijn met name explosies en geweld op afstand en geweld tegen burgers het meest toegenomen. Voor Oost-Darfur geldt</w:t>
      </w:r>
      <w:r w:rsidRPr="00290188" w:rsidR="00E62C4E">
        <w:t xml:space="preserve"> </w:t>
      </w:r>
      <w:r w:rsidRPr="00290188" w:rsidR="007712DC">
        <w:t xml:space="preserve">dat de mate van </w:t>
      </w:r>
      <w:r w:rsidRPr="00290188" w:rsidR="00644145">
        <w:t xml:space="preserve">dodelijk </w:t>
      </w:r>
      <w:r w:rsidRPr="00290188" w:rsidR="007712DC">
        <w:t xml:space="preserve">geweld lager </w:t>
      </w:r>
      <w:r w:rsidRPr="00290188" w:rsidR="00644145">
        <w:t xml:space="preserve">lijkt te liggen </w:t>
      </w:r>
      <w:r w:rsidRPr="00290188" w:rsidR="007712DC">
        <w:t xml:space="preserve">dan </w:t>
      </w:r>
      <w:r w:rsidRPr="00290188" w:rsidR="00E62C4E">
        <w:t xml:space="preserve">in andere delen van </w:t>
      </w:r>
      <w:proofErr w:type="spellStart"/>
      <w:r w:rsidRPr="00290188" w:rsidR="00E62C4E">
        <w:t>Darfur</w:t>
      </w:r>
      <w:proofErr w:type="spellEnd"/>
      <w:r w:rsidRPr="00290188" w:rsidR="00E62C4E">
        <w:t>, maar</w:t>
      </w:r>
      <w:r w:rsidRPr="00290188" w:rsidR="007712DC">
        <w:t xml:space="preserve"> er wel degelijk sprake is van geweldsplegingen</w:t>
      </w:r>
      <w:r w:rsidRPr="00290188" w:rsidR="00FB321A">
        <w:t>.</w:t>
      </w:r>
      <w:r w:rsidRPr="00290188" w:rsidR="00644145">
        <w:t xml:space="preserve"> Daarnaast is in alle delen van Oost-Darfur sprake van voedselcrisis en in sommige delen zelfs hongersnood</w:t>
      </w:r>
      <w:r w:rsidRPr="00290188" w:rsidR="00543C97">
        <w:t xml:space="preserve"> als gevolg van het gewapend conflict</w:t>
      </w:r>
      <w:r w:rsidRPr="00290188" w:rsidR="007608C6">
        <w:t xml:space="preserve"> en ontbreekt er een veiligheidsstructuur</w:t>
      </w:r>
      <w:r w:rsidRPr="00290188" w:rsidR="00644145">
        <w:t xml:space="preserve">. </w:t>
      </w:r>
      <w:r w:rsidRPr="00290188" w:rsidR="00FB321A">
        <w:rPr>
          <w:u w:val="single"/>
        </w:rPr>
        <w:t xml:space="preserve">Om deze reden wordt geadviseerd om voor Oost-Darfur </w:t>
      </w:r>
      <w:r w:rsidRPr="00290188" w:rsidR="00E62C4E">
        <w:rPr>
          <w:u w:val="single"/>
        </w:rPr>
        <w:t xml:space="preserve">de 15c-gradatie op te schroeven en </w:t>
      </w:r>
      <w:r w:rsidRPr="00290188" w:rsidR="00FB321A">
        <w:rPr>
          <w:u w:val="single"/>
        </w:rPr>
        <w:t>aan te nemen dat er sprake is van een relatief hoger niveau van willekeurig geweld.</w:t>
      </w:r>
    </w:p>
    <w:p w:rsidRPr="00290188" w:rsidR="00202D1A" w:rsidP="00D97818" w:rsidRDefault="00202D1A" w14:paraId="3AE4882A" w14:textId="77777777">
      <w:pPr>
        <w:pStyle w:val="broodtekst"/>
      </w:pPr>
    </w:p>
    <w:p w:rsidRPr="00290188" w:rsidR="00147976" w:rsidP="00147976" w:rsidRDefault="00147976" w14:paraId="74CF7B6B" w14:textId="77777777">
      <w:pPr>
        <w:pStyle w:val="broodtekst"/>
      </w:pPr>
      <w:bookmarkStart w:name="_Hlk168321236" w:id="3"/>
    </w:p>
    <w:tbl>
      <w:tblPr>
        <w:tblStyle w:val="Tabelraster"/>
        <w:tblW w:w="9067" w:type="dxa"/>
        <w:tblInd w:w="0" w:type="dxa"/>
        <w:tblLook w:val="04A0" w:firstRow="1" w:lastRow="0" w:firstColumn="1" w:lastColumn="0" w:noHBand="0" w:noVBand="1"/>
      </w:tblPr>
      <w:tblGrid>
        <w:gridCol w:w="2263"/>
        <w:gridCol w:w="6804"/>
      </w:tblGrid>
      <w:tr w:rsidRPr="00290188" w:rsidR="00147976" w:rsidTr="00802BA7" w14:paraId="6D6F053C" w14:textId="77777777">
        <w:tc>
          <w:tcPr>
            <w:tcW w:w="9067" w:type="dxa"/>
            <w:gridSpan w:val="2"/>
            <w:shd w:val="clear" w:color="auto" w:fill="DEEAF6" w:themeFill="accent1" w:themeFillTint="33"/>
          </w:tcPr>
          <w:p w:rsidRPr="00290188" w:rsidR="00147976" w:rsidP="00B73F69" w:rsidRDefault="00147976" w14:paraId="56BEB693" w14:textId="2241215E">
            <w:pPr>
              <w:pStyle w:val="broodtekst"/>
              <w:rPr>
                <w:b/>
                <w:bCs/>
              </w:rPr>
            </w:pPr>
            <w:proofErr w:type="spellStart"/>
            <w:r w:rsidRPr="00290188">
              <w:rPr>
                <w:b/>
                <w:bCs/>
              </w:rPr>
              <w:t>Kordofan</w:t>
            </w:r>
            <w:proofErr w:type="spellEnd"/>
            <w:r w:rsidRPr="00290188">
              <w:rPr>
                <w:b/>
                <w:bCs/>
              </w:rPr>
              <w:t xml:space="preserve"> - Noord (</w:t>
            </w:r>
            <w:r w:rsidRPr="00290188" w:rsidR="005F5114">
              <w:rPr>
                <w:b/>
                <w:bCs/>
              </w:rPr>
              <w:t xml:space="preserve">2,3 </w:t>
            </w:r>
            <w:proofErr w:type="spellStart"/>
            <w:r w:rsidRPr="00290188">
              <w:rPr>
                <w:b/>
                <w:bCs/>
              </w:rPr>
              <w:t>mln</w:t>
            </w:r>
            <w:proofErr w:type="spellEnd"/>
            <w:r w:rsidRPr="00290188">
              <w:rPr>
                <w:b/>
                <w:bCs/>
              </w:rPr>
              <w:t xml:space="preserve"> inwoners), Zuid (</w:t>
            </w:r>
            <w:r w:rsidRPr="00290188" w:rsidR="005F5114">
              <w:rPr>
                <w:b/>
                <w:bCs/>
              </w:rPr>
              <w:t xml:space="preserve">2,1 </w:t>
            </w:r>
            <w:proofErr w:type="spellStart"/>
            <w:r w:rsidRPr="00290188">
              <w:rPr>
                <w:b/>
                <w:bCs/>
              </w:rPr>
              <w:t>mln</w:t>
            </w:r>
            <w:proofErr w:type="spellEnd"/>
            <w:r w:rsidRPr="00290188">
              <w:rPr>
                <w:b/>
                <w:bCs/>
              </w:rPr>
              <w:t xml:space="preserve"> inwoners) en West (</w:t>
            </w:r>
            <w:r w:rsidRPr="00290188" w:rsidR="005F5114">
              <w:rPr>
                <w:b/>
                <w:bCs/>
              </w:rPr>
              <w:t xml:space="preserve">1,8 </w:t>
            </w:r>
            <w:proofErr w:type="spellStart"/>
            <w:r w:rsidRPr="00290188">
              <w:rPr>
                <w:b/>
                <w:bCs/>
              </w:rPr>
              <w:t>mln</w:t>
            </w:r>
            <w:proofErr w:type="spellEnd"/>
            <w:r w:rsidRPr="00290188">
              <w:rPr>
                <w:b/>
                <w:bCs/>
              </w:rPr>
              <w:t xml:space="preserve"> inwoners)</w:t>
            </w:r>
          </w:p>
        </w:tc>
      </w:tr>
      <w:tr w:rsidRPr="00290188" w:rsidR="00147976" w:rsidTr="00B73F69" w14:paraId="11415254" w14:textId="77777777">
        <w:tc>
          <w:tcPr>
            <w:tcW w:w="2263" w:type="dxa"/>
          </w:tcPr>
          <w:p w:rsidRPr="00290188" w:rsidR="00147976" w:rsidP="00B73F69" w:rsidRDefault="00147976" w14:paraId="5728B4D9" w14:textId="77777777">
            <w:pPr>
              <w:pStyle w:val="broodtekst"/>
            </w:pPr>
            <w:r w:rsidRPr="00290188">
              <w:t>Controle</w:t>
            </w:r>
          </w:p>
        </w:tc>
        <w:tc>
          <w:tcPr>
            <w:tcW w:w="6804" w:type="dxa"/>
          </w:tcPr>
          <w:p w:rsidRPr="00290188" w:rsidR="00147976" w:rsidP="00B73F69" w:rsidRDefault="00147976" w14:paraId="4FAED1F5" w14:textId="333FA71E">
            <w:pPr>
              <w:pStyle w:val="broodtekst"/>
            </w:pPr>
            <w:r w:rsidRPr="00290188">
              <w:t>Zuid-</w:t>
            </w:r>
            <w:proofErr w:type="spellStart"/>
            <w:r w:rsidRPr="00290188">
              <w:t>Kordofan</w:t>
            </w:r>
            <w:proofErr w:type="spellEnd"/>
            <w:r w:rsidRPr="00290188">
              <w:t xml:space="preserve">: </w:t>
            </w:r>
            <w:r w:rsidRPr="00290188" w:rsidR="001038CF">
              <w:t>In Zuid-</w:t>
            </w:r>
            <w:proofErr w:type="spellStart"/>
            <w:r w:rsidRPr="00290188" w:rsidR="001038CF">
              <w:t>Kordofan</w:t>
            </w:r>
            <w:proofErr w:type="spellEnd"/>
            <w:r w:rsidRPr="00290188" w:rsidR="001038CF">
              <w:t xml:space="preserve"> stonden de RSF en de SPLM-N tegenover de SAF en bestreden elkaar met wisselende kansen. Zo wisselde de stad El </w:t>
            </w:r>
            <w:proofErr w:type="spellStart"/>
            <w:r w:rsidRPr="00290188" w:rsidR="001038CF">
              <w:t>Dibeibat</w:t>
            </w:r>
            <w:proofErr w:type="spellEnd"/>
            <w:r w:rsidRPr="00290188" w:rsidR="001038CF">
              <w:t xml:space="preserve"> die strategisch tussen de </w:t>
            </w:r>
            <w:proofErr w:type="spellStart"/>
            <w:r w:rsidRPr="00290188" w:rsidR="001038CF">
              <w:t>Kordofan</w:t>
            </w:r>
            <w:proofErr w:type="spellEnd"/>
            <w:r w:rsidRPr="00290188" w:rsidR="001038CF">
              <w:t xml:space="preserve">-staten in ligt, meerdere malen van handen. Inmiddels heeft de RSF de controle over El </w:t>
            </w:r>
            <w:proofErr w:type="spellStart"/>
            <w:r w:rsidRPr="00290188" w:rsidR="001038CF">
              <w:t>Dibeibat</w:t>
            </w:r>
            <w:proofErr w:type="spellEnd"/>
            <w:r w:rsidRPr="00290188" w:rsidR="001038CF">
              <w:t>. De twee grootste steden van Zuid-</w:t>
            </w:r>
            <w:proofErr w:type="spellStart"/>
            <w:r w:rsidRPr="00290188" w:rsidR="001038CF">
              <w:t>Kordofan</w:t>
            </w:r>
            <w:proofErr w:type="spellEnd"/>
            <w:r w:rsidRPr="00290188" w:rsidR="001038CF">
              <w:t xml:space="preserve">, Dilling en </w:t>
            </w:r>
            <w:proofErr w:type="spellStart"/>
            <w:r w:rsidRPr="00290188" w:rsidR="001038CF">
              <w:t>Kadugli</w:t>
            </w:r>
            <w:proofErr w:type="spellEnd"/>
            <w:r w:rsidRPr="00290188" w:rsidR="001038CF">
              <w:t>, staan onder controle van de SAF.</w:t>
            </w:r>
          </w:p>
          <w:p w:rsidRPr="00290188" w:rsidR="00147976" w:rsidP="00B73F69" w:rsidRDefault="00147976" w14:paraId="00B977C7" w14:textId="77777777">
            <w:pPr>
              <w:pStyle w:val="broodtekst"/>
            </w:pPr>
          </w:p>
          <w:p w:rsidRPr="00290188" w:rsidR="00147976" w:rsidP="00B73F69" w:rsidRDefault="00147976" w14:paraId="134456A1" w14:textId="4B065240">
            <w:pPr>
              <w:pStyle w:val="broodtekst"/>
            </w:pPr>
            <w:r w:rsidRPr="00290188">
              <w:lastRenderedPageBreak/>
              <w:t>Noord-</w:t>
            </w:r>
            <w:proofErr w:type="spellStart"/>
            <w:r w:rsidRPr="00290188">
              <w:t>Kordofan</w:t>
            </w:r>
            <w:proofErr w:type="spellEnd"/>
            <w:r w:rsidRPr="00290188">
              <w:t xml:space="preserve">: </w:t>
            </w:r>
            <w:r w:rsidRPr="00290188" w:rsidR="003C43A1">
              <w:t xml:space="preserve">In februari 2025 werd de hoofdstad El Obeid ontzet door de SAF, wat een belangrijke overwinning voor de SAF was. De rest van de deelstaat viel </w:t>
            </w:r>
            <w:r w:rsidRPr="00290188" w:rsidR="001038CF">
              <w:t xml:space="preserve">toen </w:t>
            </w:r>
            <w:r w:rsidRPr="00290188" w:rsidR="003C43A1">
              <w:t xml:space="preserve">echter nog onder controle van de RSF, waaronder nabijgelegen gebieden en dorpen zoals </w:t>
            </w:r>
            <w:proofErr w:type="spellStart"/>
            <w:r w:rsidRPr="00290188" w:rsidR="003C43A1">
              <w:t>Barah</w:t>
            </w:r>
            <w:proofErr w:type="spellEnd"/>
            <w:r w:rsidRPr="00290188" w:rsidR="001038CF">
              <w:t xml:space="preserve">, </w:t>
            </w:r>
            <w:r w:rsidRPr="00290188" w:rsidR="003C43A1">
              <w:t>van waaruit El Obeid nog aangevallen en bestookt werd.</w:t>
            </w:r>
            <w:r w:rsidRPr="00290188" w:rsidR="001038CF">
              <w:t xml:space="preserve"> </w:t>
            </w:r>
            <w:proofErr w:type="spellStart"/>
            <w:r w:rsidRPr="00290188" w:rsidR="001038CF">
              <w:t>Barah</w:t>
            </w:r>
            <w:proofErr w:type="spellEnd"/>
            <w:r w:rsidRPr="00290188" w:rsidR="001038CF">
              <w:t xml:space="preserve"> werd in september 2025 ook ingenomen door de SAF.</w:t>
            </w:r>
            <w:r w:rsidRPr="00290188" w:rsidR="007608C6">
              <w:t xml:space="preserve"> In oktober 2025 heroverden de RSF </w:t>
            </w:r>
            <w:proofErr w:type="spellStart"/>
            <w:r w:rsidRPr="00290188" w:rsidR="007608C6">
              <w:t>Barah</w:t>
            </w:r>
            <w:proofErr w:type="spellEnd"/>
            <w:r w:rsidRPr="00290188" w:rsidR="007608C6">
              <w:t xml:space="preserve"> en leek El Obeid weer meer onder druk te komen staan.</w:t>
            </w:r>
          </w:p>
          <w:p w:rsidRPr="00290188" w:rsidR="00B42C19" w:rsidP="00B73F69" w:rsidRDefault="00B42C19" w14:paraId="53617DD7" w14:textId="77777777">
            <w:pPr>
              <w:pStyle w:val="broodtekst"/>
            </w:pPr>
          </w:p>
          <w:p w:rsidRPr="00290188" w:rsidR="00B42C19" w:rsidP="00B73F69" w:rsidRDefault="00B42C19" w14:paraId="6634C39D" w14:textId="2A44B9B4">
            <w:pPr>
              <w:pStyle w:val="broodtekst"/>
            </w:pPr>
            <w:r w:rsidRPr="00290188">
              <w:t>West-</w:t>
            </w:r>
            <w:proofErr w:type="spellStart"/>
            <w:r w:rsidRPr="00290188">
              <w:t>Kordofan</w:t>
            </w:r>
            <w:proofErr w:type="spellEnd"/>
            <w:r w:rsidRPr="00290188">
              <w:t xml:space="preserve">: </w:t>
            </w:r>
            <w:r w:rsidRPr="00290188" w:rsidR="003C43A1">
              <w:t>In West-</w:t>
            </w:r>
            <w:proofErr w:type="spellStart"/>
            <w:r w:rsidRPr="00290188" w:rsidR="003C43A1">
              <w:t>Kordofan</w:t>
            </w:r>
            <w:proofErr w:type="spellEnd"/>
            <w:r w:rsidRPr="00290188" w:rsidR="003C43A1">
              <w:t xml:space="preserve"> staan momenteel twee locaties onder controle van de SAF, verder ligt de controle bij de RSF, nadat zij in juni 2024 de hoofdstad Al </w:t>
            </w:r>
            <w:proofErr w:type="spellStart"/>
            <w:r w:rsidRPr="00290188" w:rsidR="003C43A1">
              <w:t>Fula</w:t>
            </w:r>
            <w:proofErr w:type="spellEnd"/>
            <w:r w:rsidRPr="00290188" w:rsidR="003C43A1">
              <w:t xml:space="preserve"> innamen. De inname van deze en andere steden en gebieden verliep gewelddadig, waarbij burgerdoden vielen.</w:t>
            </w:r>
            <w:r w:rsidRPr="00290188" w:rsidR="007608C6">
              <w:t xml:space="preserve"> Vlak na publicatie van het ambtsbericht namen de RSF </w:t>
            </w:r>
            <w:proofErr w:type="spellStart"/>
            <w:r w:rsidRPr="00290188" w:rsidR="007608C6">
              <w:t>Banabusa</w:t>
            </w:r>
            <w:proofErr w:type="spellEnd"/>
            <w:r w:rsidRPr="00290188" w:rsidR="007608C6">
              <w:t xml:space="preserve"> en het olieveld bij </w:t>
            </w:r>
            <w:proofErr w:type="spellStart"/>
            <w:r w:rsidRPr="00290188" w:rsidR="007608C6">
              <w:t>Heglig</w:t>
            </w:r>
            <w:proofErr w:type="spellEnd"/>
            <w:r w:rsidRPr="00290188" w:rsidR="007608C6">
              <w:t xml:space="preserve"> in, de laatste twee steunpunten van de SAF in West-</w:t>
            </w:r>
            <w:proofErr w:type="spellStart"/>
            <w:r w:rsidRPr="00290188" w:rsidR="007608C6">
              <w:t>Kordofan</w:t>
            </w:r>
            <w:proofErr w:type="spellEnd"/>
            <w:r w:rsidRPr="00290188" w:rsidR="007608C6">
              <w:t>.</w:t>
            </w:r>
          </w:p>
        </w:tc>
      </w:tr>
      <w:tr w:rsidRPr="00290188" w:rsidR="00147976" w:rsidTr="00B73F69" w14:paraId="220A33D3" w14:textId="77777777">
        <w:tc>
          <w:tcPr>
            <w:tcW w:w="2263" w:type="dxa"/>
          </w:tcPr>
          <w:p w:rsidRPr="00290188" w:rsidR="00147976" w:rsidP="00B73F69" w:rsidRDefault="00147976" w14:paraId="12001BDD" w14:textId="77777777">
            <w:pPr>
              <w:pStyle w:val="broodtekst"/>
            </w:pPr>
            <w:r w:rsidRPr="00290188">
              <w:lastRenderedPageBreak/>
              <w:t>Strijdende partijen</w:t>
            </w:r>
          </w:p>
        </w:tc>
        <w:tc>
          <w:tcPr>
            <w:tcW w:w="6804" w:type="dxa"/>
          </w:tcPr>
          <w:p w:rsidRPr="00290188" w:rsidR="00147976" w:rsidP="00B73F69" w:rsidRDefault="00774064" w14:paraId="29399B5E" w14:textId="21151562">
            <w:pPr>
              <w:pStyle w:val="broodtekst"/>
            </w:pPr>
            <w:r w:rsidRPr="00290188">
              <w:t xml:space="preserve">SAF (inclusief gelieerde </w:t>
            </w:r>
            <w:r w:rsidRPr="00290188" w:rsidR="007608C6">
              <w:t>milities</w:t>
            </w:r>
            <w:r w:rsidRPr="00290188">
              <w:t xml:space="preserve">) &amp; RSF (inclusief gelieerde milities). </w:t>
            </w:r>
            <w:r w:rsidRPr="00290188" w:rsidR="00845A8D">
              <w:t>I</w:t>
            </w:r>
            <w:r w:rsidRPr="00290188" w:rsidR="00147976">
              <w:t>n Zuid-</w:t>
            </w:r>
            <w:proofErr w:type="spellStart"/>
            <w:r w:rsidRPr="00290188" w:rsidR="00147976">
              <w:t>Kordofan</w:t>
            </w:r>
            <w:proofErr w:type="spellEnd"/>
            <w:r w:rsidRPr="00290188" w:rsidR="00147976">
              <w:t xml:space="preserve"> ook SPLMN-N (Al </w:t>
            </w:r>
            <w:proofErr w:type="spellStart"/>
            <w:r w:rsidRPr="00290188" w:rsidR="00147976">
              <w:t>Hilu</w:t>
            </w:r>
            <w:proofErr w:type="spellEnd"/>
            <w:r w:rsidRPr="00290188" w:rsidR="00147976">
              <w:t xml:space="preserve"> Factie).</w:t>
            </w:r>
            <w:r w:rsidRPr="00290188" w:rsidR="00147976">
              <w:rPr>
                <w:rStyle w:val="Voetnootmarkering"/>
              </w:rPr>
              <w:footnoteReference w:id="13"/>
            </w:r>
          </w:p>
        </w:tc>
      </w:tr>
      <w:tr w:rsidRPr="00290188" w:rsidR="00147976" w:rsidTr="00B73F69" w14:paraId="568519A9" w14:textId="77777777">
        <w:tc>
          <w:tcPr>
            <w:tcW w:w="2263" w:type="dxa"/>
          </w:tcPr>
          <w:p w:rsidRPr="00290188" w:rsidR="00147976" w:rsidP="00B73F69" w:rsidRDefault="00147976" w14:paraId="7C72F4D9" w14:textId="77777777">
            <w:pPr>
              <w:pStyle w:val="broodtekst"/>
            </w:pPr>
            <w:r w:rsidRPr="00290188">
              <w:t>Aard van het geweld &amp; gevechtsmethodes</w:t>
            </w:r>
          </w:p>
        </w:tc>
        <w:tc>
          <w:tcPr>
            <w:tcW w:w="6804" w:type="dxa"/>
          </w:tcPr>
          <w:p w:rsidRPr="00290188" w:rsidR="003C43A1" w:rsidP="003C43A1" w:rsidRDefault="003C43A1" w14:paraId="778B2D8D" w14:textId="4BD045E1">
            <w:pPr>
              <w:pStyle w:val="broodtekst"/>
            </w:pPr>
            <w:r w:rsidRPr="00290188">
              <w:t xml:space="preserve">In alle </w:t>
            </w:r>
            <w:proofErr w:type="spellStart"/>
            <w:r w:rsidRPr="00290188">
              <w:t>Kordofan</w:t>
            </w:r>
            <w:proofErr w:type="spellEnd"/>
            <w:r w:rsidRPr="00290188">
              <w:t xml:space="preserve"> staten wordt door beide strijdende partijen geweld gepleegd van grootschalige en willekeurige aard. Een aantal voorbeelden:</w:t>
            </w:r>
          </w:p>
          <w:p w:rsidRPr="00290188" w:rsidR="00734164" w:rsidP="00734164" w:rsidRDefault="003C43A1" w14:paraId="3ABEBF01" w14:textId="1A393F5B">
            <w:pPr>
              <w:pStyle w:val="broodtekst"/>
              <w:numPr>
                <w:ilvl w:val="0"/>
                <w:numId w:val="1"/>
              </w:numPr>
            </w:pPr>
            <w:r w:rsidRPr="00290188">
              <w:t>In West-</w:t>
            </w:r>
            <w:proofErr w:type="spellStart"/>
            <w:r w:rsidRPr="00290188">
              <w:t>Kordofan</w:t>
            </w:r>
            <w:proofErr w:type="spellEnd"/>
            <w:r w:rsidRPr="00290188">
              <w:t xml:space="preserve"> openden de RSF lukraak het vuur op markten en huizen terwijl zij met gevechtsvoertuigen het dorp </w:t>
            </w:r>
            <w:proofErr w:type="spellStart"/>
            <w:r w:rsidRPr="00290188">
              <w:t>Brima</w:t>
            </w:r>
            <w:proofErr w:type="spellEnd"/>
            <w:r w:rsidRPr="00290188">
              <w:t xml:space="preserve"> </w:t>
            </w:r>
            <w:proofErr w:type="spellStart"/>
            <w:r w:rsidRPr="00290188">
              <w:t>Rashian</w:t>
            </w:r>
            <w:proofErr w:type="spellEnd"/>
            <w:r w:rsidRPr="00290188">
              <w:t xml:space="preserve"> bereikten, waarbij dertig doden en meer dan veertig gewonden vielen.</w:t>
            </w:r>
            <w:r w:rsidRPr="00290188" w:rsidR="00734164">
              <w:t xml:space="preserve"> In november 2025 vielen de RSF </w:t>
            </w:r>
            <w:proofErr w:type="spellStart"/>
            <w:r w:rsidRPr="00290188" w:rsidR="00734164">
              <w:t>Babanusa</w:t>
            </w:r>
            <w:proofErr w:type="spellEnd"/>
            <w:r w:rsidRPr="00290188" w:rsidR="00734164">
              <w:t xml:space="preserve"> aan met artillerie- en drone-vuur, waarbij 147 burgers gedood werden.</w:t>
            </w:r>
          </w:p>
          <w:p w:rsidRPr="00290188" w:rsidR="003C43A1" w:rsidP="003C43A1" w:rsidRDefault="003C43A1" w14:paraId="228A8734" w14:textId="6C6C87B0">
            <w:pPr>
              <w:pStyle w:val="broodtekst"/>
              <w:numPr>
                <w:ilvl w:val="0"/>
                <w:numId w:val="1"/>
              </w:numPr>
            </w:pPr>
            <w:r w:rsidRPr="00290188">
              <w:t>In Noord-</w:t>
            </w:r>
            <w:proofErr w:type="spellStart"/>
            <w:r w:rsidRPr="00290188">
              <w:t>Kordofan</w:t>
            </w:r>
            <w:proofErr w:type="spellEnd"/>
            <w:r w:rsidRPr="00290188">
              <w:t xml:space="preserve"> namen de RSF met artilleriegeschut de hoofdstad El Obeid onder </w:t>
            </w:r>
            <w:r w:rsidRPr="00290188" w:rsidR="001038CF">
              <w:t>v</w:t>
            </w:r>
            <w:r w:rsidRPr="00290188">
              <w:t>uur. Deze willekeurige beschietingen troffen burgerdoelen zoals woonwijken en scholen;</w:t>
            </w:r>
          </w:p>
          <w:p w:rsidRPr="00290188" w:rsidR="003C43A1" w:rsidP="001038CF" w:rsidRDefault="001038CF" w14:paraId="341419F0" w14:textId="63B5154E">
            <w:pPr>
              <w:pStyle w:val="broodtekst"/>
              <w:numPr>
                <w:ilvl w:val="0"/>
                <w:numId w:val="1"/>
              </w:numPr>
            </w:pPr>
            <w:r w:rsidRPr="00290188">
              <w:t>Ook pleegden de RSF vele aanvallen op andere gebieden</w:t>
            </w:r>
            <w:r w:rsidRPr="00290188" w:rsidR="00B35014">
              <w:t xml:space="preserve"> in Noord-</w:t>
            </w:r>
            <w:proofErr w:type="spellStart"/>
            <w:r w:rsidRPr="00290188" w:rsidR="00B35014">
              <w:t>Kordofan</w:t>
            </w:r>
            <w:proofErr w:type="spellEnd"/>
            <w:r w:rsidRPr="00290188">
              <w:t xml:space="preserve">. Zo pleegden zij een reeks aanvallen op diverse dorpen </w:t>
            </w:r>
            <w:r w:rsidRPr="00290188" w:rsidR="003C43A1">
              <w:t xml:space="preserve">tussen 10 en 13 juni 2025. Dorpen werden platgebrand of onder vuur genomen </w:t>
            </w:r>
            <w:r w:rsidRPr="00290188" w:rsidR="007608C6">
              <w:t xml:space="preserve">met </w:t>
            </w:r>
            <w:r w:rsidRPr="00290188" w:rsidR="003C43A1">
              <w:t>gevechtsdrones, burgers werden beschoten</w:t>
            </w:r>
            <w:r w:rsidRPr="00290188">
              <w:t xml:space="preserve">, </w:t>
            </w:r>
            <w:r w:rsidRPr="00290188" w:rsidR="003C43A1">
              <w:t>neergestoken</w:t>
            </w:r>
            <w:r w:rsidRPr="00290188">
              <w:t xml:space="preserve"> of zaten vast in brandende huizen</w:t>
            </w:r>
            <w:r w:rsidRPr="00290188" w:rsidR="003C43A1">
              <w:t xml:space="preserve">. In deze reeks aanvallen, die onderdeel waren van een grotere geweldsescalatie in heel </w:t>
            </w:r>
            <w:proofErr w:type="spellStart"/>
            <w:r w:rsidRPr="00290188" w:rsidR="003C43A1">
              <w:t>Kordofan</w:t>
            </w:r>
            <w:proofErr w:type="spellEnd"/>
            <w:r w:rsidRPr="00290188" w:rsidR="003C43A1">
              <w:t xml:space="preserve">, </w:t>
            </w:r>
            <w:r w:rsidRPr="00290188">
              <w:t>doodde de RSF h</w:t>
            </w:r>
            <w:r w:rsidRPr="00290188" w:rsidR="003C43A1">
              <w:t>onderden burgers</w:t>
            </w:r>
            <w:r w:rsidRPr="00290188">
              <w:t>, waaronder kinderen en zwangere vrouwen</w:t>
            </w:r>
            <w:r w:rsidRPr="00290188" w:rsidR="003C43A1">
              <w:t>. In deze dorpen bevonden zich geen militaire doelen.</w:t>
            </w:r>
          </w:p>
          <w:p w:rsidRPr="00290188" w:rsidR="00B35014" w:rsidP="001038CF" w:rsidRDefault="00B35014" w14:paraId="65966A43" w14:textId="43B13FA1">
            <w:pPr>
              <w:pStyle w:val="broodtekst"/>
              <w:numPr>
                <w:ilvl w:val="0"/>
                <w:numId w:val="1"/>
              </w:numPr>
            </w:pPr>
            <w:r w:rsidRPr="00290188">
              <w:t xml:space="preserve">De SAF pleegden luchtaanvallen in </w:t>
            </w:r>
            <w:r w:rsidRPr="00290188" w:rsidR="00845A8D">
              <w:t xml:space="preserve">alle drie de </w:t>
            </w:r>
            <w:proofErr w:type="spellStart"/>
            <w:r w:rsidRPr="00290188" w:rsidR="00845A8D">
              <w:t>Kordofan</w:t>
            </w:r>
            <w:proofErr w:type="spellEnd"/>
            <w:r w:rsidRPr="00290188" w:rsidR="007608C6">
              <w:t>-</w:t>
            </w:r>
            <w:r w:rsidRPr="00290188" w:rsidR="00845A8D">
              <w:t>staten, op o.a. dorpen die geenszins bij een frontlinie in de buurt lagen en specifieke burgerdoelen als een school, markt en paspo</w:t>
            </w:r>
            <w:r w:rsidRPr="00290188" w:rsidR="007608C6">
              <w:t>o</w:t>
            </w:r>
            <w:r w:rsidRPr="00290188" w:rsidR="00845A8D">
              <w:t>rtregistratiecentrum.</w:t>
            </w:r>
            <w:r w:rsidRPr="00290188" w:rsidR="00845A8D">
              <w:rPr>
                <w:rStyle w:val="Voetnootmarkering"/>
              </w:rPr>
              <w:footnoteReference w:id="14"/>
            </w:r>
          </w:p>
          <w:p w:rsidRPr="00290188" w:rsidR="006471B5" w:rsidP="00E62C4E" w:rsidRDefault="00B35014" w14:paraId="2197C59F" w14:textId="1DCBCD44">
            <w:pPr>
              <w:pStyle w:val="broodtekst"/>
              <w:numPr>
                <w:ilvl w:val="0"/>
                <w:numId w:val="1"/>
              </w:numPr>
            </w:pPr>
            <w:r w:rsidRPr="00290188">
              <w:t>In Zuid-</w:t>
            </w:r>
            <w:proofErr w:type="spellStart"/>
            <w:r w:rsidRPr="00290188">
              <w:t>Kordofan</w:t>
            </w:r>
            <w:proofErr w:type="spellEnd"/>
            <w:r w:rsidRPr="00290188">
              <w:t xml:space="preserve"> werden dorpen rondom </w:t>
            </w:r>
            <w:proofErr w:type="spellStart"/>
            <w:r w:rsidRPr="00290188">
              <w:t>Habila</w:t>
            </w:r>
            <w:proofErr w:type="spellEnd"/>
            <w:r w:rsidRPr="00290188">
              <w:t xml:space="preserve"> </w:t>
            </w:r>
            <w:r w:rsidRPr="00290188" w:rsidR="00845A8D">
              <w:t xml:space="preserve">en Dilling </w:t>
            </w:r>
            <w:r w:rsidRPr="00290188">
              <w:t xml:space="preserve">bestormd door de RSF waarbij tientallen burgers gedood werden en dorpen </w:t>
            </w:r>
            <w:r w:rsidRPr="00290188" w:rsidR="00845A8D">
              <w:t xml:space="preserve">actief </w:t>
            </w:r>
            <w:r w:rsidRPr="00290188">
              <w:t>werden platgebrand.</w:t>
            </w:r>
            <w:r w:rsidRPr="00290188">
              <w:rPr>
                <w:rStyle w:val="Voetnootmarkering"/>
              </w:rPr>
              <w:footnoteReference w:id="15"/>
            </w:r>
            <w:r w:rsidRPr="00290188" w:rsidR="006471B5">
              <w:t xml:space="preserve"> </w:t>
            </w:r>
          </w:p>
        </w:tc>
      </w:tr>
      <w:tr w:rsidRPr="00290188" w:rsidR="00147976" w:rsidTr="00B73F69" w14:paraId="0705A308" w14:textId="77777777">
        <w:tc>
          <w:tcPr>
            <w:tcW w:w="2263" w:type="dxa"/>
          </w:tcPr>
          <w:p w:rsidRPr="00290188" w:rsidR="00147976" w:rsidP="00B73F69" w:rsidRDefault="00147976" w14:paraId="4B364B60" w14:textId="77777777">
            <w:pPr>
              <w:pStyle w:val="broodtekst"/>
            </w:pPr>
            <w:r w:rsidRPr="00290188">
              <w:t>Aantal geweldsincidenten</w:t>
            </w:r>
          </w:p>
        </w:tc>
        <w:tc>
          <w:tcPr>
            <w:tcW w:w="6804" w:type="dxa"/>
          </w:tcPr>
          <w:p w:rsidRPr="00290188" w:rsidR="00832221" w:rsidP="00E62C4E" w:rsidRDefault="00832221" w14:paraId="4B730887"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827"/>
              <w:gridCol w:w="850"/>
              <w:gridCol w:w="1288"/>
            </w:tblGrid>
            <w:tr w:rsidRPr="00290188" w:rsidR="00832221" w:rsidTr="00316EAD" w14:paraId="58CFC26D" w14:textId="77777777">
              <w:trPr>
                <w:trHeight w:val="123"/>
                <w:jc w:val="center"/>
              </w:trPr>
              <w:tc>
                <w:tcPr>
                  <w:tcW w:w="0" w:type="auto"/>
                </w:tcPr>
                <w:p w:rsidRPr="00290188" w:rsidR="00832221" w:rsidP="00832221" w:rsidRDefault="00832221" w14:paraId="171B057D" w14:textId="77777777">
                  <w:pPr>
                    <w:pStyle w:val="Default"/>
                    <w:rPr>
                      <w:b/>
                      <w:bCs/>
                      <w:sz w:val="18"/>
                      <w:szCs w:val="18"/>
                    </w:rPr>
                  </w:pPr>
                </w:p>
              </w:tc>
              <w:tc>
                <w:tcPr>
                  <w:tcW w:w="827" w:type="dxa"/>
                </w:tcPr>
                <w:p w:rsidRPr="00290188" w:rsidR="00832221" w:rsidP="00832221" w:rsidRDefault="00832221" w14:paraId="02AE42F6" w14:textId="77777777">
                  <w:pPr>
                    <w:pStyle w:val="Default"/>
                    <w:rPr>
                      <w:b/>
                      <w:bCs/>
                      <w:sz w:val="18"/>
                      <w:szCs w:val="18"/>
                    </w:rPr>
                  </w:pPr>
                  <w:r w:rsidRPr="00290188">
                    <w:rPr>
                      <w:b/>
                      <w:bCs/>
                      <w:sz w:val="18"/>
                      <w:szCs w:val="18"/>
                    </w:rPr>
                    <w:t>2023</w:t>
                  </w:r>
                </w:p>
              </w:tc>
              <w:tc>
                <w:tcPr>
                  <w:tcW w:w="850" w:type="dxa"/>
                </w:tcPr>
                <w:p w:rsidRPr="00290188" w:rsidR="00832221" w:rsidP="00832221" w:rsidRDefault="00832221" w14:paraId="724B93D5" w14:textId="77777777">
                  <w:pPr>
                    <w:pStyle w:val="Default"/>
                    <w:rPr>
                      <w:b/>
                      <w:bCs/>
                      <w:sz w:val="18"/>
                      <w:szCs w:val="18"/>
                    </w:rPr>
                  </w:pPr>
                  <w:r w:rsidRPr="00290188">
                    <w:rPr>
                      <w:b/>
                      <w:bCs/>
                      <w:sz w:val="18"/>
                      <w:szCs w:val="18"/>
                    </w:rPr>
                    <w:t>2024</w:t>
                  </w:r>
                </w:p>
              </w:tc>
              <w:tc>
                <w:tcPr>
                  <w:tcW w:w="1288" w:type="dxa"/>
                </w:tcPr>
                <w:p w:rsidRPr="00290188" w:rsidR="00832221" w:rsidP="00832221" w:rsidRDefault="00832221" w14:paraId="5873429F" w14:textId="40329854">
                  <w:pPr>
                    <w:pStyle w:val="Default"/>
                    <w:rPr>
                      <w:b/>
                      <w:bCs/>
                      <w:sz w:val="18"/>
                      <w:szCs w:val="18"/>
                    </w:rPr>
                  </w:pPr>
                  <w:r w:rsidRPr="00290188">
                    <w:rPr>
                      <w:b/>
                      <w:bCs/>
                      <w:sz w:val="18"/>
                      <w:szCs w:val="18"/>
                    </w:rPr>
                    <w:t xml:space="preserve">2025 t/m </w:t>
                  </w:r>
                  <w:r w:rsidRPr="00290188" w:rsidR="001D0DC1">
                    <w:rPr>
                      <w:b/>
                      <w:bCs/>
                      <w:sz w:val="18"/>
                      <w:szCs w:val="18"/>
                    </w:rPr>
                    <w:t xml:space="preserve">8 </w:t>
                  </w:r>
                  <w:r w:rsidRPr="00290188">
                    <w:rPr>
                      <w:b/>
                      <w:bCs/>
                      <w:sz w:val="18"/>
                      <w:szCs w:val="18"/>
                    </w:rPr>
                    <w:t>aug</w:t>
                  </w:r>
                </w:p>
              </w:tc>
            </w:tr>
            <w:tr w:rsidRPr="00290188" w:rsidR="00832221" w:rsidTr="00316EAD" w14:paraId="585CC714" w14:textId="77777777">
              <w:trPr>
                <w:trHeight w:val="123"/>
                <w:jc w:val="center"/>
              </w:trPr>
              <w:tc>
                <w:tcPr>
                  <w:tcW w:w="0" w:type="auto"/>
                </w:tcPr>
                <w:p w:rsidRPr="00290188" w:rsidR="00832221" w:rsidP="00832221" w:rsidRDefault="00832221" w14:paraId="3562A252" w14:textId="337F4CE2">
                  <w:pPr>
                    <w:pStyle w:val="Default"/>
                    <w:rPr>
                      <w:sz w:val="18"/>
                      <w:szCs w:val="18"/>
                    </w:rPr>
                  </w:pPr>
                  <w:r w:rsidRPr="00290188">
                    <w:rPr>
                      <w:b/>
                      <w:bCs/>
                      <w:sz w:val="18"/>
                      <w:szCs w:val="18"/>
                    </w:rPr>
                    <w:t>Noord-</w:t>
                  </w:r>
                  <w:proofErr w:type="spellStart"/>
                  <w:r w:rsidRPr="00290188">
                    <w:rPr>
                      <w:b/>
                      <w:bCs/>
                      <w:sz w:val="18"/>
                      <w:szCs w:val="18"/>
                    </w:rPr>
                    <w:t>Kordofan</w:t>
                  </w:r>
                  <w:proofErr w:type="spellEnd"/>
                  <w:r w:rsidRPr="00290188">
                    <w:rPr>
                      <w:b/>
                      <w:bCs/>
                      <w:sz w:val="18"/>
                      <w:szCs w:val="18"/>
                    </w:rPr>
                    <w:t xml:space="preserve"> </w:t>
                  </w:r>
                </w:p>
              </w:tc>
              <w:tc>
                <w:tcPr>
                  <w:tcW w:w="827" w:type="dxa"/>
                </w:tcPr>
                <w:p w:rsidRPr="00290188" w:rsidR="00832221" w:rsidP="00832221" w:rsidRDefault="001D0DC1" w14:paraId="23F9EBA6" w14:textId="070A5A78">
                  <w:pPr>
                    <w:pStyle w:val="Default"/>
                    <w:rPr>
                      <w:b/>
                      <w:bCs/>
                      <w:sz w:val="18"/>
                      <w:szCs w:val="18"/>
                    </w:rPr>
                  </w:pPr>
                  <w:r w:rsidRPr="00290188">
                    <w:rPr>
                      <w:b/>
                      <w:bCs/>
                      <w:sz w:val="18"/>
                      <w:szCs w:val="18"/>
                    </w:rPr>
                    <w:t>170</w:t>
                  </w:r>
                </w:p>
              </w:tc>
              <w:tc>
                <w:tcPr>
                  <w:tcW w:w="850" w:type="dxa"/>
                </w:tcPr>
                <w:p w:rsidRPr="00290188" w:rsidR="00832221" w:rsidP="00832221" w:rsidRDefault="001D0DC1" w14:paraId="45D1FA33" w14:textId="247A2E56">
                  <w:pPr>
                    <w:pStyle w:val="Default"/>
                    <w:rPr>
                      <w:b/>
                      <w:bCs/>
                      <w:sz w:val="18"/>
                      <w:szCs w:val="18"/>
                    </w:rPr>
                  </w:pPr>
                  <w:r w:rsidRPr="00290188">
                    <w:rPr>
                      <w:b/>
                      <w:bCs/>
                      <w:sz w:val="18"/>
                      <w:szCs w:val="18"/>
                    </w:rPr>
                    <w:t>185</w:t>
                  </w:r>
                </w:p>
              </w:tc>
              <w:tc>
                <w:tcPr>
                  <w:tcW w:w="1288" w:type="dxa"/>
                </w:tcPr>
                <w:p w:rsidRPr="00290188" w:rsidR="00832221" w:rsidP="00832221" w:rsidRDefault="001D0DC1" w14:paraId="23784787" w14:textId="7540E847">
                  <w:pPr>
                    <w:pStyle w:val="Default"/>
                    <w:rPr>
                      <w:b/>
                      <w:bCs/>
                      <w:sz w:val="18"/>
                      <w:szCs w:val="18"/>
                    </w:rPr>
                  </w:pPr>
                  <w:r w:rsidRPr="00290188">
                    <w:rPr>
                      <w:b/>
                      <w:bCs/>
                      <w:sz w:val="18"/>
                      <w:szCs w:val="18"/>
                    </w:rPr>
                    <w:t>308</w:t>
                  </w:r>
                </w:p>
              </w:tc>
            </w:tr>
            <w:tr w:rsidRPr="00290188" w:rsidR="00832221" w:rsidTr="00316EAD" w14:paraId="2DB18322" w14:textId="77777777">
              <w:trPr>
                <w:trHeight w:val="121"/>
                <w:jc w:val="center"/>
              </w:trPr>
              <w:tc>
                <w:tcPr>
                  <w:tcW w:w="0" w:type="auto"/>
                </w:tcPr>
                <w:p w:rsidRPr="00290188" w:rsidR="00832221" w:rsidP="00832221" w:rsidRDefault="00832221" w14:paraId="7A4E3D94" w14:textId="77777777">
                  <w:pPr>
                    <w:pStyle w:val="Default"/>
                    <w:rPr>
                      <w:sz w:val="18"/>
                      <w:szCs w:val="18"/>
                    </w:rPr>
                  </w:pPr>
                  <w:r w:rsidRPr="00290188">
                    <w:rPr>
                      <w:sz w:val="18"/>
                      <w:szCs w:val="18"/>
                    </w:rPr>
                    <w:t xml:space="preserve">Gevechten </w:t>
                  </w:r>
                </w:p>
              </w:tc>
              <w:tc>
                <w:tcPr>
                  <w:tcW w:w="827" w:type="dxa"/>
                </w:tcPr>
                <w:p w:rsidRPr="00290188" w:rsidR="00832221" w:rsidP="00832221" w:rsidRDefault="001D0DC1" w14:paraId="269D4583" w14:textId="3C7C3B4C">
                  <w:pPr>
                    <w:pStyle w:val="Default"/>
                    <w:rPr>
                      <w:sz w:val="18"/>
                      <w:szCs w:val="18"/>
                    </w:rPr>
                  </w:pPr>
                  <w:r w:rsidRPr="00290188">
                    <w:rPr>
                      <w:sz w:val="18"/>
                      <w:szCs w:val="18"/>
                    </w:rPr>
                    <w:t>93</w:t>
                  </w:r>
                </w:p>
              </w:tc>
              <w:tc>
                <w:tcPr>
                  <w:tcW w:w="850" w:type="dxa"/>
                </w:tcPr>
                <w:p w:rsidRPr="00290188" w:rsidR="00832221" w:rsidP="00832221" w:rsidRDefault="001D0DC1" w14:paraId="7A80780C" w14:textId="324EB253">
                  <w:pPr>
                    <w:pStyle w:val="Default"/>
                    <w:rPr>
                      <w:sz w:val="18"/>
                      <w:szCs w:val="18"/>
                    </w:rPr>
                  </w:pPr>
                  <w:r w:rsidRPr="00290188">
                    <w:rPr>
                      <w:sz w:val="18"/>
                      <w:szCs w:val="18"/>
                    </w:rPr>
                    <w:t>75</w:t>
                  </w:r>
                </w:p>
              </w:tc>
              <w:tc>
                <w:tcPr>
                  <w:tcW w:w="1288" w:type="dxa"/>
                </w:tcPr>
                <w:p w:rsidRPr="00290188" w:rsidR="00832221" w:rsidP="00832221" w:rsidRDefault="001D0DC1" w14:paraId="2D8A4CD0" w14:textId="29FB3CD6">
                  <w:pPr>
                    <w:pStyle w:val="Default"/>
                    <w:rPr>
                      <w:sz w:val="18"/>
                      <w:szCs w:val="18"/>
                    </w:rPr>
                  </w:pPr>
                  <w:r w:rsidRPr="00290188">
                    <w:rPr>
                      <w:sz w:val="18"/>
                      <w:szCs w:val="18"/>
                    </w:rPr>
                    <w:t>90</w:t>
                  </w:r>
                </w:p>
              </w:tc>
            </w:tr>
            <w:tr w:rsidRPr="00290188" w:rsidR="00832221" w:rsidTr="00316EAD" w14:paraId="36F66F29" w14:textId="77777777">
              <w:trPr>
                <w:trHeight w:val="121"/>
                <w:jc w:val="center"/>
              </w:trPr>
              <w:tc>
                <w:tcPr>
                  <w:tcW w:w="0" w:type="auto"/>
                </w:tcPr>
                <w:p w:rsidRPr="00290188" w:rsidR="00832221" w:rsidP="00832221" w:rsidRDefault="00832221" w14:paraId="0E007257" w14:textId="77777777">
                  <w:pPr>
                    <w:pStyle w:val="Default"/>
                    <w:rPr>
                      <w:sz w:val="18"/>
                      <w:szCs w:val="18"/>
                    </w:rPr>
                  </w:pPr>
                  <w:r w:rsidRPr="00290188">
                    <w:rPr>
                      <w:sz w:val="18"/>
                      <w:szCs w:val="18"/>
                    </w:rPr>
                    <w:t xml:space="preserve">Explosies/geweld op afstand </w:t>
                  </w:r>
                </w:p>
              </w:tc>
              <w:tc>
                <w:tcPr>
                  <w:tcW w:w="827" w:type="dxa"/>
                </w:tcPr>
                <w:p w:rsidRPr="00290188" w:rsidR="00832221" w:rsidP="00832221" w:rsidRDefault="001D0DC1" w14:paraId="422F35EB" w14:textId="059083E9">
                  <w:pPr>
                    <w:pStyle w:val="Default"/>
                    <w:rPr>
                      <w:sz w:val="18"/>
                      <w:szCs w:val="18"/>
                    </w:rPr>
                  </w:pPr>
                  <w:r w:rsidRPr="00290188">
                    <w:rPr>
                      <w:sz w:val="18"/>
                      <w:szCs w:val="18"/>
                    </w:rPr>
                    <w:t>32</w:t>
                  </w:r>
                </w:p>
              </w:tc>
              <w:tc>
                <w:tcPr>
                  <w:tcW w:w="850" w:type="dxa"/>
                </w:tcPr>
                <w:p w:rsidRPr="00290188" w:rsidR="00832221" w:rsidP="00832221" w:rsidRDefault="001D0DC1" w14:paraId="283448B2" w14:textId="34DC82F8">
                  <w:pPr>
                    <w:pStyle w:val="Default"/>
                    <w:rPr>
                      <w:sz w:val="18"/>
                      <w:szCs w:val="18"/>
                    </w:rPr>
                  </w:pPr>
                  <w:r w:rsidRPr="00290188">
                    <w:rPr>
                      <w:sz w:val="18"/>
                      <w:szCs w:val="18"/>
                    </w:rPr>
                    <w:t>43</w:t>
                  </w:r>
                </w:p>
              </w:tc>
              <w:tc>
                <w:tcPr>
                  <w:tcW w:w="1288" w:type="dxa"/>
                </w:tcPr>
                <w:p w:rsidRPr="00290188" w:rsidR="00832221" w:rsidP="00832221" w:rsidRDefault="001D0DC1" w14:paraId="78D5A3B6" w14:textId="1D776383">
                  <w:pPr>
                    <w:pStyle w:val="Default"/>
                    <w:rPr>
                      <w:sz w:val="18"/>
                      <w:szCs w:val="18"/>
                    </w:rPr>
                  </w:pPr>
                  <w:r w:rsidRPr="00290188">
                    <w:rPr>
                      <w:sz w:val="18"/>
                      <w:szCs w:val="18"/>
                    </w:rPr>
                    <w:t>131</w:t>
                  </w:r>
                </w:p>
              </w:tc>
            </w:tr>
            <w:tr w:rsidRPr="00290188" w:rsidR="00832221" w:rsidTr="00316EAD" w14:paraId="5D147B57" w14:textId="77777777">
              <w:trPr>
                <w:trHeight w:val="121"/>
                <w:jc w:val="center"/>
              </w:trPr>
              <w:tc>
                <w:tcPr>
                  <w:tcW w:w="0" w:type="auto"/>
                </w:tcPr>
                <w:p w:rsidRPr="00290188" w:rsidR="00832221" w:rsidP="00832221" w:rsidRDefault="00832221" w14:paraId="27133D0E" w14:textId="77777777">
                  <w:pPr>
                    <w:pStyle w:val="Default"/>
                    <w:rPr>
                      <w:sz w:val="18"/>
                      <w:szCs w:val="18"/>
                    </w:rPr>
                  </w:pPr>
                  <w:r w:rsidRPr="00290188">
                    <w:rPr>
                      <w:sz w:val="18"/>
                      <w:szCs w:val="18"/>
                    </w:rPr>
                    <w:t xml:space="preserve">Geweld tegen burgers </w:t>
                  </w:r>
                </w:p>
              </w:tc>
              <w:tc>
                <w:tcPr>
                  <w:tcW w:w="827" w:type="dxa"/>
                </w:tcPr>
                <w:p w:rsidRPr="00290188" w:rsidR="00832221" w:rsidP="00832221" w:rsidRDefault="001D0DC1" w14:paraId="281A0EAA" w14:textId="58B72647">
                  <w:pPr>
                    <w:pStyle w:val="Default"/>
                    <w:rPr>
                      <w:sz w:val="18"/>
                      <w:szCs w:val="18"/>
                    </w:rPr>
                  </w:pPr>
                  <w:r w:rsidRPr="00290188">
                    <w:rPr>
                      <w:sz w:val="18"/>
                      <w:szCs w:val="18"/>
                    </w:rPr>
                    <w:t>45</w:t>
                  </w:r>
                </w:p>
              </w:tc>
              <w:tc>
                <w:tcPr>
                  <w:tcW w:w="850" w:type="dxa"/>
                </w:tcPr>
                <w:p w:rsidRPr="00290188" w:rsidR="00832221" w:rsidP="00832221" w:rsidRDefault="001D0DC1" w14:paraId="0AB15BAA" w14:textId="5D5BE390">
                  <w:pPr>
                    <w:pStyle w:val="Default"/>
                    <w:rPr>
                      <w:sz w:val="18"/>
                      <w:szCs w:val="18"/>
                    </w:rPr>
                  </w:pPr>
                  <w:r w:rsidRPr="00290188">
                    <w:rPr>
                      <w:sz w:val="18"/>
                      <w:szCs w:val="18"/>
                    </w:rPr>
                    <w:t>67</w:t>
                  </w:r>
                </w:p>
              </w:tc>
              <w:tc>
                <w:tcPr>
                  <w:tcW w:w="1288" w:type="dxa"/>
                </w:tcPr>
                <w:p w:rsidRPr="00290188" w:rsidR="00832221" w:rsidP="00832221" w:rsidRDefault="001D0DC1" w14:paraId="51163C4F" w14:textId="5A75E43C">
                  <w:pPr>
                    <w:pStyle w:val="Default"/>
                    <w:rPr>
                      <w:sz w:val="18"/>
                      <w:szCs w:val="18"/>
                    </w:rPr>
                  </w:pPr>
                  <w:r w:rsidRPr="00290188">
                    <w:rPr>
                      <w:sz w:val="18"/>
                      <w:szCs w:val="18"/>
                    </w:rPr>
                    <w:t>87</w:t>
                  </w:r>
                </w:p>
              </w:tc>
            </w:tr>
            <w:tr w:rsidRPr="00290188" w:rsidR="00832221" w:rsidTr="00316EAD" w14:paraId="2C76D427" w14:textId="77777777">
              <w:trPr>
                <w:trHeight w:val="123"/>
                <w:jc w:val="center"/>
              </w:trPr>
              <w:tc>
                <w:tcPr>
                  <w:tcW w:w="0" w:type="auto"/>
                </w:tcPr>
                <w:p w:rsidRPr="00290188" w:rsidR="00832221" w:rsidP="00832221" w:rsidRDefault="00832221" w14:paraId="75CC8DDF" w14:textId="33FC5455">
                  <w:pPr>
                    <w:pStyle w:val="Default"/>
                    <w:rPr>
                      <w:sz w:val="18"/>
                      <w:szCs w:val="18"/>
                    </w:rPr>
                  </w:pPr>
                  <w:r w:rsidRPr="00290188">
                    <w:rPr>
                      <w:b/>
                      <w:bCs/>
                      <w:sz w:val="18"/>
                      <w:szCs w:val="18"/>
                    </w:rPr>
                    <w:t>Zuid-</w:t>
                  </w:r>
                  <w:proofErr w:type="spellStart"/>
                  <w:r w:rsidRPr="00290188">
                    <w:rPr>
                      <w:b/>
                      <w:bCs/>
                      <w:sz w:val="18"/>
                      <w:szCs w:val="18"/>
                    </w:rPr>
                    <w:t>Kordofan</w:t>
                  </w:r>
                  <w:proofErr w:type="spellEnd"/>
                  <w:r w:rsidRPr="00290188">
                    <w:rPr>
                      <w:b/>
                      <w:bCs/>
                      <w:sz w:val="18"/>
                      <w:szCs w:val="18"/>
                    </w:rPr>
                    <w:t xml:space="preserve"> </w:t>
                  </w:r>
                </w:p>
              </w:tc>
              <w:tc>
                <w:tcPr>
                  <w:tcW w:w="827" w:type="dxa"/>
                </w:tcPr>
                <w:p w:rsidRPr="00290188" w:rsidR="00832221" w:rsidP="00832221" w:rsidRDefault="001D0DC1" w14:paraId="436B98FA" w14:textId="41BA83F2">
                  <w:pPr>
                    <w:pStyle w:val="Default"/>
                    <w:rPr>
                      <w:b/>
                      <w:bCs/>
                      <w:sz w:val="18"/>
                      <w:szCs w:val="18"/>
                    </w:rPr>
                  </w:pPr>
                  <w:r w:rsidRPr="00290188">
                    <w:rPr>
                      <w:b/>
                      <w:bCs/>
                      <w:sz w:val="18"/>
                      <w:szCs w:val="18"/>
                    </w:rPr>
                    <w:t>136</w:t>
                  </w:r>
                </w:p>
              </w:tc>
              <w:tc>
                <w:tcPr>
                  <w:tcW w:w="850" w:type="dxa"/>
                </w:tcPr>
                <w:p w:rsidRPr="00290188" w:rsidR="00832221" w:rsidP="00832221" w:rsidRDefault="001D0DC1" w14:paraId="11D87721" w14:textId="49E34B56">
                  <w:pPr>
                    <w:pStyle w:val="Default"/>
                    <w:rPr>
                      <w:b/>
                      <w:bCs/>
                      <w:sz w:val="18"/>
                      <w:szCs w:val="18"/>
                    </w:rPr>
                  </w:pPr>
                  <w:r w:rsidRPr="00290188">
                    <w:rPr>
                      <w:b/>
                      <w:bCs/>
                      <w:sz w:val="18"/>
                      <w:szCs w:val="18"/>
                    </w:rPr>
                    <w:t>130</w:t>
                  </w:r>
                </w:p>
              </w:tc>
              <w:tc>
                <w:tcPr>
                  <w:tcW w:w="1288" w:type="dxa"/>
                </w:tcPr>
                <w:p w:rsidRPr="00290188" w:rsidR="00832221" w:rsidP="00832221" w:rsidRDefault="001D0DC1" w14:paraId="385EEB54" w14:textId="4CA7E6CA">
                  <w:pPr>
                    <w:pStyle w:val="Default"/>
                    <w:rPr>
                      <w:b/>
                      <w:bCs/>
                      <w:sz w:val="18"/>
                      <w:szCs w:val="18"/>
                    </w:rPr>
                  </w:pPr>
                  <w:r w:rsidRPr="00290188">
                    <w:rPr>
                      <w:b/>
                      <w:bCs/>
                      <w:sz w:val="18"/>
                      <w:szCs w:val="18"/>
                    </w:rPr>
                    <w:t>133</w:t>
                  </w:r>
                </w:p>
              </w:tc>
            </w:tr>
            <w:tr w:rsidRPr="00290188" w:rsidR="00832221" w:rsidTr="00316EAD" w14:paraId="6C0B7A43" w14:textId="77777777">
              <w:trPr>
                <w:trHeight w:val="121"/>
                <w:jc w:val="center"/>
              </w:trPr>
              <w:tc>
                <w:tcPr>
                  <w:tcW w:w="0" w:type="auto"/>
                </w:tcPr>
                <w:p w:rsidRPr="00290188" w:rsidR="00832221" w:rsidP="00832221" w:rsidRDefault="00832221" w14:paraId="65B59F74" w14:textId="77777777">
                  <w:pPr>
                    <w:pStyle w:val="Default"/>
                    <w:rPr>
                      <w:sz w:val="18"/>
                      <w:szCs w:val="18"/>
                    </w:rPr>
                  </w:pPr>
                  <w:r w:rsidRPr="00290188">
                    <w:rPr>
                      <w:sz w:val="18"/>
                      <w:szCs w:val="18"/>
                    </w:rPr>
                    <w:t xml:space="preserve">Gevechten </w:t>
                  </w:r>
                </w:p>
              </w:tc>
              <w:tc>
                <w:tcPr>
                  <w:tcW w:w="827" w:type="dxa"/>
                </w:tcPr>
                <w:p w:rsidRPr="00290188" w:rsidR="00832221" w:rsidP="00832221" w:rsidRDefault="001D0DC1" w14:paraId="03B30354" w14:textId="4FA2A950">
                  <w:pPr>
                    <w:pStyle w:val="Default"/>
                    <w:rPr>
                      <w:sz w:val="18"/>
                      <w:szCs w:val="18"/>
                    </w:rPr>
                  </w:pPr>
                  <w:r w:rsidRPr="00290188">
                    <w:rPr>
                      <w:sz w:val="18"/>
                      <w:szCs w:val="18"/>
                    </w:rPr>
                    <w:t>88</w:t>
                  </w:r>
                </w:p>
              </w:tc>
              <w:tc>
                <w:tcPr>
                  <w:tcW w:w="850" w:type="dxa"/>
                </w:tcPr>
                <w:p w:rsidRPr="00290188" w:rsidR="00832221" w:rsidP="00832221" w:rsidRDefault="001D0DC1" w14:paraId="05936D5C" w14:textId="4F46C156">
                  <w:pPr>
                    <w:pStyle w:val="Default"/>
                    <w:rPr>
                      <w:sz w:val="18"/>
                      <w:szCs w:val="18"/>
                    </w:rPr>
                  </w:pPr>
                  <w:r w:rsidRPr="00290188">
                    <w:rPr>
                      <w:sz w:val="18"/>
                      <w:szCs w:val="18"/>
                    </w:rPr>
                    <w:t>46</w:t>
                  </w:r>
                </w:p>
              </w:tc>
              <w:tc>
                <w:tcPr>
                  <w:tcW w:w="1288" w:type="dxa"/>
                </w:tcPr>
                <w:p w:rsidRPr="00290188" w:rsidR="00832221" w:rsidP="00832221" w:rsidRDefault="001D0DC1" w14:paraId="03D70C9C" w14:textId="516933FC">
                  <w:pPr>
                    <w:pStyle w:val="Default"/>
                    <w:rPr>
                      <w:sz w:val="18"/>
                      <w:szCs w:val="18"/>
                    </w:rPr>
                  </w:pPr>
                  <w:r w:rsidRPr="00290188">
                    <w:rPr>
                      <w:sz w:val="18"/>
                      <w:szCs w:val="18"/>
                    </w:rPr>
                    <w:t>69</w:t>
                  </w:r>
                </w:p>
              </w:tc>
            </w:tr>
            <w:tr w:rsidRPr="00290188" w:rsidR="00832221" w:rsidTr="00316EAD" w14:paraId="5B5C48C1" w14:textId="77777777">
              <w:trPr>
                <w:trHeight w:val="121"/>
                <w:jc w:val="center"/>
              </w:trPr>
              <w:tc>
                <w:tcPr>
                  <w:tcW w:w="0" w:type="auto"/>
                </w:tcPr>
                <w:p w:rsidRPr="00290188" w:rsidR="00832221" w:rsidP="00832221" w:rsidRDefault="00832221" w14:paraId="0F5E4205" w14:textId="77777777">
                  <w:pPr>
                    <w:pStyle w:val="Default"/>
                    <w:rPr>
                      <w:sz w:val="18"/>
                      <w:szCs w:val="18"/>
                    </w:rPr>
                  </w:pPr>
                  <w:r w:rsidRPr="00290188">
                    <w:rPr>
                      <w:sz w:val="18"/>
                      <w:szCs w:val="18"/>
                    </w:rPr>
                    <w:lastRenderedPageBreak/>
                    <w:t xml:space="preserve">Explosies/geweld op afstand </w:t>
                  </w:r>
                </w:p>
              </w:tc>
              <w:tc>
                <w:tcPr>
                  <w:tcW w:w="827" w:type="dxa"/>
                </w:tcPr>
                <w:p w:rsidRPr="00290188" w:rsidR="00832221" w:rsidP="00832221" w:rsidRDefault="001D0DC1" w14:paraId="2E178007" w14:textId="461D2850">
                  <w:pPr>
                    <w:pStyle w:val="Default"/>
                    <w:rPr>
                      <w:sz w:val="18"/>
                      <w:szCs w:val="18"/>
                    </w:rPr>
                  </w:pPr>
                  <w:r w:rsidRPr="00290188">
                    <w:rPr>
                      <w:sz w:val="18"/>
                      <w:szCs w:val="18"/>
                    </w:rPr>
                    <w:t>11</w:t>
                  </w:r>
                </w:p>
              </w:tc>
              <w:tc>
                <w:tcPr>
                  <w:tcW w:w="850" w:type="dxa"/>
                </w:tcPr>
                <w:p w:rsidRPr="00290188" w:rsidR="00832221" w:rsidP="00832221" w:rsidRDefault="001D0DC1" w14:paraId="56974796" w14:textId="7BD92362">
                  <w:pPr>
                    <w:pStyle w:val="Default"/>
                    <w:rPr>
                      <w:sz w:val="18"/>
                      <w:szCs w:val="18"/>
                    </w:rPr>
                  </w:pPr>
                  <w:r w:rsidRPr="00290188">
                    <w:rPr>
                      <w:sz w:val="18"/>
                      <w:szCs w:val="18"/>
                    </w:rPr>
                    <w:t>22</w:t>
                  </w:r>
                </w:p>
              </w:tc>
              <w:tc>
                <w:tcPr>
                  <w:tcW w:w="1288" w:type="dxa"/>
                </w:tcPr>
                <w:p w:rsidRPr="00290188" w:rsidR="00832221" w:rsidP="00832221" w:rsidRDefault="001D0DC1" w14:paraId="04A2246E" w14:textId="1DC6B353">
                  <w:pPr>
                    <w:pStyle w:val="Default"/>
                    <w:rPr>
                      <w:sz w:val="18"/>
                      <w:szCs w:val="18"/>
                    </w:rPr>
                  </w:pPr>
                  <w:r w:rsidRPr="00290188">
                    <w:rPr>
                      <w:sz w:val="18"/>
                      <w:szCs w:val="18"/>
                    </w:rPr>
                    <w:t>39</w:t>
                  </w:r>
                </w:p>
              </w:tc>
            </w:tr>
            <w:tr w:rsidRPr="00290188" w:rsidR="00832221" w:rsidTr="00316EAD" w14:paraId="0DC93234" w14:textId="77777777">
              <w:trPr>
                <w:trHeight w:val="121"/>
                <w:jc w:val="center"/>
              </w:trPr>
              <w:tc>
                <w:tcPr>
                  <w:tcW w:w="0" w:type="auto"/>
                </w:tcPr>
                <w:p w:rsidRPr="00290188" w:rsidR="00832221" w:rsidP="00832221" w:rsidRDefault="00832221" w14:paraId="7E60082C" w14:textId="77777777">
                  <w:pPr>
                    <w:pStyle w:val="Default"/>
                    <w:rPr>
                      <w:sz w:val="18"/>
                      <w:szCs w:val="18"/>
                    </w:rPr>
                  </w:pPr>
                  <w:r w:rsidRPr="00290188">
                    <w:rPr>
                      <w:sz w:val="18"/>
                      <w:szCs w:val="18"/>
                    </w:rPr>
                    <w:t>Geweld tegen burgers</w:t>
                  </w:r>
                </w:p>
              </w:tc>
              <w:tc>
                <w:tcPr>
                  <w:tcW w:w="827" w:type="dxa"/>
                </w:tcPr>
                <w:p w:rsidRPr="00290188" w:rsidR="00832221" w:rsidP="00832221" w:rsidRDefault="001D0DC1" w14:paraId="45268E0C" w14:textId="0CB227C0">
                  <w:pPr>
                    <w:pStyle w:val="Default"/>
                    <w:rPr>
                      <w:sz w:val="18"/>
                      <w:szCs w:val="18"/>
                    </w:rPr>
                  </w:pPr>
                  <w:r w:rsidRPr="00290188">
                    <w:rPr>
                      <w:sz w:val="18"/>
                      <w:szCs w:val="18"/>
                    </w:rPr>
                    <w:t>37</w:t>
                  </w:r>
                </w:p>
              </w:tc>
              <w:tc>
                <w:tcPr>
                  <w:tcW w:w="850" w:type="dxa"/>
                </w:tcPr>
                <w:p w:rsidRPr="00290188" w:rsidR="00832221" w:rsidP="00832221" w:rsidRDefault="001D0DC1" w14:paraId="73244B2E" w14:textId="4DDBFDE3">
                  <w:pPr>
                    <w:pStyle w:val="Default"/>
                    <w:rPr>
                      <w:sz w:val="18"/>
                      <w:szCs w:val="18"/>
                    </w:rPr>
                  </w:pPr>
                  <w:r w:rsidRPr="00290188">
                    <w:rPr>
                      <w:sz w:val="18"/>
                      <w:szCs w:val="18"/>
                    </w:rPr>
                    <w:t>62</w:t>
                  </w:r>
                </w:p>
              </w:tc>
              <w:tc>
                <w:tcPr>
                  <w:tcW w:w="1288" w:type="dxa"/>
                </w:tcPr>
                <w:p w:rsidRPr="00290188" w:rsidR="00832221" w:rsidP="00832221" w:rsidRDefault="001D0DC1" w14:paraId="52652855" w14:textId="50697388">
                  <w:pPr>
                    <w:pStyle w:val="Default"/>
                    <w:rPr>
                      <w:sz w:val="18"/>
                      <w:szCs w:val="18"/>
                    </w:rPr>
                  </w:pPr>
                  <w:r w:rsidRPr="00290188">
                    <w:rPr>
                      <w:sz w:val="18"/>
                      <w:szCs w:val="18"/>
                    </w:rPr>
                    <w:t>25</w:t>
                  </w:r>
                </w:p>
              </w:tc>
            </w:tr>
            <w:tr w:rsidRPr="00290188" w:rsidR="00832221" w:rsidTr="00316EAD" w14:paraId="624EE2E9" w14:textId="77777777">
              <w:trPr>
                <w:trHeight w:val="121"/>
                <w:jc w:val="center"/>
              </w:trPr>
              <w:tc>
                <w:tcPr>
                  <w:tcW w:w="0" w:type="auto"/>
                </w:tcPr>
                <w:p w:rsidRPr="00290188" w:rsidR="00832221" w:rsidP="00832221" w:rsidRDefault="00832221" w14:paraId="7A97A8E3" w14:textId="587CB594">
                  <w:pPr>
                    <w:pStyle w:val="Default"/>
                    <w:rPr>
                      <w:sz w:val="18"/>
                      <w:szCs w:val="18"/>
                    </w:rPr>
                  </w:pPr>
                  <w:r w:rsidRPr="00290188">
                    <w:rPr>
                      <w:b/>
                      <w:bCs/>
                      <w:sz w:val="18"/>
                      <w:szCs w:val="18"/>
                    </w:rPr>
                    <w:t>West-</w:t>
                  </w:r>
                  <w:proofErr w:type="spellStart"/>
                  <w:r w:rsidRPr="00290188">
                    <w:rPr>
                      <w:b/>
                      <w:bCs/>
                      <w:sz w:val="18"/>
                      <w:szCs w:val="18"/>
                    </w:rPr>
                    <w:t>Kordofan</w:t>
                  </w:r>
                  <w:proofErr w:type="spellEnd"/>
                </w:p>
              </w:tc>
              <w:tc>
                <w:tcPr>
                  <w:tcW w:w="827" w:type="dxa"/>
                </w:tcPr>
                <w:p w:rsidRPr="00290188" w:rsidR="00832221" w:rsidP="00832221" w:rsidRDefault="001D0DC1" w14:paraId="27370EEB" w14:textId="6DEC2FEA">
                  <w:pPr>
                    <w:pStyle w:val="Default"/>
                    <w:rPr>
                      <w:b/>
                      <w:bCs/>
                      <w:sz w:val="18"/>
                      <w:szCs w:val="18"/>
                    </w:rPr>
                  </w:pPr>
                  <w:r w:rsidRPr="00290188">
                    <w:rPr>
                      <w:b/>
                      <w:bCs/>
                      <w:sz w:val="18"/>
                      <w:szCs w:val="18"/>
                    </w:rPr>
                    <w:t>62</w:t>
                  </w:r>
                </w:p>
              </w:tc>
              <w:tc>
                <w:tcPr>
                  <w:tcW w:w="850" w:type="dxa"/>
                </w:tcPr>
                <w:p w:rsidRPr="00290188" w:rsidR="00832221" w:rsidP="00832221" w:rsidRDefault="001D0DC1" w14:paraId="064409FE" w14:textId="7D601894">
                  <w:pPr>
                    <w:pStyle w:val="Default"/>
                    <w:rPr>
                      <w:b/>
                      <w:bCs/>
                      <w:sz w:val="18"/>
                      <w:szCs w:val="18"/>
                    </w:rPr>
                  </w:pPr>
                  <w:r w:rsidRPr="00290188">
                    <w:rPr>
                      <w:b/>
                      <w:bCs/>
                      <w:sz w:val="18"/>
                      <w:szCs w:val="18"/>
                    </w:rPr>
                    <w:t>138</w:t>
                  </w:r>
                </w:p>
              </w:tc>
              <w:tc>
                <w:tcPr>
                  <w:tcW w:w="1288" w:type="dxa"/>
                </w:tcPr>
                <w:p w:rsidRPr="00290188" w:rsidR="00832221" w:rsidP="00832221" w:rsidRDefault="001D0DC1" w14:paraId="7B4006B9" w14:textId="0DED67D6">
                  <w:pPr>
                    <w:pStyle w:val="Default"/>
                    <w:rPr>
                      <w:b/>
                      <w:bCs/>
                      <w:sz w:val="18"/>
                      <w:szCs w:val="18"/>
                    </w:rPr>
                  </w:pPr>
                  <w:r w:rsidRPr="00290188">
                    <w:rPr>
                      <w:b/>
                      <w:bCs/>
                      <w:sz w:val="18"/>
                      <w:szCs w:val="18"/>
                    </w:rPr>
                    <w:t>183</w:t>
                  </w:r>
                </w:p>
              </w:tc>
            </w:tr>
            <w:tr w:rsidRPr="00290188" w:rsidR="00832221" w:rsidTr="00316EAD" w14:paraId="53607631" w14:textId="77777777">
              <w:trPr>
                <w:trHeight w:val="121"/>
                <w:jc w:val="center"/>
              </w:trPr>
              <w:tc>
                <w:tcPr>
                  <w:tcW w:w="0" w:type="auto"/>
                </w:tcPr>
                <w:p w:rsidRPr="00290188" w:rsidR="00832221" w:rsidP="00832221" w:rsidRDefault="00832221" w14:paraId="076400A8" w14:textId="77777777">
                  <w:pPr>
                    <w:pStyle w:val="Default"/>
                    <w:rPr>
                      <w:b/>
                      <w:bCs/>
                      <w:sz w:val="18"/>
                      <w:szCs w:val="18"/>
                    </w:rPr>
                  </w:pPr>
                  <w:r w:rsidRPr="00290188">
                    <w:rPr>
                      <w:sz w:val="18"/>
                      <w:szCs w:val="18"/>
                    </w:rPr>
                    <w:t xml:space="preserve">Gevechten </w:t>
                  </w:r>
                </w:p>
              </w:tc>
              <w:tc>
                <w:tcPr>
                  <w:tcW w:w="827" w:type="dxa"/>
                </w:tcPr>
                <w:p w:rsidRPr="00290188" w:rsidR="00832221" w:rsidP="00832221" w:rsidRDefault="001D0DC1" w14:paraId="2279D1C0" w14:textId="515180C4">
                  <w:pPr>
                    <w:pStyle w:val="Default"/>
                    <w:rPr>
                      <w:sz w:val="18"/>
                      <w:szCs w:val="18"/>
                    </w:rPr>
                  </w:pPr>
                  <w:r w:rsidRPr="00290188">
                    <w:rPr>
                      <w:sz w:val="18"/>
                      <w:szCs w:val="18"/>
                    </w:rPr>
                    <w:t>39</w:t>
                  </w:r>
                </w:p>
              </w:tc>
              <w:tc>
                <w:tcPr>
                  <w:tcW w:w="850" w:type="dxa"/>
                </w:tcPr>
                <w:p w:rsidRPr="00290188" w:rsidR="00832221" w:rsidP="00832221" w:rsidRDefault="001D0DC1" w14:paraId="36706660" w14:textId="341A5922">
                  <w:pPr>
                    <w:pStyle w:val="Default"/>
                    <w:rPr>
                      <w:sz w:val="18"/>
                      <w:szCs w:val="18"/>
                    </w:rPr>
                  </w:pPr>
                  <w:r w:rsidRPr="00290188">
                    <w:rPr>
                      <w:sz w:val="18"/>
                      <w:szCs w:val="18"/>
                    </w:rPr>
                    <w:t>76</w:t>
                  </w:r>
                </w:p>
              </w:tc>
              <w:tc>
                <w:tcPr>
                  <w:tcW w:w="1288" w:type="dxa"/>
                </w:tcPr>
                <w:p w:rsidRPr="00290188" w:rsidR="00832221" w:rsidP="00832221" w:rsidRDefault="001D0DC1" w14:paraId="1114507D" w14:textId="0214909A">
                  <w:pPr>
                    <w:pStyle w:val="Default"/>
                    <w:rPr>
                      <w:sz w:val="18"/>
                      <w:szCs w:val="18"/>
                    </w:rPr>
                  </w:pPr>
                  <w:r w:rsidRPr="00290188">
                    <w:rPr>
                      <w:sz w:val="18"/>
                      <w:szCs w:val="18"/>
                    </w:rPr>
                    <w:t>58</w:t>
                  </w:r>
                </w:p>
              </w:tc>
            </w:tr>
            <w:tr w:rsidRPr="00290188" w:rsidR="00832221" w:rsidTr="00316EAD" w14:paraId="7DD3D002" w14:textId="77777777">
              <w:trPr>
                <w:trHeight w:val="121"/>
                <w:jc w:val="center"/>
              </w:trPr>
              <w:tc>
                <w:tcPr>
                  <w:tcW w:w="0" w:type="auto"/>
                </w:tcPr>
                <w:p w:rsidRPr="00290188" w:rsidR="00832221" w:rsidP="00832221" w:rsidRDefault="00832221" w14:paraId="36A32B24" w14:textId="77777777">
                  <w:pPr>
                    <w:pStyle w:val="Default"/>
                    <w:rPr>
                      <w:sz w:val="18"/>
                      <w:szCs w:val="18"/>
                    </w:rPr>
                  </w:pPr>
                  <w:r w:rsidRPr="00290188">
                    <w:rPr>
                      <w:sz w:val="18"/>
                      <w:szCs w:val="18"/>
                    </w:rPr>
                    <w:t xml:space="preserve">Explosies/geweld op afstand </w:t>
                  </w:r>
                </w:p>
              </w:tc>
              <w:tc>
                <w:tcPr>
                  <w:tcW w:w="827" w:type="dxa"/>
                </w:tcPr>
                <w:p w:rsidRPr="00290188" w:rsidR="00832221" w:rsidP="00832221" w:rsidRDefault="001D0DC1" w14:paraId="2CBAC8CA" w14:textId="13426D22">
                  <w:pPr>
                    <w:pStyle w:val="Default"/>
                    <w:rPr>
                      <w:sz w:val="18"/>
                      <w:szCs w:val="18"/>
                    </w:rPr>
                  </w:pPr>
                  <w:r w:rsidRPr="00290188">
                    <w:rPr>
                      <w:sz w:val="18"/>
                      <w:szCs w:val="18"/>
                    </w:rPr>
                    <w:t>6</w:t>
                  </w:r>
                </w:p>
              </w:tc>
              <w:tc>
                <w:tcPr>
                  <w:tcW w:w="850" w:type="dxa"/>
                </w:tcPr>
                <w:p w:rsidRPr="00290188" w:rsidR="00832221" w:rsidP="00832221" w:rsidRDefault="001D0DC1" w14:paraId="14B5B684" w14:textId="736DE27C">
                  <w:pPr>
                    <w:pStyle w:val="Default"/>
                    <w:rPr>
                      <w:sz w:val="18"/>
                      <w:szCs w:val="18"/>
                    </w:rPr>
                  </w:pPr>
                  <w:r w:rsidRPr="00290188">
                    <w:rPr>
                      <w:sz w:val="18"/>
                      <w:szCs w:val="18"/>
                    </w:rPr>
                    <w:t>28</w:t>
                  </w:r>
                </w:p>
              </w:tc>
              <w:tc>
                <w:tcPr>
                  <w:tcW w:w="1288" w:type="dxa"/>
                </w:tcPr>
                <w:p w:rsidRPr="00290188" w:rsidR="00832221" w:rsidP="00832221" w:rsidRDefault="001D0DC1" w14:paraId="1A27A439" w14:textId="0A3D5875">
                  <w:pPr>
                    <w:pStyle w:val="Default"/>
                    <w:rPr>
                      <w:sz w:val="18"/>
                      <w:szCs w:val="18"/>
                    </w:rPr>
                  </w:pPr>
                  <w:r w:rsidRPr="00290188">
                    <w:rPr>
                      <w:sz w:val="18"/>
                      <w:szCs w:val="18"/>
                    </w:rPr>
                    <w:t>71</w:t>
                  </w:r>
                </w:p>
              </w:tc>
            </w:tr>
            <w:tr w:rsidRPr="00290188" w:rsidR="00832221" w:rsidTr="00316EAD" w14:paraId="0378CA70" w14:textId="77777777">
              <w:trPr>
                <w:trHeight w:val="121"/>
                <w:jc w:val="center"/>
              </w:trPr>
              <w:tc>
                <w:tcPr>
                  <w:tcW w:w="0" w:type="auto"/>
                </w:tcPr>
                <w:p w:rsidRPr="00290188" w:rsidR="00832221" w:rsidP="00832221" w:rsidRDefault="00832221" w14:paraId="41DFCA7F" w14:textId="77777777">
                  <w:pPr>
                    <w:pStyle w:val="Default"/>
                    <w:rPr>
                      <w:sz w:val="18"/>
                      <w:szCs w:val="18"/>
                    </w:rPr>
                  </w:pPr>
                  <w:r w:rsidRPr="00290188">
                    <w:rPr>
                      <w:sz w:val="18"/>
                      <w:szCs w:val="18"/>
                    </w:rPr>
                    <w:t xml:space="preserve">Geweld tegen burgers </w:t>
                  </w:r>
                </w:p>
              </w:tc>
              <w:tc>
                <w:tcPr>
                  <w:tcW w:w="827" w:type="dxa"/>
                </w:tcPr>
                <w:p w:rsidRPr="00290188" w:rsidR="00832221" w:rsidP="00832221" w:rsidRDefault="001D0DC1" w14:paraId="41684806" w14:textId="69422628">
                  <w:pPr>
                    <w:pStyle w:val="Default"/>
                    <w:rPr>
                      <w:sz w:val="18"/>
                      <w:szCs w:val="18"/>
                    </w:rPr>
                  </w:pPr>
                  <w:r w:rsidRPr="00290188">
                    <w:rPr>
                      <w:sz w:val="18"/>
                      <w:szCs w:val="18"/>
                    </w:rPr>
                    <w:t>17</w:t>
                  </w:r>
                </w:p>
              </w:tc>
              <w:tc>
                <w:tcPr>
                  <w:tcW w:w="850" w:type="dxa"/>
                </w:tcPr>
                <w:p w:rsidRPr="00290188" w:rsidR="00832221" w:rsidP="00832221" w:rsidRDefault="001D0DC1" w14:paraId="589FD882" w14:textId="6DBAC83E">
                  <w:pPr>
                    <w:pStyle w:val="Default"/>
                    <w:rPr>
                      <w:sz w:val="18"/>
                      <w:szCs w:val="18"/>
                    </w:rPr>
                  </w:pPr>
                  <w:r w:rsidRPr="00290188">
                    <w:rPr>
                      <w:sz w:val="18"/>
                      <w:szCs w:val="18"/>
                    </w:rPr>
                    <w:t>32</w:t>
                  </w:r>
                </w:p>
              </w:tc>
              <w:tc>
                <w:tcPr>
                  <w:tcW w:w="1288" w:type="dxa"/>
                </w:tcPr>
                <w:p w:rsidRPr="00290188" w:rsidR="00832221" w:rsidP="00832221" w:rsidRDefault="001D0DC1" w14:paraId="0741D443" w14:textId="69910D56">
                  <w:pPr>
                    <w:pStyle w:val="Default"/>
                    <w:rPr>
                      <w:sz w:val="18"/>
                      <w:szCs w:val="18"/>
                    </w:rPr>
                  </w:pPr>
                  <w:r w:rsidRPr="00290188">
                    <w:rPr>
                      <w:sz w:val="18"/>
                      <w:szCs w:val="18"/>
                    </w:rPr>
                    <w:t>54</w:t>
                  </w:r>
                </w:p>
              </w:tc>
            </w:tr>
            <w:tr w:rsidRPr="00290188" w:rsidR="007608C6" w:rsidTr="00316EAD" w14:paraId="3D9FBEEC" w14:textId="77777777">
              <w:trPr>
                <w:trHeight w:val="121"/>
                <w:jc w:val="center"/>
              </w:trPr>
              <w:tc>
                <w:tcPr>
                  <w:tcW w:w="0" w:type="auto"/>
                </w:tcPr>
                <w:p w:rsidRPr="00290188" w:rsidR="007608C6" w:rsidP="00832221" w:rsidRDefault="007608C6" w14:paraId="06A5C212" w14:textId="77777777">
                  <w:pPr>
                    <w:pStyle w:val="Default"/>
                    <w:rPr>
                      <w:sz w:val="18"/>
                      <w:szCs w:val="18"/>
                    </w:rPr>
                  </w:pPr>
                </w:p>
              </w:tc>
              <w:tc>
                <w:tcPr>
                  <w:tcW w:w="827" w:type="dxa"/>
                </w:tcPr>
                <w:p w:rsidRPr="00290188" w:rsidR="007608C6" w:rsidP="00832221" w:rsidRDefault="007608C6" w14:paraId="2012E137" w14:textId="77777777">
                  <w:pPr>
                    <w:pStyle w:val="Default"/>
                    <w:rPr>
                      <w:sz w:val="18"/>
                      <w:szCs w:val="18"/>
                    </w:rPr>
                  </w:pPr>
                </w:p>
              </w:tc>
              <w:tc>
                <w:tcPr>
                  <w:tcW w:w="850" w:type="dxa"/>
                </w:tcPr>
                <w:p w:rsidRPr="00290188" w:rsidR="007608C6" w:rsidP="00832221" w:rsidRDefault="007608C6" w14:paraId="0F56C90F" w14:textId="77777777">
                  <w:pPr>
                    <w:pStyle w:val="Default"/>
                    <w:rPr>
                      <w:sz w:val="18"/>
                      <w:szCs w:val="18"/>
                    </w:rPr>
                  </w:pPr>
                </w:p>
              </w:tc>
              <w:tc>
                <w:tcPr>
                  <w:tcW w:w="1288" w:type="dxa"/>
                </w:tcPr>
                <w:p w:rsidRPr="00290188" w:rsidR="007608C6" w:rsidP="00832221" w:rsidRDefault="007608C6" w14:paraId="0F6C0245" w14:textId="77777777">
                  <w:pPr>
                    <w:pStyle w:val="Default"/>
                    <w:rPr>
                      <w:sz w:val="18"/>
                      <w:szCs w:val="18"/>
                    </w:rPr>
                  </w:pPr>
                </w:p>
              </w:tc>
            </w:tr>
          </w:tbl>
          <w:p w:rsidRPr="00290188" w:rsidR="00832221" w:rsidP="00832221" w:rsidRDefault="00832221" w14:paraId="0A700893" w14:textId="7857EB0B">
            <w:pPr>
              <w:pStyle w:val="broodtekst"/>
            </w:pPr>
          </w:p>
        </w:tc>
      </w:tr>
      <w:tr w:rsidRPr="00290188" w:rsidR="00147976" w:rsidTr="00B73F69" w14:paraId="5631EB02" w14:textId="77777777">
        <w:tc>
          <w:tcPr>
            <w:tcW w:w="2263" w:type="dxa"/>
          </w:tcPr>
          <w:p w:rsidRPr="00290188" w:rsidR="00147976" w:rsidP="00B73F69" w:rsidRDefault="00147976" w14:paraId="7E4C2326" w14:textId="77777777">
            <w:pPr>
              <w:pStyle w:val="broodtekst"/>
            </w:pPr>
            <w:r w:rsidRPr="00290188">
              <w:lastRenderedPageBreak/>
              <w:t>Geografische omvang geweld</w:t>
            </w:r>
          </w:p>
        </w:tc>
        <w:tc>
          <w:tcPr>
            <w:tcW w:w="6804" w:type="dxa"/>
          </w:tcPr>
          <w:p w:rsidRPr="00290188" w:rsidR="00147976" w:rsidP="00B73F69" w:rsidRDefault="001038CF" w14:paraId="125B5E00" w14:textId="6F6A8037">
            <w:pPr>
              <w:pStyle w:val="broodtekst"/>
            </w:pPr>
            <w:r w:rsidRPr="00290188">
              <w:t xml:space="preserve">Gedurende de verslagperiode was er sprake van een bredere geweldsescalatie in heel </w:t>
            </w:r>
            <w:proofErr w:type="spellStart"/>
            <w:r w:rsidRPr="00290188">
              <w:t>Kordofan</w:t>
            </w:r>
            <w:proofErr w:type="spellEnd"/>
            <w:r w:rsidRPr="00290188">
              <w:t>, waarbij in diverse gebieden om territorium werd gestreden en zowel de deelhoofdsteden als ook dorpen onder vuur lagen.</w:t>
            </w:r>
          </w:p>
        </w:tc>
      </w:tr>
      <w:tr w:rsidRPr="00290188" w:rsidR="00147976" w:rsidTr="00B73F69" w14:paraId="725D1A6D" w14:textId="77777777">
        <w:tc>
          <w:tcPr>
            <w:tcW w:w="2263" w:type="dxa"/>
          </w:tcPr>
          <w:p w:rsidRPr="00290188" w:rsidR="00147976" w:rsidP="00B73F69" w:rsidRDefault="00147976" w14:paraId="541190BB" w14:textId="77777777">
            <w:pPr>
              <w:pStyle w:val="broodtekst"/>
            </w:pPr>
            <w:r w:rsidRPr="00290188">
              <w:t>Veiligheidsstructuur</w:t>
            </w:r>
          </w:p>
        </w:tc>
        <w:tc>
          <w:tcPr>
            <w:tcW w:w="6804" w:type="dxa"/>
          </w:tcPr>
          <w:p w:rsidRPr="00290188" w:rsidR="00147976" w:rsidP="00B73F69" w:rsidRDefault="00147976" w14:paraId="40EA2A14" w14:textId="38747736">
            <w:pPr>
              <w:pStyle w:val="broodtekst"/>
            </w:pPr>
            <w:r w:rsidRPr="00290188">
              <w:t xml:space="preserve">Geen expliciete informatie over de veiligheidsstructuur. </w:t>
            </w:r>
            <w:r w:rsidRPr="00290188" w:rsidR="001038CF">
              <w:t xml:space="preserve">De </w:t>
            </w:r>
            <w:proofErr w:type="spellStart"/>
            <w:r w:rsidRPr="00290188" w:rsidR="001038CF">
              <w:t>Kordofan</w:t>
            </w:r>
            <w:proofErr w:type="spellEnd"/>
            <w:r w:rsidRPr="00290188" w:rsidR="007608C6">
              <w:t>-</w:t>
            </w:r>
            <w:r w:rsidRPr="00290188" w:rsidR="001038CF">
              <w:t xml:space="preserve">staten stonden gedurende de verslagperiode grotendeels onder controle van de RSF. In algemene zin is er in de controlegebieden van de RSF </w:t>
            </w:r>
            <w:r w:rsidRPr="00290188">
              <w:t>geen sprake van een justitieel en bestuurlijk apparaat en daarmee geen betrouwbare veiligheidsstructuren. Door de actieve conflictsituatie zijn ook in andere gebieden geen stevige veiligheidsstructuren voorhanden, door verwoeste infrastructuur en niet- of zeer beperkt functionerende instanties.</w:t>
            </w:r>
            <w:r w:rsidRPr="00290188" w:rsidR="00845A8D">
              <w:br/>
            </w:r>
            <w:r w:rsidRPr="00290188" w:rsidR="00845A8D">
              <w:br/>
              <w:t xml:space="preserve">Door de gevechten en blokkades van wegen konden (toch al zeer beperkte) zorginstanties nauwelijks bereikt worden, waardoor doden vielen. </w:t>
            </w:r>
          </w:p>
        </w:tc>
      </w:tr>
      <w:tr w:rsidRPr="00290188" w:rsidR="00147976" w:rsidTr="00B73F69" w14:paraId="4CC0E93F" w14:textId="77777777">
        <w:tc>
          <w:tcPr>
            <w:tcW w:w="2263" w:type="dxa"/>
          </w:tcPr>
          <w:p w:rsidRPr="00290188" w:rsidR="00147976" w:rsidP="00B73F69" w:rsidRDefault="00147976" w14:paraId="78CBCDA4" w14:textId="77777777">
            <w:pPr>
              <w:pStyle w:val="broodtekst"/>
            </w:pPr>
            <w:r w:rsidRPr="00290188">
              <w:t>Doelwitten</w:t>
            </w:r>
          </w:p>
        </w:tc>
        <w:tc>
          <w:tcPr>
            <w:tcW w:w="6804" w:type="dxa"/>
          </w:tcPr>
          <w:p w:rsidRPr="00290188" w:rsidR="00147976" w:rsidP="00B73F69" w:rsidRDefault="00774064" w14:paraId="3D9D0B22" w14:textId="25989881">
            <w:pPr>
              <w:pStyle w:val="broodtekst"/>
            </w:pPr>
            <w:r w:rsidRPr="00290188">
              <w:t xml:space="preserve">In de </w:t>
            </w:r>
            <w:proofErr w:type="spellStart"/>
            <w:r w:rsidRPr="00290188">
              <w:t>Kordofan</w:t>
            </w:r>
            <w:proofErr w:type="spellEnd"/>
            <w:r w:rsidRPr="00290188" w:rsidR="007608C6">
              <w:t>-</w:t>
            </w:r>
            <w:r w:rsidRPr="00290188">
              <w:t xml:space="preserve">staten </w:t>
            </w:r>
            <w:r w:rsidRPr="00290188" w:rsidR="00735748">
              <w:t>vochten de strijdende partijen tegen elkaar om controle. Er zijn, zoals uit de hierboven genoemde voorbeelden blijkt, ook op grote schaal burgerdoelwitten aangevallen in deze strijd. Soms ging dit om burgerdoelen op plekken waar ook om controle werd gevochten, maar</w:t>
            </w:r>
            <w:r w:rsidRPr="00290188" w:rsidR="002028C8">
              <w:t xml:space="preserve"> het</w:t>
            </w:r>
            <w:r w:rsidRPr="00290188" w:rsidR="00735748">
              <w:t xml:space="preserve"> kwam ook voor op plekken die ver weg van een frontlinie lagen. Burgerdoelwitten en </w:t>
            </w:r>
            <w:r w:rsidRPr="00290188" w:rsidR="00734164">
              <w:t xml:space="preserve">civiele </w:t>
            </w:r>
            <w:r w:rsidRPr="00290188" w:rsidR="00735748">
              <w:t>infrastructuur zoals scholen, overheidsinstellingen en markten lagen onder vuur.</w:t>
            </w:r>
          </w:p>
        </w:tc>
      </w:tr>
      <w:tr w:rsidRPr="00290188" w:rsidR="00147976" w:rsidTr="00B73F69" w14:paraId="0311874A" w14:textId="77777777">
        <w:tc>
          <w:tcPr>
            <w:tcW w:w="2263" w:type="dxa"/>
          </w:tcPr>
          <w:p w:rsidRPr="00290188" w:rsidR="00147976" w:rsidP="00B73F69" w:rsidRDefault="00147976" w14:paraId="1FC1042F" w14:textId="77777777">
            <w:pPr>
              <w:pStyle w:val="broodtekst"/>
            </w:pPr>
            <w:r w:rsidRPr="00290188">
              <w:t>Dodelijke slachtoffers en gewonden</w:t>
            </w:r>
          </w:p>
        </w:tc>
        <w:tc>
          <w:tcPr>
            <w:tcW w:w="6804" w:type="dxa"/>
          </w:tcPr>
          <w:p w:rsidRPr="00290188" w:rsidR="00832221" w:rsidP="00832221" w:rsidRDefault="00832221" w14:paraId="4A595744" w14:textId="6805723D">
            <w:pPr>
              <w:pStyle w:val="broodtekst"/>
            </w:pPr>
            <w:r w:rsidRPr="00290188">
              <w:t>Aantallen door ACLED geregistreerde doden</w:t>
            </w:r>
            <w:r w:rsidRPr="00290188" w:rsidR="001D0DC1">
              <w:t>:</w:t>
            </w:r>
          </w:p>
          <w:p w:rsidRPr="00290188" w:rsidR="00832221" w:rsidP="00832221" w:rsidRDefault="00832221" w14:paraId="60759E1F"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94"/>
              <w:gridCol w:w="963"/>
              <w:gridCol w:w="971"/>
              <w:gridCol w:w="1843"/>
            </w:tblGrid>
            <w:tr w:rsidRPr="00290188" w:rsidR="00832221" w:rsidTr="00316EAD" w14:paraId="5FC681F4" w14:textId="77777777">
              <w:trPr>
                <w:trHeight w:val="121"/>
                <w:jc w:val="center"/>
              </w:trPr>
              <w:tc>
                <w:tcPr>
                  <w:tcW w:w="1694" w:type="dxa"/>
                </w:tcPr>
                <w:p w:rsidRPr="00290188" w:rsidR="00832221" w:rsidP="00832221" w:rsidRDefault="00832221" w14:paraId="1B4003F9" w14:textId="77777777">
                  <w:pPr>
                    <w:pStyle w:val="Default"/>
                    <w:rPr>
                      <w:b/>
                      <w:bCs/>
                      <w:sz w:val="18"/>
                      <w:szCs w:val="18"/>
                    </w:rPr>
                  </w:pPr>
                </w:p>
              </w:tc>
              <w:tc>
                <w:tcPr>
                  <w:tcW w:w="963" w:type="dxa"/>
                </w:tcPr>
                <w:p w:rsidRPr="00290188" w:rsidR="00832221" w:rsidP="00832221" w:rsidRDefault="00832221" w14:paraId="01E532D7" w14:textId="77777777">
                  <w:pPr>
                    <w:pStyle w:val="Default"/>
                    <w:rPr>
                      <w:b/>
                      <w:bCs/>
                      <w:sz w:val="18"/>
                      <w:szCs w:val="18"/>
                    </w:rPr>
                  </w:pPr>
                  <w:r w:rsidRPr="00290188">
                    <w:rPr>
                      <w:b/>
                      <w:bCs/>
                      <w:sz w:val="18"/>
                      <w:szCs w:val="18"/>
                    </w:rPr>
                    <w:t>2023</w:t>
                  </w:r>
                </w:p>
              </w:tc>
              <w:tc>
                <w:tcPr>
                  <w:tcW w:w="971" w:type="dxa"/>
                </w:tcPr>
                <w:p w:rsidRPr="00290188" w:rsidR="00832221" w:rsidP="00832221" w:rsidRDefault="00832221" w14:paraId="50DC0B3E" w14:textId="77777777">
                  <w:pPr>
                    <w:pStyle w:val="Default"/>
                    <w:rPr>
                      <w:b/>
                      <w:bCs/>
                      <w:sz w:val="18"/>
                      <w:szCs w:val="18"/>
                    </w:rPr>
                  </w:pPr>
                  <w:r w:rsidRPr="00290188">
                    <w:rPr>
                      <w:b/>
                      <w:bCs/>
                      <w:sz w:val="18"/>
                      <w:szCs w:val="18"/>
                    </w:rPr>
                    <w:t>2024</w:t>
                  </w:r>
                </w:p>
              </w:tc>
              <w:tc>
                <w:tcPr>
                  <w:tcW w:w="1843" w:type="dxa"/>
                </w:tcPr>
                <w:p w:rsidRPr="00290188" w:rsidR="00832221" w:rsidP="00832221" w:rsidRDefault="00832221" w14:paraId="24A818A7" w14:textId="77777777">
                  <w:pPr>
                    <w:pStyle w:val="Default"/>
                    <w:rPr>
                      <w:b/>
                      <w:bCs/>
                      <w:sz w:val="18"/>
                      <w:szCs w:val="18"/>
                    </w:rPr>
                  </w:pPr>
                  <w:r w:rsidRPr="00290188">
                    <w:rPr>
                      <w:b/>
                      <w:bCs/>
                      <w:sz w:val="18"/>
                      <w:szCs w:val="18"/>
                    </w:rPr>
                    <w:t>2025 t/m 8 aug</w:t>
                  </w:r>
                </w:p>
              </w:tc>
            </w:tr>
            <w:tr w:rsidRPr="00290188" w:rsidR="00832221" w:rsidTr="00316EAD" w14:paraId="6A55F284" w14:textId="77777777">
              <w:trPr>
                <w:trHeight w:val="121"/>
                <w:jc w:val="center"/>
              </w:trPr>
              <w:tc>
                <w:tcPr>
                  <w:tcW w:w="1694" w:type="dxa"/>
                </w:tcPr>
                <w:p w:rsidRPr="00290188" w:rsidR="00832221" w:rsidP="00832221" w:rsidRDefault="00832221" w14:paraId="5D744BD3" w14:textId="009922F4">
                  <w:pPr>
                    <w:pStyle w:val="Default"/>
                    <w:rPr>
                      <w:sz w:val="18"/>
                      <w:szCs w:val="18"/>
                    </w:rPr>
                  </w:pPr>
                  <w:r w:rsidRPr="00290188">
                    <w:rPr>
                      <w:sz w:val="18"/>
                      <w:szCs w:val="18"/>
                    </w:rPr>
                    <w:t>Noord-</w:t>
                  </w:r>
                  <w:proofErr w:type="spellStart"/>
                  <w:r w:rsidRPr="00290188">
                    <w:rPr>
                      <w:sz w:val="18"/>
                      <w:szCs w:val="18"/>
                    </w:rPr>
                    <w:t>Kordofan</w:t>
                  </w:r>
                  <w:proofErr w:type="spellEnd"/>
                </w:p>
              </w:tc>
              <w:tc>
                <w:tcPr>
                  <w:tcW w:w="963" w:type="dxa"/>
                </w:tcPr>
                <w:p w:rsidRPr="00290188" w:rsidR="00832221" w:rsidP="00832221" w:rsidRDefault="00832221" w14:paraId="518DC3DB" w14:textId="4B85DBDD">
                  <w:pPr>
                    <w:pStyle w:val="Default"/>
                    <w:rPr>
                      <w:sz w:val="18"/>
                      <w:szCs w:val="18"/>
                    </w:rPr>
                  </w:pPr>
                  <w:r w:rsidRPr="00290188">
                    <w:rPr>
                      <w:sz w:val="18"/>
                      <w:szCs w:val="18"/>
                    </w:rPr>
                    <w:t>805</w:t>
                  </w:r>
                </w:p>
              </w:tc>
              <w:tc>
                <w:tcPr>
                  <w:tcW w:w="971" w:type="dxa"/>
                </w:tcPr>
                <w:p w:rsidRPr="00290188" w:rsidR="00832221" w:rsidP="00832221" w:rsidRDefault="00832221" w14:paraId="469F791B" w14:textId="24409742">
                  <w:pPr>
                    <w:pStyle w:val="Default"/>
                    <w:rPr>
                      <w:sz w:val="18"/>
                      <w:szCs w:val="18"/>
                    </w:rPr>
                  </w:pPr>
                  <w:r w:rsidRPr="00290188">
                    <w:rPr>
                      <w:sz w:val="18"/>
                      <w:szCs w:val="18"/>
                    </w:rPr>
                    <w:t>752</w:t>
                  </w:r>
                </w:p>
              </w:tc>
              <w:tc>
                <w:tcPr>
                  <w:tcW w:w="1843" w:type="dxa"/>
                </w:tcPr>
                <w:p w:rsidRPr="00290188" w:rsidR="00832221" w:rsidP="00832221" w:rsidRDefault="00832221" w14:paraId="6EF5E4C3" w14:textId="46685213">
                  <w:pPr>
                    <w:pStyle w:val="Default"/>
                    <w:rPr>
                      <w:sz w:val="18"/>
                      <w:szCs w:val="18"/>
                    </w:rPr>
                  </w:pPr>
                  <w:r w:rsidRPr="00290188">
                    <w:rPr>
                      <w:sz w:val="18"/>
                      <w:szCs w:val="18"/>
                    </w:rPr>
                    <w:t>1.398</w:t>
                  </w:r>
                </w:p>
              </w:tc>
            </w:tr>
            <w:tr w:rsidRPr="00290188" w:rsidR="00832221" w:rsidTr="00316EAD" w14:paraId="124C6EAE" w14:textId="77777777">
              <w:trPr>
                <w:trHeight w:val="121"/>
                <w:jc w:val="center"/>
              </w:trPr>
              <w:tc>
                <w:tcPr>
                  <w:tcW w:w="1694" w:type="dxa"/>
                </w:tcPr>
                <w:p w:rsidRPr="00290188" w:rsidR="00832221" w:rsidP="00832221" w:rsidRDefault="00832221" w14:paraId="7E459E85" w14:textId="7FFC440E">
                  <w:pPr>
                    <w:pStyle w:val="Default"/>
                    <w:rPr>
                      <w:sz w:val="18"/>
                      <w:szCs w:val="18"/>
                    </w:rPr>
                  </w:pPr>
                  <w:r w:rsidRPr="00290188">
                    <w:rPr>
                      <w:sz w:val="18"/>
                      <w:szCs w:val="18"/>
                    </w:rPr>
                    <w:t>Zuid-</w:t>
                  </w:r>
                  <w:proofErr w:type="spellStart"/>
                  <w:r w:rsidRPr="00290188">
                    <w:rPr>
                      <w:sz w:val="18"/>
                      <w:szCs w:val="18"/>
                    </w:rPr>
                    <w:t>Kordofan</w:t>
                  </w:r>
                  <w:proofErr w:type="spellEnd"/>
                </w:p>
              </w:tc>
              <w:tc>
                <w:tcPr>
                  <w:tcW w:w="963" w:type="dxa"/>
                </w:tcPr>
                <w:p w:rsidRPr="00290188" w:rsidR="00832221" w:rsidP="00832221" w:rsidRDefault="00832221" w14:paraId="4FDF5C16" w14:textId="1A73BE60">
                  <w:pPr>
                    <w:pStyle w:val="Default"/>
                    <w:rPr>
                      <w:sz w:val="18"/>
                      <w:szCs w:val="18"/>
                    </w:rPr>
                  </w:pPr>
                  <w:r w:rsidRPr="00290188">
                    <w:rPr>
                      <w:sz w:val="18"/>
                      <w:szCs w:val="18"/>
                    </w:rPr>
                    <w:t>503</w:t>
                  </w:r>
                </w:p>
              </w:tc>
              <w:tc>
                <w:tcPr>
                  <w:tcW w:w="971" w:type="dxa"/>
                </w:tcPr>
                <w:p w:rsidRPr="00290188" w:rsidR="00832221" w:rsidP="00832221" w:rsidRDefault="00832221" w14:paraId="46DC96ED" w14:textId="3796BA67">
                  <w:pPr>
                    <w:pStyle w:val="Default"/>
                    <w:rPr>
                      <w:sz w:val="18"/>
                      <w:szCs w:val="18"/>
                    </w:rPr>
                  </w:pPr>
                  <w:r w:rsidRPr="00290188">
                    <w:rPr>
                      <w:sz w:val="18"/>
                      <w:szCs w:val="18"/>
                    </w:rPr>
                    <w:t>558</w:t>
                  </w:r>
                </w:p>
              </w:tc>
              <w:tc>
                <w:tcPr>
                  <w:tcW w:w="1843" w:type="dxa"/>
                </w:tcPr>
                <w:p w:rsidRPr="00290188" w:rsidR="00832221" w:rsidP="00832221" w:rsidRDefault="00832221" w14:paraId="1796E142" w14:textId="45A3D9EB">
                  <w:pPr>
                    <w:pStyle w:val="Default"/>
                    <w:rPr>
                      <w:sz w:val="18"/>
                      <w:szCs w:val="18"/>
                    </w:rPr>
                  </w:pPr>
                  <w:r w:rsidRPr="00290188">
                    <w:rPr>
                      <w:sz w:val="18"/>
                      <w:szCs w:val="18"/>
                    </w:rPr>
                    <w:t>787</w:t>
                  </w:r>
                </w:p>
              </w:tc>
            </w:tr>
            <w:tr w:rsidRPr="00290188" w:rsidR="00832221" w:rsidTr="00316EAD" w14:paraId="32B2CDA7" w14:textId="77777777">
              <w:trPr>
                <w:trHeight w:val="121"/>
                <w:jc w:val="center"/>
              </w:trPr>
              <w:tc>
                <w:tcPr>
                  <w:tcW w:w="1694" w:type="dxa"/>
                </w:tcPr>
                <w:p w:rsidRPr="00290188" w:rsidR="00832221" w:rsidP="00832221" w:rsidRDefault="00832221" w14:paraId="193ECA8D" w14:textId="063B89DC">
                  <w:pPr>
                    <w:pStyle w:val="Default"/>
                    <w:rPr>
                      <w:sz w:val="18"/>
                      <w:szCs w:val="18"/>
                    </w:rPr>
                  </w:pPr>
                  <w:r w:rsidRPr="00290188">
                    <w:rPr>
                      <w:sz w:val="18"/>
                      <w:szCs w:val="18"/>
                    </w:rPr>
                    <w:t>West-</w:t>
                  </w:r>
                  <w:proofErr w:type="spellStart"/>
                  <w:r w:rsidRPr="00290188">
                    <w:rPr>
                      <w:sz w:val="18"/>
                      <w:szCs w:val="18"/>
                    </w:rPr>
                    <w:t>Kordofan</w:t>
                  </w:r>
                  <w:proofErr w:type="spellEnd"/>
                </w:p>
              </w:tc>
              <w:tc>
                <w:tcPr>
                  <w:tcW w:w="963" w:type="dxa"/>
                </w:tcPr>
                <w:p w:rsidRPr="00290188" w:rsidR="00832221" w:rsidP="00832221" w:rsidRDefault="00832221" w14:paraId="18ED45B0" w14:textId="46C3C804">
                  <w:pPr>
                    <w:pStyle w:val="Default"/>
                    <w:rPr>
                      <w:sz w:val="18"/>
                      <w:szCs w:val="18"/>
                    </w:rPr>
                  </w:pPr>
                  <w:r w:rsidRPr="00290188">
                    <w:rPr>
                      <w:sz w:val="18"/>
                      <w:szCs w:val="18"/>
                    </w:rPr>
                    <w:t>4.962</w:t>
                  </w:r>
                </w:p>
              </w:tc>
              <w:tc>
                <w:tcPr>
                  <w:tcW w:w="971" w:type="dxa"/>
                </w:tcPr>
                <w:p w:rsidRPr="00290188" w:rsidR="00832221" w:rsidP="00832221" w:rsidRDefault="00832221" w14:paraId="619728D5" w14:textId="469AC100">
                  <w:pPr>
                    <w:pStyle w:val="Default"/>
                    <w:rPr>
                      <w:sz w:val="18"/>
                      <w:szCs w:val="18"/>
                    </w:rPr>
                  </w:pPr>
                  <w:r w:rsidRPr="00290188">
                    <w:rPr>
                      <w:sz w:val="18"/>
                      <w:szCs w:val="18"/>
                    </w:rPr>
                    <w:t>165</w:t>
                  </w:r>
                </w:p>
              </w:tc>
              <w:tc>
                <w:tcPr>
                  <w:tcW w:w="1843" w:type="dxa"/>
                </w:tcPr>
                <w:p w:rsidRPr="00290188" w:rsidR="00832221" w:rsidP="00832221" w:rsidRDefault="00832221" w14:paraId="7F06608C" w14:textId="056A9870">
                  <w:pPr>
                    <w:pStyle w:val="Default"/>
                    <w:rPr>
                      <w:sz w:val="18"/>
                      <w:szCs w:val="18"/>
                    </w:rPr>
                  </w:pPr>
                  <w:r w:rsidRPr="00290188">
                    <w:rPr>
                      <w:sz w:val="18"/>
                      <w:szCs w:val="18"/>
                    </w:rPr>
                    <w:t>40</w:t>
                  </w:r>
                </w:p>
              </w:tc>
            </w:tr>
          </w:tbl>
          <w:p w:rsidRPr="00290188" w:rsidR="00832221" w:rsidP="00832221" w:rsidRDefault="00832221" w14:paraId="3EA70FD0" w14:textId="77777777">
            <w:pPr>
              <w:pStyle w:val="broodtekst"/>
            </w:pPr>
            <w:r w:rsidRPr="00290188">
              <w:br/>
              <w:t>OHCHR registreerde de volgende aantallen burgerdoden in de periode van 1 januari 2025 tot 30 juni 2025:</w:t>
            </w:r>
          </w:p>
          <w:p w:rsidRPr="00290188" w:rsidR="00832221" w:rsidP="00832221" w:rsidRDefault="00832221" w14:paraId="3683A30F" w14:textId="6F35A840">
            <w:pPr>
              <w:pStyle w:val="broodtekst"/>
              <w:numPr>
                <w:ilvl w:val="0"/>
                <w:numId w:val="1"/>
              </w:numPr>
            </w:pPr>
            <w:r w:rsidRPr="00290188">
              <w:t>Noord-</w:t>
            </w:r>
            <w:proofErr w:type="spellStart"/>
            <w:r w:rsidRPr="00290188">
              <w:t>Kordofan</w:t>
            </w:r>
            <w:proofErr w:type="spellEnd"/>
            <w:r w:rsidRPr="00290188">
              <w:t>: 346</w:t>
            </w:r>
          </w:p>
          <w:p w:rsidRPr="00290188" w:rsidR="00832221" w:rsidP="00832221" w:rsidRDefault="00832221" w14:paraId="7FB7C7CF" w14:textId="12A8E523">
            <w:pPr>
              <w:pStyle w:val="broodtekst"/>
              <w:numPr>
                <w:ilvl w:val="0"/>
                <w:numId w:val="1"/>
              </w:numPr>
            </w:pPr>
            <w:r w:rsidRPr="00290188">
              <w:t>Zuid-</w:t>
            </w:r>
            <w:proofErr w:type="spellStart"/>
            <w:r w:rsidRPr="00290188">
              <w:t>Kordofan</w:t>
            </w:r>
            <w:proofErr w:type="spellEnd"/>
            <w:r w:rsidRPr="00290188">
              <w:t>: 154</w:t>
            </w:r>
          </w:p>
          <w:p w:rsidRPr="00290188" w:rsidR="00832221" w:rsidP="00832221" w:rsidRDefault="00832221" w14:paraId="54A0CF11" w14:textId="4C82A9E0">
            <w:pPr>
              <w:pStyle w:val="broodtekst"/>
              <w:numPr>
                <w:ilvl w:val="0"/>
                <w:numId w:val="1"/>
              </w:numPr>
            </w:pPr>
            <w:r w:rsidRPr="00290188">
              <w:t>West-</w:t>
            </w:r>
            <w:proofErr w:type="spellStart"/>
            <w:r w:rsidRPr="00290188">
              <w:t>Kordofan</w:t>
            </w:r>
            <w:proofErr w:type="spellEnd"/>
            <w:r w:rsidRPr="00290188">
              <w:t>: 224</w:t>
            </w:r>
          </w:p>
          <w:p w:rsidRPr="00290188" w:rsidR="003A4882" w:rsidP="00832221" w:rsidRDefault="003A4882" w14:paraId="02EAC198" w14:textId="22421BDE">
            <w:pPr>
              <w:pStyle w:val="broodtekst"/>
            </w:pPr>
          </w:p>
        </w:tc>
      </w:tr>
      <w:tr w:rsidRPr="00290188" w:rsidR="00147976" w:rsidTr="00B73F69" w14:paraId="326D6B0D" w14:textId="77777777">
        <w:tc>
          <w:tcPr>
            <w:tcW w:w="2263" w:type="dxa"/>
          </w:tcPr>
          <w:p w:rsidRPr="00290188" w:rsidR="00147976" w:rsidP="00B73F69" w:rsidRDefault="00147976" w14:paraId="527FD5A9" w14:textId="0EDBBE6D">
            <w:pPr>
              <w:pStyle w:val="broodtekst"/>
            </w:pPr>
            <w:r w:rsidRPr="00290188">
              <w:t>Aantal ontheemden</w:t>
            </w:r>
          </w:p>
        </w:tc>
        <w:tc>
          <w:tcPr>
            <w:tcW w:w="6804" w:type="dxa"/>
          </w:tcPr>
          <w:p w:rsidRPr="00290188" w:rsidR="00147976" w:rsidP="00B73F69" w:rsidRDefault="00147976" w14:paraId="34E7EFF6" w14:textId="5116AD85">
            <w:pPr>
              <w:pStyle w:val="broodtekst"/>
            </w:pPr>
            <w:r w:rsidRPr="00290188">
              <w:t xml:space="preserve">Ontheemden </w:t>
            </w:r>
            <w:r w:rsidRPr="00290188" w:rsidR="0031461A">
              <w:t xml:space="preserve">die </w:t>
            </w:r>
            <w:r w:rsidRPr="00290188">
              <w:t xml:space="preserve">in </w:t>
            </w:r>
            <w:proofErr w:type="spellStart"/>
            <w:r w:rsidRPr="00290188">
              <w:t>Kordofan</w:t>
            </w:r>
            <w:proofErr w:type="spellEnd"/>
            <w:r w:rsidRPr="00290188" w:rsidR="0031461A">
              <w:t xml:space="preserve"> verblijven</w:t>
            </w:r>
            <w:r w:rsidRPr="00290188" w:rsidR="00023716">
              <w:t xml:space="preserve"> (</w:t>
            </w:r>
            <w:r w:rsidRPr="00290188" w:rsidR="00D54B3D">
              <w:t xml:space="preserve">d.d. </w:t>
            </w:r>
            <w:r w:rsidRPr="00290188" w:rsidR="00B35014">
              <w:t>9 juli 2025</w:t>
            </w:r>
            <w:r w:rsidRPr="00290188" w:rsidR="00023716">
              <w:t>)</w:t>
            </w:r>
            <w:r w:rsidRPr="00290188">
              <w:t>:</w:t>
            </w:r>
          </w:p>
          <w:p w:rsidRPr="00290188" w:rsidR="0031461A" w:rsidP="00B73F69" w:rsidRDefault="00147976" w14:paraId="34C4A622" w14:textId="3F88E1F9">
            <w:pPr>
              <w:pStyle w:val="broodtekst"/>
              <w:numPr>
                <w:ilvl w:val="0"/>
                <w:numId w:val="3"/>
              </w:numPr>
            </w:pPr>
            <w:r w:rsidRPr="00290188">
              <w:t>Zuid-</w:t>
            </w:r>
            <w:proofErr w:type="spellStart"/>
            <w:r w:rsidRPr="00290188">
              <w:t>Kordofan</w:t>
            </w:r>
            <w:proofErr w:type="spellEnd"/>
            <w:r w:rsidRPr="00290188">
              <w:t xml:space="preserve">: </w:t>
            </w:r>
            <w:r w:rsidRPr="00290188" w:rsidR="00B35014">
              <w:t>392.118</w:t>
            </w:r>
          </w:p>
          <w:p w:rsidRPr="00290188" w:rsidR="0031461A" w:rsidP="00B73F69" w:rsidRDefault="00147976" w14:paraId="66E00512" w14:textId="420F9002">
            <w:pPr>
              <w:pStyle w:val="broodtekst"/>
              <w:numPr>
                <w:ilvl w:val="0"/>
                <w:numId w:val="3"/>
              </w:numPr>
            </w:pPr>
            <w:r w:rsidRPr="00290188">
              <w:t>Noord-</w:t>
            </w:r>
            <w:proofErr w:type="spellStart"/>
            <w:r w:rsidRPr="00290188">
              <w:t>Kordofan</w:t>
            </w:r>
            <w:proofErr w:type="spellEnd"/>
            <w:r w:rsidRPr="00290188">
              <w:t xml:space="preserve">: </w:t>
            </w:r>
            <w:r w:rsidRPr="00290188" w:rsidR="00B35014">
              <w:t>218.478</w:t>
            </w:r>
          </w:p>
          <w:p w:rsidRPr="00290188" w:rsidR="00147976" w:rsidP="00B73F69" w:rsidRDefault="00147976" w14:paraId="2A5F0096" w14:textId="67F070C2">
            <w:pPr>
              <w:pStyle w:val="broodtekst"/>
              <w:numPr>
                <w:ilvl w:val="0"/>
                <w:numId w:val="3"/>
              </w:numPr>
            </w:pPr>
            <w:r w:rsidRPr="00290188">
              <w:t>West-</w:t>
            </w:r>
            <w:proofErr w:type="spellStart"/>
            <w:r w:rsidRPr="00290188">
              <w:t>Kordofan</w:t>
            </w:r>
            <w:proofErr w:type="spellEnd"/>
            <w:r w:rsidRPr="00290188">
              <w:t xml:space="preserve">: </w:t>
            </w:r>
            <w:r w:rsidRPr="00290188" w:rsidR="00B35014">
              <w:t>395.260</w:t>
            </w:r>
          </w:p>
          <w:p w:rsidRPr="00290188" w:rsidR="00147976" w:rsidP="00B73F69" w:rsidRDefault="00147976" w14:paraId="19A64EA4" w14:textId="77777777">
            <w:pPr>
              <w:pStyle w:val="broodtekst"/>
            </w:pPr>
          </w:p>
          <w:p w:rsidRPr="00290188" w:rsidR="00147976" w:rsidP="00B73F69" w:rsidRDefault="00845A8D" w14:paraId="4BB679DA" w14:textId="5140DE3C">
            <w:pPr>
              <w:pStyle w:val="broodtekst"/>
            </w:pPr>
            <w:r w:rsidRPr="00290188">
              <w:t xml:space="preserve">De meeste ontheemden uit de </w:t>
            </w:r>
            <w:proofErr w:type="spellStart"/>
            <w:r w:rsidRPr="00290188">
              <w:t>Kordofan</w:t>
            </w:r>
            <w:proofErr w:type="spellEnd"/>
            <w:r w:rsidRPr="00290188" w:rsidR="007608C6">
              <w:t>-</w:t>
            </w:r>
            <w:r w:rsidRPr="00290188">
              <w:t xml:space="preserve">staten verbleven nog altijd in de </w:t>
            </w:r>
            <w:proofErr w:type="spellStart"/>
            <w:r w:rsidRPr="00290188">
              <w:t>Kordofan</w:t>
            </w:r>
            <w:proofErr w:type="spellEnd"/>
            <w:r w:rsidRPr="00290188">
              <w:t xml:space="preserve"> staten en waren dus binnen één van de deelstaten gebleven.</w:t>
            </w:r>
            <w:r w:rsidRPr="00290188">
              <w:rPr>
                <w:rStyle w:val="Voetnootmarkering"/>
              </w:rPr>
              <w:footnoteReference w:id="16"/>
            </w:r>
          </w:p>
        </w:tc>
      </w:tr>
      <w:tr w:rsidRPr="00290188" w:rsidR="00E62C4E" w:rsidTr="00B73F69" w14:paraId="1D7E9534" w14:textId="77777777">
        <w:tc>
          <w:tcPr>
            <w:tcW w:w="2263" w:type="dxa"/>
          </w:tcPr>
          <w:p w:rsidRPr="00290188" w:rsidR="00E62C4E" w:rsidP="00B73F69" w:rsidRDefault="00E62C4E" w14:paraId="01B1AA6E" w14:textId="1C2EA284">
            <w:pPr>
              <w:pStyle w:val="broodtekst"/>
            </w:pPr>
            <w:r w:rsidRPr="00290188">
              <w:t>Humanitaire omstandigheden als gevolg van het conflict</w:t>
            </w:r>
          </w:p>
        </w:tc>
        <w:tc>
          <w:tcPr>
            <w:tcW w:w="6804" w:type="dxa"/>
          </w:tcPr>
          <w:p w:rsidRPr="00290188" w:rsidR="00E62C4E" w:rsidP="00E62C4E" w:rsidRDefault="00E62C4E" w14:paraId="2E8E5EFB" w14:textId="409A8893">
            <w:pPr>
              <w:pStyle w:val="broodtekst"/>
            </w:pPr>
            <w:r w:rsidRPr="00290188">
              <w:t xml:space="preserve">De SAF belemmerden de toegang van humanitaire hulpverleners tot de hongersnoodgebieden in heel </w:t>
            </w:r>
            <w:proofErr w:type="spellStart"/>
            <w:r w:rsidRPr="00290188">
              <w:t>Kordofan</w:t>
            </w:r>
            <w:proofErr w:type="spellEnd"/>
            <w:r w:rsidRPr="00290188">
              <w:t xml:space="preserve">. </w:t>
            </w:r>
            <w:proofErr w:type="spellStart"/>
            <w:r w:rsidRPr="00290188">
              <w:t>Kordofan</w:t>
            </w:r>
            <w:proofErr w:type="spellEnd"/>
            <w:r w:rsidRPr="00290188">
              <w:t xml:space="preserve"> vormt</w:t>
            </w:r>
            <w:r w:rsidRPr="00290188" w:rsidR="00DC340F">
              <w:t xml:space="preserve">, </w:t>
            </w:r>
            <w:r w:rsidRPr="00290188">
              <w:t xml:space="preserve">naast </w:t>
            </w:r>
            <w:proofErr w:type="spellStart"/>
            <w:r w:rsidRPr="00290188">
              <w:t>Darfur</w:t>
            </w:r>
            <w:proofErr w:type="spellEnd"/>
            <w:r w:rsidRPr="00290188" w:rsidR="00DC340F">
              <w:t xml:space="preserve"> en Blauwe Nijl,</w:t>
            </w:r>
            <w:r w:rsidRPr="00290188">
              <w:t xml:space="preserve"> het meest kwetsbare gebied in Sudan</w:t>
            </w:r>
            <w:r w:rsidRPr="00290188" w:rsidR="007608C6">
              <w:t>,</w:t>
            </w:r>
            <w:r w:rsidRPr="00290188">
              <w:t xml:space="preserve"> waar sprake is van een ernstige voedselcrisis en in </w:t>
            </w:r>
            <w:proofErr w:type="spellStart"/>
            <w:r w:rsidRPr="00290188" w:rsidR="00644145">
              <w:t>Kadugli</w:t>
            </w:r>
            <w:proofErr w:type="spellEnd"/>
            <w:r w:rsidRPr="00290188" w:rsidR="00644145">
              <w:t xml:space="preserve"> (Zuid-</w:t>
            </w:r>
            <w:proofErr w:type="spellStart"/>
            <w:r w:rsidRPr="00290188" w:rsidR="00644145">
              <w:t>Kordofan</w:t>
            </w:r>
            <w:proofErr w:type="spellEnd"/>
            <w:r w:rsidRPr="00290188" w:rsidR="00644145">
              <w:t xml:space="preserve">) heerst </w:t>
            </w:r>
            <w:r w:rsidRPr="00290188">
              <w:t xml:space="preserve">de hoogste gradatie hongersnood. </w:t>
            </w:r>
          </w:p>
          <w:p w:rsidRPr="00290188" w:rsidR="00E62C4E" w:rsidP="00E62C4E" w:rsidRDefault="00E62C4E" w14:paraId="17E3E96C" w14:textId="26DE7C48">
            <w:pPr>
              <w:pStyle w:val="broodtekst"/>
            </w:pPr>
            <w:r w:rsidRPr="00290188">
              <w:lastRenderedPageBreak/>
              <w:t xml:space="preserve">De RSF belegerde de steden Dilling en </w:t>
            </w:r>
            <w:proofErr w:type="spellStart"/>
            <w:r w:rsidRPr="00290188">
              <w:t>Kadugli</w:t>
            </w:r>
            <w:proofErr w:type="spellEnd"/>
            <w:r w:rsidRPr="00290188">
              <w:t xml:space="preserve"> in Zuid-</w:t>
            </w:r>
            <w:proofErr w:type="spellStart"/>
            <w:r w:rsidRPr="00290188">
              <w:t>Kordofan</w:t>
            </w:r>
            <w:proofErr w:type="spellEnd"/>
            <w:r w:rsidRPr="00290188">
              <w:t xml:space="preserve"> waardoor ernstige voedseltekorten ontstonden. In Dilling zagen inwoners zich hierdoor genoodzaakt gras en wilde planten te eten.</w:t>
            </w:r>
          </w:p>
        </w:tc>
      </w:tr>
    </w:tbl>
    <w:p w:rsidRPr="00290188" w:rsidR="00147976" w:rsidP="00147976" w:rsidRDefault="00147976" w14:paraId="2AB096CF" w14:textId="77777777">
      <w:pPr>
        <w:pStyle w:val="broodtekst"/>
      </w:pPr>
    </w:p>
    <w:bookmarkEnd w:id="2"/>
    <w:bookmarkEnd w:id="3"/>
    <w:p w:rsidRPr="00290188" w:rsidR="00802BA7" w:rsidP="00D97818" w:rsidRDefault="00802BA7" w14:paraId="62DF543F" w14:textId="77777777">
      <w:pPr>
        <w:pStyle w:val="broodtekst"/>
        <w:rPr>
          <w:b/>
          <w:bCs/>
        </w:rPr>
      </w:pPr>
    </w:p>
    <w:p w:rsidRPr="00290188" w:rsidR="00BE3978" w:rsidP="00D97818" w:rsidRDefault="007E22B5" w14:paraId="241AE23C" w14:textId="7800008E">
      <w:pPr>
        <w:pStyle w:val="broodtekst"/>
      </w:pPr>
      <w:r w:rsidRPr="00290188">
        <w:rPr>
          <w:b/>
          <w:bCs/>
        </w:rPr>
        <w:t xml:space="preserve">Conclusie: </w:t>
      </w:r>
      <w:r w:rsidRPr="00290188" w:rsidR="00E62C4E">
        <w:t xml:space="preserve">Er wordt momenteel een uitzonderlijk niveau van willekeurig geweld voor alle </w:t>
      </w:r>
      <w:proofErr w:type="spellStart"/>
      <w:r w:rsidRPr="00290188" w:rsidR="00E62C4E">
        <w:t>Kordofan</w:t>
      </w:r>
      <w:proofErr w:type="spellEnd"/>
      <w:r w:rsidRPr="00290188" w:rsidR="007608C6">
        <w:t>-</w:t>
      </w:r>
      <w:r w:rsidRPr="00290188" w:rsidR="00E62C4E">
        <w:t>staten aangenomen</w:t>
      </w:r>
      <w:r w:rsidRPr="00290188" w:rsidR="00365777">
        <w:t>.</w:t>
      </w:r>
      <w:r w:rsidRPr="00290188" w:rsidR="00E62C4E">
        <w:t xml:space="preserve"> </w:t>
      </w:r>
      <w:r w:rsidRPr="00290188">
        <w:t xml:space="preserve">In geen van de </w:t>
      </w:r>
      <w:proofErr w:type="spellStart"/>
      <w:r w:rsidRPr="00290188">
        <w:t>Kordofan</w:t>
      </w:r>
      <w:proofErr w:type="spellEnd"/>
      <w:r w:rsidRPr="00290188" w:rsidR="007608C6">
        <w:t>-</w:t>
      </w:r>
      <w:r w:rsidRPr="00290188">
        <w:t xml:space="preserve">staten is de controle duidelijk in handen van één van de strijdende partijen en dit maakt de </w:t>
      </w:r>
      <w:r w:rsidRPr="00290188" w:rsidR="00BC4695">
        <w:t>veiligheidssituatie wisselvallig en fragiel</w:t>
      </w:r>
      <w:r w:rsidRPr="00290188" w:rsidR="007608C6">
        <w:t>,</w:t>
      </w:r>
      <w:r w:rsidRPr="00290188" w:rsidR="00BC4695">
        <w:t xml:space="preserve"> omdat er op diverse plekken om controle gestreden wordt. Uit het ambtsbericht blijkt dat er sprake is van een brede geweldsescalatie in de </w:t>
      </w:r>
      <w:proofErr w:type="spellStart"/>
      <w:r w:rsidRPr="00290188" w:rsidR="00BC4695">
        <w:t>Kordofan</w:t>
      </w:r>
      <w:proofErr w:type="spellEnd"/>
      <w:r w:rsidRPr="00290188" w:rsidR="007608C6">
        <w:t>-</w:t>
      </w:r>
      <w:r w:rsidRPr="00290188" w:rsidR="00BC4695">
        <w:t>staten,</w:t>
      </w:r>
      <w:r w:rsidRPr="00290188" w:rsidR="00F55C75">
        <w:t xml:space="preserve"> wat ook te zien is aan het hoge aantal geweldsincidenten in alle drie de deelstaten. Het geweld werd gepleegd</w:t>
      </w:r>
      <w:r w:rsidRPr="00290188" w:rsidR="00BC4695">
        <w:t xml:space="preserve"> in de vorm van o.a. luchtaanvallen door de SAF in diverse delen van de deelstaten, moorddadige innames van dorpen door de RSF en verwoesting van burgerdoelwitten en vitale infrastructuur. </w:t>
      </w:r>
      <w:r w:rsidRPr="00290188" w:rsidR="00BC4695">
        <w:rPr>
          <w:u w:val="single"/>
        </w:rPr>
        <w:t xml:space="preserve">Dit leidt tot het advies om te blijven uitgaan van </w:t>
      </w:r>
      <w:r w:rsidRPr="00290188" w:rsidR="00E62C4E">
        <w:rPr>
          <w:u w:val="single"/>
        </w:rPr>
        <w:t>een uitzonderlijk niveau van willekeurig geweld</w:t>
      </w:r>
      <w:r w:rsidRPr="00290188" w:rsidR="00BC4695">
        <w:rPr>
          <w:u w:val="single"/>
        </w:rPr>
        <w:t xml:space="preserve"> voor alle </w:t>
      </w:r>
      <w:proofErr w:type="spellStart"/>
      <w:r w:rsidRPr="00290188" w:rsidR="00BC4695">
        <w:rPr>
          <w:u w:val="single"/>
        </w:rPr>
        <w:t>Kordofan</w:t>
      </w:r>
      <w:proofErr w:type="spellEnd"/>
      <w:r w:rsidRPr="00290188" w:rsidR="007608C6">
        <w:rPr>
          <w:u w:val="single"/>
        </w:rPr>
        <w:t>-staten.</w:t>
      </w:r>
    </w:p>
    <w:p w:rsidRPr="00290188" w:rsidR="00802BA7" w:rsidP="00D97818" w:rsidRDefault="00802BA7" w14:paraId="24DD6AB5" w14:textId="77777777">
      <w:pPr>
        <w:pStyle w:val="broodtekst"/>
        <w:rPr>
          <w:u w:val="single"/>
        </w:rPr>
      </w:pPr>
    </w:p>
    <w:p w:rsidRPr="00290188" w:rsidR="00B20D25" w:rsidP="00D97818" w:rsidRDefault="00B20D25" w14:paraId="26ADEC09" w14:textId="77777777">
      <w:pPr>
        <w:pStyle w:val="broodtekst"/>
      </w:pPr>
    </w:p>
    <w:tbl>
      <w:tblPr>
        <w:tblStyle w:val="Tabelraster"/>
        <w:tblW w:w="0" w:type="auto"/>
        <w:tblInd w:w="0" w:type="dxa"/>
        <w:tblLook w:val="04A0" w:firstRow="1" w:lastRow="0" w:firstColumn="1" w:lastColumn="0" w:noHBand="0" w:noVBand="1"/>
      </w:tblPr>
      <w:tblGrid>
        <w:gridCol w:w="2263"/>
        <w:gridCol w:w="6663"/>
      </w:tblGrid>
      <w:tr w:rsidRPr="00290188" w:rsidR="00D97818" w:rsidTr="00802BA7" w14:paraId="29BBE275" w14:textId="77777777">
        <w:tc>
          <w:tcPr>
            <w:tcW w:w="8926" w:type="dxa"/>
            <w:gridSpan w:val="2"/>
            <w:shd w:val="clear" w:color="auto" w:fill="DEEAF6" w:themeFill="accent1" w:themeFillTint="33"/>
          </w:tcPr>
          <w:p w:rsidRPr="00290188" w:rsidR="00D97818" w:rsidP="00B73F69" w:rsidRDefault="00D97818" w14:paraId="4DC56B8D" w14:textId="5BD5DD92">
            <w:pPr>
              <w:pStyle w:val="broodtekst"/>
              <w:rPr>
                <w:b/>
                <w:bCs/>
              </w:rPr>
            </w:pPr>
            <w:r w:rsidRPr="00290188">
              <w:rPr>
                <w:b/>
                <w:bCs/>
              </w:rPr>
              <w:t xml:space="preserve">El </w:t>
            </w:r>
            <w:proofErr w:type="spellStart"/>
            <w:r w:rsidRPr="00290188">
              <w:rPr>
                <w:b/>
                <w:bCs/>
              </w:rPr>
              <w:t>G</w:t>
            </w:r>
            <w:r w:rsidRPr="00290188" w:rsidR="00B42C19">
              <w:rPr>
                <w:b/>
                <w:bCs/>
              </w:rPr>
              <w:t>e</w:t>
            </w:r>
            <w:r w:rsidRPr="00290188">
              <w:rPr>
                <w:b/>
                <w:bCs/>
              </w:rPr>
              <w:t>zira</w:t>
            </w:r>
            <w:proofErr w:type="spellEnd"/>
            <w:r w:rsidRPr="00290188">
              <w:rPr>
                <w:b/>
                <w:bCs/>
              </w:rPr>
              <w:t xml:space="preserve"> </w:t>
            </w:r>
            <w:r w:rsidRPr="00290188" w:rsidR="002627F5">
              <w:rPr>
                <w:b/>
                <w:bCs/>
              </w:rPr>
              <w:t>(</w:t>
            </w:r>
            <w:r w:rsidRPr="00290188" w:rsidR="005F5114">
              <w:rPr>
                <w:b/>
                <w:bCs/>
              </w:rPr>
              <w:t>5,4</w:t>
            </w:r>
            <w:r w:rsidRPr="00290188" w:rsidR="00D54B3D">
              <w:rPr>
                <w:b/>
                <w:bCs/>
              </w:rPr>
              <w:t xml:space="preserve"> </w:t>
            </w:r>
            <w:r w:rsidRPr="00290188">
              <w:rPr>
                <w:b/>
                <w:bCs/>
              </w:rPr>
              <w:t>miljoen inwoners</w:t>
            </w:r>
            <w:r w:rsidRPr="00290188" w:rsidR="002627F5">
              <w:rPr>
                <w:b/>
                <w:bCs/>
              </w:rPr>
              <w:t>)</w:t>
            </w:r>
          </w:p>
        </w:tc>
      </w:tr>
      <w:tr w:rsidRPr="00290188" w:rsidR="00D97818" w:rsidTr="00D97818" w14:paraId="77CBFF16" w14:textId="77777777">
        <w:tc>
          <w:tcPr>
            <w:tcW w:w="2263" w:type="dxa"/>
          </w:tcPr>
          <w:p w:rsidRPr="00290188" w:rsidR="00D97818" w:rsidP="00B73F69" w:rsidRDefault="00D97818" w14:paraId="27EB5B00" w14:textId="77777777">
            <w:pPr>
              <w:pStyle w:val="broodtekst"/>
            </w:pPr>
            <w:r w:rsidRPr="00290188">
              <w:t>Controle</w:t>
            </w:r>
          </w:p>
        </w:tc>
        <w:tc>
          <w:tcPr>
            <w:tcW w:w="6663" w:type="dxa"/>
          </w:tcPr>
          <w:p w:rsidRPr="00290188" w:rsidR="00D97818" w:rsidP="00B73F69" w:rsidRDefault="00BE3978" w14:paraId="55C8149F" w14:textId="21E1D2A7">
            <w:pPr>
              <w:pStyle w:val="broodtekst"/>
            </w:pPr>
            <w:r w:rsidRPr="00290188">
              <w:t xml:space="preserve">In El </w:t>
            </w:r>
            <w:proofErr w:type="spellStart"/>
            <w:r w:rsidRPr="00290188">
              <w:t>Gezira</w:t>
            </w:r>
            <w:proofErr w:type="spellEnd"/>
            <w:r w:rsidRPr="00290188">
              <w:t xml:space="preserve"> verschoven frontlinies snel. Nadat de RSF eind 2023 de deelstaathoofdstad Wad </w:t>
            </w:r>
            <w:proofErr w:type="spellStart"/>
            <w:r w:rsidRPr="00290188">
              <w:t>Madani</w:t>
            </w:r>
            <w:proofErr w:type="spellEnd"/>
            <w:r w:rsidRPr="00290188">
              <w:t xml:space="preserve"> veroverden, kwam het grootste deel van El </w:t>
            </w:r>
            <w:proofErr w:type="spellStart"/>
            <w:r w:rsidRPr="00290188">
              <w:t>Gezira</w:t>
            </w:r>
            <w:proofErr w:type="spellEnd"/>
            <w:r w:rsidRPr="00290188">
              <w:t xml:space="preserve"> onder controle van de RSF te staan. Begin 2025 slaagden de SAF er echter in om Wad </w:t>
            </w:r>
            <w:proofErr w:type="spellStart"/>
            <w:r w:rsidRPr="00290188">
              <w:t>Madani</w:t>
            </w:r>
            <w:proofErr w:type="spellEnd"/>
            <w:r w:rsidRPr="00290188">
              <w:t xml:space="preserve"> te heroveren. Sommige delen van de staat El </w:t>
            </w:r>
            <w:proofErr w:type="spellStart"/>
            <w:r w:rsidRPr="00290188">
              <w:t>Gezira</w:t>
            </w:r>
            <w:proofErr w:type="spellEnd"/>
            <w:r w:rsidRPr="00290188">
              <w:t xml:space="preserve"> zijn momenteel in handen van de SAF.</w:t>
            </w:r>
          </w:p>
        </w:tc>
      </w:tr>
      <w:tr w:rsidRPr="00290188" w:rsidR="00D97818" w:rsidTr="00D97818" w14:paraId="2D8567D9" w14:textId="77777777">
        <w:tc>
          <w:tcPr>
            <w:tcW w:w="2263" w:type="dxa"/>
          </w:tcPr>
          <w:p w:rsidRPr="00290188" w:rsidR="00D97818" w:rsidP="00B73F69" w:rsidRDefault="00D97818" w14:paraId="6805DB56" w14:textId="77777777">
            <w:pPr>
              <w:pStyle w:val="broodtekst"/>
            </w:pPr>
            <w:r w:rsidRPr="00290188">
              <w:t>Strijdende partijen</w:t>
            </w:r>
          </w:p>
        </w:tc>
        <w:tc>
          <w:tcPr>
            <w:tcW w:w="6663" w:type="dxa"/>
          </w:tcPr>
          <w:p w:rsidRPr="00290188" w:rsidR="00D97818" w:rsidP="00B73F69" w:rsidRDefault="00BE3978" w14:paraId="43BC6542" w14:textId="50A379D6">
            <w:pPr>
              <w:pStyle w:val="broodtekst"/>
            </w:pPr>
            <w:r w:rsidRPr="00290188">
              <w:t>SAF (inclusief gelieerde</w:t>
            </w:r>
            <w:r w:rsidRPr="00290188" w:rsidR="007608C6">
              <w:t xml:space="preserve"> milities</w:t>
            </w:r>
            <w:r w:rsidRPr="00290188">
              <w:t>) &amp; RSF (inclusief gelieerde milities).</w:t>
            </w:r>
          </w:p>
        </w:tc>
      </w:tr>
      <w:tr w:rsidRPr="00290188" w:rsidR="00D97818" w:rsidTr="00D97818" w14:paraId="0EA5BC90" w14:textId="77777777">
        <w:tc>
          <w:tcPr>
            <w:tcW w:w="2263" w:type="dxa"/>
          </w:tcPr>
          <w:p w:rsidRPr="00290188" w:rsidR="00D97818" w:rsidP="00B73F69" w:rsidRDefault="00D97818" w14:paraId="71EDC59F" w14:textId="77777777">
            <w:pPr>
              <w:pStyle w:val="broodtekst"/>
            </w:pPr>
            <w:r w:rsidRPr="00290188">
              <w:t>Aard van het geweld &amp; gevechtsmethodes</w:t>
            </w:r>
          </w:p>
        </w:tc>
        <w:tc>
          <w:tcPr>
            <w:tcW w:w="6663" w:type="dxa"/>
          </w:tcPr>
          <w:p w:rsidRPr="00290188" w:rsidR="00D97818" w:rsidP="00BE3978" w:rsidRDefault="00BE3978" w14:paraId="6FADDE51" w14:textId="77777777">
            <w:pPr>
              <w:pStyle w:val="broodtekst"/>
            </w:pPr>
            <w:r w:rsidRPr="00290188">
              <w:t xml:space="preserve">Zowel de SAF als de RSF pleegden gedurende de verslagperiode excessen in El </w:t>
            </w:r>
            <w:proofErr w:type="spellStart"/>
            <w:r w:rsidRPr="00290188">
              <w:t>Gezira</w:t>
            </w:r>
            <w:proofErr w:type="spellEnd"/>
            <w:r w:rsidRPr="00290188">
              <w:t>:</w:t>
            </w:r>
          </w:p>
          <w:p w:rsidRPr="00290188" w:rsidR="009D4984" w:rsidP="009D4984" w:rsidRDefault="00AD117B" w14:paraId="074EE2C1" w14:textId="750F043A">
            <w:pPr>
              <w:pStyle w:val="broodtekst"/>
              <w:numPr>
                <w:ilvl w:val="0"/>
                <w:numId w:val="3"/>
              </w:numPr>
            </w:pPr>
            <w:r w:rsidRPr="00290188">
              <w:t xml:space="preserve">Er werd door beide strijdende partijen grootschalig wraakgeweld tegen burgerbevolkingen gepleegd. </w:t>
            </w:r>
            <w:r w:rsidRPr="00290188" w:rsidR="009D4984">
              <w:t>Dit wraakgeweld had vaak als reden dat de burgerbevolking gestraft werd voor het feit dat de andere strijdende partij eerder controle in het gebied had</w:t>
            </w:r>
            <w:r w:rsidRPr="00290188" w:rsidR="00F55C75">
              <w:t xml:space="preserve">. </w:t>
            </w:r>
          </w:p>
          <w:p w:rsidRPr="00290188" w:rsidR="00BE3978" w:rsidP="009D4984" w:rsidRDefault="00AD117B" w14:paraId="64290758" w14:textId="0AAF6F56">
            <w:pPr>
              <w:pStyle w:val="broodtekst"/>
              <w:numPr>
                <w:ilvl w:val="0"/>
                <w:numId w:val="3"/>
              </w:numPr>
            </w:pPr>
            <w:r w:rsidRPr="00290188">
              <w:t xml:space="preserve">Zo vielen de SAF dorpen van o.a. </w:t>
            </w:r>
            <w:proofErr w:type="spellStart"/>
            <w:r w:rsidRPr="00290188">
              <w:t>Kanabi</w:t>
            </w:r>
            <w:proofErr w:type="spellEnd"/>
            <w:r w:rsidRPr="00290188">
              <w:t xml:space="preserve"> aan onder het mom van vermeende collaboratie met de RSF. Hierbij werden burgers met vuurwapens en messen aangevallen en werden tientallen dorpen volledig platgebrand.</w:t>
            </w:r>
          </w:p>
          <w:p w:rsidRPr="00290188" w:rsidR="00AD117B" w:rsidP="00BE3978" w:rsidRDefault="00AD117B" w14:paraId="2087D21C" w14:textId="393066FE">
            <w:pPr>
              <w:pStyle w:val="broodtekst"/>
              <w:numPr>
                <w:ilvl w:val="0"/>
                <w:numId w:val="3"/>
              </w:numPr>
            </w:pPr>
            <w:r w:rsidRPr="00290188">
              <w:t>De RSF pleegden grootschalige aanvallen verspreid over de hele deelstaat</w:t>
            </w:r>
            <w:r w:rsidRPr="00290188" w:rsidR="009D4984">
              <w:t>. Zo pleegde de RSF massamoord in 30 steden en dorpen gedurende enkele dagen in oktober 2024</w:t>
            </w:r>
            <w:r w:rsidRPr="00290188">
              <w:t>.</w:t>
            </w:r>
            <w:r w:rsidRPr="00290188">
              <w:rPr>
                <w:rStyle w:val="Voetnootmarkering"/>
              </w:rPr>
              <w:footnoteReference w:id="17"/>
            </w:r>
            <w:r w:rsidRPr="00290188" w:rsidR="009D4984">
              <w:t xml:space="preserve"> </w:t>
            </w:r>
          </w:p>
          <w:p w:rsidRPr="00290188" w:rsidR="009D4984" w:rsidP="009D4984" w:rsidRDefault="009D4984" w14:paraId="313E6956" w14:textId="69F27D6B">
            <w:pPr>
              <w:pStyle w:val="broodtekst"/>
              <w:numPr>
                <w:ilvl w:val="0"/>
                <w:numId w:val="3"/>
              </w:numPr>
            </w:pPr>
            <w:r w:rsidRPr="00290188">
              <w:t>Een ander voorbeeld is de aanval van de RSF op Wad al-</w:t>
            </w:r>
            <w:proofErr w:type="spellStart"/>
            <w:r w:rsidRPr="00290188">
              <w:t>Noura</w:t>
            </w:r>
            <w:proofErr w:type="spellEnd"/>
            <w:r w:rsidRPr="00290188">
              <w:t xml:space="preserve"> op 5 juni 2024. Geschat wordt dat er ministens 107 mensen zijn omgebracht, waaronder minstens 35 kinderen.</w:t>
            </w:r>
          </w:p>
          <w:p w:rsidRPr="00290188" w:rsidR="00BE3978" w:rsidP="00E62C4E" w:rsidRDefault="00AD117B" w14:paraId="5F2F350C" w14:textId="77777777">
            <w:pPr>
              <w:pStyle w:val="broodtekst"/>
              <w:numPr>
                <w:ilvl w:val="0"/>
                <w:numId w:val="3"/>
              </w:numPr>
            </w:pPr>
            <w:r w:rsidRPr="00290188">
              <w:t>De SAF pleegden luchtaanvallen gericht op controlegebieden van de RSF, waarbij burgers slachtoffer werden. Daarbij werden gericht markten aangevallen met het doel om commerciële activiteiten in RSF</w:t>
            </w:r>
            <w:r w:rsidRPr="00290188" w:rsidR="007608C6">
              <w:t>-</w:t>
            </w:r>
            <w:r w:rsidRPr="00290188">
              <w:t>gebieden te ondermijnen.</w:t>
            </w:r>
            <w:r w:rsidRPr="00290188" w:rsidR="00AC3438">
              <w:t xml:space="preserve"> SAF</w:t>
            </w:r>
            <w:r w:rsidRPr="00290188" w:rsidR="007608C6">
              <w:t>-</w:t>
            </w:r>
            <w:r w:rsidRPr="00290188" w:rsidR="00AC3438">
              <w:t>gevechtsvliegtuigen waren veelal niet in staat om bewegende RSF</w:t>
            </w:r>
            <w:r w:rsidRPr="00290188" w:rsidR="007608C6">
              <w:t>-</w:t>
            </w:r>
            <w:r w:rsidRPr="00290188" w:rsidR="00AC3438">
              <w:t>doelen te raken, en daarom werd de tactiek gebruikt om drukke gebieden zoals markten aan te vallen waar zich mogelijk ook RSF</w:t>
            </w:r>
            <w:r w:rsidRPr="00290188" w:rsidR="007608C6">
              <w:t>-</w:t>
            </w:r>
            <w:r w:rsidRPr="00290188" w:rsidR="00AC3438">
              <w:t>strijders bevonden.</w:t>
            </w:r>
            <w:r w:rsidRPr="00290188">
              <w:rPr>
                <w:rStyle w:val="Voetnootmarkering"/>
              </w:rPr>
              <w:footnoteReference w:id="18"/>
            </w:r>
          </w:p>
          <w:p w:rsidRPr="00290188" w:rsidR="00B20D25" w:rsidP="00B20D25" w:rsidRDefault="00B20D25" w14:paraId="5FE5D192" w14:textId="6E00B6AF">
            <w:pPr>
              <w:pStyle w:val="broodtekst"/>
              <w:ind w:left="720"/>
            </w:pPr>
          </w:p>
        </w:tc>
      </w:tr>
      <w:tr w:rsidRPr="00290188" w:rsidR="00D97818" w:rsidTr="00316EAD" w14:paraId="034AC2F6" w14:textId="77777777">
        <w:trPr>
          <w:trHeight w:val="1932"/>
        </w:trPr>
        <w:tc>
          <w:tcPr>
            <w:tcW w:w="2263" w:type="dxa"/>
          </w:tcPr>
          <w:p w:rsidRPr="00290188" w:rsidR="00D97818" w:rsidP="00B73F69" w:rsidRDefault="00D97818" w14:paraId="073F90B8" w14:textId="77777777">
            <w:pPr>
              <w:pStyle w:val="broodtekst"/>
            </w:pPr>
            <w:r w:rsidRPr="00290188">
              <w:lastRenderedPageBreak/>
              <w:t>Aantal geweldsincidenten</w:t>
            </w:r>
          </w:p>
        </w:tc>
        <w:tc>
          <w:tcPr>
            <w:tcW w:w="6663" w:type="dxa"/>
          </w:tcPr>
          <w:p w:rsidRPr="00290188" w:rsidR="00B20D25" w:rsidP="00B73F69" w:rsidRDefault="00B20D25" w14:paraId="4107F57D" w14:textId="77777777">
            <w:pPr>
              <w:pStyle w:val="broodtekst"/>
              <w:rPr>
                <w:color w:val="000000" w:themeColor="text1"/>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728"/>
              <w:gridCol w:w="728"/>
              <w:gridCol w:w="1434"/>
            </w:tblGrid>
            <w:tr w:rsidRPr="00290188" w:rsidR="001D0DC1" w:rsidTr="00316EAD" w14:paraId="1192AE14" w14:textId="77777777">
              <w:trPr>
                <w:trHeight w:val="123"/>
                <w:jc w:val="center"/>
              </w:trPr>
              <w:tc>
                <w:tcPr>
                  <w:tcW w:w="0" w:type="auto"/>
                </w:tcPr>
                <w:p w:rsidRPr="00290188" w:rsidR="001D0DC1" w:rsidP="001D0DC1" w:rsidRDefault="001D0DC1" w14:paraId="3165465D" w14:textId="77777777">
                  <w:pPr>
                    <w:pStyle w:val="Default"/>
                    <w:rPr>
                      <w:b/>
                      <w:bCs/>
                      <w:sz w:val="18"/>
                      <w:szCs w:val="18"/>
                    </w:rPr>
                  </w:pPr>
                </w:p>
              </w:tc>
              <w:tc>
                <w:tcPr>
                  <w:tcW w:w="0" w:type="auto"/>
                </w:tcPr>
                <w:p w:rsidRPr="00290188" w:rsidR="001D0DC1" w:rsidP="001D0DC1" w:rsidRDefault="001D0DC1" w14:paraId="15493647" w14:textId="77777777">
                  <w:pPr>
                    <w:pStyle w:val="Default"/>
                    <w:rPr>
                      <w:b/>
                      <w:bCs/>
                      <w:sz w:val="18"/>
                      <w:szCs w:val="18"/>
                    </w:rPr>
                  </w:pPr>
                  <w:r w:rsidRPr="00290188">
                    <w:rPr>
                      <w:b/>
                      <w:bCs/>
                      <w:sz w:val="18"/>
                      <w:szCs w:val="18"/>
                    </w:rPr>
                    <w:t>2023</w:t>
                  </w:r>
                </w:p>
              </w:tc>
              <w:tc>
                <w:tcPr>
                  <w:tcW w:w="0" w:type="auto"/>
                </w:tcPr>
                <w:p w:rsidRPr="00290188" w:rsidR="001D0DC1" w:rsidP="001D0DC1" w:rsidRDefault="001D0DC1" w14:paraId="34B40920" w14:textId="77777777">
                  <w:pPr>
                    <w:pStyle w:val="Default"/>
                    <w:rPr>
                      <w:b/>
                      <w:bCs/>
                      <w:sz w:val="18"/>
                      <w:szCs w:val="18"/>
                    </w:rPr>
                  </w:pPr>
                  <w:r w:rsidRPr="00290188">
                    <w:rPr>
                      <w:b/>
                      <w:bCs/>
                      <w:sz w:val="18"/>
                      <w:szCs w:val="18"/>
                    </w:rPr>
                    <w:t>2024</w:t>
                  </w:r>
                </w:p>
              </w:tc>
              <w:tc>
                <w:tcPr>
                  <w:tcW w:w="0" w:type="auto"/>
                </w:tcPr>
                <w:p w:rsidRPr="00290188" w:rsidR="001D0DC1" w:rsidP="001D0DC1" w:rsidRDefault="001D0DC1" w14:paraId="79CEE777" w14:textId="77777777">
                  <w:pPr>
                    <w:pStyle w:val="Default"/>
                    <w:rPr>
                      <w:b/>
                      <w:bCs/>
                      <w:sz w:val="18"/>
                      <w:szCs w:val="18"/>
                    </w:rPr>
                  </w:pPr>
                  <w:r w:rsidRPr="00290188">
                    <w:rPr>
                      <w:b/>
                      <w:bCs/>
                      <w:sz w:val="18"/>
                      <w:szCs w:val="18"/>
                    </w:rPr>
                    <w:t xml:space="preserve">2025 </w:t>
                  </w:r>
                  <w:r w:rsidRPr="00290188">
                    <w:rPr>
                      <w:b/>
                      <w:bCs/>
                      <w:sz w:val="18"/>
                      <w:szCs w:val="18"/>
                    </w:rPr>
                    <w:br/>
                    <w:t>(t/m 8 aug)</w:t>
                  </w:r>
                </w:p>
              </w:tc>
            </w:tr>
            <w:tr w:rsidRPr="00290188" w:rsidR="001D0DC1" w:rsidTr="00316EAD" w14:paraId="255F466E" w14:textId="77777777">
              <w:trPr>
                <w:trHeight w:val="123"/>
                <w:jc w:val="center"/>
              </w:trPr>
              <w:tc>
                <w:tcPr>
                  <w:tcW w:w="0" w:type="auto"/>
                </w:tcPr>
                <w:p w:rsidRPr="00290188" w:rsidR="001D0DC1" w:rsidP="001D0DC1" w:rsidRDefault="001D0DC1" w14:paraId="432CF3D5" w14:textId="77777777">
                  <w:pPr>
                    <w:pStyle w:val="Default"/>
                    <w:rPr>
                      <w:sz w:val="18"/>
                      <w:szCs w:val="18"/>
                    </w:rPr>
                  </w:pPr>
                  <w:r w:rsidRPr="00290188">
                    <w:rPr>
                      <w:b/>
                      <w:bCs/>
                      <w:sz w:val="18"/>
                      <w:szCs w:val="18"/>
                    </w:rPr>
                    <w:t>Totaal</w:t>
                  </w:r>
                </w:p>
              </w:tc>
              <w:tc>
                <w:tcPr>
                  <w:tcW w:w="0" w:type="auto"/>
                </w:tcPr>
                <w:p w:rsidRPr="00290188" w:rsidR="001D0DC1" w:rsidP="001D0DC1" w:rsidRDefault="001D0DC1" w14:paraId="2E92FF8E" w14:textId="1FDF37C1">
                  <w:pPr>
                    <w:pStyle w:val="Default"/>
                    <w:rPr>
                      <w:b/>
                      <w:bCs/>
                      <w:sz w:val="18"/>
                      <w:szCs w:val="18"/>
                    </w:rPr>
                  </w:pPr>
                  <w:r w:rsidRPr="00290188">
                    <w:rPr>
                      <w:b/>
                      <w:bCs/>
                      <w:sz w:val="18"/>
                      <w:szCs w:val="18"/>
                    </w:rPr>
                    <w:t>147</w:t>
                  </w:r>
                </w:p>
              </w:tc>
              <w:tc>
                <w:tcPr>
                  <w:tcW w:w="0" w:type="auto"/>
                </w:tcPr>
                <w:p w:rsidRPr="00290188" w:rsidR="001D0DC1" w:rsidP="001D0DC1" w:rsidRDefault="001D0DC1" w14:paraId="5862C7DF" w14:textId="42698E20">
                  <w:pPr>
                    <w:pStyle w:val="Default"/>
                    <w:rPr>
                      <w:b/>
                      <w:bCs/>
                      <w:sz w:val="18"/>
                      <w:szCs w:val="18"/>
                    </w:rPr>
                  </w:pPr>
                  <w:r w:rsidRPr="00290188">
                    <w:rPr>
                      <w:b/>
                      <w:bCs/>
                      <w:sz w:val="18"/>
                      <w:szCs w:val="18"/>
                    </w:rPr>
                    <w:t>993</w:t>
                  </w:r>
                </w:p>
              </w:tc>
              <w:tc>
                <w:tcPr>
                  <w:tcW w:w="0" w:type="auto"/>
                </w:tcPr>
                <w:p w:rsidRPr="00290188" w:rsidR="001D0DC1" w:rsidP="001D0DC1" w:rsidRDefault="001D0DC1" w14:paraId="609A9552" w14:textId="1B952563">
                  <w:pPr>
                    <w:pStyle w:val="Default"/>
                    <w:rPr>
                      <w:b/>
                      <w:bCs/>
                      <w:sz w:val="18"/>
                      <w:szCs w:val="18"/>
                    </w:rPr>
                  </w:pPr>
                  <w:r w:rsidRPr="00290188">
                    <w:rPr>
                      <w:b/>
                      <w:bCs/>
                      <w:sz w:val="18"/>
                      <w:szCs w:val="18"/>
                    </w:rPr>
                    <w:t>189</w:t>
                  </w:r>
                </w:p>
              </w:tc>
            </w:tr>
            <w:tr w:rsidRPr="00290188" w:rsidR="001D0DC1" w:rsidTr="00316EAD" w14:paraId="3CF8FFCF" w14:textId="77777777">
              <w:trPr>
                <w:trHeight w:val="121"/>
                <w:jc w:val="center"/>
              </w:trPr>
              <w:tc>
                <w:tcPr>
                  <w:tcW w:w="0" w:type="auto"/>
                </w:tcPr>
                <w:p w:rsidRPr="00290188" w:rsidR="001D0DC1" w:rsidP="001D0DC1" w:rsidRDefault="001D0DC1" w14:paraId="531DA30E" w14:textId="77777777">
                  <w:pPr>
                    <w:pStyle w:val="Default"/>
                    <w:rPr>
                      <w:sz w:val="18"/>
                      <w:szCs w:val="18"/>
                    </w:rPr>
                  </w:pPr>
                  <w:r w:rsidRPr="00290188">
                    <w:rPr>
                      <w:sz w:val="18"/>
                      <w:szCs w:val="18"/>
                    </w:rPr>
                    <w:t xml:space="preserve">Gevechten </w:t>
                  </w:r>
                </w:p>
              </w:tc>
              <w:tc>
                <w:tcPr>
                  <w:tcW w:w="0" w:type="auto"/>
                </w:tcPr>
                <w:p w:rsidRPr="00290188" w:rsidR="001D0DC1" w:rsidP="001D0DC1" w:rsidRDefault="001D0DC1" w14:paraId="330539A9" w14:textId="1F796080">
                  <w:pPr>
                    <w:pStyle w:val="Default"/>
                    <w:rPr>
                      <w:sz w:val="18"/>
                      <w:szCs w:val="18"/>
                    </w:rPr>
                  </w:pPr>
                  <w:r w:rsidRPr="00290188">
                    <w:rPr>
                      <w:sz w:val="18"/>
                      <w:szCs w:val="18"/>
                    </w:rPr>
                    <w:t>44</w:t>
                  </w:r>
                </w:p>
              </w:tc>
              <w:tc>
                <w:tcPr>
                  <w:tcW w:w="0" w:type="auto"/>
                </w:tcPr>
                <w:p w:rsidRPr="00290188" w:rsidR="001D0DC1" w:rsidP="001D0DC1" w:rsidRDefault="001D0DC1" w14:paraId="6A81DF9C" w14:textId="70FAE034">
                  <w:pPr>
                    <w:pStyle w:val="Default"/>
                    <w:rPr>
                      <w:sz w:val="18"/>
                      <w:szCs w:val="18"/>
                    </w:rPr>
                  </w:pPr>
                  <w:r w:rsidRPr="00290188">
                    <w:rPr>
                      <w:sz w:val="18"/>
                      <w:szCs w:val="18"/>
                    </w:rPr>
                    <w:t>145</w:t>
                  </w:r>
                </w:p>
              </w:tc>
              <w:tc>
                <w:tcPr>
                  <w:tcW w:w="0" w:type="auto"/>
                </w:tcPr>
                <w:p w:rsidRPr="00290188" w:rsidR="001D0DC1" w:rsidP="001D0DC1" w:rsidRDefault="001D0DC1" w14:paraId="136C4E00" w14:textId="0112FA6B">
                  <w:pPr>
                    <w:pStyle w:val="Default"/>
                    <w:rPr>
                      <w:sz w:val="18"/>
                      <w:szCs w:val="18"/>
                    </w:rPr>
                  </w:pPr>
                  <w:r w:rsidRPr="00290188">
                    <w:rPr>
                      <w:sz w:val="18"/>
                      <w:szCs w:val="18"/>
                    </w:rPr>
                    <w:t>41</w:t>
                  </w:r>
                </w:p>
              </w:tc>
            </w:tr>
            <w:tr w:rsidRPr="00290188" w:rsidR="001D0DC1" w:rsidTr="00316EAD" w14:paraId="22467BF8" w14:textId="77777777">
              <w:trPr>
                <w:trHeight w:val="121"/>
                <w:jc w:val="center"/>
              </w:trPr>
              <w:tc>
                <w:tcPr>
                  <w:tcW w:w="0" w:type="auto"/>
                </w:tcPr>
                <w:p w:rsidRPr="00290188" w:rsidR="001D0DC1" w:rsidP="001D0DC1" w:rsidRDefault="001D0DC1" w14:paraId="377A8FAD" w14:textId="77777777">
                  <w:pPr>
                    <w:pStyle w:val="Default"/>
                    <w:rPr>
                      <w:sz w:val="18"/>
                      <w:szCs w:val="18"/>
                    </w:rPr>
                  </w:pPr>
                  <w:r w:rsidRPr="00290188">
                    <w:rPr>
                      <w:sz w:val="18"/>
                      <w:szCs w:val="18"/>
                    </w:rPr>
                    <w:t xml:space="preserve">Explosies/geweld op afstand </w:t>
                  </w:r>
                </w:p>
              </w:tc>
              <w:tc>
                <w:tcPr>
                  <w:tcW w:w="0" w:type="auto"/>
                </w:tcPr>
                <w:p w:rsidRPr="00290188" w:rsidR="001D0DC1" w:rsidP="001D0DC1" w:rsidRDefault="001D0DC1" w14:paraId="73E6B3C4" w14:textId="0F4BD2D6">
                  <w:pPr>
                    <w:pStyle w:val="Default"/>
                    <w:rPr>
                      <w:sz w:val="18"/>
                      <w:szCs w:val="18"/>
                    </w:rPr>
                  </w:pPr>
                  <w:r w:rsidRPr="00290188">
                    <w:rPr>
                      <w:sz w:val="18"/>
                      <w:szCs w:val="18"/>
                    </w:rPr>
                    <w:t>20</w:t>
                  </w:r>
                </w:p>
              </w:tc>
              <w:tc>
                <w:tcPr>
                  <w:tcW w:w="0" w:type="auto"/>
                </w:tcPr>
                <w:p w:rsidRPr="00290188" w:rsidR="001D0DC1" w:rsidP="001D0DC1" w:rsidRDefault="001D0DC1" w14:paraId="748B50D3" w14:textId="79BEF4D7">
                  <w:pPr>
                    <w:pStyle w:val="Default"/>
                    <w:rPr>
                      <w:sz w:val="18"/>
                      <w:szCs w:val="18"/>
                    </w:rPr>
                  </w:pPr>
                  <w:r w:rsidRPr="00290188">
                    <w:rPr>
                      <w:sz w:val="18"/>
                      <w:szCs w:val="18"/>
                    </w:rPr>
                    <w:t>234</w:t>
                  </w:r>
                </w:p>
              </w:tc>
              <w:tc>
                <w:tcPr>
                  <w:tcW w:w="0" w:type="auto"/>
                </w:tcPr>
                <w:p w:rsidRPr="00290188" w:rsidR="001D0DC1" w:rsidP="001D0DC1" w:rsidRDefault="001D0DC1" w14:paraId="1FA89AC7" w14:textId="5A8F21A8">
                  <w:pPr>
                    <w:pStyle w:val="Default"/>
                    <w:rPr>
                      <w:sz w:val="18"/>
                      <w:szCs w:val="18"/>
                    </w:rPr>
                  </w:pPr>
                  <w:r w:rsidRPr="00290188">
                    <w:rPr>
                      <w:sz w:val="18"/>
                      <w:szCs w:val="18"/>
                    </w:rPr>
                    <w:t>41</w:t>
                  </w:r>
                </w:p>
              </w:tc>
            </w:tr>
            <w:tr w:rsidRPr="00290188" w:rsidR="001D0DC1" w:rsidTr="00316EAD" w14:paraId="1BD22526" w14:textId="77777777">
              <w:trPr>
                <w:trHeight w:val="121"/>
                <w:jc w:val="center"/>
              </w:trPr>
              <w:tc>
                <w:tcPr>
                  <w:tcW w:w="0" w:type="auto"/>
                </w:tcPr>
                <w:p w:rsidRPr="00290188" w:rsidR="001D0DC1" w:rsidP="001D0DC1" w:rsidRDefault="001D0DC1" w14:paraId="050E8B00" w14:textId="77777777">
                  <w:pPr>
                    <w:pStyle w:val="Default"/>
                    <w:rPr>
                      <w:sz w:val="18"/>
                      <w:szCs w:val="18"/>
                    </w:rPr>
                  </w:pPr>
                  <w:r w:rsidRPr="00290188">
                    <w:rPr>
                      <w:sz w:val="18"/>
                      <w:szCs w:val="18"/>
                    </w:rPr>
                    <w:t xml:space="preserve">Geweld tegen burgers </w:t>
                  </w:r>
                </w:p>
              </w:tc>
              <w:tc>
                <w:tcPr>
                  <w:tcW w:w="0" w:type="auto"/>
                </w:tcPr>
                <w:p w:rsidRPr="00290188" w:rsidR="001D0DC1" w:rsidP="001D0DC1" w:rsidRDefault="001D0DC1" w14:paraId="19F7316E" w14:textId="2576AF66">
                  <w:pPr>
                    <w:pStyle w:val="Default"/>
                    <w:rPr>
                      <w:sz w:val="18"/>
                      <w:szCs w:val="18"/>
                    </w:rPr>
                  </w:pPr>
                  <w:r w:rsidRPr="00290188">
                    <w:rPr>
                      <w:sz w:val="18"/>
                      <w:szCs w:val="18"/>
                    </w:rPr>
                    <w:t>83</w:t>
                  </w:r>
                </w:p>
              </w:tc>
              <w:tc>
                <w:tcPr>
                  <w:tcW w:w="0" w:type="auto"/>
                </w:tcPr>
                <w:p w:rsidRPr="00290188" w:rsidR="001D0DC1" w:rsidP="001D0DC1" w:rsidRDefault="001D0DC1" w14:paraId="3B3005CE" w14:textId="2918B03C">
                  <w:pPr>
                    <w:pStyle w:val="Default"/>
                    <w:rPr>
                      <w:sz w:val="18"/>
                      <w:szCs w:val="18"/>
                    </w:rPr>
                  </w:pPr>
                  <w:r w:rsidRPr="00290188">
                    <w:rPr>
                      <w:sz w:val="18"/>
                      <w:szCs w:val="18"/>
                    </w:rPr>
                    <w:t>614</w:t>
                  </w:r>
                </w:p>
              </w:tc>
              <w:tc>
                <w:tcPr>
                  <w:tcW w:w="0" w:type="auto"/>
                </w:tcPr>
                <w:p w:rsidRPr="00290188" w:rsidR="001D0DC1" w:rsidP="001D0DC1" w:rsidRDefault="001D0DC1" w14:paraId="3C5B7632" w14:textId="2A578704">
                  <w:pPr>
                    <w:pStyle w:val="Default"/>
                    <w:rPr>
                      <w:sz w:val="18"/>
                      <w:szCs w:val="18"/>
                    </w:rPr>
                  </w:pPr>
                  <w:r w:rsidRPr="00290188">
                    <w:rPr>
                      <w:sz w:val="18"/>
                      <w:szCs w:val="18"/>
                    </w:rPr>
                    <w:t>107</w:t>
                  </w:r>
                </w:p>
              </w:tc>
            </w:tr>
          </w:tbl>
          <w:p w:rsidRPr="00290188" w:rsidR="001D0DC1" w:rsidP="00B73F69" w:rsidRDefault="001D0DC1" w14:paraId="2C9FA35C" w14:textId="6263712B">
            <w:pPr>
              <w:pStyle w:val="broodtekst"/>
            </w:pPr>
          </w:p>
        </w:tc>
      </w:tr>
      <w:tr w:rsidRPr="00290188" w:rsidR="00D97818" w:rsidTr="00D97818" w14:paraId="68AB7ED9" w14:textId="77777777">
        <w:tc>
          <w:tcPr>
            <w:tcW w:w="2263" w:type="dxa"/>
          </w:tcPr>
          <w:p w:rsidRPr="00290188" w:rsidR="00D97818" w:rsidP="00B73F69" w:rsidRDefault="00D97818" w14:paraId="6626163B" w14:textId="77777777">
            <w:pPr>
              <w:pStyle w:val="broodtekst"/>
            </w:pPr>
            <w:r w:rsidRPr="00290188">
              <w:t>Geografische omvang geweld</w:t>
            </w:r>
          </w:p>
        </w:tc>
        <w:tc>
          <w:tcPr>
            <w:tcW w:w="6663" w:type="dxa"/>
          </w:tcPr>
          <w:p w:rsidRPr="00290188" w:rsidR="00D97818" w:rsidP="00B73F69" w:rsidRDefault="006B4EB8" w14:paraId="5E2FBE7C" w14:textId="318CC5AF">
            <w:pPr>
              <w:pStyle w:val="broodtekst"/>
            </w:pPr>
            <w:r w:rsidRPr="00290188">
              <w:t xml:space="preserve">In heel El </w:t>
            </w:r>
            <w:proofErr w:type="spellStart"/>
            <w:r w:rsidRPr="00290188">
              <w:t>Gezira</w:t>
            </w:r>
            <w:proofErr w:type="spellEnd"/>
            <w:r w:rsidRPr="00290188">
              <w:t xml:space="preserve"> vonden veiligheidsincidenten plaats doordat de controlegebieden niet uitgekristalliseerd zijn.</w:t>
            </w:r>
          </w:p>
        </w:tc>
      </w:tr>
      <w:tr w:rsidRPr="00290188" w:rsidR="00D97818" w:rsidTr="00D97818" w14:paraId="06968701" w14:textId="77777777">
        <w:tc>
          <w:tcPr>
            <w:tcW w:w="2263" w:type="dxa"/>
          </w:tcPr>
          <w:p w:rsidRPr="00290188" w:rsidR="00D97818" w:rsidP="00B73F69" w:rsidRDefault="00D97818" w14:paraId="162E48F0" w14:textId="77777777">
            <w:pPr>
              <w:pStyle w:val="broodtekst"/>
            </w:pPr>
            <w:r w:rsidRPr="00290188">
              <w:t>Veiligheidsstructuur</w:t>
            </w:r>
          </w:p>
        </w:tc>
        <w:tc>
          <w:tcPr>
            <w:tcW w:w="6663" w:type="dxa"/>
          </w:tcPr>
          <w:p w:rsidRPr="00290188" w:rsidR="00D97818" w:rsidP="00B73F69" w:rsidRDefault="00D97818" w14:paraId="08B0ED91" w14:textId="39B28885">
            <w:pPr>
              <w:pStyle w:val="broodtekst"/>
            </w:pPr>
            <w:r w:rsidRPr="00290188">
              <w:t xml:space="preserve">Grote delen van El </w:t>
            </w:r>
            <w:proofErr w:type="spellStart"/>
            <w:r w:rsidRPr="00290188">
              <w:t>G</w:t>
            </w:r>
            <w:r w:rsidRPr="00290188" w:rsidR="00B42C19">
              <w:t>e</w:t>
            </w:r>
            <w:r w:rsidRPr="00290188">
              <w:t>zira</w:t>
            </w:r>
            <w:proofErr w:type="spellEnd"/>
            <w:r w:rsidRPr="00290188">
              <w:t xml:space="preserve"> w</w:t>
            </w:r>
            <w:r w:rsidRPr="00290188" w:rsidR="007608C6">
              <w:t>e</w:t>
            </w:r>
            <w:r w:rsidRPr="00290188">
              <w:t xml:space="preserve">rden </w:t>
            </w:r>
            <w:r w:rsidRPr="00290188" w:rsidR="007608C6">
              <w:t xml:space="preserve">aanvankelijk </w:t>
            </w:r>
            <w:r w:rsidRPr="00290188">
              <w:t xml:space="preserve">door de RSF gecontroleerd. In algemene zin is er in de controlegebieden van de RSF geen sprake van een justitieel en bestuurlijk apparaat en daarmee geen betrouwbare veiligheidsstructuren. </w:t>
            </w:r>
            <w:r w:rsidRPr="00290188" w:rsidR="007608C6">
              <w:t xml:space="preserve">In januari 2025 hadden de SAF geheel El </w:t>
            </w:r>
            <w:proofErr w:type="spellStart"/>
            <w:r w:rsidRPr="00290188" w:rsidR="007608C6">
              <w:t>Gezira</w:t>
            </w:r>
            <w:proofErr w:type="spellEnd"/>
            <w:r w:rsidRPr="00290188" w:rsidR="007608C6">
              <w:t xml:space="preserve"> onder hun controle. </w:t>
            </w:r>
            <w:r w:rsidRPr="00290188">
              <w:t>Door de actieve conflictsituatie zijn ook in andere gebieden geen stevige veiligheidsstructuren voorhanden, door beperkt functionerende instanties.</w:t>
            </w:r>
          </w:p>
        </w:tc>
      </w:tr>
      <w:tr w:rsidRPr="00290188" w:rsidR="00D97818" w:rsidTr="00D97818" w14:paraId="736F6ABE" w14:textId="77777777">
        <w:tc>
          <w:tcPr>
            <w:tcW w:w="2263" w:type="dxa"/>
          </w:tcPr>
          <w:p w:rsidRPr="00290188" w:rsidR="00D97818" w:rsidP="00B73F69" w:rsidRDefault="00D97818" w14:paraId="57C5F519" w14:textId="77777777">
            <w:pPr>
              <w:pStyle w:val="broodtekst"/>
            </w:pPr>
            <w:r w:rsidRPr="00290188">
              <w:t>Doelwitten</w:t>
            </w:r>
          </w:p>
        </w:tc>
        <w:tc>
          <w:tcPr>
            <w:tcW w:w="6663" w:type="dxa"/>
          </w:tcPr>
          <w:p w:rsidRPr="00290188" w:rsidR="00D97818" w:rsidP="00B73F69" w:rsidRDefault="006B4EB8" w14:paraId="6A6671DF" w14:textId="73DFBAE8">
            <w:pPr>
              <w:pStyle w:val="broodtekst"/>
            </w:pPr>
            <w:r w:rsidRPr="00290188">
              <w:t xml:space="preserve">In El </w:t>
            </w:r>
            <w:proofErr w:type="spellStart"/>
            <w:r w:rsidRPr="00290188">
              <w:t>Gezira</w:t>
            </w:r>
            <w:proofErr w:type="spellEnd"/>
            <w:r w:rsidRPr="00290188">
              <w:t xml:space="preserve"> zijn met name veel burgerdoelen actief aangevallen door beide strijdende partijen, bijvoorbeeld in de vorm van wraakgeweld jegens hele dorpen en steden door beschietingen en brandstichting of luchtaanvallen op burgerdoelen zoals markten. Deze luchtaanvallen waren gericht op het uitschakelen van de RSF, maar namen daarbij burgerslachtoffers op de koop toe door expliciet </w:t>
            </w:r>
            <w:r w:rsidRPr="00290188" w:rsidR="007608C6">
              <w:t>civiele infrastructuur</w:t>
            </w:r>
            <w:r w:rsidRPr="00290188">
              <w:t xml:space="preserve"> aan te vallen in de hoop daarmee ook RSF strijders te raken.</w:t>
            </w:r>
          </w:p>
          <w:p w:rsidRPr="00290188" w:rsidR="009D4984" w:rsidP="00B73F69" w:rsidRDefault="009D4984" w14:paraId="56908B9B" w14:textId="77777777">
            <w:pPr>
              <w:pStyle w:val="broodtekst"/>
            </w:pPr>
          </w:p>
          <w:p w:rsidRPr="00290188" w:rsidR="009D4984" w:rsidP="00B73F69" w:rsidRDefault="009D4984" w14:paraId="34AD324C" w14:textId="73A9C20B">
            <w:pPr>
              <w:pStyle w:val="broodtekst"/>
            </w:pPr>
            <w:r w:rsidRPr="00290188">
              <w:t>Ook werd vitale landbouw infrastructuur door de RSF verwoest, met directe negatieve gevolgen voor de voedselzekerheid van de bevolking. Daarnaast werden gezondheidszorginstellingen aangevallen, geplunderd en/of verwoest, waaronder een dialysecentrum en het hoofdziekenhuis in Al-</w:t>
            </w:r>
            <w:proofErr w:type="spellStart"/>
            <w:r w:rsidRPr="00290188">
              <w:t>Hilaliya</w:t>
            </w:r>
            <w:proofErr w:type="spellEnd"/>
            <w:r w:rsidRPr="00290188">
              <w:t>. Ook andere civiele infrastructuur en faciliteiten werden verwoest zoals waterputten, korenmolens, apotheken en elektriciteitscentrales.</w:t>
            </w:r>
            <w:r w:rsidRPr="00290188">
              <w:rPr>
                <w:rStyle w:val="Voetnootmarkering"/>
              </w:rPr>
              <w:footnoteReference w:id="19"/>
            </w:r>
          </w:p>
        </w:tc>
      </w:tr>
      <w:tr w:rsidRPr="00290188" w:rsidR="00D97818" w:rsidTr="00D97818" w14:paraId="0D534803" w14:textId="77777777">
        <w:tc>
          <w:tcPr>
            <w:tcW w:w="2263" w:type="dxa"/>
          </w:tcPr>
          <w:p w:rsidRPr="00290188" w:rsidR="00D97818" w:rsidP="00B73F69" w:rsidRDefault="00D97818" w14:paraId="145EF2C3" w14:textId="77777777">
            <w:pPr>
              <w:pStyle w:val="broodtekst"/>
            </w:pPr>
            <w:r w:rsidRPr="00290188">
              <w:t>Dodelijke slachtoffers</w:t>
            </w:r>
          </w:p>
        </w:tc>
        <w:tc>
          <w:tcPr>
            <w:tcW w:w="6663" w:type="dxa"/>
          </w:tcPr>
          <w:p w:rsidRPr="00290188" w:rsidR="001D0DC1" w:rsidP="001D0DC1" w:rsidRDefault="001D0DC1" w14:paraId="6B0D6E4E" w14:textId="73A3934D">
            <w:pPr>
              <w:pStyle w:val="broodtekst"/>
            </w:pPr>
            <w:r w:rsidRPr="00290188">
              <w:t>Aantallen door ACLED geregistreerde doden:</w:t>
            </w:r>
          </w:p>
          <w:p w:rsidRPr="00290188" w:rsidR="001D0DC1" w:rsidP="001D0DC1" w:rsidRDefault="001D0DC1" w14:paraId="7D4D8F28"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
              <w:gridCol w:w="971"/>
              <w:gridCol w:w="1843"/>
            </w:tblGrid>
            <w:tr w:rsidRPr="00290188" w:rsidR="001D0DC1" w:rsidTr="00316EAD" w14:paraId="0E870A55" w14:textId="77777777">
              <w:trPr>
                <w:trHeight w:val="121"/>
                <w:jc w:val="center"/>
              </w:trPr>
              <w:tc>
                <w:tcPr>
                  <w:tcW w:w="963" w:type="dxa"/>
                </w:tcPr>
                <w:p w:rsidRPr="00290188" w:rsidR="001D0DC1" w:rsidP="001D0DC1" w:rsidRDefault="001D0DC1" w14:paraId="2379F63B" w14:textId="77777777">
                  <w:pPr>
                    <w:pStyle w:val="Default"/>
                    <w:rPr>
                      <w:b/>
                      <w:bCs/>
                      <w:sz w:val="18"/>
                      <w:szCs w:val="18"/>
                    </w:rPr>
                  </w:pPr>
                  <w:r w:rsidRPr="00290188">
                    <w:rPr>
                      <w:b/>
                      <w:bCs/>
                      <w:sz w:val="18"/>
                      <w:szCs w:val="18"/>
                    </w:rPr>
                    <w:t>2023</w:t>
                  </w:r>
                </w:p>
              </w:tc>
              <w:tc>
                <w:tcPr>
                  <w:tcW w:w="971" w:type="dxa"/>
                </w:tcPr>
                <w:p w:rsidRPr="00290188" w:rsidR="001D0DC1" w:rsidP="001D0DC1" w:rsidRDefault="001D0DC1" w14:paraId="18E80349" w14:textId="77777777">
                  <w:pPr>
                    <w:pStyle w:val="Default"/>
                    <w:rPr>
                      <w:b/>
                      <w:bCs/>
                      <w:sz w:val="18"/>
                      <w:szCs w:val="18"/>
                    </w:rPr>
                  </w:pPr>
                  <w:r w:rsidRPr="00290188">
                    <w:rPr>
                      <w:b/>
                      <w:bCs/>
                      <w:sz w:val="18"/>
                      <w:szCs w:val="18"/>
                    </w:rPr>
                    <w:t>2024</w:t>
                  </w:r>
                </w:p>
              </w:tc>
              <w:tc>
                <w:tcPr>
                  <w:tcW w:w="1843" w:type="dxa"/>
                </w:tcPr>
                <w:p w:rsidRPr="00290188" w:rsidR="001D0DC1" w:rsidP="001D0DC1" w:rsidRDefault="001D0DC1" w14:paraId="17D2D6CC" w14:textId="77777777">
                  <w:pPr>
                    <w:pStyle w:val="Default"/>
                    <w:rPr>
                      <w:b/>
                      <w:bCs/>
                      <w:sz w:val="18"/>
                      <w:szCs w:val="18"/>
                    </w:rPr>
                  </w:pPr>
                  <w:r w:rsidRPr="00290188">
                    <w:rPr>
                      <w:b/>
                      <w:bCs/>
                      <w:sz w:val="18"/>
                      <w:szCs w:val="18"/>
                    </w:rPr>
                    <w:t>2025 t/m 8 aug</w:t>
                  </w:r>
                </w:p>
              </w:tc>
            </w:tr>
            <w:tr w:rsidRPr="00290188" w:rsidR="001D0DC1" w:rsidTr="00316EAD" w14:paraId="714E2D3D" w14:textId="77777777">
              <w:trPr>
                <w:trHeight w:val="121"/>
                <w:jc w:val="center"/>
              </w:trPr>
              <w:tc>
                <w:tcPr>
                  <w:tcW w:w="963" w:type="dxa"/>
                </w:tcPr>
                <w:p w:rsidRPr="00290188" w:rsidR="001D0DC1" w:rsidP="001D0DC1" w:rsidRDefault="001D0DC1" w14:paraId="6DA41786" w14:textId="61917277">
                  <w:pPr>
                    <w:pStyle w:val="Default"/>
                    <w:rPr>
                      <w:sz w:val="18"/>
                      <w:szCs w:val="18"/>
                    </w:rPr>
                  </w:pPr>
                  <w:r w:rsidRPr="00290188">
                    <w:rPr>
                      <w:sz w:val="18"/>
                      <w:szCs w:val="18"/>
                    </w:rPr>
                    <w:t xml:space="preserve">343 </w:t>
                  </w:r>
                </w:p>
              </w:tc>
              <w:tc>
                <w:tcPr>
                  <w:tcW w:w="971" w:type="dxa"/>
                </w:tcPr>
                <w:p w:rsidRPr="00290188" w:rsidR="001D0DC1" w:rsidP="001D0DC1" w:rsidRDefault="001D0DC1" w14:paraId="4B2755CE" w14:textId="3C3CF521">
                  <w:pPr>
                    <w:pStyle w:val="Default"/>
                    <w:rPr>
                      <w:sz w:val="18"/>
                      <w:szCs w:val="18"/>
                    </w:rPr>
                  </w:pPr>
                  <w:r w:rsidRPr="00290188">
                    <w:rPr>
                      <w:sz w:val="18"/>
                      <w:szCs w:val="18"/>
                    </w:rPr>
                    <w:t>3.852</w:t>
                  </w:r>
                </w:p>
              </w:tc>
              <w:tc>
                <w:tcPr>
                  <w:tcW w:w="1843" w:type="dxa"/>
                </w:tcPr>
                <w:p w:rsidRPr="00290188" w:rsidR="001D0DC1" w:rsidP="001D0DC1" w:rsidRDefault="001D0DC1" w14:paraId="3F13AFDB" w14:textId="42EC1FEB">
                  <w:pPr>
                    <w:pStyle w:val="Default"/>
                    <w:rPr>
                      <w:sz w:val="18"/>
                      <w:szCs w:val="18"/>
                    </w:rPr>
                  </w:pPr>
                  <w:r w:rsidRPr="00290188">
                    <w:rPr>
                      <w:sz w:val="18"/>
                      <w:szCs w:val="18"/>
                    </w:rPr>
                    <w:t>527</w:t>
                  </w:r>
                </w:p>
              </w:tc>
            </w:tr>
          </w:tbl>
          <w:p w:rsidRPr="00290188" w:rsidR="001D0DC1" w:rsidP="001D0DC1" w:rsidRDefault="001D0DC1" w14:paraId="5F2A5E57" w14:textId="77777777">
            <w:pPr>
              <w:pStyle w:val="broodtekst"/>
            </w:pPr>
          </w:p>
          <w:p w:rsidRPr="00290188" w:rsidR="001D0DC1" w:rsidP="001D0DC1" w:rsidRDefault="001D0DC1" w14:paraId="1AFDF090" w14:textId="569DF83D">
            <w:pPr>
              <w:pStyle w:val="broodtekst"/>
            </w:pPr>
            <w:r w:rsidRPr="00290188">
              <w:t>OHCHR registreerde 251 burgerdoden in de periode van 1 januari 2025 tot 30 juni 2025.</w:t>
            </w:r>
          </w:p>
          <w:p w:rsidRPr="00290188" w:rsidR="006B4EB8" w:rsidP="00862572" w:rsidRDefault="006B4EB8" w14:paraId="06CD4EC3" w14:textId="0F95FCFD">
            <w:pPr>
              <w:pStyle w:val="broodtekst"/>
            </w:pPr>
          </w:p>
        </w:tc>
      </w:tr>
      <w:tr w:rsidRPr="00290188" w:rsidR="00D97818" w:rsidTr="00D97818" w14:paraId="7A8DB2E1" w14:textId="77777777">
        <w:tc>
          <w:tcPr>
            <w:tcW w:w="2263" w:type="dxa"/>
          </w:tcPr>
          <w:p w:rsidRPr="00290188" w:rsidR="00D97818" w:rsidP="00B73F69" w:rsidRDefault="00D97818" w14:paraId="4EFE6545" w14:textId="3435CBE4">
            <w:pPr>
              <w:pStyle w:val="broodtekst"/>
            </w:pPr>
            <w:r w:rsidRPr="00290188">
              <w:t>Aantal ontheemden</w:t>
            </w:r>
          </w:p>
        </w:tc>
        <w:tc>
          <w:tcPr>
            <w:tcW w:w="6663" w:type="dxa"/>
          </w:tcPr>
          <w:p w:rsidRPr="00290188" w:rsidR="00D97818" w:rsidP="00B73F69" w:rsidRDefault="00D97818" w14:paraId="107FDB2A" w14:textId="18461EED">
            <w:pPr>
              <w:pStyle w:val="broodtekst"/>
            </w:pPr>
            <w:r w:rsidRPr="00290188">
              <w:t xml:space="preserve">Ontheemden </w:t>
            </w:r>
            <w:r w:rsidRPr="00290188" w:rsidR="00023716">
              <w:t>die in</w:t>
            </w:r>
            <w:r w:rsidRPr="00290188">
              <w:t xml:space="preserve"> El </w:t>
            </w:r>
            <w:proofErr w:type="spellStart"/>
            <w:r w:rsidRPr="00290188">
              <w:t>G</w:t>
            </w:r>
            <w:r w:rsidRPr="00290188" w:rsidR="0031461A">
              <w:t>e</w:t>
            </w:r>
            <w:r w:rsidRPr="00290188">
              <w:t>zira</w:t>
            </w:r>
            <w:proofErr w:type="spellEnd"/>
            <w:r w:rsidRPr="00290188" w:rsidR="00023716">
              <w:t xml:space="preserve"> verblijven (</w:t>
            </w:r>
            <w:r w:rsidRPr="00290188" w:rsidR="00862572">
              <w:t xml:space="preserve">d.d. </w:t>
            </w:r>
            <w:r w:rsidRPr="00290188" w:rsidR="00E13FED">
              <w:t>9 juli 2025</w:t>
            </w:r>
            <w:r w:rsidRPr="00290188" w:rsidR="00023716">
              <w:t>)</w:t>
            </w:r>
            <w:r w:rsidRPr="00290188">
              <w:t xml:space="preserve">: </w:t>
            </w:r>
            <w:r w:rsidRPr="00290188" w:rsidR="00E13FED">
              <w:t>139.842</w:t>
            </w:r>
          </w:p>
          <w:p w:rsidRPr="00290188" w:rsidR="00D97818" w:rsidP="00B73F69" w:rsidRDefault="00D97818" w14:paraId="14079E98" w14:textId="77777777">
            <w:pPr>
              <w:pStyle w:val="broodtekst"/>
            </w:pPr>
          </w:p>
          <w:p w:rsidRPr="00290188" w:rsidR="00D97818" w:rsidP="00B73F69" w:rsidRDefault="00D97818" w14:paraId="035BF9E0" w14:textId="64F58335">
            <w:pPr>
              <w:pStyle w:val="broodtekst"/>
            </w:pPr>
            <w:r w:rsidRPr="00290188">
              <w:t xml:space="preserve">Er vertrokken ruim </w:t>
            </w:r>
            <w:r w:rsidRPr="00290188" w:rsidR="00B61973">
              <w:t>393.000</w:t>
            </w:r>
            <w:r w:rsidRPr="00290188">
              <w:t xml:space="preserve"> duizend ontheemden uit El </w:t>
            </w:r>
            <w:proofErr w:type="spellStart"/>
            <w:r w:rsidRPr="00290188">
              <w:t>Gezira</w:t>
            </w:r>
            <w:proofErr w:type="spellEnd"/>
            <w:r w:rsidRPr="00290188">
              <w:t>.</w:t>
            </w:r>
            <w:r w:rsidRPr="00290188" w:rsidR="00B61973">
              <w:rPr>
                <w:rStyle w:val="Voetnootmarkering"/>
              </w:rPr>
              <w:footnoteReference w:id="20"/>
            </w:r>
          </w:p>
        </w:tc>
      </w:tr>
      <w:tr w:rsidRPr="00290188" w:rsidR="00E62C4E" w:rsidTr="00D97818" w14:paraId="7E478571" w14:textId="77777777">
        <w:tc>
          <w:tcPr>
            <w:tcW w:w="2263" w:type="dxa"/>
          </w:tcPr>
          <w:p w:rsidRPr="00290188" w:rsidR="00E62C4E" w:rsidP="00B73F69" w:rsidRDefault="00E62C4E" w14:paraId="15E0141C" w14:textId="6F0A4F8B">
            <w:pPr>
              <w:pStyle w:val="broodtekst"/>
            </w:pPr>
            <w:r w:rsidRPr="00290188">
              <w:t>Humanitaire omstandigheden als gevolg van het conflict</w:t>
            </w:r>
          </w:p>
        </w:tc>
        <w:tc>
          <w:tcPr>
            <w:tcW w:w="6663" w:type="dxa"/>
          </w:tcPr>
          <w:p w:rsidRPr="00290188" w:rsidR="00E62C4E" w:rsidP="00E62C4E" w:rsidRDefault="00E62C4E" w14:paraId="345954B3" w14:textId="0AABFD93">
            <w:pPr>
              <w:pStyle w:val="broodtekst"/>
            </w:pPr>
            <w:r w:rsidRPr="00290188">
              <w:t>De RSF veroverden in oktober 2024 de stad Al-</w:t>
            </w:r>
            <w:proofErr w:type="spellStart"/>
            <w:r w:rsidRPr="00290188">
              <w:t>Hilaliya</w:t>
            </w:r>
            <w:proofErr w:type="spellEnd"/>
            <w:r w:rsidRPr="00290188">
              <w:t xml:space="preserve">, waar een afvallige RSF commandant vandaan kwam. Zeker </w:t>
            </w:r>
            <w:r w:rsidRPr="00290188" w:rsidR="007608C6">
              <w:t>vijfhonderd</w:t>
            </w:r>
            <w:r w:rsidRPr="00290188">
              <w:t xml:space="preserve"> burgers werden gedood door de RSF. Lokale bronnen meldden dat de RSF voedselhulp hadden vergiftigd en dat dit het enorme aantal burgerdoden als gevolg had.</w:t>
            </w:r>
            <w:r w:rsidRPr="00290188">
              <w:rPr>
                <w:rStyle w:val="Voetnootmarkering"/>
              </w:rPr>
              <w:footnoteReference w:id="21"/>
            </w:r>
          </w:p>
          <w:p w:rsidRPr="00290188" w:rsidR="00E62C4E" w:rsidP="00E62C4E" w:rsidRDefault="00E62C4E" w14:paraId="1EB853BC" w14:textId="77777777">
            <w:pPr>
              <w:pStyle w:val="broodtekst"/>
            </w:pPr>
          </w:p>
          <w:p w:rsidRPr="00290188" w:rsidR="00E62C4E" w:rsidP="00B73F69" w:rsidRDefault="00E62C4E" w14:paraId="50704658" w14:textId="20711F80">
            <w:pPr>
              <w:pStyle w:val="broodtekst"/>
            </w:pPr>
            <w:r w:rsidRPr="00290188">
              <w:t xml:space="preserve">De RSF hebben irrigatiekanalen zo verlegd dat er vijf dorpen en landbouwvelden overstroomden. </w:t>
            </w:r>
          </w:p>
        </w:tc>
      </w:tr>
    </w:tbl>
    <w:p w:rsidRPr="00290188" w:rsidR="00D97818" w:rsidP="00D97818" w:rsidRDefault="00D97818" w14:paraId="29145DE5" w14:textId="77777777">
      <w:pPr>
        <w:pStyle w:val="broodtekst"/>
      </w:pPr>
    </w:p>
    <w:p w:rsidRPr="00290188" w:rsidR="00D97818" w:rsidP="00D97818" w:rsidRDefault="00701653" w14:paraId="4002167E" w14:textId="2453C29B">
      <w:pPr>
        <w:pStyle w:val="broodtekst"/>
      </w:pPr>
      <w:r w:rsidRPr="00290188">
        <w:rPr>
          <w:b/>
          <w:bCs/>
        </w:rPr>
        <w:t xml:space="preserve">Conclusie: </w:t>
      </w:r>
      <w:r w:rsidRPr="00290188" w:rsidR="000B36A7">
        <w:t xml:space="preserve">Er wordt momenteel een uitzonderlijk niveau van willekeurig geweld voor El </w:t>
      </w:r>
      <w:proofErr w:type="spellStart"/>
      <w:r w:rsidRPr="00290188" w:rsidR="000B36A7">
        <w:t>Gezira</w:t>
      </w:r>
      <w:proofErr w:type="spellEnd"/>
      <w:r w:rsidRPr="00290188" w:rsidR="000B36A7">
        <w:t xml:space="preserve"> aangenomen</w:t>
      </w:r>
      <w:r w:rsidRPr="00290188" w:rsidR="00351671">
        <w:t>.</w:t>
      </w:r>
      <w:r w:rsidRPr="00290188" w:rsidR="000B36A7">
        <w:t xml:space="preserve"> </w:t>
      </w:r>
      <w:r w:rsidRPr="00290188" w:rsidR="0075159F">
        <w:t xml:space="preserve">De veiligheidssituatie in El </w:t>
      </w:r>
      <w:proofErr w:type="spellStart"/>
      <w:r w:rsidRPr="00290188" w:rsidR="0075159F">
        <w:t>Gezira</w:t>
      </w:r>
      <w:proofErr w:type="spellEnd"/>
      <w:r w:rsidRPr="00290188" w:rsidR="0075159F">
        <w:t xml:space="preserve"> is nog altijd zeer fragiel en de controlegebieden </w:t>
      </w:r>
      <w:r w:rsidRPr="00290188" w:rsidR="0075159F">
        <w:lastRenderedPageBreak/>
        <w:t>zijn nog niet uitgekristalliseerd</w:t>
      </w:r>
      <w:r w:rsidRPr="00290188" w:rsidR="007E22B5">
        <w:t xml:space="preserve"> waardoor er door beide strijdende partijen excessief geweld wordt gepleegd.</w:t>
      </w:r>
      <w:r w:rsidRPr="00290188" w:rsidR="0075159F">
        <w:t xml:space="preserve"> </w:t>
      </w:r>
      <w:r w:rsidRPr="00290188" w:rsidR="007E22B5">
        <w:t xml:space="preserve">De geweldsmethodes die beide strijdende partijen hanteren om elkaar te bestrijden, nemen grote aantallen burgerslachtoffers op de koop toe. Bovendien plegen beide strijdende partijen geweld dat specifiek op burgers gericht is, </w:t>
      </w:r>
      <w:r w:rsidRPr="00290188" w:rsidR="0075159F">
        <w:t xml:space="preserve">zoals wraakgeweld </w:t>
      </w:r>
      <w:r w:rsidRPr="00290188" w:rsidR="007E22B5">
        <w:t xml:space="preserve">in de vorm van brandstichting en moordpartijen </w:t>
      </w:r>
      <w:r w:rsidRPr="00290188" w:rsidR="0075159F">
        <w:t>waarbij hele dorpen of gemeenschappen ‘gestraft’ werden voor het feit dat de andere strijdende partij eerder controle in het gebied had</w:t>
      </w:r>
      <w:r w:rsidRPr="00290188" w:rsidR="00AF0B54">
        <w:t xml:space="preserve">. </w:t>
      </w:r>
      <w:r w:rsidRPr="00290188" w:rsidR="007E22B5">
        <w:t xml:space="preserve">Het grootschalige geweld in de vorm van brandstichting, verwoesting van hele dorpen en luchtaanvallen is gericht op zowel militaire doelen als specifieke gemeenschappen, en daarbij kan niet uitgesloten worden dat er willekeurige slachtoffers vallen. </w:t>
      </w:r>
      <w:r w:rsidRPr="00290188" w:rsidR="007E22B5">
        <w:rPr>
          <w:u w:val="single"/>
        </w:rPr>
        <w:t xml:space="preserve">De schaal waarop dit in El </w:t>
      </w:r>
      <w:proofErr w:type="spellStart"/>
      <w:r w:rsidRPr="00290188" w:rsidR="007E22B5">
        <w:rPr>
          <w:u w:val="single"/>
        </w:rPr>
        <w:t>Gezira</w:t>
      </w:r>
      <w:proofErr w:type="spellEnd"/>
      <w:r w:rsidRPr="00290188" w:rsidR="007E22B5">
        <w:rPr>
          <w:u w:val="single"/>
        </w:rPr>
        <w:t xml:space="preserve"> gebeurt, leidt tot het advies om voor El </w:t>
      </w:r>
      <w:proofErr w:type="spellStart"/>
      <w:r w:rsidRPr="00290188" w:rsidR="007E22B5">
        <w:rPr>
          <w:u w:val="single"/>
        </w:rPr>
        <w:t>Gezira</w:t>
      </w:r>
      <w:proofErr w:type="spellEnd"/>
      <w:r w:rsidRPr="00290188" w:rsidR="007E22B5">
        <w:rPr>
          <w:u w:val="single"/>
        </w:rPr>
        <w:t xml:space="preserve"> </w:t>
      </w:r>
      <w:r w:rsidRPr="00290188" w:rsidR="000B36A7">
        <w:rPr>
          <w:u w:val="single"/>
        </w:rPr>
        <w:t>een uitzonderlijk niveau van willekeurig geweld</w:t>
      </w:r>
      <w:r w:rsidRPr="00290188" w:rsidR="007E22B5">
        <w:rPr>
          <w:u w:val="single"/>
        </w:rPr>
        <w:t xml:space="preserve"> aan te blijven nemen.</w:t>
      </w:r>
      <w:r w:rsidRPr="00290188" w:rsidR="007E22B5">
        <w:t xml:space="preserve"> </w:t>
      </w:r>
    </w:p>
    <w:p w:rsidRPr="00290188" w:rsidR="00862572" w:rsidP="00D97818" w:rsidRDefault="00862572" w14:paraId="31AE4FD2" w14:textId="77777777">
      <w:pPr>
        <w:pStyle w:val="broodtekst"/>
        <w:rPr>
          <w:b/>
          <w:bCs/>
          <w:u w:val="single"/>
        </w:rPr>
      </w:pPr>
    </w:p>
    <w:p w:rsidRPr="00290188" w:rsidR="000D64BF" w:rsidP="00D97818" w:rsidRDefault="000D64BF" w14:paraId="3033FDF1" w14:textId="77777777">
      <w:pPr>
        <w:pStyle w:val="broodtekst"/>
        <w:rPr>
          <w:b/>
          <w:bCs/>
          <w:u w:val="single"/>
        </w:rPr>
      </w:pPr>
    </w:p>
    <w:tbl>
      <w:tblPr>
        <w:tblStyle w:val="Tabelraster"/>
        <w:tblW w:w="0" w:type="auto"/>
        <w:tblInd w:w="0" w:type="dxa"/>
        <w:tblLook w:val="04A0" w:firstRow="1" w:lastRow="0" w:firstColumn="1" w:lastColumn="0" w:noHBand="0" w:noVBand="1"/>
      </w:tblPr>
      <w:tblGrid>
        <w:gridCol w:w="2263"/>
        <w:gridCol w:w="6663"/>
      </w:tblGrid>
      <w:tr w:rsidRPr="00290188" w:rsidR="000D64BF" w:rsidTr="00802BA7" w14:paraId="061BFD1A" w14:textId="77777777">
        <w:tc>
          <w:tcPr>
            <w:tcW w:w="8926" w:type="dxa"/>
            <w:gridSpan w:val="2"/>
            <w:shd w:val="clear" w:color="auto" w:fill="DEEAF6" w:themeFill="accent1" w:themeFillTint="33"/>
          </w:tcPr>
          <w:p w:rsidRPr="00290188" w:rsidR="000D64BF" w:rsidP="000E52C6" w:rsidRDefault="000D64BF" w14:paraId="1836B720" w14:textId="4ABC1B14">
            <w:pPr>
              <w:pStyle w:val="broodtekst"/>
              <w:rPr>
                <w:b/>
                <w:bCs/>
              </w:rPr>
            </w:pPr>
            <w:r w:rsidRPr="00290188">
              <w:rPr>
                <w:b/>
                <w:bCs/>
              </w:rPr>
              <w:t xml:space="preserve">Witte Nijl (3,2 </w:t>
            </w:r>
            <w:proofErr w:type="spellStart"/>
            <w:r w:rsidRPr="00290188">
              <w:rPr>
                <w:b/>
                <w:bCs/>
              </w:rPr>
              <w:t>mln</w:t>
            </w:r>
            <w:proofErr w:type="spellEnd"/>
            <w:r w:rsidRPr="00290188">
              <w:rPr>
                <w:b/>
                <w:bCs/>
              </w:rPr>
              <w:t xml:space="preserve"> inwoners)</w:t>
            </w:r>
          </w:p>
        </w:tc>
      </w:tr>
      <w:tr w:rsidRPr="00290188" w:rsidR="000D64BF" w:rsidTr="000E52C6" w14:paraId="2F77F64B" w14:textId="77777777">
        <w:tc>
          <w:tcPr>
            <w:tcW w:w="2263" w:type="dxa"/>
          </w:tcPr>
          <w:p w:rsidRPr="00290188" w:rsidR="000D64BF" w:rsidP="000E52C6" w:rsidRDefault="000D64BF" w14:paraId="7AC983F1" w14:textId="77777777">
            <w:pPr>
              <w:pStyle w:val="broodtekst"/>
            </w:pPr>
            <w:r w:rsidRPr="00290188">
              <w:t>Controle</w:t>
            </w:r>
          </w:p>
        </w:tc>
        <w:tc>
          <w:tcPr>
            <w:tcW w:w="6663" w:type="dxa"/>
          </w:tcPr>
          <w:p w:rsidRPr="00290188" w:rsidR="000D64BF" w:rsidP="000E52C6" w:rsidRDefault="000D64BF" w14:paraId="1FD7A8EB" w14:textId="7B44A850">
            <w:pPr>
              <w:pStyle w:val="broodtekst"/>
              <w:rPr>
                <w:color w:val="000000" w:themeColor="text1"/>
              </w:rPr>
            </w:pPr>
            <w:r w:rsidRPr="00290188">
              <w:rPr>
                <w:color w:val="000000" w:themeColor="text1"/>
              </w:rPr>
              <w:t xml:space="preserve">Witte Nijl staat momenteel onder controle van de SAF. Witte Nijl ligt strategisch tussen de </w:t>
            </w:r>
            <w:proofErr w:type="spellStart"/>
            <w:r w:rsidRPr="00290188">
              <w:rPr>
                <w:color w:val="000000" w:themeColor="text1"/>
              </w:rPr>
              <w:t>Kordofan</w:t>
            </w:r>
            <w:proofErr w:type="spellEnd"/>
            <w:r w:rsidRPr="00290188">
              <w:rPr>
                <w:color w:val="000000" w:themeColor="text1"/>
              </w:rPr>
              <w:t xml:space="preserve"> staten, het centrum van Sudan en Zuid-Sudan in. Er is dan ook lang gestreden om controle door de SAF en de RSF. </w:t>
            </w:r>
          </w:p>
        </w:tc>
      </w:tr>
      <w:tr w:rsidRPr="00290188" w:rsidR="000D64BF" w:rsidTr="000E52C6" w14:paraId="65CFEB2A" w14:textId="77777777">
        <w:tc>
          <w:tcPr>
            <w:tcW w:w="2263" w:type="dxa"/>
          </w:tcPr>
          <w:p w:rsidRPr="00290188" w:rsidR="000D64BF" w:rsidP="000E52C6" w:rsidRDefault="000D64BF" w14:paraId="28307A8F" w14:textId="77777777">
            <w:pPr>
              <w:pStyle w:val="broodtekst"/>
            </w:pPr>
            <w:r w:rsidRPr="00290188">
              <w:t>Strijdende partijen</w:t>
            </w:r>
          </w:p>
        </w:tc>
        <w:tc>
          <w:tcPr>
            <w:tcW w:w="6663" w:type="dxa"/>
          </w:tcPr>
          <w:p w:rsidRPr="00290188" w:rsidR="000D64BF" w:rsidP="000E52C6" w:rsidRDefault="000D64BF" w14:paraId="66DA7539" w14:textId="1B60AC6C">
            <w:pPr>
              <w:pStyle w:val="broodtekst"/>
            </w:pPr>
            <w:r w:rsidRPr="00290188">
              <w:t xml:space="preserve">SAF (inclusief gelieerde </w:t>
            </w:r>
            <w:r w:rsidRPr="00290188" w:rsidR="007608C6">
              <w:t>milities</w:t>
            </w:r>
            <w:r w:rsidRPr="00290188">
              <w:t>) &amp; RSF (inclusief gelieerde milities).</w:t>
            </w:r>
          </w:p>
        </w:tc>
      </w:tr>
      <w:tr w:rsidRPr="00290188" w:rsidR="000D64BF" w:rsidTr="000E52C6" w14:paraId="7D08FA98" w14:textId="77777777">
        <w:tc>
          <w:tcPr>
            <w:tcW w:w="2263" w:type="dxa"/>
          </w:tcPr>
          <w:p w:rsidRPr="00290188" w:rsidR="000D64BF" w:rsidP="000E52C6" w:rsidRDefault="000D64BF" w14:paraId="747D93D4" w14:textId="77777777">
            <w:pPr>
              <w:pStyle w:val="broodtekst"/>
            </w:pPr>
            <w:r w:rsidRPr="00290188">
              <w:t>Aard van het geweld &amp; gevechtsmethodes</w:t>
            </w:r>
          </w:p>
        </w:tc>
        <w:tc>
          <w:tcPr>
            <w:tcW w:w="6663" w:type="dxa"/>
          </w:tcPr>
          <w:p w:rsidRPr="00290188" w:rsidR="000D64BF" w:rsidP="000D64BF" w:rsidRDefault="000D64BF" w14:paraId="42ED6838" w14:textId="3932EB16">
            <w:pPr>
              <w:pStyle w:val="broodtekst"/>
              <w:numPr>
                <w:ilvl w:val="0"/>
                <w:numId w:val="3"/>
              </w:numPr>
              <w:rPr>
                <w:color w:val="000000" w:themeColor="text1"/>
              </w:rPr>
            </w:pPr>
            <w:r w:rsidRPr="00290188">
              <w:rPr>
                <w:color w:val="000000" w:themeColor="text1"/>
              </w:rPr>
              <w:t xml:space="preserve">De RSF pleegden na overname van de SAF wraakgeweld tegen de burgerbevolking en zij vielen drie dagen lang diverse dorpen aan. Daarbij vielen honderden doden. </w:t>
            </w:r>
          </w:p>
          <w:p w:rsidRPr="00290188" w:rsidR="000D64BF" w:rsidP="000D64BF" w:rsidRDefault="000D64BF" w14:paraId="28C40283" w14:textId="711DB1E3">
            <w:pPr>
              <w:pStyle w:val="broodtekst"/>
              <w:numPr>
                <w:ilvl w:val="0"/>
                <w:numId w:val="3"/>
              </w:numPr>
              <w:rPr>
                <w:color w:val="000000" w:themeColor="text1"/>
              </w:rPr>
            </w:pPr>
            <w:r w:rsidRPr="00290188">
              <w:rPr>
                <w:color w:val="000000" w:themeColor="text1"/>
              </w:rPr>
              <w:t>Sinds mei 2025 nam het oorlogsgeweld in Witte Nijl sterk af. RSF voerde sinds mei 2025 nog enkele drone-aanvallen uit op SAF</w:t>
            </w:r>
            <w:r w:rsidRPr="00290188" w:rsidR="007608C6">
              <w:rPr>
                <w:color w:val="000000" w:themeColor="text1"/>
              </w:rPr>
              <w:t>-</w:t>
            </w:r>
            <w:r w:rsidRPr="00290188">
              <w:rPr>
                <w:color w:val="000000" w:themeColor="text1"/>
              </w:rPr>
              <w:t>posities en plunderden een dorp.</w:t>
            </w:r>
          </w:p>
          <w:p w:rsidRPr="00290188" w:rsidR="000D64BF" w:rsidP="000E52C6" w:rsidRDefault="000D64BF" w14:paraId="6864C5E6" w14:textId="77777777">
            <w:pPr>
              <w:pStyle w:val="broodtekst"/>
            </w:pPr>
          </w:p>
        </w:tc>
      </w:tr>
      <w:tr w:rsidRPr="00290188" w:rsidR="000D64BF" w:rsidTr="00316EAD" w14:paraId="2D75D51F" w14:textId="77777777">
        <w:trPr>
          <w:trHeight w:val="1833"/>
        </w:trPr>
        <w:tc>
          <w:tcPr>
            <w:tcW w:w="2263" w:type="dxa"/>
          </w:tcPr>
          <w:p w:rsidRPr="00290188" w:rsidR="000D64BF" w:rsidP="000E52C6" w:rsidRDefault="000D64BF" w14:paraId="5C828497" w14:textId="77777777">
            <w:pPr>
              <w:pStyle w:val="broodtekst"/>
            </w:pPr>
            <w:r w:rsidRPr="00290188">
              <w:t>Aantal geweldsincidenten</w:t>
            </w:r>
          </w:p>
        </w:tc>
        <w:tc>
          <w:tcPr>
            <w:tcW w:w="6663" w:type="dxa"/>
          </w:tcPr>
          <w:p w:rsidRPr="00290188" w:rsidR="000D64BF" w:rsidP="000E52C6" w:rsidRDefault="000D64BF" w14:paraId="42CD20C0" w14:textId="77777777">
            <w:pPr>
              <w:pStyle w:val="broodtekst"/>
            </w:pPr>
            <w:r w:rsidRPr="00290188">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728"/>
              <w:gridCol w:w="728"/>
              <w:gridCol w:w="1434"/>
            </w:tblGrid>
            <w:tr w:rsidRPr="00290188" w:rsidR="000D64BF" w:rsidTr="00316EAD" w14:paraId="1D3719A5" w14:textId="77777777">
              <w:trPr>
                <w:trHeight w:val="123"/>
                <w:jc w:val="center"/>
              </w:trPr>
              <w:tc>
                <w:tcPr>
                  <w:tcW w:w="0" w:type="auto"/>
                </w:tcPr>
                <w:p w:rsidRPr="00290188" w:rsidR="000D64BF" w:rsidP="000D64BF" w:rsidRDefault="000D64BF" w14:paraId="526E2F7B" w14:textId="77777777">
                  <w:pPr>
                    <w:pStyle w:val="Default"/>
                    <w:rPr>
                      <w:b/>
                      <w:bCs/>
                      <w:sz w:val="18"/>
                      <w:szCs w:val="18"/>
                    </w:rPr>
                  </w:pPr>
                </w:p>
              </w:tc>
              <w:tc>
                <w:tcPr>
                  <w:tcW w:w="0" w:type="auto"/>
                </w:tcPr>
                <w:p w:rsidRPr="00290188" w:rsidR="000D64BF" w:rsidP="000D64BF" w:rsidRDefault="000D64BF" w14:paraId="68205155" w14:textId="77777777">
                  <w:pPr>
                    <w:pStyle w:val="Default"/>
                    <w:rPr>
                      <w:b/>
                      <w:bCs/>
                      <w:sz w:val="18"/>
                      <w:szCs w:val="18"/>
                    </w:rPr>
                  </w:pPr>
                  <w:r w:rsidRPr="00290188">
                    <w:rPr>
                      <w:b/>
                      <w:bCs/>
                      <w:sz w:val="18"/>
                      <w:szCs w:val="18"/>
                    </w:rPr>
                    <w:t>2023</w:t>
                  </w:r>
                </w:p>
              </w:tc>
              <w:tc>
                <w:tcPr>
                  <w:tcW w:w="0" w:type="auto"/>
                </w:tcPr>
                <w:p w:rsidRPr="00290188" w:rsidR="000D64BF" w:rsidP="000D64BF" w:rsidRDefault="000D64BF" w14:paraId="3ADD06F1" w14:textId="77777777">
                  <w:pPr>
                    <w:pStyle w:val="Default"/>
                    <w:rPr>
                      <w:b/>
                      <w:bCs/>
                      <w:sz w:val="18"/>
                      <w:szCs w:val="18"/>
                    </w:rPr>
                  </w:pPr>
                  <w:r w:rsidRPr="00290188">
                    <w:rPr>
                      <w:b/>
                      <w:bCs/>
                      <w:sz w:val="18"/>
                      <w:szCs w:val="18"/>
                    </w:rPr>
                    <w:t>2024</w:t>
                  </w:r>
                </w:p>
              </w:tc>
              <w:tc>
                <w:tcPr>
                  <w:tcW w:w="0" w:type="auto"/>
                </w:tcPr>
                <w:p w:rsidRPr="00290188" w:rsidR="000D64BF" w:rsidP="000D64BF" w:rsidRDefault="000D64BF" w14:paraId="4C6015F4" w14:textId="77777777">
                  <w:pPr>
                    <w:pStyle w:val="Default"/>
                    <w:rPr>
                      <w:b/>
                      <w:bCs/>
                      <w:sz w:val="18"/>
                      <w:szCs w:val="18"/>
                    </w:rPr>
                  </w:pPr>
                  <w:r w:rsidRPr="00290188">
                    <w:rPr>
                      <w:b/>
                      <w:bCs/>
                      <w:sz w:val="18"/>
                      <w:szCs w:val="18"/>
                    </w:rPr>
                    <w:t xml:space="preserve">2025 </w:t>
                  </w:r>
                  <w:r w:rsidRPr="00290188">
                    <w:rPr>
                      <w:b/>
                      <w:bCs/>
                      <w:sz w:val="18"/>
                      <w:szCs w:val="18"/>
                    </w:rPr>
                    <w:br/>
                    <w:t>(t/m 8 aug)</w:t>
                  </w:r>
                </w:p>
              </w:tc>
            </w:tr>
            <w:tr w:rsidRPr="00290188" w:rsidR="000D64BF" w:rsidTr="00316EAD" w14:paraId="51D94F31" w14:textId="77777777">
              <w:trPr>
                <w:trHeight w:val="123"/>
                <w:jc w:val="center"/>
              </w:trPr>
              <w:tc>
                <w:tcPr>
                  <w:tcW w:w="0" w:type="auto"/>
                </w:tcPr>
                <w:p w:rsidRPr="00290188" w:rsidR="000D64BF" w:rsidP="000D64BF" w:rsidRDefault="000D64BF" w14:paraId="65DF86E9" w14:textId="77777777">
                  <w:pPr>
                    <w:pStyle w:val="Default"/>
                    <w:rPr>
                      <w:sz w:val="18"/>
                      <w:szCs w:val="18"/>
                    </w:rPr>
                  </w:pPr>
                  <w:r w:rsidRPr="00290188">
                    <w:rPr>
                      <w:b/>
                      <w:bCs/>
                      <w:sz w:val="18"/>
                      <w:szCs w:val="18"/>
                    </w:rPr>
                    <w:t>Totaal</w:t>
                  </w:r>
                </w:p>
              </w:tc>
              <w:tc>
                <w:tcPr>
                  <w:tcW w:w="0" w:type="auto"/>
                </w:tcPr>
                <w:p w:rsidRPr="00290188" w:rsidR="000D64BF" w:rsidP="000D64BF" w:rsidRDefault="000D64BF" w14:paraId="4B478CC8" w14:textId="628D8553">
                  <w:pPr>
                    <w:pStyle w:val="Default"/>
                    <w:rPr>
                      <w:b/>
                      <w:bCs/>
                      <w:sz w:val="18"/>
                      <w:szCs w:val="18"/>
                    </w:rPr>
                  </w:pPr>
                  <w:r w:rsidRPr="00290188">
                    <w:rPr>
                      <w:b/>
                      <w:bCs/>
                      <w:sz w:val="18"/>
                      <w:szCs w:val="18"/>
                    </w:rPr>
                    <w:t>17</w:t>
                  </w:r>
                </w:p>
              </w:tc>
              <w:tc>
                <w:tcPr>
                  <w:tcW w:w="0" w:type="auto"/>
                </w:tcPr>
                <w:p w:rsidRPr="00290188" w:rsidR="000D64BF" w:rsidP="000D64BF" w:rsidRDefault="000D64BF" w14:paraId="12F0C354" w14:textId="43BE81B3">
                  <w:pPr>
                    <w:pStyle w:val="Default"/>
                    <w:rPr>
                      <w:b/>
                      <w:bCs/>
                      <w:sz w:val="18"/>
                      <w:szCs w:val="18"/>
                    </w:rPr>
                  </w:pPr>
                  <w:r w:rsidRPr="00290188">
                    <w:rPr>
                      <w:b/>
                      <w:bCs/>
                      <w:sz w:val="18"/>
                      <w:szCs w:val="18"/>
                    </w:rPr>
                    <w:t>114</w:t>
                  </w:r>
                </w:p>
              </w:tc>
              <w:tc>
                <w:tcPr>
                  <w:tcW w:w="0" w:type="auto"/>
                </w:tcPr>
                <w:p w:rsidRPr="00290188" w:rsidR="000D64BF" w:rsidP="000D64BF" w:rsidRDefault="000D64BF" w14:paraId="39822BDB" w14:textId="03BE7A69">
                  <w:pPr>
                    <w:pStyle w:val="Default"/>
                    <w:rPr>
                      <w:b/>
                      <w:bCs/>
                      <w:sz w:val="18"/>
                      <w:szCs w:val="18"/>
                    </w:rPr>
                  </w:pPr>
                  <w:r w:rsidRPr="00290188">
                    <w:rPr>
                      <w:b/>
                      <w:bCs/>
                      <w:sz w:val="18"/>
                      <w:szCs w:val="18"/>
                    </w:rPr>
                    <w:t>108</w:t>
                  </w:r>
                </w:p>
              </w:tc>
            </w:tr>
            <w:tr w:rsidRPr="00290188" w:rsidR="000D64BF" w:rsidTr="00316EAD" w14:paraId="470D7772" w14:textId="77777777">
              <w:trPr>
                <w:trHeight w:val="121"/>
                <w:jc w:val="center"/>
              </w:trPr>
              <w:tc>
                <w:tcPr>
                  <w:tcW w:w="0" w:type="auto"/>
                </w:tcPr>
                <w:p w:rsidRPr="00290188" w:rsidR="000D64BF" w:rsidP="000D64BF" w:rsidRDefault="000D64BF" w14:paraId="18BFF474" w14:textId="77777777">
                  <w:pPr>
                    <w:pStyle w:val="Default"/>
                    <w:rPr>
                      <w:sz w:val="18"/>
                      <w:szCs w:val="18"/>
                    </w:rPr>
                  </w:pPr>
                  <w:r w:rsidRPr="00290188">
                    <w:rPr>
                      <w:sz w:val="18"/>
                      <w:szCs w:val="18"/>
                    </w:rPr>
                    <w:t xml:space="preserve">Gevechten </w:t>
                  </w:r>
                </w:p>
              </w:tc>
              <w:tc>
                <w:tcPr>
                  <w:tcW w:w="0" w:type="auto"/>
                </w:tcPr>
                <w:p w:rsidRPr="00290188" w:rsidR="000D64BF" w:rsidP="000D64BF" w:rsidRDefault="000D64BF" w14:paraId="1711BDF7" w14:textId="0D26D755">
                  <w:pPr>
                    <w:pStyle w:val="Default"/>
                    <w:rPr>
                      <w:sz w:val="18"/>
                      <w:szCs w:val="18"/>
                    </w:rPr>
                  </w:pPr>
                  <w:r w:rsidRPr="00290188">
                    <w:rPr>
                      <w:sz w:val="18"/>
                      <w:szCs w:val="18"/>
                    </w:rPr>
                    <w:t>12</w:t>
                  </w:r>
                </w:p>
              </w:tc>
              <w:tc>
                <w:tcPr>
                  <w:tcW w:w="0" w:type="auto"/>
                </w:tcPr>
                <w:p w:rsidRPr="00290188" w:rsidR="000D64BF" w:rsidP="000D64BF" w:rsidRDefault="000D64BF" w14:paraId="1EB16C92" w14:textId="7E2E5E5E">
                  <w:pPr>
                    <w:pStyle w:val="Default"/>
                    <w:rPr>
                      <w:sz w:val="18"/>
                      <w:szCs w:val="18"/>
                    </w:rPr>
                  </w:pPr>
                  <w:r w:rsidRPr="00290188">
                    <w:rPr>
                      <w:sz w:val="18"/>
                      <w:szCs w:val="18"/>
                    </w:rPr>
                    <w:t>35</w:t>
                  </w:r>
                </w:p>
              </w:tc>
              <w:tc>
                <w:tcPr>
                  <w:tcW w:w="0" w:type="auto"/>
                </w:tcPr>
                <w:p w:rsidRPr="00290188" w:rsidR="000D64BF" w:rsidP="000D64BF" w:rsidRDefault="000D64BF" w14:paraId="179EED97" w14:textId="24470874">
                  <w:pPr>
                    <w:pStyle w:val="Default"/>
                    <w:rPr>
                      <w:sz w:val="18"/>
                      <w:szCs w:val="18"/>
                    </w:rPr>
                  </w:pPr>
                  <w:r w:rsidRPr="00290188">
                    <w:rPr>
                      <w:sz w:val="18"/>
                      <w:szCs w:val="18"/>
                    </w:rPr>
                    <w:t>40</w:t>
                  </w:r>
                </w:p>
              </w:tc>
            </w:tr>
            <w:tr w:rsidRPr="00290188" w:rsidR="000D64BF" w:rsidTr="00316EAD" w14:paraId="13CAC0F0" w14:textId="77777777">
              <w:trPr>
                <w:trHeight w:val="121"/>
                <w:jc w:val="center"/>
              </w:trPr>
              <w:tc>
                <w:tcPr>
                  <w:tcW w:w="0" w:type="auto"/>
                </w:tcPr>
                <w:p w:rsidRPr="00290188" w:rsidR="000D64BF" w:rsidP="000D64BF" w:rsidRDefault="000D64BF" w14:paraId="6AAC3617" w14:textId="77777777">
                  <w:pPr>
                    <w:pStyle w:val="Default"/>
                    <w:rPr>
                      <w:sz w:val="18"/>
                      <w:szCs w:val="18"/>
                    </w:rPr>
                  </w:pPr>
                  <w:r w:rsidRPr="00290188">
                    <w:rPr>
                      <w:sz w:val="18"/>
                      <w:szCs w:val="18"/>
                    </w:rPr>
                    <w:t xml:space="preserve">Explosies/geweld op afstand </w:t>
                  </w:r>
                </w:p>
              </w:tc>
              <w:tc>
                <w:tcPr>
                  <w:tcW w:w="0" w:type="auto"/>
                </w:tcPr>
                <w:p w:rsidRPr="00290188" w:rsidR="000D64BF" w:rsidP="000D64BF" w:rsidRDefault="000D64BF" w14:paraId="6BA3FCD9" w14:textId="0075C510">
                  <w:pPr>
                    <w:pStyle w:val="Default"/>
                    <w:rPr>
                      <w:sz w:val="18"/>
                      <w:szCs w:val="18"/>
                    </w:rPr>
                  </w:pPr>
                  <w:r w:rsidRPr="00290188">
                    <w:rPr>
                      <w:sz w:val="18"/>
                      <w:szCs w:val="18"/>
                    </w:rPr>
                    <w:t>2</w:t>
                  </w:r>
                </w:p>
              </w:tc>
              <w:tc>
                <w:tcPr>
                  <w:tcW w:w="0" w:type="auto"/>
                </w:tcPr>
                <w:p w:rsidRPr="00290188" w:rsidR="000D64BF" w:rsidP="000D64BF" w:rsidRDefault="000D64BF" w14:paraId="0D2811A3" w14:textId="64C0F35C">
                  <w:pPr>
                    <w:pStyle w:val="Default"/>
                    <w:rPr>
                      <w:sz w:val="18"/>
                      <w:szCs w:val="18"/>
                    </w:rPr>
                  </w:pPr>
                  <w:r w:rsidRPr="00290188">
                    <w:rPr>
                      <w:sz w:val="18"/>
                      <w:szCs w:val="18"/>
                    </w:rPr>
                    <w:t>28</w:t>
                  </w:r>
                </w:p>
              </w:tc>
              <w:tc>
                <w:tcPr>
                  <w:tcW w:w="0" w:type="auto"/>
                </w:tcPr>
                <w:p w:rsidRPr="00290188" w:rsidR="000D64BF" w:rsidP="000D64BF" w:rsidRDefault="000D64BF" w14:paraId="553956FB" w14:textId="0F47C138">
                  <w:pPr>
                    <w:pStyle w:val="Default"/>
                    <w:rPr>
                      <w:sz w:val="18"/>
                      <w:szCs w:val="18"/>
                    </w:rPr>
                  </w:pPr>
                  <w:r w:rsidRPr="00290188">
                    <w:rPr>
                      <w:sz w:val="18"/>
                      <w:szCs w:val="18"/>
                    </w:rPr>
                    <w:t>19</w:t>
                  </w:r>
                </w:p>
              </w:tc>
            </w:tr>
            <w:tr w:rsidRPr="00290188" w:rsidR="000D64BF" w:rsidTr="00316EAD" w14:paraId="148D81B0" w14:textId="77777777">
              <w:trPr>
                <w:trHeight w:val="121"/>
                <w:jc w:val="center"/>
              </w:trPr>
              <w:tc>
                <w:tcPr>
                  <w:tcW w:w="0" w:type="auto"/>
                </w:tcPr>
                <w:p w:rsidRPr="00290188" w:rsidR="000D64BF" w:rsidP="000D64BF" w:rsidRDefault="000D64BF" w14:paraId="64588449" w14:textId="77777777">
                  <w:pPr>
                    <w:pStyle w:val="Default"/>
                    <w:rPr>
                      <w:sz w:val="18"/>
                      <w:szCs w:val="18"/>
                    </w:rPr>
                  </w:pPr>
                  <w:r w:rsidRPr="00290188">
                    <w:rPr>
                      <w:sz w:val="18"/>
                      <w:szCs w:val="18"/>
                    </w:rPr>
                    <w:t xml:space="preserve">Geweld tegen burgers </w:t>
                  </w:r>
                </w:p>
              </w:tc>
              <w:tc>
                <w:tcPr>
                  <w:tcW w:w="0" w:type="auto"/>
                </w:tcPr>
                <w:p w:rsidRPr="00290188" w:rsidR="000D64BF" w:rsidP="000D64BF" w:rsidRDefault="000D64BF" w14:paraId="32D7E134" w14:textId="07037280">
                  <w:pPr>
                    <w:pStyle w:val="Default"/>
                    <w:rPr>
                      <w:sz w:val="18"/>
                      <w:szCs w:val="18"/>
                    </w:rPr>
                  </w:pPr>
                  <w:r w:rsidRPr="00290188">
                    <w:rPr>
                      <w:sz w:val="18"/>
                      <w:szCs w:val="18"/>
                    </w:rPr>
                    <w:t>3</w:t>
                  </w:r>
                </w:p>
              </w:tc>
              <w:tc>
                <w:tcPr>
                  <w:tcW w:w="0" w:type="auto"/>
                </w:tcPr>
                <w:p w:rsidRPr="00290188" w:rsidR="000D64BF" w:rsidP="000D64BF" w:rsidRDefault="000D64BF" w14:paraId="1EE744F6" w14:textId="220257DD">
                  <w:pPr>
                    <w:pStyle w:val="Default"/>
                    <w:rPr>
                      <w:sz w:val="18"/>
                      <w:szCs w:val="18"/>
                    </w:rPr>
                  </w:pPr>
                  <w:r w:rsidRPr="00290188">
                    <w:rPr>
                      <w:sz w:val="18"/>
                      <w:szCs w:val="18"/>
                    </w:rPr>
                    <w:t>51</w:t>
                  </w:r>
                </w:p>
              </w:tc>
              <w:tc>
                <w:tcPr>
                  <w:tcW w:w="0" w:type="auto"/>
                </w:tcPr>
                <w:p w:rsidRPr="00290188" w:rsidR="000D64BF" w:rsidP="000D64BF" w:rsidRDefault="000D64BF" w14:paraId="294D4645" w14:textId="73E69F61">
                  <w:pPr>
                    <w:pStyle w:val="Default"/>
                    <w:rPr>
                      <w:sz w:val="18"/>
                      <w:szCs w:val="18"/>
                    </w:rPr>
                  </w:pPr>
                  <w:r w:rsidRPr="00290188">
                    <w:rPr>
                      <w:sz w:val="18"/>
                      <w:szCs w:val="18"/>
                    </w:rPr>
                    <w:t>49</w:t>
                  </w:r>
                </w:p>
              </w:tc>
            </w:tr>
          </w:tbl>
          <w:p w:rsidRPr="00290188" w:rsidR="000D64BF" w:rsidP="000E52C6" w:rsidRDefault="000D64BF" w14:paraId="16614A8E" w14:textId="56A63F09">
            <w:pPr>
              <w:pStyle w:val="broodtekst"/>
            </w:pPr>
          </w:p>
        </w:tc>
      </w:tr>
      <w:tr w:rsidRPr="00290188" w:rsidR="000D64BF" w:rsidTr="000E52C6" w14:paraId="64C5D76B" w14:textId="77777777">
        <w:tc>
          <w:tcPr>
            <w:tcW w:w="2263" w:type="dxa"/>
          </w:tcPr>
          <w:p w:rsidRPr="00290188" w:rsidR="000D64BF" w:rsidP="000E52C6" w:rsidRDefault="000D64BF" w14:paraId="1C7DCE32" w14:textId="77777777">
            <w:pPr>
              <w:pStyle w:val="broodtekst"/>
            </w:pPr>
            <w:r w:rsidRPr="00290188">
              <w:t>Geografische omvang geweld</w:t>
            </w:r>
          </w:p>
        </w:tc>
        <w:tc>
          <w:tcPr>
            <w:tcW w:w="6663" w:type="dxa"/>
          </w:tcPr>
          <w:p w:rsidRPr="00290188" w:rsidR="000D64BF" w:rsidP="000E52C6" w:rsidRDefault="000D64BF" w14:paraId="215C1607" w14:textId="2452B3BB">
            <w:pPr>
              <w:pStyle w:val="broodtekst"/>
              <w:rPr>
                <w:i/>
                <w:iCs/>
              </w:rPr>
            </w:pPr>
            <w:r w:rsidRPr="00290188">
              <w:rPr>
                <w:i/>
                <w:iCs/>
              </w:rPr>
              <w:t>Geen beschikbare informatie</w:t>
            </w:r>
          </w:p>
        </w:tc>
      </w:tr>
      <w:tr w:rsidRPr="00290188" w:rsidR="000D64BF" w:rsidTr="000E52C6" w14:paraId="02AB0E71" w14:textId="77777777">
        <w:tc>
          <w:tcPr>
            <w:tcW w:w="2263" w:type="dxa"/>
          </w:tcPr>
          <w:p w:rsidRPr="00290188" w:rsidR="000D64BF" w:rsidP="000E52C6" w:rsidRDefault="000D64BF" w14:paraId="14E60BA6" w14:textId="77777777">
            <w:pPr>
              <w:pStyle w:val="broodtekst"/>
            </w:pPr>
            <w:r w:rsidRPr="00290188">
              <w:t>Veiligheidsstructuur</w:t>
            </w:r>
          </w:p>
        </w:tc>
        <w:tc>
          <w:tcPr>
            <w:tcW w:w="6663" w:type="dxa"/>
          </w:tcPr>
          <w:p w:rsidRPr="00290188" w:rsidR="000D64BF" w:rsidP="000E52C6" w:rsidRDefault="000D64BF" w14:paraId="5859A8BC" w14:textId="0931F697">
            <w:pPr>
              <w:pStyle w:val="broodtekst"/>
            </w:pPr>
            <w:r w:rsidRPr="00290188">
              <w:t xml:space="preserve">De SAF hebben nu de controle over </w:t>
            </w:r>
            <w:r w:rsidRPr="00290188" w:rsidR="00647FAD">
              <w:t>Witte Nijl</w:t>
            </w:r>
            <w:r w:rsidRPr="00290188">
              <w:t>. Volgens het ambtsbericht houden de SAF geen rekening met het beschermen van de burgerbevolking.</w:t>
            </w:r>
          </w:p>
        </w:tc>
      </w:tr>
      <w:tr w:rsidRPr="00290188" w:rsidR="000D64BF" w:rsidTr="000E52C6" w14:paraId="52EDC777" w14:textId="77777777">
        <w:tc>
          <w:tcPr>
            <w:tcW w:w="2263" w:type="dxa"/>
          </w:tcPr>
          <w:p w:rsidRPr="00290188" w:rsidR="000D64BF" w:rsidP="000E52C6" w:rsidRDefault="000D64BF" w14:paraId="7755A5DE" w14:textId="77777777">
            <w:pPr>
              <w:pStyle w:val="broodtekst"/>
            </w:pPr>
            <w:r w:rsidRPr="00290188">
              <w:t>Doelwitten</w:t>
            </w:r>
          </w:p>
        </w:tc>
        <w:tc>
          <w:tcPr>
            <w:tcW w:w="6663" w:type="dxa"/>
          </w:tcPr>
          <w:p w:rsidRPr="00290188" w:rsidR="000D64BF" w:rsidP="000E52C6" w:rsidRDefault="000D64BF" w14:paraId="5C80C40B" w14:textId="652844F8">
            <w:pPr>
              <w:pStyle w:val="broodtekst"/>
              <w:rPr>
                <w:i/>
                <w:iCs/>
              </w:rPr>
            </w:pPr>
            <w:r w:rsidRPr="00290188">
              <w:rPr>
                <w:i/>
                <w:iCs/>
              </w:rPr>
              <w:t>Geen beschikbare informatie</w:t>
            </w:r>
          </w:p>
        </w:tc>
      </w:tr>
      <w:tr w:rsidRPr="00290188" w:rsidR="000D64BF" w:rsidTr="000E52C6" w14:paraId="4CF1E3EF" w14:textId="77777777">
        <w:tc>
          <w:tcPr>
            <w:tcW w:w="2263" w:type="dxa"/>
          </w:tcPr>
          <w:p w:rsidRPr="00290188" w:rsidR="000D64BF" w:rsidP="000D64BF" w:rsidRDefault="000D64BF" w14:paraId="070A0889" w14:textId="77777777">
            <w:pPr>
              <w:pStyle w:val="broodtekst"/>
            </w:pPr>
            <w:r w:rsidRPr="00290188">
              <w:t>Dodelijke slachtoffers</w:t>
            </w:r>
          </w:p>
        </w:tc>
        <w:tc>
          <w:tcPr>
            <w:tcW w:w="6663" w:type="dxa"/>
          </w:tcPr>
          <w:p w:rsidRPr="00290188" w:rsidR="000D64BF" w:rsidP="000D64BF" w:rsidRDefault="000D64BF" w14:paraId="5CC67656" w14:textId="77777777">
            <w:pPr>
              <w:pStyle w:val="broodtekst"/>
            </w:pPr>
            <w:r w:rsidRPr="00290188">
              <w:t>Aantallen door ACLED geregistreerde doden:</w:t>
            </w:r>
          </w:p>
          <w:p w:rsidRPr="00290188" w:rsidR="000D64BF" w:rsidP="000D64BF" w:rsidRDefault="000D64BF" w14:paraId="44B6A8A5"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
              <w:gridCol w:w="971"/>
              <w:gridCol w:w="1843"/>
            </w:tblGrid>
            <w:tr w:rsidRPr="00290188" w:rsidR="000D64BF" w:rsidTr="00316EAD" w14:paraId="46A6A3A1" w14:textId="77777777">
              <w:trPr>
                <w:trHeight w:val="121"/>
                <w:jc w:val="center"/>
              </w:trPr>
              <w:tc>
                <w:tcPr>
                  <w:tcW w:w="963" w:type="dxa"/>
                </w:tcPr>
                <w:p w:rsidRPr="00290188" w:rsidR="000D64BF" w:rsidP="000D64BF" w:rsidRDefault="000D64BF" w14:paraId="2E708EE5" w14:textId="77777777">
                  <w:pPr>
                    <w:pStyle w:val="Default"/>
                    <w:rPr>
                      <w:b/>
                      <w:bCs/>
                      <w:sz w:val="18"/>
                      <w:szCs w:val="18"/>
                    </w:rPr>
                  </w:pPr>
                  <w:r w:rsidRPr="00290188">
                    <w:rPr>
                      <w:b/>
                      <w:bCs/>
                      <w:sz w:val="18"/>
                      <w:szCs w:val="18"/>
                    </w:rPr>
                    <w:t>2023</w:t>
                  </w:r>
                </w:p>
              </w:tc>
              <w:tc>
                <w:tcPr>
                  <w:tcW w:w="971" w:type="dxa"/>
                </w:tcPr>
                <w:p w:rsidRPr="00290188" w:rsidR="000D64BF" w:rsidP="000D64BF" w:rsidRDefault="000D64BF" w14:paraId="2F26AF93" w14:textId="77777777">
                  <w:pPr>
                    <w:pStyle w:val="Default"/>
                    <w:rPr>
                      <w:b/>
                      <w:bCs/>
                      <w:sz w:val="18"/>
                      <w:szCs w:val="18"/>
                    </w:rPr>
                  </w:pPr>
                  <w:r w:rsidRPr="00290188">
                    <w:rPr>
                      <w:b/>
                      <w:bCs/>
                      <w:sz w:val="18"/>
                      <w:szCs w:val="18"/>
                    </w:rPr>
                    <w:t>2024</w:t>
                  </w:r>
                </w:p>
              </w:tc>
              <w:tc>
                <w:tcPr>
                  <w:tcW w:w="1843" w:type="dxa"/>
                </w:tcPr>
                <w:p w:rsidRPr="00290188" w:rsidR="000D64BF" w:rsidP="000D64BF" w:rsidRDefault="000D64BF" w14:paraId="7A2A5FB5" w14:textId="77777777">
                  <w:pPr>
                    <w:pStyle w:val="Default"/>
                    <w:rPr>
                      <w:b/>
                      <w:bCs/>
                      <w:sz w:val="18"/>
                      <w:szCs w:val="18"/>
                    </w:rPr>
                  </w:pPr>
                  <w:r w:rsidRPr="00290188">
                    <w:rPr>
                      <w:b/>
                      <w:bCs/>
                      <w:sz w:val="18"/>
                      <w:szCs w:val="18"/>
                    </w:rPr>
                    <w:t>2025 t/m 8 aug</w:t>
                  </w:r>
                </w:p>
              </w:tc>
            </w:tr>
            <w:tr w:rsidRPr="00290188" w:rsidR="000D64BF" w:rsidTr="00316EAD" w14:paraId="66B7950A" w14:textId="77777777">
              <w:trPr>
                <w:trHeight w:val="121"/>
                <w:jc w:val="center"/>
              </w:trPr>
              <w:tc>
                <w:tcPr>
                  <w:tcW w:w="963" w:type="dxa"/>
                </w:tcPr>
                <w:p w:rsidRPr="00290188" w:rsidR="000D64BF" w:rsidP="000D64BF" w:rsidRDefault="000D64BF" w14:paraId="01E04184" w14:textId="0C09C327">
                  <w:pPr>
                    <w:pStyle w:val="Default"/>
                    <w:rPr>
                      <w:sz w:val="18"/>
                      <w:szCs w:val="18"/>
                    </w:rPr>
                  </w:pPr>
                  <w:r w:rsidRPr="00290188">
                    <w:rPr>
                      <w:sz w:val="18"/>
                      <w:szCs w:val="18"/>
                    </w:rPr>
                    <w:t>47</w:t>
                  </w:r>
                </w:p>
              </w:tc>
              <w:tc>
                <w:tcPr>
                  <w:tcW w:w="971" w:type="dxa"/>
                </w:tcPr>
                <w:p w:rsidRPr="00290188" w:rsidR="000D64BF" w:rsidP="000D64BF" w:rsidRDefault="000D64BF" w14:paraId="133E1942" w14:textId="6025EC60">
                  <w:pPr>
                    <w:pStyle w:val="Default"/>
                    <w:rPr>
                      <w:sz w:val="18"/>
                      <w:szCs w:val="18"/>
                    </w:rPr>
                  </w:pPr>
                  <w:r w:rsidRPr="00290188">
                    <w:rPr>
                      <w:sz w:val="18"/>
                      <w:szCs w:val="18"/>
                    </w:rPr>
                    <w:t>233</w:t>
                  </w:r>
                </w:p>
              </w:tc>
              <w:tc>
                <w:tcPr>
                  <w:tcW w:w="1843" w:type="dxa"/>
                </w:tcPr>
                <w:p w:rsidRPr="00290188" w:rsidR="000D64BF" w:rsidP="000D64BF" w:rsidRDefault="000D64BF" w14:paraId="505BA436" w14:textId="0C758FEC">
                  <w:pPr>
                    <w:pStyle w:val="Default"/>
                    <w:rPr>
                      <w:sz w:val="18"/>
                      <w:szCs w:val="18"/>
                    </w:rPr>
                  </w:pPr>
                  <w:r w:rsidRPr="00290188">
                    <w:rPr>
                      <w:sz w:val="18"/>
                      <w:szCs w:val="18"/>
                    </w:rPr>
                    <w:t>481</w:t>
                  </w:r>
                </w:p>
              </w:tc>
            </w:tr>
          </w:tbl>
          <w:p w:rsidRPr="00290188" w:rsidR="000D64BF" w:rsidP="000D64BF" w:rsidRDefault="000D64BF" w14:paraId="2BDD9047" w14:textId="77777777">
            <w:pPr>
              <w:pStyle w:val="broodtekst"/>
            </w:pPr>
          </w:p>
          <w:p w:rsidRPr="00290188" w:rsidR="000D64BF" w:rsidP="000D64BF" w:rsidRDefault="000D64BF" w14:paraId="6DF4BFFE" w14:textId="52DFE883">
            <w:pPr>
              <w:pStyle w:val="broodtekst"/>
            </w:pPr>
            <w:r w:rsidRPr="00290188">
              <w:t>OHCHR registreerde 114 burgerdoden in de periode van 1 januari 2025 tot 30 juni 2025.</w:t>
            </w:r>
          </w:p>
          <w:p w:rsidRPr="00290188" w:rsidR="000D64BF" w:rsidP="000D64BF" w:rsidRDefault="000D64BF" w14:paraId="49689A3D" w14:textId="77777777">
            <w:pPr>
              <w:pStyle w:val="broodtekst"/>
            </w:pPr>
          </w:p>
        </w:tc>
      </w:tr>
      <w:tr w:rsidRPr="00290188" w:rsidR="000D64BF" w:rsidTr="000E52C6" w14:paraId="5D471111" w14:textId="77777777">
        <w:tc>
          <w:tcPr>
            <w:tcW w:w="2263" w:type="dxa"/>
          </w:tcPr>
          <w:p w:rsidRPr="00290188" w:rsidR="000D64BF" w:rsidP="000D64BF" w:rsidRDefault="000D64BF" w14:paraId="76C2367E" w14:textId="5D847125">
            <w:pPr>
              <w:pStyle w:val="broodtekst"/>
            </w:pPr>
            <w:r w:rsidRPr="00290188">
              <w:t>Aantal ontheemden</w:t>
            </w:r>
          </w:p>
        </w:tc>
        <w:tc>
          <w:tcPr>
            <w:tcW w:w="6663" w:type="dxa"/>
          </w:tcPr>
          <w:p w:rsidRPr="00290188" w:rsidR="000D64BF" w:rsidP="000D64BF" w:rsidRDefault="000D64BF" w14:paraId="1E41CC4B" w14:textId="3CF593D9">
            <w:pPr>
              <w:pStyle w:val="broodtekst"/>
            </w:pPr>
            <w:r w:rsidRPr="00290188">
              <w:t>Ontheemden die in Witte Nijl verblijven (d.d. 9 juli 2025): 543.761</w:t>
            </w:r>
          </w:p>
        </w:tc>
      </w:tr>
      <w:tr w:rsidRPr="00290188" w:rsidR="000D64BF" w:rsidTr="000E52C6" w14:paraId="766C7288" w14:textId="77777777">
        <w:tc>
          <w:tcPr>
            <w:tcW w:w="2263" w:type="dxa"/>
          </w:tcPr>
          <w:p w:rsidRPr="00290188" w:rsidR="000D64BF" w:rsidP="000D64BF" w:rsidRDefault="000B36A7" w14:paraId="04906452" w14:textId="32BA83DD">
            <w:pPr>
              <w:pStyle w:val="broodtekst"/>
            </w:pPr>
            <w:r w:rsidRPr="00290188">
              <w:t>Humanitaire omstandigheden als gevolg van het conflict</w:t>
            </w:r>
          </w:p>
        </w:tc>
        <w:tc>
          <w:tcPr>
            <w:tcW w:w="6663" w:type="dxa"/>
          </w:tcPr>
          <w:p w:rsidRPr="00290188" w:rsidR="000D64BF" w:rsidP="000D64BF" w:rsidRDefault="000B36A7" w14:paraId="326561FA" w14:textId="27D6B3ED">
            <w:pPr>
              <w:pStyle w:val="broodtekst"/>
            </w:pPr>
            <w:r w:rsidRPr="00290188">
              <w:t>Witte Nijl was één van de epicentra van de cholera-uitbraak in september 2025. Cholera-uitbraken in Sudan worden mede veroorzaakt door droneaanvallen op elektriciteitscentrales waardoor waterzuiveringsinstallaties en ziekenhuizen niet goed konden functioneren. In Witte Nijl zijn de meeste cholera-gerelateerde doden van alle deelstaten geregistreerd.</w:t>
            </w:r>
          </w:p>
        </w:tc>
      </w:tr>
    </w:tbl>
    <w:p w:rsidRPr="00290188" w:rsidR="000B36A7" w:rsidP="000D64BF" w:rsidRDefault="000B36A7" w14:paraId="378FF3A9" w14:textId="77777777">
      <w:pPr>
        <w:pStyle w:val="broodtekst"/>
        <w:rPr>
          <w:b/>
          <w:bCs/>
          <w:color w:val="000000" w:themeColor="text1"/>
        </w:rPr>
      </w:pPr>
    </w:p>
    <w:p w:rsidRPr="00290188" w:rsidR="000230EF" w:rsidP="000D64BF" w:rsidRDefault="00D84A3E" w14:paraId="30B9FECA" w14:textId="5293E859">
      <w:pPr>
        <w:pStyle w:val="broodtekst"/>
      </w:pPr>
      <w:r w:rsidRPr="00290188">
        <w:rPr>
          <w:b/>
          <w:bCs/>
          <w:color w:val="000000" w:themeColor="text1"/>
        </w:rPr>
        <w:t xml:space="preserve">Conclusie:  </w:t>
      </w:r>
      <w:r w:rsidRPr="00290188" w:rsidR="00647FAD">
        <w:rPr>
          <w:color w:val="000000" w:themeColor="text1"/>
        </w:rPr>
        <w:t xml:space="preserve">Voor Witte Nijl wordt momenteel een relatief lager niveau van willekeurig geweld aangenomen. </w:t>
      </w:r>
      <w:r w:rsidRPr="00290188" w:rsidR="00C5139F">
        <w:rPr>
          <w:color w:val="000000" w:themeColor="text1"/>
        </w:rPr>
        <w:t xml:space="preserve">In Witte Nijl vonden op relatief grote schaal veiligheidsincidenten plaats, waarbij burgers ook het </w:t>
      </w:r>
      <w:r w:rsidRPr="00290188" w:rsidR="00351671">
        <w:rPr>
          <w:color w:val="000000" w:themeColor="text1"/>
        </w:rPr>
        <w:t xml:space="preserve">slachtoffer </w:t>
      </w:r>
      <w:r w:rsidRPr="00290188" w:rsidR="00C5139F">
        <w:rPr>
          <w:color w:val="000000" w:themeColor="text1"/>
        </w:rPr>
        <w:t xml:space="preserve">van de gewelddadigheden waren. </w:t>
      </w:r>
      <w:r w:rsidRPr="00290188" w:rsidR="000B36A7">
        <w:rPr>
          <w:color w:val="000000" w:themeColor="text1"/>
        </w:rPr>
        <w:t xml:space="preserve">In het aantal incidenten is een </w:t>
      </w:r>
      <w:r w:rsidRPr="00290188" w:rsidR="000B36A7">
        <w:rPr>
          <w:color w:val="000000" w:themeColor="text1"/>
        </w:rPr>
        <w:lastRenderedPageBreak/>
        <w:t xml:space="preserve">toename in 2024 en 2025 ten opzichte van het begin van het conflict in 2023 te zien. </w:t>
      </w:r>
      <w:r w:rsidRPr="00290188" w:rsidR="00C5139F">
        <w:rPr>
          <w:color w:val="000000" w:themeColor="text1"/>
        </w:rPr>
        <w:t xml:space="preserve">Het geweld nam </w:t>
      </w:r>
      <w:r w:rsidRPr="00290188" w:rsidR="000B36A7">
        <w:rPr>
          <w:color w:val="000000" w:themeColor="text1"/>
        </w:rPr>
        <w:t xml:space="preserve">vanaf mei 2025 </w:t>
      </w:r>
      <w:r w:rsidRPr="00290188" w:rsidR="00C5139F">
        <w:rPr>
          <w:color w:val="000000" w:themeColor="text1"/>
        </w:rPr>
        <w:t xml:space="preserve">af doordat de SAF de controle kregen over Witte Nijl. Met het oog op de </w:t>
      </w:r>
      <w:r w:rsidRPr="00290188" w:rsidR="000B7E29">
        <w:rPr>
          <w:color w:val="000000" w:themeColor="text1"/>
        </w:rPr>
        <w:t xml:space="preserve">toename, de </w:t>
      </w:r>
      <w:r w:rsidRPr="00290188" w:rsidR="00C5139F">
        <w:rPr>
          <w:color w:val="000000" w:themeColor="text1"/>
        </w:rPr>
        <w:t>relatief grote schaal en aard van het geweld dat werd gepleegd</w:t>
      </w:r>
      <w:r w:rsidRPr="00290188" w:rsidR="00644145">
        <w:rPr>
          <w:color w:val="000000" w:themeColor="text1"/>
        </w:rPr>
        <w:t>,</w:t>
      </w:r>
      <w:r w:rsidRPr="00290188" w:rsidR="00C5139F">
        <w:rPr>
          <w:color w:val="000000" w:themeColor="text1"/>
        </w:rPr>
        <w:t xml:space="preserve"> de fluïde en fragiele veiligheidssituatie in Witte Nijl (ook gelet op de strategische ligging van de deelstaat)</w:t>
      </w:r>
      <w:r w:rsidRPr="00290188" w:rsidR="00644145">
        <w:rPr>
          <w:color w:val="000000" w:themeColor="text1"/>
        </w:rPr>
        <w:t xml:space="preserve"> en de  humanitaire omstandigheden,</w:t>
      </w:r>
      <w:r w:rsidRPr="00290188" w:rsidR="00C5139F">
        <w:rPr>
          <w:color w:val="000000" w:themeColor="text1"/>
        </w:rPr>
        <w:t xml:space="preserve"> </w:t>
      </w:r>
      <w:r w:rsidRPr="00290188" w:rsidR="00644145">
        <w:rPr>
          <w:color w:val="000000" w:themeColor="text1"/>
          <w:u w:val="single"/>
        </w:rPr>
        <w:t>wordt geadviseerd om uit te gaan van een relatief hoger niveau van willekeurig geweld</w:t>
      </w:r>
      <w:r w:rsidRPr="00290188" w:rsidR="00644145">
        <w:rPr>
          <w:color w:val="000000" w:themeColor="text1"/>
        </w:rPr>
        <w:t xml:space="preserve">. </w:t>
      </w:r>
      <w:r w:rsidRPr="00290188">
        <w:t>Aan de hand van het volgende ambtsbericht zal ten aanzien van Witte Nijl bezien moeten worden of de veiligheidssituatie verbetert en stabiliseert, wat te zijner tijd zou kunnen leiden tot een ander oordeel over de toepasselijke gradatie.</w:t>
      </w:r>
      <w:r w:rsidRPr="00290188" w:rsidR="003167C5">
        <w:t xml:space="preserve"> </w:t>
      </w:r>
    </w:p>
    <w:p w:rsidRPr="00290188" w:rsidR="000B36A7" w:rsidP="000D64BF" w:rsidRDefault="000B36A7" w14:paraId="0E2A60DE" w14:textId="77777777">
      <w:pPr>
        <w:pStyle w:val="broodtekst"/>
      </w:pPr>
    </w:p>
    <w:p w:rsidRPr="00290188" w:rsidR="000B36A7" w:rsidP="000D64BF" w:rsidRDefault="000B36A7" w14:paraId="56554E50" w14:textId="77777777">
      <w:pPr>
        <w:pStyle w:val="broodtekst"/>
      </w:pPr>
    </w:p>
    <w:tbl>
      <w:tblPr>
        <w:tblStyle w:val="Tabelraster"/>
        <w:tblW w:w="0" w:type="auto"/>
        <w:tblInd w:w="0" w:type="dxa"/>
        <w:tblLook w:val="04A0" w:firstRow="1" w:lastRow="0" w:firstColumn="1" w:lastColumn="0" w:noHBand="0" w:noVBand="1"/>
      </w:tblPr>
      <w:tblGrid>
        <w:gridCol w:w="2263"/>
        <w:gridCol w:w="6663"/>
      </w:tblGrid>
      <w:tr w:rsidRPr="00290188" w:rsidR="000B36A7" w:rsidTr="00802BA7" w14:paraId="0497A795" w14:textId="77777777">
        <w:tc>
          <w:tcPr>
            <w:tcW w:w="8926" w:type="dxa"/>
            <w:gridSpan w:val="2"/>
            <w:shd w:val="clear" w:color="auto" w:fill="DEEAF6" w:themeFill="accent1" w:themeFillTint="33"/>
          </w:tcPr>
          <w:p w:rsidRPr="00290188" w:rsidR="000B36A7" w:rsidP="000E52C6" w:rsidRDefault="000B36A7" w14:paraId="45590EC0" w14:textId="2FD709DF">
            <w:pPr>
              <w:pStyle w:val="broodtekst"/>
              <w:rPr>
                <w:b/>
                <w:bCs/>
              </w:rPr>
            </w:pPr>
            <w:proofErr w:type="spellStart"/>
            <w:r w:rsidRPr="00290188">
              <w:rPr>
                <w:b/>
                <w:bCs/>
              </w:rPr>
              <w:t>Sennar</w:t>
            </w:r>
            <w:proofErr w:type="spellEnd"/>
            <w:r w:rsidRPr="00290188">
              <w:rPr>
                <w:b/>
                <w:bCs/>
              </w:rPr>
              <w:t xml:space="preserve"> (2,7 </w:t>
            </w:r>
            <w:proofErr w:type="spellStart"/>
            <w:r w:rsidRPr="00290188">
              <w:rPr>
                <w:b/>
                <w:bCs/>
              </w:rPr>
              <w:t>mln</w:t>
            </w:r>
            <w:proofErr w:type="spellEnd"/>
            <w:r w:rsidRPr="00290188">
              <w:rPr>
                <w:b/>
                <w:bCs/>
              </w:rPr>
              <w:t xml:space="preserve"> inwoners)</w:t>
            </w:r>
          </w:p>
        </w:tc>
      </w:tr>
      <w:tr w:rsidRPr="00290188" w:rsidR="000B36A7" w:rsidTr="000E52C6" w14:paraId="49B829A2" w14:textId="77777777">
        <w:tc>
          <w:tcPr>
            <w:tcW w:w="2263" w:type="dxa"/>
          </w:tcPr>
          <w:p w:rsidRPr="00290188" w:rsidR="000B36A7" w:rsidP="000E52C6" w:rsidRDefault="000B36A7" w14:paraId="4904ABB6" w14:textId="77777777">
            <w:pPr>
              <w:pStyle w:val="broodtekst"/>
            </w:pPr>
            <w:r w:rsidRPr="00290188">
              <w:t>Controle</w:t>
            </w:r>
          </w:p>
        </w:tc>
        <w:tc>
          <w:tcPr>
            <w:tcW w:w="6663" w:type="dxa"/>
          </w:tcPr>
          <w:p w:rsidRPr="00290188" w:rsidR="000B36A7" w:rsidP="000E52C6" w:rsidRDefault="00647FAD" w14:paraId="533C41E1" w14:textId="0169022A">
            <w:pPr>
              <w:pStyle w:val="broodtekst"/>
            </w:pPr>
            <w:r w:rsidRPr="00290188">
              <w:t xml:space="preserve">Eind juni 2024 ondernamen de RSF een bliksemopmars in </w:t>
            </w:r>
            <w:proofErr w:type="spellStart"/>
            <w:r w:rsidRPr="00290188">
              <w:t>Sennar</w:t>
            </w:r>
            <w:proofErr w:type="spellEnd"/>
            <w:r w:rsidRPr="00290188">
              <w:t xml:space="preserve"> en veroverden de hoofdstad Signa. Deze werd in november 2024 heroverd door de SAF. Op het moment van schrijven staat </w:t>
            </w:r>
            <w:proofErr w:type="spellStart"/>
            <w:r w:rsidRPr="00290188">
              <w:t>Sennar</w:t>
            </w:r>
            <w:proofErr w:type="spellEnd"/>
            <w:r w:rsidRPr="00290188">
              <w:t xml:space="preserve"> volledig onder controle van de SAF. De RSF zijn ook niet aanwezig in aangrenzende gebieden.</w:t>
            </w:r>
          </w:p>
        </w:tc>
      </w:tr>
      <w:tr w:rsidRPr="00290188" w:rsidR="000B36A7" w:rsidTr="000E52C6" w14:paraId="2579171C" w14:textId="77777777">
        <w:tc>
          <w:tcPr>
            <w:tcW w:w="2263" w:type="dxa"/>
          </w:tcPr>
          <w:p w:rsidRPr="00290188" w:rsidR="000B36A7" w:rsidP="000E52C6" w:rsidRDefault="000B36A7" w14:paraId="3921FDF9" w14:textId="77777777">
            <w:pPr>
              <w:pStyle w:val="broodtekst"/>
            </w:pPr>
            <w:r w:rsidRPr="00290188">
              <w:t>Strijdende partijen</w:t>
            </w:r>
          </w:p>
        </w:tc>
        <w:tc>
          <w:tcPr>
            <w:tcW w:w="6663" w:type="dxa"/>
          </w:tcPr>
          <w:p w:rsidRPr="00290188" w:rsidR="000B36A7" w:rsidP="000E52C6" w:rsidRDefault="00647FAD" w14:paraId="6819164B" w14:textId="613715E9">
            <w:pPr>
              <w:pStyle w:val="broodtekst"/>
            </w:pPr>
            <w:r w:rsidRPr="00290188">
              <w:t xml:space="preserve">SAF (inclusief gelieerde </w:t>
            </w:r>
            <w:r w:rsidRPr="00290188" w:rsidR="007608C6">
              <w:t>milities</w:t>
            </w:r>
            <w:r w:rsidRPr="00290188">
              <w:t>) &amp; RSF (inclusief gelieerde milities).</w:t>
            </w:r>
          </w:p>
        </w:tc>
      </w:tr>
      <w:tr w:rsidRPr="00290188" w:rsidR="000B36A7" w:rsidTr="000E52C6" w14:paraId="07B090CC" w14:textId="77777777">
        <w:tc>
          <w:tcPr>
            <w:tcW w:w="2263" w:type="dxa"/>
          </w:tcPr>
          <w:p w:rsidRPr="00290188" w:rsidR="000B36A7" w:rsidP="000E52C6" w:rsidRDefault="000B36A7" w14:paraId="31785B2C" w14:textId="77777777">
            <w:pPr>
              <w:pStyle w:val="broodtekst"/>
            </w:pPr>
            <w:r w:rsidRPr="00290188">
              <w:t>Aard van het geweld &amp; gevechtsmethodes</w:t>
            </w:r>
          </w:p>
        </w:tc>
        <w:tc>
          <w:tcPr>
            <w:tcW w:w="6663" w:type="dxa"/>
          </w:tcPr>
          <w:p w:rsidRPr="00290188" w:rsidR="000B36A7" w:rsidP="000E52C6" w:rsidRDefault="00647FAD" w14:paraId="606116B2" w14:textId="45A90937">
            <w:pPr>
              <w:pStyle w:val="broodtekst"/>
            </w:pPr>
            <w:r w:rsidRPr="00290188">
              <w:t xml:space="preserve">Duidelijk wordt dat de RSF aanvallen op burgers pleegde in </w:t>
            </w:r>
            <w:proofErr w:type="spellStart"/>
            <w:r w:rsidRPr="00290188">
              <w:t>Sennar</w:t>
            </w:r>
            <w:proofErr w:type="spellEnd"/>
            <w:r w:rsidRPr="00290188">
              <w:t xml:space="preserve">, waaronder willekeurige beschietingen, ontvoering en conflict-gerelateerd seksueel geweld jegens vrouwen in o.a. </w:t>
            </w:r>
            <w:proofErr w:type="spellStart"/>
            <w:r w:rsidRPr="00290188">
              <w:t>Galgani</w:t>
            </w:r>
            <w:proofErr w:type="spellEnd"/>
            <w:r w:rsidRPr="00290188">
              <w:t xml:space="preserve"> en een aanval op een markt in </w:t>
            </w:r>
            <w:proofErr w:type="spellStart"/>
            <w:r w:rsidRPr="00290188">
              <w:t>Sennar</w:t>
            </w:r>
            <w:proofErr w:type="spellEnd"/>
            <w:r w:rsidRPr="00290188">
              <w:t xml:space="preserve"> </w:t>
            </w:r>
            <w:r w:rsidRPr="00290188" w:rsidR="007608C6">
              <w:t xml:space="preserve">(stad). </w:t>
            </w:r>
            <w:r w:rsidRPr="00290188">
              <w:t xml:space="preserve">Bij een aanval in Abu </w:t>
            </w:r>
            <w:proofErr w:type="spellStart"/>
            <w:r w:rsidRPr="00290188">
              <w:t>Hajar</w:t>
            </w:r>
            <w:proofErr w:type="spellEnd"/>
            <w:r w:rsidRPr="00290188">
              <w:t xml:space="preserve"> kwamen minstens </w:t>
            </w:r>
            <w:r w:rsidRPr="00290188" w:rsidR="007608C6">
              <w:t>vijftien</w:t>
            </w:r>
            <w:r w:rsidRPr="00290188">
              <w:t xml:space="preserve"> burgers om het leven.</w:t>
            </w:r>
            <w:r w:rsidRPr="00290188">
              <w:rPr>
                <w:rStyle w:val="Voetnootmarkering"/>
              </w:rPr>
              <w:footnoteReference w:id="22"/>
            </w:r>
          </w:p>
        </w:tc>
      </w:tr>
      <w:tr w:rsidRPr="00290188" w:rsidR="000B36A7" w:rsidTr="00316EAD" w14:paraId="5C951FB1" w14:textId="77777777">
        <w:trPr>
          <w:trHeight w:val="1975"/>
        </w:trPr>
        <w:tc>
          <w:tcPr>
            <w:tcW w:w="2263" w:type="dxa"/>
          </w:tcPr>
          <w:p w:rsidRPr="00290188" w:rsidR="000B36A7" w:rsidP="000E52C6" w:rsidRDefault="000B36A7" w14:paraId="1BAF8554" w14:textId="77777777">
            <w:pPr>
              <w:pStyle w:val="broodtekst"/>
            </w:pPr>
            <w:r w:rsidRPr="00290188">
              <w:t>Aantal geweldsincidenten</w:t>
            </w:r>
          </w:p>
        </w:tc>
        <w:tc>
          <w:tcPr>
            <w:tcW w:w="6663" w:type="dxa"/>
          </w:tcPr>
          <w:p w:rsidRPr="00290188" w:rsidR="000B36A7" w:rsidP="000E52C6" w:rsidRDefault="000B36A7" w14:paraId="379AA93B" w14:textId="77777777">
            <w:pPr>
              <w:pStyle w:val="broodtekst"/>
            </w:pPr>
            <w:r w:rsidRPr="00290188">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728"/>
              <w:gridCol w:w="728"/>
              <w:gridCol w:w="1434"/>
            </w:tblGrid>
            <w:tr w:rsidRPr="00290188" w:rsidR="000B36A7" w:rsidTr="00316EAD" w14:paraId="73D9A260" w14:textId="77777777">
              <w:trPr>
                <w:trHeight w:val="123"/>
                <w:jc w:val="center"/>
              </w:trPr>
              <w:tc>
                <w:tcPr>
                  <w:tcW w:w="0" w:type="auto"/>
                </w:tcPr>
                <w:p w:rsidRPr="00290188" w:rsidR="000B36A7" w:rsidP="000E52C6" w:rsidRDefault="000B36A7" w14:paraId="435AFB60" w14:textId="77777777">
                  <w:pPr>
                    <w:pStyle w:val="Default"/>
                    <w:rPr>
                      <w:b/>
                      <w:bCs/>
                      <w:sz w:val="18"/>
                      <w:szCs w:val="18"/>
                    </w:rPr>
                  </w:pPr>
                </w:p>
              </w:tc>
              <w:tc>
                <w:tcPr>
                  <w:tcW w:w="0" w:type="auto"/>
                </w:tcPr>
                <w:p w:rsidRPr="00290188" w:rsidR="000B36A7" w:rsidP="000E52C6" w:rsidRDefault="000B36A7" w14:paraId="146A5B88" w14:textId="77777777">
                  <w:pPr>
                    <w:pStyle w:val="Default"/>
                    <w:rPr>
                      <w:b/>
                      <w:bCs/>
                      <w:sz w:val="18"/>
                      <w:szCs w:val="18"/>
                    </w:rPr>
                  </w:pPr>
                  <w:r w:rsidRPr="00290188">
                    <w:rPr>
                      <w:b/>
                      <w:bCs/>
                      <w:sz w:val="18"/>
                      <w:szCs w:val="18"/>
                    </w:rPr>
                    <w:t>2023</w:t>
                  </w:r>
                </w:p>
              </w:tc>
              <w:tc>
                <w:tcPr>
                  <w:tcW w:w="0" w:type="auto"/>
                </w:tcPr>
                <w:p w:rsidRPr="00290188" w:rsidR="000B36A7" w:rsidP="000E52C6" w:rsidRDefault="000B36A7" w14:paraId="4F463916" w14:textId="77777777">
                  <w:pPr>
                    <w:pStyle w:val="Default"/>
                    <w:rPr>
                      <w:b/>
                      <w:bCs/>
                      <w:sz w:val="18"/>
                      <w:szCs w:val="18"/>
                    </w:rPr>
                  </w:pPr>
                  <w:r w:rsidRPr="00290188">
                    <w:rPr>
                      <w:b/>
                      <w:bCs/>
                      <w:sz w:val="18"/>
                      <w:szCs w:val="18"/>
                    </w:rPr>
                    <w:t>2024</w:t>
                  </w:r>
                </w:p>
              </w:tc>
              <w:tc>
                <w:tcPr>
                  <w:tcW w:w="0" w:type="auto"/>
                </w:tcPr>
                <w:p w:rsidRPr="00290188" w:rsidR="000B36A7" w:rsidP="000E52C6" w:rsidRDefault="000B36A7" w14:paraId="5408E22C" w14:textId="77777777">
                  <w:pPr>
                    <w:pStyle w:val="Default"/>
                    <w:rPr>
                      <w:b/>
                      <w:bCs/>
                      <w:sz w:val="18"/>
                      <w:szCs w:val="18"/>
                    </w:rPr>
                  </w:pPr>
                  <w:r w:rsidRPr="00290188">
                    <w:rPr>
                      <w:b/>
                      <w:bCs/>
                      <w:sz w:val="18"/>
                      <w:szCs w:val="18"/>
                    </w:rPr>
                    <w:t xml:space="preserve">2025 </w:t>
                  </w:r>
                  <w:r w:rsidRPr="00290188">
                    <w:rPr>
                      <w:b/>
                      <w:bCs/>
                      <w:sz w:val="18"/>
                      <w:szCs w:val="18"/>
                    </w:rPr>
                    <w:br/>
                    <w:t>(t/m 8 aug)</w:t>
                  </w:r>
                </w:p>
              </w:tc>
            </w:tr>
            <w:tr w:rsidRPr="00290188" w:rsidR="000B36A7" w:rsidTr="00316EAD" w14:paraId="0EAAD748" w14:textId="77777777">
              <w:trPr>
                <w:trHeight w:val="123"/>
                <w:jc w:val="center"/>
              </w:trPr>
              <w:tc>
                <w:tcPr>
                  <w:tcW w:w="0" w:type="auto"/>
                </w:tcPr>
                <w:p w:rsidRPr="00290188" w:rsidR="000B36A7" w:rsidP="000E52C6" w:rsidRDefault="000B36A7" w14:paraId="7F372865" w14:textId="77777777">
                  <w:pPr>
                    <w:pStyle w:val="Default"/>
                    <w:rPr>
                      <w:sz w:val="18"/>
                      <w:szCs w:val="18"/>
                    </w:rPr>
                  </w:pPr>
                  <w:r w:rsidRPr="00290188">
                    <w:rPr>
                      <w:b/>
                      <w:bCs/>
                      <w:sz w:val="18"/>
                      <w:szCs w:val="18"/>
                    </w:rPr>
                    <w:t>Totaal</w:t>
                  </w:r>
                </w:p>
              </w:tc>
              <w:tc>
                <w:tcPr>
                  <w:tcW w:w="0" w:type="auto"/>
                </w:tcPr>
                <w:p w:rsidRPr="00290188" w:rsidR="000B36A7" w:rsidP="000E52C6" w:rsidRDefault="00647FAD" w14:paraId="02159DB6" w14:textId="799345BD">
                  <w:pPr>
                    <w:pStyle w:val="Default"/>
                    <w:rPr>
                      <w:b/>
                      <w:bCs/>
                      <w:sz w:val="18"/>
                      <w:szCs w:val="18"/>
                    </w:rPr>
                  </w:pPr>
                  <w:r w:rsidRPr="00290188">
                    <w:rPr>
                      <w:b/>
                      <w:bCs/>
                      <w:sz w:val="18"/>
                      <w:szCs w:val="18"/>
                    </w:rPr>
                    <w:t>12</w:t>
                  </w:r>
                </w:p>
              </w:tc>
              <w:tc>
                <w:tcPr>
                  <w:tcW w:w="0" w:type="auto"/>
                </w:tcPr>
                <w:p w:rsidRPr="00290188" w:rsidR="000B36A7" w:rsidP="000E52C6" w:rsidRDefault="00647FAD" w14:paraId="124FFBB4" w14:textId="2A2CE95B">
                  <w:pPr>
                    <w:pStyle w:val="Default"/>
                    <w:rPr>
                      <w:b/>
                      <w:bCs/>
                      <w:sz w:val="18"/>
                      <w:szCs w:val="18"/>
                    </w:rPr>
                  </w:pPr>
                  <w:r w:rsidRPr="00290188">
                    <w:rPr>
                      <w:b/>
                      <w:bCs/>
                      <w:sz w:val="18"/>
                      <w:szCs w:val="18"/>
                    </w:rPr>
                    <w:t>238</w:t>
                  </w:r>
                </w:p>
              </w:tc>
              <w:tc>
                <w:tcPr>
                  <w:tcW w:w="0" w:type="auto"/>
                </w:tcPr>
                <w:p w:rsidRPr="00290188" w:rsidR="000B36A7" w:rsidP="000E52C6" w:rsidRDefault="00647FAD" w14:paraId="2177DECB" w14:textId="180104D4">
                  <w:pPr>
                    <w:pStyle w:val="Default"/>
                    <w:rPr>
                      <w:b/>
                      <w:bCs/>
                      <w:sz w:val="18"/>
                      <w:szCs w:val="18"/>
                    </w:rPr>
                  </w:pPr>
                  <w:r w:rsidRPr="00290188">
                    <w:rPr>
                      <w:b/>
                      <w:bCs/>
                      <w:sz w:val="18"/>
                      <w:szCs w:val="18"/>
                    </w:rPr>
                    <w:t>9</w:t>
                  </w:r>
                </w:p>
              </w:tc>
            </w:tr>
            <w:tr w:rsidRPr="00290188" w:rsidR="000B36A7" w:rsidTr="00316EAD" w14:paraId="084D719E" w14:textId="77777777">
              <w:trPr>
                <w:trHeight w:val="121"/>
                <w:jc w:val="center"/>
              </w:trPr>
              <w:tc>
                <w:tcPr>
                  <w:tcW w:w="0" w:type="auto"/>
                </w:tcPr>
                <w:p w:rsidRPr="00290188" w:rsidR="000B36A7" w:rsidP="000E52C6" w:rsidRDefault="000B36A7" w14:paraId="4B11AE36" w14:textId="77777777">
                  <w:pPr>
                    <w:pStyle w:val="Default"/>
                    <w:rPr>
                      <w:sz w:val="18"/>
                      <w:szCs w:val="18"/>
                    </w:rPr>
                  </w:pPr>
                  <w:r w:rsidRPr="00290188">
                    <w:rPr>
                      <w:sz w:val="18"/>
                      <w:szCs w:val="18"/>
                    </w:rPr>
                    <w:t xml:space="preserve">Gevechten </w:t>
                  </w:r>
                </w:p>
              </w:tc>
              <w:tc>
                <w:tcPr>
                  <w:tcW w:w="0" w:type="auto"/>
                </w:tcPr>
                <w:p w:rsidRPr="00290188" w:rsidR="000B36A7" w:rsidP="000E52C6" w:rsidRDefault="00647FAD" w14:paraId="00552B48" w14:textId="7A22F867">
                  <w:pPr>
                    <w:pStyle w:val="Default"/>
                    <w:rPr>
                      <w:sz w:val="18"/>
                      <w:szCs w:val="18"/>
                    </w:rPr>
                  </w:pPr>
                  <w:r w:rsidRPr="00290188">
                    <w:rPr>
                      <w:sz w:val="18"/>
                      <w:szCs w:val="18"/>
                    </w:rPr>
                    <w:t>3</w:t>
                  </w:r>
                </w:p>
              </w:tc>
              <w:tc>
                <w:tcPr>
                  <w:tcW w:w="0" w:type="auto"/>
                </w:tcPr>
                <w:p w:rsidRPr="00290188" w:rsidR="000B36A7" w:rsidP="000E52C6" w:rsidRDefault="00647FAD" w14:paraId="5E6A1E94" w14:textId="61E0FA2B">
                  <w:pPr>
                    <w:pStyle w:val="Default"/>
                    <w:rPr>
                      <w:sz w:val="18"/>
                      <w:szCs w:val="18"/>
                    </w:rPr>
                  </w:pPr>
                  <w:r w:rsidRPr="00290188">
                    <w:rPr>
                      <w:sz w:val="18"/>
                      <w:szCs w:val="18"/>
                    </w:rPr>
                    <w:t>107</w:t>
                  </w:r>
                </w:p>
              </w:tc>
              <w:tc>
                <w:tcPr>
                  <w:tcW w:w="0" w:type="auto"/>
                </w:tcPr>
                <w:p w:rsidRPr="00290188" w:rsidR="000B36A7" w:rsidP="000E52C6" w:rsidRDefault="00647FAD" w14:paraId="2824012A" w14:textId="0EEA4121">
                  <w:pPr>
                    <w:pStyle w:val="Default"/>
                    <w:rPr>
                      <w:sz w:val="18"/>
                      <w:szCs w:val="18"/>
                    </w:rPr>
                  </w:pPr>
                  <w:r w:rsidRPr="00290188">
                    <w:rPr>
                      <w:sz w:val="18"/>
                      <w:szCs w:val="18"/>
                    </w:rPr>
                    <w:t>2</w:t>
                  </w:r>
                </w:p>
              </w:tc>
            </w:tr>
            <w:tr w:rsidRPr="00290188" w:rsidR="000B36A7" w:rsidTr="00316EAD" w14:paraId="06C442BC" w14:textId="77777777">
              <w:trPr>
                <w:trHeight w:val="121"/>
                <w:jc w:val="center"/>
              </w:trPr>
              <w:tc>
                <w:tcPr>
                  <w:tcW w:w="0" w:type="auto"/>
                </w:tcPr>
                <w:p w:rsidRPr="00290188" w:rsidR="000B36A7" w:rsidP="000E52C6" w:rsidRDefault="000B36A7" w14:paraId="1E0C6735" w14:textId="77777777">
                  <w:pPr>
                    <w:pStyle w:val="Default"/>
                    <w:rPr>
                      <w:sz w:val="18"/>
                      <w:szCs w:val="18"/>
                    </w:rPr>
                  </w:pPr>
                  <w:r w:rsidRPr="00290188">
                    <w:rPr>
                      <w:sz w:val="18"/>
                      <w:szCs w:val="18"/>
                    </w:rPr>
                    <w:t xml:space="preserve">Explosies/geweld op afstand </w:t>
                  </w:r>
                </w:p>
              </w:tc>
              <w:tc>
                <w:tcPr>
                  <w:tcW w:w="0" w:type="auto"/>
                </w:tcPr>
                <w:p w:rsidRPr="00290188" w:rsidR="000B36A7" w:rsidP="000E52C6" w:rsidRDefault="00647FAD" w14:paraId="5CE0278E" w14:textId="4BD14BFB">
                  <w:pPr>
                    <w:pStyle w:val="Default"/>
                    <w:rPr>
                      <w:sz w:val="18"/>
                      <w:szCs w:val="18"/>
                    </w:rPr>
                  </w:pPr>
                  <w:r w:rsidRPr="00290188">
                    <w:rPr>
                      <w:sz w:val="18"/>
                      <w:szCs w:val="18"/>
                    </w:rPr>
                    <w:t>5</w:t>
                  </w:r>
                </w:p>
              </w:tc>
              <w:tc>
                <w:tcPr>
                  <w:tcW w:w="0" w:type="auto"/>
                </w:tcPr>
                <w:p w:rsidRPr="00290188" w:rsidR="000B36A7" w:rsidP="000E52C6" w:rsidRDefault="00647FAD" w14:paraId="1E5A617B" w14:textId="79EB1F6B">
                  <w:pPr>
                    <w:pStyle w:val="Default"/>
                    <w:rPr>
                      <w:sz w:val="18"/>
                      <w:szCs w:val="18"/>
                    </w:rPr>
                  </w:pPr>
                  <w:r w:rsidRPr="00290188">
                    <w:rPr>
                      <w:sz w:val="18"/>
                      <w:szCs w:val="18"/>
                    </w:rPr>
                    <w:t>69</w:t>
                  </w:r>
                </w:p>
              </w:tc>
              <w:tc>
                <w:tcPr>
                  <w:tcW w:w="0" w:type="auto"/>
                </w:tcPr>
                <w:p w:rsidRPr="00290188" w:rsidR="000B36A7" w:rsidP="000E52C6" w:rsidRDefault="00647FAD" w14:paraId="0C5A7EEF" w14:textId="4C2149AD">
                  <w:pPr>
                    <w:pStyle w:val="Default"/>
                    <w:rPr>
                      <w:sz w:val="18"/>
                      <w:szCs w:val="18"/>
                    </w:rPr>
                  </w:pPr>
                  <w:r w:rsidRPr="00290188">
                    <w:rPr>
                      <w:sz w:val="18"/>
                      <w:szCs w:val="18"/>
                    </w:rPr>
                    <w:t>3</w:t>
                  </w:r>
                </w:p>
              </w:tc>
            </w:tr>
            <w:tr w:rsidRPr="00290188" w:rsidR="000B36A7" w:rsidTr="00316EAD" w14:paraId="44A5C49C" w14:textId="77777777">
              <w:trPr>
                <w:trHeight w:val="121"/>
                <w:jc w:val="center"/>
              </w:trPr>
              <w:tc>
                <w:tcPr>
                  <w:tcW w:w="0" w:type="auto"/>
                </w:tcPr>
                <w:p w:rsidRPr="00290188" w:rsidR="000B36A7" w:rsidP="000E52C6" w:rsidRDefault="000B36A7" w14:paraId="3240EAB5" w14:textId="77777777">
                  <w:pPr>
                    <w:pStyle w:val="Default"/>
                    <w:rPr>
                      <w:sz w:val="18"/>
                      <w:szCs w:val="18"/>
                    </w:rPr>
                  </w:pPr>
                  <w:r w:rsidRPr="00290188">
                    <w:rPr>
                      <w:sz w:val="18"/>
                      <w:szCs w:val="18"/>
                    </w:rPr>
                    <w:t xml:space="preserve">Geweld tegen burgers </w:t>
                  </w:r>
                </w:p>
              </w:tc>
              <w:tc>
                <w:tcPr>
                  <w:tcW w:w="0" w:type="auto"/>
                </w:tcPr>
                <w:p w:rsidRPr="00290188" w:rsidR="000B36A7" w:rsidP="000E52C6" w:rsidRDefault="00647FAD" w14:paraId="7F78F55F" w14:textId="34144ACA">
                  <w:pPr>
                    <w:pStyle w:val="Default"/>
                    <w:rPr>
                      <w:sz w:val="18"/>
                      <w:szCs w:val="18"/>
                    </w:rPr>
                  </w:pPr>
                  <w:r w:rsidRPr="00290188">
                    <w:rPr>
                      <w:sz w:val="18"/>
                      <w:szCs w:val="18"/>
                    </w:rPr>
                    <w:t>4</w:t>
                  </w:r>
                </w:p>
              </w:tc>
              <w:tc>
                <w:tcPr>
                  <w:tcW w:w="0" w:type="auto"/>
                </w:tcPr>
                <w:p w:rsidRPr="00290188" w:rsidR="000B36A7" w:rsidP="000E52C6" w:rsidRDefault="00647FAD" w14:paraId="5E6A32A0" w14:textId="72A7F35F">
                  <w:pPr>
                    <w:pStyle w:val="Default"/>
                    <w:rPr>
                      <w:sz w:val="18"/>
                      <w:szCs w:val="18"/>
                    </w:rPr>
                  </w:pPr>
                  <w:r w:rsidRPr="00290188">
                    <w:rPr>
                      <w:sz w:val="18"/>
                      <w:szCs w:val="18"/>
                    </w:rPr>
                    <w:t>62</w:t>
                  </w:r>
                </w:p>
              </w:tc>
              <w:tc>
                <w:tcPr>
                  <w:tcW w:w="0" w:type="auto"/>
                </w:tcPr>
                <w:p w:rsidRPr="00290188" w:rsidR="000B36A7" w:rsidP="000E52C6" w:rsidRDefault="00647FAD" w14:paraId="2B24FA5E" w14:textId="3030739B">
                  <w:pPr>
                    <w:pStyle w:val="Default"/>
                    <w:rPr>
                      <w:sz w:val="18"/>
                      <w:szCs w:val="18"/>
                    </w:rPr>
                  </w:pPr>
                  <w:r w:rsidRPr="00290188">
                    <w:rPr>
                      <w:sz w:val="18"/>
                      <w:szCs w:val="18"/>
                    </w:rPr>
                    <w:t>4</w:t>
                  </w:r>
                </w:p>
              </w:tc>
            </w:tr>
          </w:tbl>
          <w:p w:rsidRPr="00290188" w:rsidR="000B36A7" w:rsidP="000E52C6" w:rsidRDefault="000B36A7" w14:paraId="2674740F" w14:textId="77777777">
            <w:pPr>
              <w:pStyle w:val="broodtekst"/>
            </w:pPr>
          </w:p>
        </w:tc>
      </w:tr>
      <w:tr w:rsidRPr="00290188" w:rsidR="000B36A7" w:rsidTr="000E52C6" w14:paraId="22377DF4" w14:textId="77777777">
        <w:tc>
          <w:tcPr>
            <w:tcW w:w="2263" w:type="dxa"/>
          </w:tcPr>
          <w:p w:rsidRPr="00290188" w:rsidR="000B36A7" w:rsidP="000E52C6" w:rsidRDefault="000B36A7" w14:paraId="5FEDA4A3" w14:textId="77777777">
            <w:pPr>
              <w:pStyle w:val="broodtekst"/>
            </w:pPr>
            <w:r w:rsidRPr="00290188">
              <w:t>Geografische omvang geweld</w:t>
            </w:r>
          </w:p>
        </w:tc>
        <w:tc>
          <w:tcPr>
            <w:tcW w:w="6663" w:type="dxa"/>
          </w:tcPr>
          <w:p w:rsidRPr="00290188" w:rsidR="000B36A7" w:rsidP="000E52C6" w:rsidRDefault="000B36A7" w14:paraId="3AD1EB2A" w14:textId="77777777">
            <w:pPr>
              <w:pStyle w:val="broodtekst"/>
              <w:rPr>
                <w:i/>
                <w:iCs/>
              </w:rPr>
            </w:pPr>
            <w:r w:rsidRPr="00290188">
              <w:rPr>
                <w:i/>
                <w:iCs/>
              </w:rPr>
              <w:t>Geen beschikbare informatie</w:t>
            </w:r>
          </w:p>
        </w:tc>
      </w:tr>
      <w:tr w:rsidRPr="00290188" w:rsidR="000B36A7" w:rsidTr="000E52C6" w14:paraId="5E9FA776" w14:textId="77777777">
        <w:tc>
          <w:tcPr>
            <w:tcW w:w="2263" w:type="dxa"/>
          </w:tcPr>
          <w:p w:rsidRPr="00290188" w:rsidR="000B36A7" w:rsidP="000E52C6" w:rsidRDefault="000B36A7" w14:paraId="45E7CF5C" w14:textId="77777777">
            <w:pPr>
              <w:pStyle w:val="broodtekst"/>
            </w:pPr>
            <w:r w:rsidRPr="00290188">
              <w:t>Veiligheidsstructuur</w:t>
            </w:r>
          </w:p>
        </w:tc>
        <w:tc>
          <w:tcPr>
            <w:tcW w:w="6663" w:type="dxa"/>
          </w:tcPr>
          <w:p w:rsidRPr="00290188" w:rsidR="000B36A7" w:rsidP="000E52C6" w:rsidRDefault="00647FAD" w14:paraId="690ACE77" w14:textId="4950613D">
            <w:pPr>
              <w:pStyle w:val="broodtekst"/>
            </w:pPr>
            <w:r w:rsidRPr="00290188">
              <w:t xml:space="preserve">De SAF hebben nu de controle over </w:t>
            </w:r>
            <w:proofErr w:type="spellStart"/>
            <w:r w:rsidRPr="00290188" w:rsidR="00A21A21">
              <w:t>Sennar</w:t>
            </w:r>
            <w:proofErr w:type="spellEnd"/>
            <w:r w:rsidRPr="00290188">
              <w:t>. Volgens het ambtsbericht houden de SAF geen rekening met het beschermen van de burgerbevolking.</w:t>
            </w:r>
          </w:p>
        </w:tc>
      </w:tr>
      <w:tr w:rsidRPr="00290188" w:rsidR="000B36A7" w:rsidTr="000E52C6" w14:paraId="3EEAB206" w14:textId="77777777">
        <w:tc>
          <w:tcPr>
            <w:tcW w:w="2263" w:type="dxa"/>
          </w:tcPr>
          <w:p w:rsidRPr="00290188" w:rsidR="000B36A7" w:rsidP="000E52C6" w:rsidRDefault="000B36A7" w14:paraId="2DE839DA" w14:textId="77777777">
            <w:pPr>
              <w:pStyle w:val="broodtekst"/>
            </w:pPr>
            <w:r w:rsidRPr="00290188">
              <w:t>Doelwitten</w:t>
            </w:r>
          </w:p>
        </w:tc>
        <w:tc>
          <w:tcPr>
            <w:tcW w:w="6663" w:type="dxa"/>
          </w:tcPr>
          <w:p w:rsidRPr="00290188" w:rsidR="000B36A7" w:rsidP="000E52C6" w:rsidRDefault="000B36A7" w14:paraId="41002DD2" w14:textId="77777777">
            <w:pPr>
              <w:pStyle w:val="broodtekst"/>
              <w:rPr>
                <w:i/>
                <w:iCs/>
              </w:rPr>
            </w:pPr>
            <w:r w:rsidRPr="00290188">
              <w:rPr>
                <w:i/>
                <w:iCs/>
              </w:rPr>
              <w:t>Geen beschikbare informatie</w:t>
            </w:r>
          </w:p>
        </w:tc>
      </w:tr>
      <w:tr w:rsidRPr="00290188" w:rsidR="000B36A7" w:rsidTr="000E52C6" w14:paraId="39F82168" w14:textId="77777777">
        <w:tc>
          <w:tcPr>
            <w:tcW w:w="2263" w:type="dxa"/>
          </w:tcPr>
          <w:p w:rsidRPr="00290188" w:rsidR="000B36A7" w:rsidP="000E52C6" w:rsidRDefault="000B36A7" w14:paraId="4CBC56C3" w14:textId="77777777">
            <w:pPr>
              <w:pStyle w:val="broodtekst"/>
            </w:pPr>
            <w:r w:rsidRPr="00290188">
              <w:t>Dodelijke slachtoffers</w:t>
            </w:r>
          </w:p>
        </w:tc>
        <w:tc>
          <w:tcPr>
            <w:tcW w:w="6663" w:type="dxa"/>
          </w:tcPr>
          <w:p w:rsidRPr="00290188" w:rsidR="000B36A7" w:rsidP="000E52C6" w:rsidRDefault="000B36A7" w14:paraId="705954B9" w14:textId="77777777">
            <w:pPr>
              <w:pStyle w:val="broodtekst"/>
            </w:pPr>
            <w:r w:rsidRPr="00290188">
              <w:t>Aantallen door ACLED geregistreerde doden:</w:t>
            </w:r>
          </w:p>
          <w:p w:rsidRPr="00290188" w:rsidR="000B36A7" w:rsidP="000E52C6" w:rsidRDefault="000B36A7" w14:paraId="2E142DE7"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
              <w:gridCol w:w="971"/>
              <w:gridCol w:w="1843"/>
            </w:tblGrid>
            <w:tr w:rsidRPr="00290188" w:rsidR="000B36A7" w:rsidTr="00316EAD" w14:paraId="41218B0A" w14:textId="77777777">
              <w:trPr>
                <w:trHeight w:val="121"/>
                <w:jc w:val="center"/>
              </w:trPr>
              <w:tc>
                <w:tcPr>
                  <w:tcW w:w="963" w:type="dxa"/>
                </w:tcPr>
                <w:p w:rsidRPr="00290188" w:rsidR="000B36A7" w:rsidP="000E52C6" w:rsidRDefault="000B36A7" w14:paraId="5731B196" w14:textId="77777777">
                  <w:pPr>
                    <w:pStyle w:val="Default"/>
                    <w:rPr>
                      <w:b/>
                      <w:bCs/>
                      <w:sz w:val="18"/>
                      <w:szCs w:val="18"/>
                    </w:rPr>
                  </w:pPr>
                  <w:r w:rsidRPr="00290188">
                    <w:rPr>
                      <w:b/>
                      <w:bCs/>
                      <w:sz w:val="18"/>
                      <w:szCs w:val="18"/>
                    </w:rPr>
                    <w:t>2023</w:t>
                  </w:r>
                </w:p>
              </w:tc>
              <w:tc>
                <w:tcPr>
                  <w:tcW w:w="971" w:type="dxa"/>
                </w:tcPr>
                <w:p w:rsidRPr="00290188" w:rsidR="000B36A7" w:rsidP="000E52C6" w:rsidRDefault="000B36A7" w14:paraId="2876A9F3" w14:textId="77777777">
                  <w:pPr>
                    <w:pStyle w:val="Default"/>
                    <w:rPr>
                      <w:b/>
                      <w:bCs/>
                      <w:sz w:val="18"/>
                      <w:szCs w:val="18"/>
                    </w:rPr>
                  </w:pPr>
                  <w:r w:rsidRPr="00290188">
                    <w:rPr>
                      <w:b/>
                      <w:bCs/>
                      <w:sz w:val="18"/>
                      <w:szCs w:val="18"/>
                    </w:rPr>
                    <w:t>2024</w:t>
                  </w:r>
                </w:p>
              </w:tc>
              <w:tc>
                <w:tcPr>
                  <w:tcW w:w="1843" w:type="dxa"/>
                </w:tcPr>
                <w:p w:rsidRPr="00290188" w:rsidR="000B36A7" w:rsidP="000E52C6" w:rsidRDefault="000B36A7" w14:paraId="6B629CAD" w14:textId="77777777">
                  <w:pPr>
                    <w:pStyle w:val="Default"/>
                    <w:rPr>
                      <w:b/>
                      <w:bCs/>
                      <w:sz w:val="18"/>
                      <w:szCs w:val="18"/>
                    </w:rPr>
                  </w:pPr>
                  <w:r w:rsidRPr="00290188">
                    <w:rPr>
                      <w:b/>
                      <w:bCs/>
                      <w:sz w:val="18"/>
                      <w:szCs w:val="18"/>
                    </w:rPr>
                    <w:t>2025 t/m 8 aug</w:t>
                  </w:r>
                </w:p>
              </w:tc>
            </w:tr>
            <w:tr w:rsidRPr="00290188" w:rsidR="000B36A7" w:rsidTr="00316EAD" w14:paraId="59F92B4F" w14:textId="77777777">
              <w:trPr>
                <w:trHeight w:val="121"/>
                <w:jc w:val="center"/>
              </w:trPr>
              <w:tc>
                <w:tcPr>
                  <w:tcW w:w="963" w:type="dxa"/>
                </w:tcPr>
                <w:p w:rsidRPr="00290188" w:rsidR="000B36A7" w:rsidP="000E52C6" w:rsidRDefault="00647FAD" w14:paraId="3EDFD194" w14:textId="59CB9292">
                  <w:pPr>
                    <w:pStyle w:val="Default"/>
                    <w:rPr>
                      <w:sz w:val="18"/>
                      <w:szCs w:val="18"/>
                    </w:rPr>
                  </w:pPr>
                  <w:r w:rsidRPr="00290188">
                    <w:rPr>
                      <w:sz w:val="18"/>
                      <w:szCs w:val="18"/>
                    </w:rPr>
                    <w:t>8</w:t>
                  </w:r>
                </w:p>
              </w:tc>
              <w:tc>
                <w:tcPr>
                  <w:tcW w:w="971" w:type="dxa"/>
                </w:tcPr>
                <w:p w:rsidRPr="00290188" w:rsidR="000B36A7" w:rsidP="000E52C6" w:rsidRDefault="00647FAD" w14:paraId="2B77F787" w14:textId="4B6F9942">
                  <w:pPr>
                    <w:pStyle w:val="Default"/>
                    <w:rPr>
                      <w:sz w:val="18"/>
                      <w:szCs w:val="18"/>
                    </w:rPr>
                  </w:pPr>
                  <w:r w:rsidRPr="00290188">
                    <w:rPr>
                      <w:sz w:val="18"/>
                      <w:szCs w:val="18"/>
                    </w:rPr>
                    <w:t>852</w:t>
                  </w:r>
                </w:p>
              </w:tc>
              <w:tc>
                <w:tcPr>
                  <w:tcW w:w="1843" w:type="dxa"/>
                </w:tcPr>
                <w:p w:rsidRPr="00290188" w:rsidR="000B36A7" w:rsidP="000E52C6" w:rsidRDefault="00647FAD" w14:paraId="345FCAF0" w14:textId="19727DB1">
                  <w:pPr>
                    <w:pStyle w:val="Default"/>
                    <w:rPr>
                      <w:sz w:val="18"/>
                      <w:szCs w:val="18"/>
                    </w:rPr>
                  </w:pPr>
                  <w:r w:rsidRPr="00290188">
                    <w:rPr>
                      <w:sz w:val="18"/>
                      <w:szCs w:val="18"/>
                    </w:rPr>
                    <w:t>82</w:t>
                  </w:r>
                </w:p>
              </w:tc>
            </w:tr>
          </w:tbl>
          <w:p w:rsidRPr="00290188" w:rsidR="000B36A7" w:rsidP="000E52C6" w:rsidRDefault="000B36A7" w14:paraId="46FF5289" w14:textId="77777777">
            <w:pPr>
              <w:pStyle w:val="broodtekst"/>
            </w:pPr>
          </w:p>
          <w:p w:rsidRPr="00290188" w:rsidR="000B36A7" w:rsidP="000E52C6" w:rsidRDefault="000B36A7" w14:paraId="56F96DDA" w14:textId="0DB8FEC6">
            <w:pPr>
              <w:pStyle w:val="broodtekst"/>
            </w:pPr>
            <w:r w:rsidRPr="00290188">
              <w:t xml:space="preserve">OHCHR registreerde </w:t>
            </w:r>
            <w:r w:rsidRPr="00290188" w:rsidR="00647FAD">
              <w:t>38</w:t>
            </w:r>
            <w:r w:rsidRPr="00290188">
              <w:t xml:space="preserve"> burgerdoden in de periode van 1 januari 2025 tot 30 juni 2025.</w:t>
            </w:r>
          </w:p>
        </w:tc>
      </w:tr>
      <w:tr w:rsidRPr="00290188" w:rsidR="000B36A7" w:rsidTr="000E52C6" w14:paraId="0FE60E78" w14:textId="77777777">
        <w:tc>
          <w:tcPr>
            <w:tcW w:w="2263" w:type="dxa"/>
          </w:tcPr>
          <w:p w:rsidRPr="00290188" w:rsidR="000B36A7" w:rsidP="000E52C6" w:rsidRDefault="000B36A7" w14:paraId="7F266B1E" w14:textId="5B000A24">
            <w:pPr>
              <w:pStyle w:val="broodtekst"/>
            </w:pPr>
            <w:r w:rsidRPr="00290188">
              <w:t>Aantal ontheemden</w:t>
            </w:r>
          </w:p>
        </w:tc>
        <w:tc>
          <w:tcPr>
            <w:tcW w:w="6663" w:type="dxa"/>
          </w:tcPr>
          <w:p w:rsidRPr="00290188" w:rsidR="000B36A7" w:rsidP="000E52C6" w:rsidRDefault="000B36A7" w14:paraId="1151F30E" w14:textId="143343B4">
            <w:pPr>
              <w:pStyle w:val="broodtekst"/>
            </w:pPr>
            <w:r w:rsidRPr="00290188">
              <w:t>Ontheemd</w:t>
            </w:r>
            <w:r w:rsidRPr="00290188" w:rsidR="00A21A21">
              <w:t>e</w:t>
            </w:r>
            <w:r w:rsidRPr="00290188">
              <w:t xml:space="preserve">n die in </w:t>
            </w:r>
            <w:proofErr w:type="spellStart"/>
            <w:r w:rsidRPr="00290188" w:rsidR="00584F5D">
              <w:t>Sennar</w:t>
            </w:r>
            <w:proofErr w:type="spellEnd"/>
            <w:r w:rsidRPr="00290188">
              <w:t xml:space="preserve"> verblijven (d.d. 9 juli 2025): </w:t>
            </w:r>
            <w:r w:rsidRPr="00290188" w:rsidR="00647FAD">
              <w:t>92.484</w:t>
            </w:r>
          </w:p>
        </w:tc>
      </w:tr>
      <w:tr w:rsidRPr="00290188" w:rsidR="000B36A7" w:rsidTr="000E52C6" w14:paraId="645ECF9F" w14:textId="77777777">
        <w:tc>
          <w:tcPr>
            <w:tcW w:w="2263" w:type="dxa"/>
          </w:tcPr>
          <w:p w:rsidRPr="00290188" w:rsidR="000B36A7" w:rsidP="000E52C6" w:rsidRDefault="000B36A7" w14:paraId="07C5D5C8" w14:textId="77777777">
            <w:pPr>
              <w:pStyle w:val="broodtekst"/>
            </w:pPr>
            <w:r w:rsidRPr="00290188">
              <w:t>Humanitaire omstandigheden als gevolg van het conflict</w:t>
            </w:r>
          </w:p>
        </w:tc>
        <w:tc>
          <w:tcPr>
            <w:tcW w:w="6663" w:type="dxa"/>
          </w:tcPr>
          <w:p w:rsidRPr="00290188" w:rsidR="000B36A7" w:rsidP="000E52C6" w:rsidRDefault="00647FAD" w14:paraId="4BA7185F" w14:textId="49F85ACD">
            <w:pPr>
              <w:pStyle w:val="broodtekst"/>
            </w:pPr>
            <w:r w:rsidRPr="00290188">
              <w:t xml:space="preserve">Tijdens de </w:t>
            </w:r>
            <w:r w:rsidRPr="00290188" w:rsidR="00644145">
              <w:t>overname</w:t>
            </w:r>
            <w:r w:rsidRPr="00290188">
              <w:t xml:space="preserve"> van de RSF in </w:t>
            </w:r>
            <w:proofErr w:type="spellStart"/>
            <w:r w:rsidRPr="00290188">
              <w:t>Sennar</w:t>
            </w:r>
            <w:proofErr w:type="spellEnd"/>
            <w:r w:rsidRPr="00290188">
              <w:t xml:space="preserve"> in 2024 werden voedselproductielocaties zwaar beschadigd, wat de voedsel</w:t>
            </w:r>
            <w:r w:rsidRPr="00290188" w:rsidR="007608C6">
              <w:t>on</w:t>
            </w:r>
            <w:r w:rsidRPr="00290188">
              <w:t>zekerheid verdiepte.</w:t>
            </w:r>
            <w:r w:rsidRPr="00290188">
              <w:rPr>
                <w:rStyle w:val="Voetnootmarkering"/>
              </w:rPr>
              <w:footnoteReference w:id="23"/>
            </w:r>
            <w:r w:rsidRPr="00290188">
              <w:t xml:space="preserve"> Daarnaast kwamen er relatief veel gezondheidsmedewerkers om in </w:t>
            </w:r>
            <w:proofErr w:type="spellStart"/>
            <w:r w:rsidRPr="00290188">
              <w:t>Sennar</w:t>
            </w:r>
            <w:proofErr w:type="spellEnd"/>
            <w:r w:rsidRPr="00290188">
              <w:t xml:space="preserve">. </w:t>
            </w:r>
            <w:r w:rsidRPr="00290188" w:rsidR="00644145">
              <w:t xml:space="preserve">Ook werd </w:t>
            </w:r>
            <w:proofErr w:type="spellStart"/>
            <w:r w:rsidRPr="00290188" w:rsidR="00644145">
              <w:t>Sennar</w:t>
            </w:r>
            <w:proofErr w:type="spellEnd"/>
            <w:r w:rsidRPr="00290188" w:rsidR="00644145">
              <w:t xml:space="preserve"> hard geraakt door de cholera-uitbraken.</w:t>
            </w:r>
            <w:r w:rsidRPr="00290188" w:rsidR="001F1D96">
              <w:t xml:space="preserve"> </w:t>
            </w:r>
            <w:r w:rsidRPr="00290188" w:rsidR="00644145">
              <w:t xml:space="preserve">Cholera-uitbraken in Sudan worden mede veroorzaakt door droneaanvallen op elektriciteitscentrales waardoor waterzuiveringsinstallaties en ziekenhuizen niet goed konden functioneren. </w:t>
            </w:r>
          </w:p>
        </w:tc>
      </w:tr>
    </w:tbl>
    <w:p w:rsidRPr="00290188" w:rsidR="000B36A7" w:rsidP="000D64BF" w:rsidRDefault="000B36A7" w14:paraId="199D5F2D" w14:textId="77777777">
      <w:pPr>
        <w:pStyle w:val="broodtekst"/>
        <w:rPr>
          <w:color w:val="000000" w:themeColor="text1"/>
        </w:rPr>
      </w:pPr>
    </w:p>
    <w:p w:rsidRPr="00290188" w:rsidR="00364E44" w:rsidP="00364E44" w:rsidRDefault="00D84A3E" w14:paraId="66B918E0" w14:textId="23ACEF99">
      <w:pPr>
        <w:pStyle w:val="broodtekst"/>
      </w:pPr>
      <w:r w:rsidRPr="00290188">
        <w:rPr>
          <w:b/>
          <w:bCs/>
        </w:rPr>
        <w:t xml:space="preserve">Conclusie: </w:t>
      </w:r>
      <w:r w:rsidRPr="00290188" w:rsidR="00647FAD">
        <w:rPr>
          <w:color w:val="000000" w:themeColor="text1"/>
        </w:rPr>
        <w:t xml:space="preserve">Voor </w:t>
      </w:r>
      <w:proofErr w:type="spellStart"/>
      <w:r w:rsidRPr="00290188" w:rsidR="00B7452A">
        <w:rPr>
          <w:color w:val="000000" w:themeColor="text1"/>
        </w:rPr>
        <w:t>Sennar</w:t>
      </w:r>
      <w:proofErr w:type="spellEnd"/>
      <w:r w:rsidRPr="00290188" w:rsidR="00647FAD">
        <w:rPr>
          <w:color w:val="000000" w:themeColor="text1"/>
        </w:rPr>
        <w:t xml:space="preserve"> wordt momenteel een relatief lager niveau van willekeurig geweld aangenomen. </w:t>
      </w:r>
      <w:r w:rsidRPr="00290188" w:rsidR="00BB05B1">
        <w:rPr>
          <w:color w:val="000000" w:themeColor="text1"/>
        </w:rPr>
        <w:t xml:space="preserve">In </w:t>
      </w:r>
      <w:proofErr w:type="spellStart"/>
      <w:r w:rsidRPr="00290188" w:rsidR="00BB05B1">
        <w:rPr>
          <w:color w:val="000000" w:themeColor="text1"/>
        </w:rPr>
        <w:t>Sennar</w:t>
      </w:r>
      <w:proofErr w:type="spellEnd"/>
      <w:r w:rsidRPr="00290188" w:rsidR="00BB05B1">
        <w:rPr>
          <w:color w:val="000000" w:themeColor="text1"/>
        </w:rPr>
        <w:t xml:space="preserve"> vonden op relatief grote schaal veiligheidsincidenten plaats</w:t>
      </w:r>
      <w:r w:rsidRPr="00290188" w:rsidR="00647FAD">
        <w:rPr>
          <w:color w:val="000000" w:themeColor="text1"/>
        </w:rPr>
        <w:t xml:space="preserve">, </w:t>
      </w:r>
      <w:r w:rsidRPr="00290188" w:rsidR="00BB05B1">
        <w:rPr>
          <w:color w:val="000000" w:themeColor="text1"/>
        </w:rPr>
        <w:t xml:space="preserve">met name </w:t>
      </w:r>
      <w:r w:rsidRPr="00290188" w:rsidR="00BB05B1">
        <w:rPr>
          <w:color w:val="000000" w:themeColor="text1"/>
        </w:rPr>
        <w:lastRenderedPageBreak/>
        <w:t xml:space="preserve">gedurende de bliksemopmars van de RSF. </w:t>
      </w:r>
      <w:r w:rsidRPr="00290188" w:rsidR="00644145">
        <w:rPr>
          <w:color w:val="000000" w:themeColor="text1"/>
        </w:rPr>
        <w:t>Met het oog op de</w:t>
      </w:r>
      <w:r w:rsidRPr="00290188" w:rsidR="000B7E29">
        <w:rPr>
          <w:color w:val="000000" w:themeColor="text1"/>
        </w:rPr>
        <w:t xml:space="preserve"> toename en de</w:t>
      </w:r>
      <w:r w:rsidRPr="00290188" w:rsidR="00644145">
        <w:rPr>
          <w:color w:val="000000" w:themeColor="text1"/>
        </w:rPr>
        <w:t xml:space="preserve"> relatief grote schaal van het geweld dat werd gepleegd in 2024 </w:t>
      </w:r>
      <w:r w:rsidRPr="00290188" w:rsidR="00BB05B1">
        <w:rPr>
          <w:color w:val="000000" w:themeColor="text1"/>
        </w:rPr>
        <w:t xml:space="preserve">en de </w:t>
      </w:r>
      <w:r w:rsidRPr="00290188" w:rsidR="00647FAD">
        <w:rPr>
          <w:color w:val="000000" w:themeColor="text1"/>
        </w:rPr>
        <w:t xml:space="preserve">humanitaire situatie </w:t>
      </w:r>
      <w:r w:rsidRPr="00290188" w:rsidR="00B95D10">
        <w:rPr>
          <w:color w:val="000000" w:themeColor="text1"/>
        </w:rPr>
        <w:t>als direct gevolg van het conflict</w:t>
      </w:r>
      <w:r w:rsidRPr="00290188" w:rsidR="00647FAD">
        <w:rPr>
          <w:color w:val="000000" w:themeColor="text1"/>
        </w:rPr>
        <w:t>,</w:t>
      </w:r>
      <w:r w:rsidRPr="00290188" w:rsidR="00BB05B1">
        <w:rPr>
          <w:color w:val="000000" w:themeColor="text1"/>
        </w:rPr>
        <w:t xml:space="preserve"> </w:t>
      </w:r>
      <w:r w:rsidRPr="00290188" w:rsidR="00BB05B1">
        <w:rPr>
          <w:color w:val="000000" w:themeColor="text1"/>
          <w:u w:val="single"/>
        </w:rPr>
        <w:t>wordt geadviseerd om uit te gaan van een relatief hoger niveau van willekeurig geweld</w:t>
      </w:r>
      <w:r w:rsidRPr="00290188" w:rsidR="00BB05B1">
        <w:rPr>
          <w:color w:val="000000" w:themeColor="text1"/>
        </w:rPr>
        <w:t xml:space="preserve">. </w:t>
      </w:r>
      <w:r w:rsidRPr="00290188">
        <w:t xml:space="preserve">Aan de hand van het volgende ambtsbericht zal ten aanzien van </w:t>
      </w:r>
      <w:proofErr w:type="spellStart"/>
      <w:r w:rsidRPr="00290188">
        <w:t>Sennar</w:t>
      </w:r>
      <w:proofErr w:type="spellEnd"/>
      <w:r w:rsidRPr="00290188">
        <w:t xml:space="preserve"> bezien moeten worden of de veiligheidssituatie verbetert, wat te zijner tijd zou kunnen leiden tot een ander oordeel over de toepasselijke gradatie.</w:t>
      </w:r>
    </w:p>
    <w:p w:rsidRPr="00290188" w:rsidR="00E479E8" w:rsidP="00364E44" w:rsidRDefault="00E479E8" w14:paraId="621B3868" w14:textId="77777777">
      <w:pPr>
        <w:pStyle w:val="broodtekst"/>
      </w:pPr>
    </w:p>
    <w:p w:rsidRPr="00290188" w:rsidR="00E479E8" w:rsidP="00E479E8" w:rsidRDefault="00E479E8" w14:paraId="49D93043" w14:textId="77777777">
      <w:pPr>
        <w:pStyle w:val="broodtekst"/>
      </w:pPr>
    </w:p>
    <w:tbl>
      <w:tblPr>
        <w:tblStyle w:val="Tabelraster"/>
        <w:tblW w:w="0" w:type="auto"/>
        <w:tblInd w:w="0" w:type="dxa"/>
        <w:tblLook w:val="04A0" w:firstRow="1" w:lastRow="0" w:firstColumn="1" w:lastColumn="0" w:noHBand="0" w:noVBand="1"/>
      </w:tblPr>
      <w:tblGrid>
        <w:gridCol w:w="2263"/>
        <w:gridCol w:w="6663"/>
      </w:tblGrid>
      <w:tr w:rsidRPr="00290188" w:rsidR="00E479E8" w:rsidTr="00C1302B" w14:paraId="7BD45EA6" w14:textId="77777777">
        <w:tc>
          <w:tcPr>
            <w:tcW w:w="8926" w:type="dxa"/>
            <w:gridSpan w:val="2"/>
            <w:shd w:val="clear" w:color="auto" w:fill="DEEAF6" w:themeFill="accent1" w:themeFillTint="33"/>
          </w:tcPr>
          <w:p w:rsidRPr="00290188" w:rsidR="00E479E8" w:rsidP="00C1302B" w:rsidRDefault="00E479E8" w14:paraId="2C1D51B5" w14:textId="77777777">
            <w:pPr>
              <w:pStyle w:val="broodtekst"/>
              <w:rPr>
                <w:b/>
                <w:bCs/>
              </w:rPr>
            </w:pPr>
            <w:r w:rsidRPr="00290188">
              <w:rPr>
                <w:b/>
                <w:bCs/>
              </w:rPr>
              <w:t xml:space="preserve">Blauwe Nijl (1,5 </w:t>
            </w:r>
            <w:proofErr w:type="spellStart"/>
            <w:r w:rsidRPr="00290188">
              <w:rPr>
                <w:b/>
                <w:bCs/>
              </w:rPr>
              <w:t>mln</w:t>
            </w:r>
            <w:proofErr w:type="spellEnd"/>
            <w:r w:rsidRPr="00290188">
              <w:rPr>
                <w:b/>
                <w:bCs/>
              </w:rPr>
              <w:t xml:space="preserve"> inwoners)</w:t>
            </w:r>
          </w:p>
        </w:tc>
      </w:tr>
      <w:tr w:rsidRPr="00290188" w:rsidR="00E479E8" w:rsidTr="00C1302B" w14:paraId="40015FE2" w14:textId="77777777">
        <w:tc>
          <w:tcPr>
            <w:tcW w:w="2263" w:type="dxa"/>
          </w:tcPr>
          <w:p w:rsidRPr="00290188" w:rsidR="00E479E8" w:rsidP="00C1302B" w:rsidRDefault="00E479E8" w14:paraId="1D3FF49A" w14:textId="77777777">
            <w:pPr>
              <w:pStyle w:val="broodtekst"/>
            </w:pPr>
            <w:r w:rsidRPr="00290188">
              <w:t>Controle</w:t>
            </w:r>
          </w:p>
        </w:tc>
        <w:tc>
          <w:tcPr>
            <w:tcW w:w="6663" w:type="dxa"/>
          </w:tcPr>
          <w:p w:rsidRPr="00290188" w:rsidR="00E479E8" w:rsidP="00C1302B" w:rsidRDefault="00E479E8" w14:paraId="399779CF" w14:textId="77777777">
            <w:pPr>
              <w:pStyle w:val="broodtekst"/>
            </w:pPr>
            <w:r w:rsidRPr="00290188">
              <w:t>Blauwe Nijl staat momenteel grotendeels onder controle van de SAF. Het zuiden, dat grensde aan Zuid-Soedan en Ethiopië, is in handen van de SPLM-N en de RSF.</w:t>
            </w:r>
          </w:p>
          <w:p w:rsidRPr="00290188" w:rsidR="00E479E8" w:rsidP="00C1302B" w:rsidRDefault="00E479E8" w14:paraId="0328C714" w14:textId="77777777">
            <w:pPr>
              <w:pStyle w:val="broodtekst"/>
            </w:pPr>
          </w:p>
          <w:p w:rsidRPr="00290188" w:rsidR="00E479E8" w:rsidP="00E479E8" w:rsidRDefault="00E479E8" w14:paraId="7FF1B84B" w14:textId="77777777">
            <w:pPr>
              <w:pStyle w:val="broodtekst"/>
              <w:rPr>
                <w:color w:val="000000" w:themeColor="text1"/>
              </w:rPr>
            </w:pPr>
            <w:r w:rsidRPr="00290188">
              <w:rPr>
                <w:color w:val="000000" w:themeColor="text1"/>
              </w:rPr>
              <w:t xml:space="preserve">Er waren in Blauwe Nijl gewelddadige confrontaties tussen de SAF, de RSF en (aan zijde van de RSF) ook de SPLM-N en het Zuid-Sudanese regeringsleger (SSPDF). Er wordt nog altijd gevochten om controle. </w:t>
            </w:r>
          </w:p>
          <w:p w:rsidRPr="00290188" w:rsidR="00E479E8" w:rsidP="00C1302B" w:rsidRDefault="00E479E8" w14:paraId="4E6A0BAD" w14:textId="6193F9EB">
            <w:pPr>
              <w:pStyle w:val="broodtekst"/>
              <w:rPr>
                <w:color w:val="000000" w:themeColor="text1"/>
              </w:rPr>
            </w:pPr>
            <w:r w:rsidRPr="00290188">
              <w:rPr>
                <w:color w:val="000000" w:themeColor="text1"/>
              </w:rPr>
              <w:t>Zeer recent (</w:t>
            </w:r>
            <w:r w:rsidRPr="00290188" w:rsidR="0050058C">
              <w:rPr>
                <w:color w:val="000000" w:themeColor="text1"/>
              </w:rPr>
              <w:t xml:space="preserve">sinds </w:t>
            </w:r>
            <w:proofErr w:type="spellStart"/>
            <w:r w:rsidRPr="00290188" w:rsidR="0050058C">
              <w:rPr>
                <w:color w:val="000000" w:themeColor="text1"/>
              </w:rPr>
              <w:t>mid</w:t>
            </w:r>
            <w:proofErr w:type="spellEnd"/>
            <w:r w:rsidRPr="00290188" w:rsidR="0050058C">
              <w:rPr>
                <w:color w:val="000000" w:themeColor="text1"/>
              </w:rPr>
              <w:t>-december 2025</w:t>
            </w:r>
            <w:r w:rsidRPr="00290188">
              <w:rPr>
                <w:color w:val="000000" w:themeColor="text1"/>
              </w:rPr>
              <w:t>) vonden er</w:t>
            </w:r>
            <w:r w:rsidRPr="00290188" w:rsidR="0050058C">
              <w:rPr>
                <w:color w:val="000000" w:themeColor="text1"/>
              </w:rPr>
              <w:t xml:space="preserve"> </w:t>
            </w:r>
            <w:r w:rsidRPr="00290188">
              <w:rPr>
                <w:color w:val="000000" w:themeColor="text1"/>
              </w:rPr>
              <w:t xml:space="preserve">confrontaties plaats tussen de SAF, de RSF en SPLM-N Al </w:t>
            </w:r>
            <w:proofErr w:type="spellStart"/>
            <w:r w:rsidRPr="00290188">
              <w:rPr>
                <w:color w:val="000000" w:themeColor="text1"/>
              </w:rPr>
              <w:t>Hilu</w:t>
            </w:r>
            <w:proofErr w:type="spellEnd"/>
            <w:r w:rsidRPr="00290188">
              <w:rPr>
                <w:color w:val="000000" w:themeColor="text1"/>
              </w:rPr>
              <w:t xml:space="preserve">, waardoor Blauwe Nijl </w:t>
            </w:r>
            <w:r w:rsidRPr="00290188" w:rsidR="0050058C">
              <w:rPr>
                <w:color w:val="000000" w:themeColor="text1"/>
              </w:rPr>
              <w:t xml:space="preserve">volgens ACLED </w:t>
            </w:r>
            <w:r w:rsidRPr="00290188">
              <w:rPr>
                <w:color w:val="000000" w:themeColor="text1"/>
              </w:rPr>
              <w:t>momenteel een van de centrale brandhaarden van het conflict in Sudan is geworden</w:t>
            </w:r>
            <w:r w:rsidRPr="00290188" w:rsidR="0050058C">
              <w:rPr>
                <w:color w:val="000000" w:themeColor="text1"/>
              </w:rPr>
              <w:t xml:space="preserve">. De RSF probeert via Blauwe opnieuw toegang te krijgen tot centraal Sudan en zo eerdere territoriale verliezen te heroveren, terwijl de SAF offensieven uitvoert en zich mobiliseert. </w:t>
            </w:r>
            <w:r w:rsidRPr="00290188">
              <w:rPr>
                <w:rStyle w:val="Voetnootmarkering"/>
                <w:color w:val="000000" w:themeColor="text1"/>
              </w:rPr>
              <w:footnoteReference w:id="24"/>
            </w:r>
          </w:p>
          <w:p w:rsidRPr="00290188" w:rsidR="00E479E8" w:rsidP="00E479E8" w:rsidRDefault="00E479E8" w14:paraId="20FA5E53" w14:textId="77777777">
            <w:pPr>
              <w:pStyle w:val="broodtekst"/>
            </w:pPr>
          </w:p>
        </w:tc>
      </w:tr>
      <w:tr w:rsidRPr="00290188" w:rsidR="00E479E8" w:rsidTr="00C1302B" w14:paraId="26F57FF8" w14:textId="77777777">
        <w:tc>
          <w:tcPr>
            <w:tcW w:w="2263" w:type="dxa"/>
          </w:tcPr>
          <w:p w:rsidRPr="00290188" w:rsidR="00E479E8" w:rsidP="00C1302B" w:rsidRDefault="00E479E8" w14:paraId="0FC830C1" w14:textId="77777777">
            <w:pPr>
              <w:pStyle w:val="broodtekst"/>
            </w:pPr>
            <w:r w:rsidRPr="00290188">
              <w:t>Strijdende partijen</w:t>
            </w:r>
          </w:p>
        </w:tc>
        <w:tc>
          <w:tcPr>
            <w:tcW w:w="6663" w:type="dxa"/>
          </w:tcPr>
          <w:p w:rsidRPr="00290188" w:rsidR="00E479E8" w:rsidP="00C1302B" w:rsidRDefault="00E479E8" w14:paraId="0E0312D0" w14:textId="77777777">
            <w:pPr>
              <w:pStyle w:val="broodtekst"/>
            </w:pPr>
            <w:r w:rsidRPr="00290188">
              <w:t xml:space="preserve">SAF (inclusief gelieerde milities) &amp; RSF (inclusief gelieerde milities) en de SPLM-N van </w:t>
            </w:r>
            <w:proofErr w:type="spellStart"/>
            <w:r w:rsidRPr="00290188">
              <w:t>Abdelaziz</w:t>
            </w:r>
            <w:proofErr w:type="spellEnd"/>
            <w:r w:rsidRPr="00290188">
              <w:t xml:space="preserve"> Al </w:t>
            </w:r>
            <w:proofErr w:type="spellStart"/>
            <w:r w:rsidRPr="00290188">
              <w:t>Hilu</w:t>
            </w:r>
            <w:proofErr w:type="spellEnd"/>
            <w:r w:rsidRPr="00290188">
              <w:t>.</w:t>
            </w:r>
          </w:p>
        </w:tc>
      </w:tr>
      <w:tr w:rsidRPr="00290188" w:rsidR="00E479E8" w:rsidTr="00C1302B" w14:paraId="2E7384ED" w14:textId="77777777">
        <w:tc>
          <w:tcPr>
            <w:tcW w:w="2263" w:type="dxa"/>
          </w:tcPr>
          <w:p w:rsidRPr="00290188" w:rsidR="00E479E8" w:rsidP="00C1302B" w:rsidRDefault="00E479E8" w14:paraId="333B0EBB" w14:textId="77777777">
            <w:pPr>
              <w:pStyle w:val="broodtekst"/>
            </w:pPr>
            <w:r w:rsidRPr="00290188">
              <w:t>Aard van het geweld &amp; gevechtsmethodes</w:t>
            </w:r>
          </w:p>
        </w:tc>
        <w:tc>
          <w:tcPr>
            <w:tcW w:w="6663" w:type="dxa"/>
          </w:tcPr>
          <w:p w:rsidRPr="00290188" w:rsidR="00E479E8" w:rsidP="00C1302B" w:rsidRDefault="00E479E8" w14:paraId="7BB0FA44" w14:textId="77777777">
            <w:pPr>
              <w:pStyle w:val="broodtekst"/>
              <w:rPr>
                <w:i/>
                <w:iCs/>
              </w:rPr>
            </w:pPr>
            <w:r w:rsidRPr="00290188">
              <w:rPr>
                <w:i/>
                <w:iCs/>
                <w:color w:val="000000" w:themeColor="text1"/>
              </w:rPr>
              <w:t xml:space="preserve">De informatie over Blauwe Nijl is zeer beperkt. </w:t>
            </w:r>
          </w:p>
          <w:p w:rsidRPr="00290188" w:rsidR="00E479E8" w:rsidP="00C1302B" w:rsidRDefault="00E479E8" w14:paraId="31711749" w14:textId="77777777">
            <w:pPr>
              <w:pStyle w:val="broodtekst"/>
              <w:numPr>
                <w:ilvl w:val="0"/>
                <w:numId w:val="3"/>
              </w:numPr>
            </w:pPr>
            <w:r w:rsidRPr="00290188">
              <w:rPr>
                <w:color w:val="000000" w:themeColor="text1"/>
              </w:rPr>
              <w:t xml:space="preserve">In december 2024 is een luchtaanval is gepleegd op een compound van het WFP. </w:t>
            </w:r>
          </w:p>
          <w:p w:rsidRPr="00290188" w:rsidR="0050058C" w:rsidP="00C1302B" w:rsidRDefault="0050058C" w14:paraId="4F7DF6D7" w14:textId="5FB7C4A9">
            <w:pPr>
              <w:pStyle w:val="broodtekst"/>
              <w:numPr>
                <w:ilvl w:val="0"/>
                <w:numId w:val="3"/>
              </w:numPr>
            </w:pPr>
            <w:r w:rsidRPr="00290188">
              <w:rPr>
                <w:color w:val="000000" w:themeColor="text1"/>
              </w:rPr>
              <w:t xml:space="preserve">In de recente escalatie van het geweld in Blauwe Nijl is er sprake geweest van grondgevechten en ook diverse luchtaanvallen door de SAF, waar volgens de SPLM-N Al </w:t>
            </w:r>
            <w:proofErr w:type="spellStart"/>
            <w:r w:rsidRPr="00290188">
              <w:rPr>
                <w:color w:val="000000" w:themeColor="text1"/>
              </w:rPr>
              <w:t>Hilo</w:t>
            </w:r>
            <w:proofErr w:type="spellEnd"/>
            <w:r w:rsidRPr="00290188">
              <w:rPr>
                <w:color w:val="000000" w:themeColor="text1"/>
              </w:rPr>
              <w:t xml:space="preserve"> burgerdoden zijn gevallen.</w:t>
            </w:r>
            <w:r w:rsidRPr="00290188">
              <w:rPr>
                <w:rStyle w:val="Voetnootmarkering"/>
                <w:color w:val="000000" w:themeColor="text1"/>
              </w:rPr>
              <w:footnoteReference w:id="25"/>
            </w:r>
          </w:p>
        </w:tc>
      </w:tr>
      <w:tr w:rsidRPr="00290188" w:rsidR="00E479E8" w:rsidTr="00C1302B" w14:paraId="7B52C464" w14:textId="77777777">
        <w:trPr>
          <w:trHeight w:val="2007"/>
        </w:trPr>
        <w:tc>
          <w:tcPr>
            <w:tcW w:w="2263" w:type="dxa"/>
          </w:tcPr>
          <w:p w:rsidRPr="00290188" w:rsidR="00E479E8" w:rsidP="00C1302B" w:rsidRDefault="00E479E8" w14:paraId="20BF4460" w14:textId="77777777">
            <w:pPr>
              <w:pStyle w:val="broodtekst"/>
            </w:pPr>
            <w:r w:rsidRPr="00290188">
              <w:t>Aantal geweldsincidenten</w:t>
            </w:r>
          </w:p>
        </w:tc>
        <w:tc>
          <w:tcPr>
            <w:tcW w:w="6663" w:type="dxa"/>
          </w:tcPr>
          <w:p w:rsidRPr="00290188" w:rsidR="00E479E8" w:rsidP="00C1302B" w:rsidRDefault="00E479E8" w14:paraId="64AEED44" w14:textId="77777777">
            <w:pPr>
              <w:pStyle w:val="broodtekst"/>
            </w:pPr>
            <w:r w:rsidRPr="00290188">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728"/>
              <w:gridCol w:w="728"/>
              <w:gridCol w:w="1434"/>
            </w:tblGrid>
            <w:tr w:rsidRPr="00290188" w:rsidR="00E479E8" w:rsidTr="00C1302B" w14:paraId="1D192CBB" w14:textId="77777777">
              <w:trPr>
                <w:trHeight w:val="123"/>
                <w:jc w:val="center"/>
              </w:trPr>
              <w:tc>
                <w:tcPr>
                  <w:tcW w:w="0" w:type="auto"/>
                </w:tcPr>
                <w:p w:rsidRPr="00290188" w:rsidR="00E479E8" w:rsidP="00C1302B" w:rsidRDefault="00E479E8" w14:paraId="25D1341A" w14:textId="77777777">
                  <w:pPr>
                    <w:pStyle w:val="Default"/>
                    <w:rPr>
                      <w:b/>
                      <w:bCs/>
                      <w:sz w:val="18"/>
                      <w:szCs w:val="18"/>
                    </w:rPr>
                  </w:pPr>
                </w:p>
              </w:tc>
              <w:tc>
                <w:tcPr>
                  <w:tcW w:w="0" w:type="auto"/>
                </w:tcPr>
                <w:p w:rsidRPr="00290188" w:rsidR="00E479E8" w:rsidP="00C1302B" w:rsidRDefault="00E479E8" w14:paraId="65C8A096" w14:textId="77777777">
                  <w:pPr>
                    <w:pStyle w:val="Default"/>
                    <w:rPr>
                      <w:b/>
                      <w:bCs/>
                      <w:sz w:val="18"/>
                      <w:szCs w:val="18"/>
                    </w:rPr>
                  </w:pPr>
                  <w:r w:rsidRPr="00290188">
                    <w:rPr>
                      <w:b/>
                      <w:bCs/>
                      <w:sz w:val="18"/>
                      <w:szCs w:val="18"/>
                    </w:rPr>
                    <w:t>2023</w:t>
                  </w:r>
                </w:p>
              </w:tc>
              <w:tc>
                <w:tcPr>
                  <w:tcW w:w="0" w:type="auto"/>
                </w:tcPr>
                <w:p w:rsidRPr="00290188" w:rsidR="00E479E8" w:rsidP="00C1302B" w:rsidRDefault="00E479E8" w14:paraId="5CC57DD8" w14:textId="77777777">
                  <w:pPr>
                    <w:pStyle w:val="Default"/>
                    <w:rPr>
                      <w:b/>
                      <w:bCs/>
                      <w:sz w:val="18"/>
                      <w:szCs w:val="18"/>
                    </w:rPr>
                  </w:pPr>
                  <w:r w:rsidRPr="00290188">
                    <w:rPr>
                      <w:b/>
                      <w:bCs/>
                      <w:sz w:val="18"/>
                      <w:szCs w:val="18"/>
                    </w:rPr>
                    <w:t>2024</w:t>
                  </w:r>
                </w:p>
              </w:tc>
              <w:tc>
                <w:tcPr>
                  <w:tcW w:w="0" w:type="auto"/>
                </w:tcPr>
                <w:p w:rsidRPr="00290188" w:rsidR="00E479E8" w:rsidP="00C1302B" w:rsidRDefault="00E479E8" w14:paraId="1F79C221" w14:textId="77777777">
                  <w:pPr>
                    <w:pStyle w:val="Default"/>
                    <w:rPr>
                      <w:b/>
                      <w:bCs/>
                      <w:sz w:val="18"/>
                      <w:szCs w:val="18"/>
                    </w:rPr>
                  </w:pPr>
                  <w:r w:rsidRPr="00290188">
                    <w:rPr>
                      <w:b/>
                      <w:bCs/>
                      <w:sz w:val="18"/>
                      <w:szCs w:val="18"/>
                    </w:rPr>
                    <w:t xml:space="preserve">2025 </w:t>
                  </w:r>
                  <w:r w:rsidRPr="00290188">
                    <w:rPr>
                      <w:b/>
                      <w:bCs/>
                      <w:sz w:val="18"/>
                      <w:szCs w:val="18"/>
                    </w:rPr>
                    <w:br/>
                    <w:t>(t/m 8 aug)</w:t>
                  </w:r>
                </w:p>
              </w:tc>
            </w:tr>
            <w:tr w:rsidRPr="00290188" w:rsidR="00E479E8" w:rsidTr="00C1302B" w14:paraId="694FBC9C" w14:textId="77777777">
              <w:trPr>
                <w:trHeight w:val="123"/>
                <w:jc w:val="center"/>
              </w:trPr>
              <w:tc>
                <w:tcPr>
                  <w:tcW w:w="0" w:type="auto"/>
                </w:tcPr>
                <w:p w:rsidRPr="00290188" w:rsidR="00E479E8" w:rsidP="00C1302B" w:rsidRDefault="00E479E8" w14:paraId="69D5B302" w14:textId="77777777">
                  <w:pPr>
                    <w:pStyle w:val="Default"/>
                    <w:rPr>
                      <w:sz w:val="18"/>
                      <w:szCs w:val="18"/>
                    </w:rPr>
                  </w:pPr>
                  <w:r w:rsidRPr="00290188">
                    <w:rPr>
                      <w:b/>
                      <w:bCs/>
                      <w:sz w:val="18"/>
                      <w:szCs w:val="18"/>
                    </w:rPr>
                    <w:t>Totaal</w:t>
                  </w:r>
                </w:p>
              </w:tc>
              <w:tc>
                <w:tcPr>
                  <w:tcW w:w="0" w:type="auto"/>
                </w:tcPr>
                <w:p w:rsidRPr="00290188" w:rsidR="00E479E8" w:rsidP="00C1302B" w:rsidRDefault="00E479E8" w14:paraId="464152F4" w14:textId="77777777">
                  <w:pPr>
                    <w:pStyle w:val="Default"/>
                    <w:rPr>
                      <w:b/>
                      <w:bCs/>
                      <w:sz w:val="18"/>
                      <w:szCs w:val="18"/>
                    </w:rPr>
                  </w:pPr>
                  <w:r w:rsidRPr="00290188">
                    <w:rPr>
                      <w:b/>
                      <w:bCs/>
                      <w:sz w:val="18"/>
                      <w:szCs w:val="18"/>
                    </w:rPr>
                    <w:t>20</w:t>
                  </w:r>
                </w:p>
              </w:tc>
              <w:tc>
                <w:tcPr>
                  <w:tcW w:w="0" w:type="auto"/>
                </w:tcPr>
                <w:p w:rsidRPr="00290188" w:rsidR="00E479E8" w:rsidP="00C1302B" w:rsidRDefault="00E479E8" w14:paraId="531844D0" w14:textId="77777777">
                  <w:pPr>
                    <w:pStyle w:val="Default"/>
                    <w:rPr>
                      <w:b/>
                      <w:bCs/>
                      <w:sz w:val="18"/>
                      <w:szCs w:val="18"/>
                    </w:rPr>
                  </w:pPr>
                  <w:r w:rsidRPr="00290188">
                    <w:rPr>
                      <w:b/>
                      <w:bCs/>
                      <w:sz w:val="18"/>
                      <w:szCs w:val="18"/>
                    </w:rPr>
                    <w:t>29</w:t>
                  </w:r>
                </w:p>
              </w:tc>
              <w:tc>
                <w:tcPr>
                  <w:tcW w:w="0" w:type="auto"/>
                </w:tcPr>
                <w:p w:rsidRPr="00290188" w:rsidR="00E479E8" w:rsidP="00C1302B" w:rsidRDefault="00E479E8" w14:paraId="6514C829" w14:textId="77777777">
                  <w:pPr>
                    <w:pStyle w:val="Default"/>
                    <w:rPr>
                      <w:b/>
                      <w:bCs/>
                      <w:sz w:val="18"/>
                      <w:szCs w:val="18"/>
                    </w:rPr>
                  </w:pPr>
                  <w:r w:rsidRPr="00290188">
                    <w:rPr>
                      <w:b/>
                      <w:bCs/>
                      <w:sz w:val="18"/>
                      <w:szCs w:val="18"/>
                    </w:rPr>
                    <w:t>32</w:t>
                  </w:r>
                </w:p>
              </w:tc>
            </w:tr>
            <w:tr w:rsidRPr="00290188" w:rsidR="00E479E8" w:rsidTr="00C1302B" w14:paraId="7EF7B1BB" w14:textId="77777777">
              <w:trPr>
                <w:trHeight w:val="121"/>
                <w:jc w:val="center"/>
              </w:trPr>
              <w:tc>
                <w:tcPr>
                  <w:tcW w:w="0" w:type="auto"/>
                </w:tcPr>
                <w:p w:rsidRPr="00290188" w:rsidR="00E479E8" w:rsidP="00C1302B" w:rsidRDefault="00E479E8" w14:paraId="3303A635" w14:textId="77777777">
                  <w:pPr>
                    <w:pStyle w:val="Default"/>
                    <w:rPr>
                      <w:sz w:val="18"/>
                      <w:szCs w:val="18"/>
                    </w:rPr>
                  </w:pPr>
                  <w:r w:rsidRPr="00290188">
                    <w:rPr>
                      <w:sz w:val="18"/>
                      <w:szCs w:val="18"/>
                    </w:rPr>
                    <w:t xml:space="preserve">Gevechten </w:t>
                  </w:r>
                </w:p>
              </w:tc>
              <w:tc>
                <w:tcPr>
                  <w:tcW w:w="0" w:type="auto"/>
                </w:tcPr>
                <w:p w:rsidRPr="00290188" w:rsidR="00E479E8" w:rsidP="00C1302B" w:rsidRDefault="00E479E8" w14:paraId="2E0C0A8F" w14:textId="77777777">
                  <w:pPr>
                    <w:pStyle w:val="Default"/>
                    <w:rPr>
                      <w:sz w:val="18"/>
                      <w:szCs w:val="18"/>
                    </w:rPr>
                  </w:pPr>
                  <w:r w:rsidRPr="00290188">
                    <w:rPr>
                      <w:sz w:val="18"/>
                      <w:szCs w:val="18"/>
                    </w:rPr>
                    <w:t>11</w:t>
                  </w:r>
                </w:p>
              </w:tc>
              <w:tc>
                <w:tcPr>
                  <w:tcW w:w="0" w:type="auto"/>
                </w:tcPr>
                <w:p w:rsidRPr="00290188" w:rsidR="00E479E8" w:rsidP="00C1302B" w:rsidRDefault="00E479E8" w14:paraId="1EFDD87B" w14:textId="77777777">
                  <w:pPr>
                    <w:pStyle w:val="Default"/>
                    <w:rPr>
                      <w:sz w:val="18"/>
                      <w:szCs w:val="18"/>
                    </w:rPr>
                  </w:pPr>
                  <w:r w:rsidRPr="00290188">
                    <w:rPr>
                      <w:sz w:val="18"/>
                      <w:szCs w:val="18"/>
                    </w:rPr>
                    <w:t>12</w:t>
                  </w:r>
                </w:p>
              </w:tc>
              <w:tc>
                <w:tcPr>
                  <w:tcW w:w="0" w:type="auto"/>
                </w:tcPr>
                <w:p w:rsidRPr="00290188" w:rsidR="00E479E8" w:rsidP="00C1302B" w:rsidRDefault="00E479E8" w14:paraId="0B66B9EF" w14:textId="77777777">
                  <w:pPr>
                    <w:pStyle w:val="Default"/>
                    <w:rPr>
                      <w:sz w:val="18"/>
                      <w:szCs w:val="18"/>
                    </w:rPr>
                  </w:pPr>
                  <w:r w:rsidRPr="00290188">
                    <w:rPr>
                      <w:sz w:val="18"/>
                      <w:szCs w:val="18"/>
                    </w:rPr>
                    <w:t>23</w:t>
                  </w:r>
                </w:p>
              </w:tc>
            </w:tr>
            <w:tr w:rsidRPr="00290188" w:rsidR="00E479E8" w:rsidTr="00C1302B" w14:paraId="355761D5" w14:textId="77777777">
              <w:trPr>
                <w:trHeight w:val="121"/>
                <w:jc w:val="center"/>
              </w:trPr>
              <w:tc>
                <w:tcPr>
                  <w:tcW w:w="0" w:type="auto"/>
                </w:tcPr>
                <w:p w:rsidRPr="00290188" w:rsidR="00E479E8" w:rsidP="00C1302B" w:rsidRDefault="00E479E8" w14:paraId="7F6A3DB4" w14:textId="77777777">
                  <w:pPr>
                    <w:pStyle w:val="Default"/>
                    <w:rPr>
                      <w:sz w:val="18"/>
                      <w:szCs w:val="18"/>
                    </w:rPr>
                  </w:pPr>
                  <w:r w:rsidRPr="00290188">
                    <w:rPr>
                      <w:sz w:val="18"/>
                      <w:szCs w:val="18"/>
                    </w:rPr>
                    <w:t xml:space="preserve">Explosies/geweld op afstand </w:t>
                  </w:r>
                </w:p>
              </w:tc>
              <w:tc>
                <w:tcPr>
                  <w:tcW w:w="0" w:type="auto"/>
                </w:tcPr>
                <w:p w:rsidRPr="00290188" w:rsidR="00E479E8" w:rsidP="00C1302B" w:rsidRDefault="00E479E8" w14:paraId="29CE1C73" w14:textId="77777777">
                  <w:pPr>
                    <w:pStyle w:val="Default"/>
                    <w:rPr>
                      <w:sz w:val="18"/>
                      <w:szCs w:val="18"/>
                    </w:rPr>
                  </w:pPr>
                  <w:r w:rsidRPr="00290188">
                    <w:rPr>
                      <w:sz w:val="18"/>
                      <w:szCs w:val="18"/>
                    </w:rPr>
                    <w:t>0</w:t>
                  </w:r>
                </w:p>
              </w:tc>
              <w:tc>
                <w:tcPr>
                  <w:tcW w:w="0" w:type="auto"/>
                </w:tcPr>
                <w:p w:rsidRPr="00290188" w:rsidR="00E479E8" w:rsidP="00C1302B" w:rsidRDefault="00E479E8" w14:paraId="63263D92" w14:textId="77777777">
                  <w:pPr>
                    <w:pStyle w:val="Default"/>
                    <w:rPr>
                      <w:sz w:val="18"/>
                      <w:szCs w:val="18"/>
                    </w:rPr>
                  </w:pPr>
                  <w:r w:rsidRPr="00290188">
                    <w:rPr>
                      <w:sz w:val="18"/>
                      <w:szCs w:val="18"/>
                    </w:rPr>
                    <w:t>9</w:t>
                  </w:r>
                </w:p>
              </w:tc>
              <w:tc>
                <w:tcPr>
                  <w:tcW w:w="0" w:type="auto"/>
                </w:tcPr>
                <w:p w:rsidRPr="00290188" w:rsidR="00E479E8" w:rsidP="00C1302B" w:rsidRDefault="00E479E8" w14:paraId="4D14E30E" w14:textId="77777777">
                  <w:pPr>
                    <w:pStyle w:val="Default"/>
                    <w:rPr>
                      <w:sz w:val="18"/>
                      <w:szCs w:val="18"/>
                    </w:rPr>
                  </w:pPr>
                  <w:r w:rsidRPr="00290188">
                    <w:rPr>
                      <w:sz w:val="18"/>
                      <w:szCs w:val="18"/>
                    </w:rPr>
                    <w:t>7</w:t>
                  </w:r>
                </w:p>
              </w:tc>
            </w:tr>
            <w:tr w:rsidRPr="00290188" w:rsidR="00E479E8" w:rsidTr="00C1302B" w14:paraId="004B416A" w14:textId="77777777">
              <w:trPr>
                <w:trHeight w:val="121"/>
                <w:jc w:val="center"/>
              </w:trPr>
              <w:tc>
                <w:tcPr>
                  <w:tcW w:w="0" w:type="auto"/>
                </w:tcPr>
                <w:p w:rsidRPr="00290188" w:rsidR="00E479E8" w:rsidP="00C1302B" w:rsidRDefault="00E479E8" w14:paraId="745108BC" w14:textId="77777777">
                  <w:pPr>
                    <w:pStyle w:val="Default"/>
                    <w:rPr>
                      <w:sz w:val="18"/>
                      <w:szCs w:val="18"/>
                    </w:rPr>
                  </w:pPr>
                  <w:r w:rsidRPr="00290188">
                    <w:rPr>
                      <w:sz w:val="18"/>
                      <w:szCs w:val="18"/>
                    </w:rPr>
                    <w:t xml:space="preserve">Geweld tegen burgers </w:t>
                  </w:r>
                </w:p>
              </w:tc>
              <w:tc>
                <w:tcPr>
                  <w:tcW w:w="0" w:type="auto"/>
                </w:tcPr>
                <w:p w:rsidRPr="00290188" w:rsidR="00E479E8" w:rsidP="00C1302B" w:rsidRDefault="00E479E8" w14:paraId="63C904C3" w14:textId="77777777">
                  <w:pPr>
                    <w:pStyle w:val="Default"/>
                    <w:rPr>
                      <w:sz w:val="18"/>
                      <w:szCs w:val="18"/>
                    </w:rPr>
                  </w:pPr>
                  <w:r w:rsidRPr="00290188">
                    <w:rPr>
                      <w:sz w:val="18"/>
                      <w:szCs w:val="18"/>
                    </w:rPr>
                    <w:t>9</w:t>
                  </w:r>
                </w:p>
              </w:tc>
              <w:tc>
                <w:tcPr>
                  <w:tcW w:w="0" w:type="auto"/>
                </w:tcPr>
                <w:p w:rsidRPr="00290188" w:rsidR="00E479E8" w:rsidP="00C1302B" w:rsidRDefault="00E479E8" w14:paraId="31C89F68" w14:textId="77777777">
                  <w:pPr>
                    <w:pStyle w:val="Default"/>
                    <w:rPr>
                      <w:sz w:val="18"/>
                      <w:szCs w:val="18"/>
                    </w:rPr>
                  </w:pPr>
                  <w:r w:rsidRPr="00290188">
                    <w:rPr>
                      <w:sz w:val="18"/>
                      <w:szCs w:val="18"/>
                    </w:rPr>
                    <w:t>8</w:t>
                  </w:r>
                </w:p>
              </w:tc>
              <w:tc>
                <w:tcPr>
                  <w:tcW w:w="0" w:type="auto"/>
                </w:tcPr>
                <w:p w:rsidRPr="00290188" w:rsidR="00E479E8" w:rsidP="00C1302B" w:rsidRDefault="00E479E8" w14:paraId="78982834" w14:textId="77777777">
                  <w:pPr>
                    <w:pStyle w:val="Default"/>
                    <w:rPr>
                      <w:sz w:val="18"/>
                      <w:szCs w:val="18"/>
                    </w:rPr>
                  </w:pPr>
                  <w:r w:rsidRPr="00290188">
                    <w:rPr>
                      <w:sz w:val="18"/>
                      <w:szCs w:val="18"/>
                    </w:rPr>
                    <w:t>2</w:t>
                  </w:r>
                </w:p>
              </w:tc>
            </w:tr>
          </w:tbl>
          <w:p w:rsidRPr="00290188" w:rsidR="00E479E8" w:rsidP="00C1302B" w:rsidRDefault="00E479E8" w14:paraId="62192FFC" w14:textId="77777777">
            <w:pPr>
              <w:pStyle w:val="broodtekst"/>
            </w:pPr>
          </w:p>
        </w:tc>
      </w:tr>
      <w:tr w:rsidRPr="00290188" w:rsidR="00E479E8" w:rsidTr="00C1302B" w14:paraId="039AF68E" w14:textId="77777777">
        <w:tc>
          <w:tcPr>
            <w:tcW w:w="2263" w:type="dxa"/>
          </w:tcPr>
          <w:p w:rsidRPr="00290188" w:rsidR="00E479E8" w:rsidP="00C1302B" w:rsidRDefault="00E479E8" w14:paraId="3145237E" w14:textId="77777777">
            <w:pPr>
              <w:pStyle w:val="broodtekst"/>
            </w:pPr>
            <w:r w:rsidRPr="00290188">
              <w:t>Geografische omvang geweld</w:t>
            </w:r>
          </w:p>
        </w:tc>
        <w:tc>
          <w:tcPr>
            <w:tcW w:w="6663" w:type="dxa"/>
          </w:tcPr>
          <w:p w:rsidRPr="00290188" w:rsidR="00E479E8" w:rsidP="00C1302B" w:rsidRDefault="0050058C" w14:paraId="446F79A8" w14:textId="176CD27D">
            <w:pPr>
              <w:pStyle w:val="broodtekst"/>
            </w:pPr>
            <w:r w:rsidRPr="00290188">
              <w:t xml:space="preserve">De recente escalatie concentreert zich in </w:t>
            </w:r>
            <w:proofErr w:type="spellStart"/>
            <w:r w:rsidRPr="00290188">
              <w:t>Bau</w:t>
            </w:r>
            <w:proofErr w:type="spellEnd"/>
            <w:r w:rsidRPr="00290188">
              <w:t xml:space="preserve">, een gebied in Blauwe Nijl dat strategisch gelegen is tussen diverse steden en grenst aan Zuid-Sudan. </w:t>
            </w:r>
          </w:p>
        </w:tc>
      </w:tr>
      <w:tr w:rsidRPr="00290188" w:rsidR="00E479E8" w:rsidTr="00C1302B" w14:paraId="1F9D20B6" w14:textId="77777777">
        <w:tc>
          <w:tcPr>
            <w:tcW w:w="2263" w:type="dxa"/>
          </w:tcPr>
          <w:p w:rsidRPr="00290188" w:rsidR="00E479E8" w:rsidP="00C1302B" w:rsidRDefault="00E479E8" w14:paraId="6AF154DD" w14:textId="77777777">
            <w:pPr>
              <w:pStyle w:val="broodtekst"/>
            </w:pPr>
            <w:r w:rsidRPr="00290188">
              <w:t>Veiligheidsstructuur</w:t>
            </w:r>
          </w:p>
        </w:tc>
        <w:tc>
          <w:tcPr>
            <w:tcW w:w="6663" w:type="dxa"/>
          </w:tcPr>
          <w:p w:rsidRPr="00290188" w:rsidR="00E479E8" w:rsidP="00C1302B" w:rsidRDefault="00E479E8" w14:paraId="475193BA" w14:textId="77777777">
            <w:pPr>
              <w:pStyle w:val="broodtekst"/>
            </w:pPr>
            <w:r w:rsidRPr="00290188">
              <w:t>De SAF hebben een groot deel van de controle in Blauwe Nijl. Volgens het ambtsbericht houden de SAF geen rekening met het beschermen van de burgerbevolking.</w:t>
            </w:r>
          </w:p>
        </w:tc>
      </w:tr>
      <w:tr w:rsidRPr="00290188" w:rsidR="00E479E8" w:rsidTr="00C1302B" w14:paraId="654D2676" w14:textId="77777777">
        <w:tc>
          <w:tcPr>
            <w:tcW w:w="2263" w:type="dxa"/>
          </w:tcPr>
          <w:p w:rsidRPr="00290188" w:rsidR="00E479E8" w:rsidP="00C1302B" w:rsidRDefault="00E479E8" w14:paraId="69FCAD4C" w14:textId="77777777">
            <w:pPr>
              <w:pStyle w:val="broodtekst"/>
            </w:pPr>
            <w:r w:rsidRPr="00290188">
              <w:t>Doelwitten</w:t>
            </w:r>
          </w:p>
        </w:tc>
        <w:tc>
          <w:tcPr>
            <w:tcW w:w="6663" w:type="dxa"/>
          </w:tcPr>
          <w:p w:rsidRPr="00290188" w:rsidR="00E479E8" w:rsidP="00C1302B" w:rsidRDefault="00E479E8" w14:paraId="1D912BE1" w14:textId="77777777">
            <w:pPr>
              <w:pStyle w:val="broodtekst"/>
              <w:rPr>
                <w:i/>
                <w:iCs/>
              </w:rPr>
            </w:pPr>
            <w:r w:rsidRPr="00290188">
              <w:rPr>
                <w:i/>
                <w:iCs/>
              </w:rPr>
              <w:t>Geen beschikbare informatie</w:t>
            </w:r>
          </w:p>
        </w:tc>
      </w:tr>
      <w:tr w:rsidRPr="00290188" w:rsidR="00E479E8" w:rsidTr="00C1302B" w14:paraId="243111CB" w14:textId="77777777">
        <w:tc>
          <w:tcPr>
            <w:tcW w:w="2263" w:type="dxa"/>
          </w:tcPr>
          <w:p w:rsidRPr="00290188" w:rsidR="00E479E8" w:rsidP="00C1302B" w:rsidRDefault="00E479E8" w14:paraId="5BC960E5" w14:textId="77777777">
            <w:pPr>
              <w:pStyle w:val="broodtekst"/>
            </w:pPr>
            <w:r w:rsidRPr="00290188">
              <w:t>Dodelijke slachtoffers</w:t>
            </w:r>
          </w:p>
        </w:tc>
        <w:tc>
          <w:tcPr>
            <w:tcW w:w="6663" w:type="dxa"/>
          </w:tcPr>
          <w:p w:rsidRPr="00290188" w:rsidR="00E479E8" w:rsidP="00C1302B" w:rsidRDefault="00E479E8" w14:paraId="57971DD6" w14:textId="77777777">
            <w:pPr>
              <w:pStyle w:val="broodtekst"/>
            </w:pPr>
            <w:r w:rsidRPr="00290188">
              <w:t>Aantallen door ACLED geregistreerde doden:</w:t>
            </w:r>
          </w:p>
          <w:p w:rsidRPr="00290188" w:rsidR="00E479E8" w:rsidP="00C1302B" w:rsidRDefault="00E479E8" w14:paraId="5B60831E"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
              <w:gridCol w:w="971"/>
              <w:gridCol w:w="1843"/>
            </w:tblGrid>
            <w:tr w:rsidRPr="00290188" w:rsidR="00E479E8" w:rsidTr="00C1302B" w14:paraId="63FEA4ED" w14:textId="77777777">
              <w:trPr>
                <w:trHeight w:val="121"/>
                <w:jc w:val="center"/>
              </w:trPr>
              <w:tc>
                <w:tcPr>
                  <w:tcW w:w="963" w:type="dxa"/>
                </w:tcPr>
                <w:p w:rsidRPr="00290188" w:rsidR="00E479E8" w:rsidP="00C1302B" w:rsidRDefault="00E479E8" w14:paraId="2092F0B7" w14:textId="77777777">
                  <w:pPr>
                    <w:pStyle w:val="Default"/>
                    <w:rPr>
                      <w:b/>
                      <w:bCs/>
                      <w:sz w:val="18"/>
                      <w:szCs w:val="18"/>
                    </w:rPr>
                  </w:pPr>
                  <w:r w:rsidRPr="00290188">
                    <w:rPr>
                      <w:b/>
                      <w:bCs/>
                      <w:sz w:val="18"/>
                      <w:szCs w:val="18"/>
                    </w:rPr>
                    <w:t>2023</w:t>
                  </w:r>
                </w:p>
              </w:tc>
              <w:tc>
                <w:tcPr>
                  <w:tcW w:w="971" w:type="dxa"/>
                </w:tcPr>
                <w:p w:rsidRPr="00290188" w:rsidR="00E479E8" w:rsidP="00C1302B" w:rsidRDefault="00E479E8" w14:paraId="402955A7" w14:textId="77777777">
                  <w:pPr>
                    <w:pStyle w:val="Default"/>
                    <w:rPr>
                      <w:b/>
                      <w:bCs/>
                      <w:sz w:val="18"/>
                      <w:szCs w:val="18"/>
                    </w:rPr>
                  </w:pPr>
                  <w:r w:rsidRPr="00290188">
                    <w:rPr>
                      <w:b/>
                      <w:bCs/>
                      <w:sz w:val="18"/>
                      <w:szCs w:val="18"/>
                    </w:rPr>
                    <w:t>2024</w:t>
                  </w:r>
                </w:p>
              </w:tc>
              <w:tc>
                <w:tcPr>
                  <w:tcW w:w="1843" w:type="dxa"/>
                </w:tcPr>
                <w:p w:rsidRPr="00290188" w:rsidR="00E479E8" w:rsidP="00C1302B" w:rsidRDefault="00E479E8" w14:paraId="0CC7B1DA" w14:textId="77777777">
                  <w:pPr>
                    <w:pStyle w:val="Default"/>
                    <w:rPr>
                      <w:b/>
                      <w:bCs/>
                      <w:sz w:val="18"/>
                      <w:szCs w:val="18"/>
                    </w:rPr>
                  </w:pPr>
                  <w:r w:rsidRPr="00290188">
                    <w:rPr>
                      <w:b/>
                      <w:bCs/>
                      <w:sz w:val="18"/>
                      <w:szCs w:val="18"/>
                    </w:rPr>
                    <w:t>2025 t/m 8 aug</w:t>
                  </w:r>
                </w:p>
              </w:tc>
            </w:tr>
            <w:tr w:rsidRPr="00290188" w:rsidR="00E479E8" w:rsidTr="00C1302B" w14:paraId="5144F2E9" w14:textId="77777777">
              <w:trPr>
                <w:trHeight w:val="121"/>
                <w:jc w:val="center"/>
              </w:trPr>
              <w:tc>
                <w:tcPr>
                  <w:tcW w:w="963" w:type="dxa"/>
                </w:tcPr>
                <w:p w:rsidRPr="00290188" w:rsidR="00E479E8" w:rsidP="00C1302B" w:rsidRDefault="00E479E8" w14:paraId="3B0A02CC" w14:textId="77777777">
                  <w:pPr>
                    <w:pStyle w:val="Default"/>
                    <w:rPr>
                      <w:sz w:val="18"/>
                      <w:szCs w:val="18"/>
                    </w:rPr>
                  </w:pPr>
                  <w:r w:rsidRPr="00290188">
                    <w:rPr>
                      <w:sz w:val="18"/>
                      <w:szCs w:val="18"/>
                    </w:rPr>
                    <w:t>56</w:t>
                  </w:r>
                </w:p>
              </w:tc>
              <w:tc>
                <w:tcPr>
                  <w:tcW w:w="971" w:type="dxa"/>
                </w:tcPr>
                <w:p w:rsidRPr="00290188" w:rsidR="00E479E8" w:rsidP="00C1302B" w:rsidRDefault="00E479E8" w14:paraId="0A1A18C4" w14:textId="77777777">
                  <w:pPr>
                    <w:pStyle w:val="Default"/>
                    <w:rPr>
                      <w:sz w:val="18"/>
                      <w:szCs w:val="18"/>
                    </w:rPr>
                  </w:pPr>
                  <w:r w:rsidRPr="00290188">
                    <w:rPr>
                      <w:sz w:val="18"/>
                      <w:szCs w:val="18"/>
                    </w:rPr>
                    <w:t>209</w:t>
                  </w:r>
                </w:p>
              </w:tc>
              <w:tc>
                <w:tcPr>
                  <w:tcW w:w="1843" w:type="dxa"/>
                </w:tcPr>
                <w:p w:rsidRPr="00290188" w:rsidR="00E479E8" w:rsidP="00C1302B" w:rsidRDefault="00E479E8" w14:paraId="2634C3B6" w14:textId="77777777">
                  <w:pPr>
                    <w:pStyle w:val="Default"/>
                    <w:rPr>
                      <w:sz w:val="18"/>
                      <w:szCs w:val="18"/>
                    </w:rPr>
                  </w:pPr>
                  <w:r w:rsidRPr="00290188">
                    <w:rPr>
                      <w:sz w:val="18"/>
                      <w:szCs w:val="18"/>
                    </w:rPr>
                    <w:t>81</w:t>
                  </w:r>
                </w:p>
              </w:tc>
            </w:tr>
          </w:tbl>
          <w:p w:rsidRPr="00290188" w:rsidR="00E479E8" w:rsidP="00C1302B" w:rsidRDefault="00E479E8" w14:paraId="5D27ADA8" w14:textId="77777777">
            <w:pPr>
              <w:pStyle w:val="broodtekst"/>
            </w:pPr>
          </w:p>
          <w:p w:rsidRPr="00290188" w:rsidR="00E479E8" w:rsidP="00C1302B" w:rsidRDefault="00E479E8" w14:paraId="563DFE24" w14:textId="77777777">
            <w:pPr>
              <w:pStyle w:val="broodtekst"/>
            </w:pPr>
            <w:r w:rsidRPr="00290188">
              <w:lastRenderedPageBreak/>
              <w:t>OHCHR registreerde zes burgerdoden in de periode van 1 januari 2025 tot 30 juni 2025.</w:t>
            </w:r>
          </w:p>
          <w:p w:rsidRPr="00290188" w:rsidR="00E479E8" w:rsidP="00C1302B" w:rsidRDefault="00E479E8" w14:paraId="234B8B70" w14:textId="77777777">
            <w:pPr>
              <w:pStyle w:val="broodtekst"/>
            </w:pPr>
          </w:p>
        </w:tc>
      </w:tr>
      <w:tr w:rsidRPr="00290188" w:rsidR="00E479E8" w:rsidTr="00C1302B" w14:paraId="2EFF90A8" w14:textId="77777777">
        <w:tc>
          <w:tcPr>
            <w:tcW w:w="2263" w:type="dxa"/>
          </w:tcPr>
          <w:p w:rsidRPr="00290188" w:rsidR="00E479E8" w:rsidP="00C1302B" w:rsidRDefault="00E479E8" w14:paraId="098464E0" w14:textId="77777777">
            <w:pPr>
              <w:pStyle w:val="broodtekst"/>
            </w:pPr>
            <w:r w:rsidRPr="00290188">
              <w:lastRenderedPageBreak/>
              <w:t>Aantal ontheemden</w:t>
            </w:r>
          </w:p>
        </w:tc>
        <w:tc>
          <w:tcPr>
            <w:tcW w:w="6663" w:type="dxa"/>
          </w:tcPr>
          <w:p w:rsidRPr="00290188" w:rsidR="00E479E8" w:rsidP="00C1302B" w:rsidRDefault="00E479E8" w14:paraId="371EADD5" w14:textId="77777777">
            <w:pPr>
              <w:pStyle w:val="broodtekst"/>
            </w:pPr>
            <w:r w:rsidRPr="00290188">
              <w:t>Ontheemden die in Blauwe Nijl verblijven (d.d. 9 juli 2025): 405.553</w:t>
            </w:r>
          </w:p>
        </w:tc>
      </w:tr>
      <w:tr w:rsidRPr="00290188" w:rsidR="00E479E8" w:rsidTr="00C1302B" w14:paraId="27FA5DFF" w14:textId="77777777">
        <w:tc>
          <w:tcPr>
            <w:tcW w:w="2263" w:type="dxa"/>
          </w:tcPr>
          <w:p w:rsidRPr="00290188" w:rsidR="00E479E8" w:rsidP="00C1302B" w:rsidRDefault="00E479E8" w14:paraId="1D5D536D" w14:textId="77777777">
            <w:pPr>
              <w:pStyle w:val="broodtekst"/>
            </w:pPr>
            <w:r w:rsidRPr="00290188">
              <w:t>Humanitaire omstandigheden als gevolg van het conflict</w:t>
            </w:r>
          </w:p>
        </w:tc>
        <w:tc>
          <w:tcPr>
            <w:tcW w:w="6663" w:type="dxa"/>
          </w:tcPr>
          <w:p w:rsidRPr="00290188" w:rsidR="00E479E8" w:rsidP="00C1302B" w:rsidRDefault="00E479E8" w14:paraId="205640A3" w14:textId="77777777">
            <w:pPr>
              <w:pStyle w:val="broodtekst"/>
            </w:pPr>
            <w:r w:rsidRPr="00290188">
              <w:t xml:space="preserve">Blauwe Nijl vormt, naast </w:t>
            </w:r>
            <w:proofErr w:type="spellStart"/>
            <w:r w:rsidRPr="00290188">
              <w:t>Darfur</w:t>
            </w:r>
            <w:proofErr w:type="spellEnd"/>
            <w:r w:rsidRPr="00290188">
              <w:t xml:space="preserve"> en </w:t>
            </w:r>
            <w:proofErr w:type="spellStart"/>
            <w:r w:rsidRPr="00290188">
              <w:t>Kordofan</w:t>
            </w:r>
            <w:proofErr w:type="spellEnd"/>
            <w:r w:rsidRPr="00290188">
              <w:t>, het meest kwetsbare gebied in Sudan wat betreft voedselzekerheid. In een groot deel van de staat is sprake van acute voedselonzekerheid als gevolg van het conflict.</w:t>
            </w:r>
          </w:p>
        </w:tc>
      </w:tr>
    </w:tbl>
    <w:p w:rsidRPr="00290188" w:rsidR="00E479E8" w:rsidP="00E479E8" w:rsidRDefault="00E479E8" w14:paraId="4AF4BCA1" w14:textId="77777777">
      <w:pPr>
        <w:pStyle w:val="broodtekst"/>
      </w:pPr>
    </w:p>
    <w:p w:rsidRPr="00290188" w:rsidR="00E479E8" w:rsidP="00364E44" w:rsidRDefault="00E479E8" w14:paraId="1989784F" w14:textId="297C32D8">
      <w:pPr>
        <w:pStyle w:val="broodtekst"/>
        <w:rPr>
          <w:color w:val="000000" w:themeColor="text1"/>
        </w:rPr>
      </w:pPr>
      <w:r w:rsidRPr="00290188">
        <w:rPr>
          <w:b/>
          <w:bCs/>
        </w:rPr>
        <w:t xml:space="preserve">Conclusie: </w:t>
      </w:r>
      <w:r w:rsidRPr="00290188">
        <w:rPr>
          <w:color w:val="000000" w:themeColor="text1"/>
        </w:rPr>
        <w:t xml:space="preserve">Voor Blauwe Nijl wordt momenteel een relatief lager niveau van willekeurig geweld aangenomen. In Blauwe Nijl vonden veiligheidsincidenten plaats, en sinds kort is Blauwe Nijl volgens ACLED de centrale brandhaard van het conflict in Sudan. Dit leidt, samen met het gegeven dat in een groot deel van Blauwe Nijl sprake is van acute voedselonzekerheid als gevolg van het conflict, </w:t>
      </w:r>
      <w:r w:rsidRPr="00290188">
        <w:rPr>
          <w:color w:val="000000" w:themeColor="text1"/>
          <w:u w:val="single"/>
        </w:rPr>
        <w:t>tot het advies om voor Blauwe Nijl aan te nemen dat er sprake is van een relatief hoger</w:t>
      </w:r>
      <w:r w:rsidRPr="00290188">
        <w:rPr>
          <w:b/>
          <w:bCs/>
          <w:color w:val="000000" w:themeColor="text1"/>
          <w:u w:val="single"/>
        </w:rPr>
        <w:t xml:space="preserve"> </w:t>
      </w:r>
      <w:r w:rsidRPr="00290188">
        <w:rPr>
          <w:color w:val="000000" w:themeColor="text1"/>
          <w:u w:val="single"/>
        </w:rPr>
        <w:t>niveau van willekeurig geweld</w:t>
      </w:r>
      <w:r w:rsidRPr="00290188">
        <w:rPr>
          <w:color w:val="000000" w:themeColor="text1"/>
        </w:rPr>
        <w:t xml:space="preserve">. </w:t>
      </w:r>
      <w:r w:rsidRPr="00290188">
        <w:t>Aan de hand van het volgende ambtsbericht zal ten aanzien van Blauwe Nijl bezien moeten worden of de veiligheidssituatie verbetert, wat te zijner tijd zou kunnen leiden tot een ander oordeel over de toepasselijke gradatie.</w:t>
      </w:r>
    </w:p>
    <w:p w:rsidRPr="00290188" w:rsidR="000B36A7" w:rsidP="00364E44" w:rsidRDefault="000B36A7" w14:paraId="43EED2F1" w14:textId="77777777">
      <w:pPr>
        <w:pStyle w:val="broodtekst"/>
        <w:rPr>
          <w:iCs/>
          <w:color w:val="000000" w:themeColor="text1"/>
        </w:rPr>
      </w:pPr>
    </w:p>
    <w:p w:rsidRPr="00290188" w:rsidR="000B36A7" w:rsidP="00364E44" w:rsidRDefault="000B36A7" w14:paraId="03FB3C97" w14:textId="1E23523D">
      <w:pPr>
        <w:pStyle w:val="broodtekst"/>
        <w:rPr>
          <w:b/>
          <w:bCs/>
          <w:u w:val="single"/>
        </w:rPr>
      </w:pPr>
      <w:r w:rsidRPr="00290188">
        <w:rPr>
          <w:b/>
          <w:bCs/>
          <w:u w:val="single"/>
        </w:rPr>
        <w:t>Overige deelstaten</w:t>
      </w:r>
    </w:p>
    <w:p w:rsidRPr="00290188" w:rsidR="008B6613" w:rsidP="008B6613" w:rsidRDefault="008B6613" w14:paraId="5E9CFEE5" w14:textId="77777777">
      <w:pPr>
        <w:pStyle w:val="broodtekst"/>
      </w:pPr>
    </w:p>
    <w:tbl>
      <w:tblPr>
        <w:tblStyle w:val="Tabelraster"/>
        <w:tblW w:w="0" w:type="auto"/>
        <w:tblInd w:w="0" w:type="dxa"/>
        <w:tblLook w:val="04A0" w:firstRow="1" w:lastRow="0" w:firstColumn="1" w:lastColumn="0" w:noHBand="0" w:noVBand="1"/>
      </w:tblPr>
      <w:tblGrid>
        <w:gridCol w:w="2263"/>
        <w:gridCol w:w="6663"/>
      </w:tblGrid>
      <w:tr w:rsidRPr="00290188" w:rsidR="008B6613" w:rsidTr="00802BA7" w14:paraId="309AF7B7" w14:textId="77777777">
        <w:tc>
          <w:tcPr>
            <w:tcW w:w="8926" w:type="dxa"/>
            <w:gridSpan w:val="2"/>
            <w:shd w:val="clear" w:color="auto" w:fill="DEEAF6" w:themeFill="accent1" w:themeFillTint="33"/>
          </w:tcPr>
          <w:p w:rsidRPr="00290188" w:rsidR="008B6613" w:rsidP="000E52C6" w:rsidRDefault="008B6613" w14:paraId="47EB8004" w14:textId="360F9433">
            <w:pPr>
              <w:pStyle w:val="broodtekst"/>
              <w:rPr>
                <w:b/>
                <w:bCs/>
              </w:rPr>
            </w:pPr>
            <w:proofErr w:type="spellStart"/>
            <w:r w:rsidRPr="00290188">
              <w:rPr>
                <w:b/>
                <w:bCs/>
              </w:rPr>
              <w:t>Abyei</w:t>
            </w:r>
            <w:proofErr w:type="spellEnd"/>
            <w:r w:rsidRPr="00290188">
              <w:rPr>
                <w:b/>
                <w:bCs/>
              </w:rPr>
              <w:t xml:space="preserve"> (inwoneraantal onbekend)</w:t>
            </w:r>
          </w:p>
        </w:tc>
      </w:tr>
      <w:tr w:rsidRPr="00290188" w:rsidR="008B6613" w:rsidTr="000E52C6" w14:paraId="044104AB" w14:textId="77777777">
        <w:tc>
          <w:tcPr>
            <w:tcW w:w="2263" w:type="dxa"/>
          </w:tcPr>
          <w:p w:rsidRPr="00290188" w:rsidR="008B6613" w:rsidP="000E52C6" w:rsidRDefault="008B6613" w14:paraId="441DEE4A" w14:textId="77777777">
            <w:pPr>
              <w:pStyle w:val="broodtekst"/>
            </w:pPr>
            <w:r w:rsidRPr="00290188">
              <w:t>Controle</w:t>
            </w:r>
          </w:p>
        </w:tc>
        <w:tc>
          <w:tcPr>
            <w:tcW w:w="6663" w:type="dxa"/>
          </w:tcPr>
          <w:p w:rsidRPr="00290188" w:rsidR="008B6613" w:rsidP="000E52C6" w:rsidRDefault="008B6613" w14:paraId="1CD72206" w14:textId="4D91D6DC">
            <w:pPr>
              <w:pStyle w:val="broodtekst"/>
            </w:pPr>
            <w:proofErr w:type="spellStart"/>
            <w:r w:rsidRPr="00290188">
              <w:t>Abyei</w:t>
            </w:r>
            <w:proofErr w:type="spellEnd"/>
            <w:r w:rsidRPr="00290188">
              <w:t xml:space="preserve"> vormt betwist gebied tussen Sudan en Zuid-Sudan. Daarom is hier de UNISFA missie gestationeerd die de vrede en veiligheid probeert te handhaven.</w:t>
            </w:r>
          </w:p>
        </w:tc>
      </w:tr>
      <w:tr w:rsidRPr="00290188" w:rsidR="008B6613" w:rsidTr="000E52C6" w14:paraId="49F05BE9" w14:textId="77777777">
        <w:tc>
          <w:tcPr>
            <w:tcW w:w="2263" w:type="dxa"/>
          </w:tcPr>
          <w:p w:rsidRPr="00290188" w:rsidR="008B6613" w:rsidP="000E52C6" w:rsidRDefault="008B6613" w14:paraId="4D5CC858" w14:textId="77777777">
            <w:pPr>
              <w:pStyle w:val="broodtekst"/>
            </w:pPr>
            <w:r w:rsidRPr="00290188">
              <w:t>Strijdende partijen</w:t>
            </w:r>
          </w:p>
        </w:tc>
        <w:tc>
          <w:tcPr>
            <w:tcW w:w="6663" w:type="dxa"/>
          </w:tcPr>
          <w:p w:rsidRPr="00290188" w:rsidR="008B6613" w:rsidP="000E52C6" w:rsidRDefault="007608C6" w14:paraId="7B7EC8F5" w14:textId="756712A4">
            <w:pPr>
              <w:pStyle w:val="broodtekst"/>
            </w:pPr>
            <w:r w:rsidRPr="00290188">
              <w:t xml:space="preserve">Er vindt met name banditisme en intercommunaal geweld plaats, waarbij leden van verschillende gemeenschappen zijn betrokken, te weten de </w:t>
            </w:r>
            <w:proofErr w:type="spellStart"/>
            <w:r w:rsidRPr="00290188">
              <w:t>Misseriya</w:t>
            </w:r>
            <w:proofErr w:type="spellEnd"/>
            <w:r w:rsidRPr="00290188">
              <w:t xml:space="preserve">, </w:t>
            </w:r>
            <w:proofErr w:type="spellStart"/>
            <w:r w:rsidRPr="00290188">
              <w:t>Nuer</w:t>
            </w:r>
            <w:proofErr w:type="spellEnd"/>
            <w:r w:rsidRPr="00290188">
              <w:t xml:space="preserve">, </w:t>
            </w:r>
            <w:proofErr w:type="spellStart"/>
            <w:r w:rsidRPr="00290188">
              <w:t>Twic</w:t>
            </w:r>
            <w:proofErr w:type="spellEnd"/>
            <w:r w:rsidRPr="00290188">
              <w:t xml:space="preserve"> </w:t>
            </w:r>
            <w:proofErr w:type="spellStart"/>
            <w:r w:rsidRPr="00290188">
              <w:t>Dinka</w:t>
            </w:r>
            <w:proofErr w:type="spellEnd"/>
            <w:r w:rsidRPr="00290188">
              <w:t xml:space="preserve"> en </w:t>
            </w:r>
            <w:proofErr w:type="spellStart"/>
            <w:r w:rsidRPr="00290188">
              <w:t>Ngok</w:t>
            </w:r>
            <w:proofErr w:type="spellEnd"/>
            <w:r w:rsidRPr="00290188">
              <w:t xml:space="preserve"> </w:t>
            </w:r>
            <w:proofErr w:type="spellStart"/>
            <w:r w:rsidRPr="00290188">
              <w:t>Dinka</w:t>
            </w:r>
            <w:proofErr w:type="spellEnd"/>
            <w:r w:rsidRPr="00290188">
              <w:t xml:space="preserve">. De </w:t>
            </w:r>
            <w:proofErr w:type="spellStart"/>
            <w:r w:rsidRPr="00290188">
              <w:t>Misseriya</w:t>
            </w:r>
            <w:proofErr w:type="spellEnd"/>
            <w:r w:rsidRPr="00290188">
              <w:t xml:space="preserve"> zijn een Arabische nomadengemeenschap. De </w:t>
            </w:r>
            <w:proofErr w:type="spellStart"/>
            <w:r w:rsidRPr="00290188">
              <w:t>Nuer</w:t>
            </w:r>
            <w:proofErr w:type="spellEnd"/>
            <w:r w:rsidRPr="00290188">
              <w:t xml:space="preserve">, </w:t>
            </w:r>
            <w:proofErr w:type="spellStart"/>
            <w:r w:rsidRPr="00290188">
              <w:t>Twic</w:t>
            </w:r>
            <w:proofErr w:type="spellEnd"/>
            <w:r w:rsidRPr="00290188">
              <w:t xml:space="preserve"> </w:t>
            </w:r>
            <w:proofErr w:type="spellStart"/>
            <w:r w:rsidRPr="00290188">
              <w:t>Dinka</w:t>
            </w:r>
            <w:proofErr w:type="spellEnd"/>
            <w:r w:rsidRPr="00290188">
              <w:t xml:space="preserve"> en </w:t>
            </w:r>
            <w:proofErr w:type="spellStart"/>
            <w:r w:rsidRPr="00290188">
              <w:t>Ngok</w:t>
            </w:r>
            <w:proofErr w:type="spellEnd"/>
            <w:r w:rsidRPr="00290188">
              <w:t xml:space="preserve"> </w:t>
            </w:r>
            <w:proofErr w:type="spellStart"/>
            <w:r w:rsidRPr="00290188">
              <w:t>Dinka</w:t>
            </w:r>
            <w:proofErr w:type="spellEnd"/>
            <w:r w:rsidRPr="00290188">
              <w:t xml:space="preserve"> zijn Afrikaanse bevolkingsgroepen die een </w:t>
            </w:r>
            <w:proofErr w:type="spellStart"/>
            <w:r w:rsidRPr="00290188">
              <w:t>Nilo</w:t>
            </w:r>
            <w:proofErr w:type="spellEnd"/>
            <w:r w:rsidRPr="00290188">
              <w:t xml:space="preserve">-Saharaanse taal spreken. De </w:t>
            </w:r>
            <w:proofErr w:type="spellStart"/>
            <w:r w:rsidRPr="00290188">
              <w:t>Twic</w:t>
            </w:r>
            <w:proofErr w:type="spellEnd"/>
            <w:r w:rsidRPr="00290188">
              <w:t xml:space="preserve"> en </w:t>
            </w:r>
            <w:proofErr w:type="spellStart"/>
            <w:r w:rsidRPr="00290188">
              <w:t>Ngok</w:t>
            </w:r>
            <w:proofErr w:type="spellEnd"/>
            <w:r w:rsidRPr="00290188">
              <w:t xml:space="preserve"> zijn twee subgroepen binnen de </w:t>
            </w:r>
            <w:proofErr w:type="spellStart"/>
            <w:r w:rsidRPr="00290188">
              <w:t>Dinka</w:t>
            </w:r>
            <w:proofErr w:type="spellEnd"/>
            <w:r w:rsidRPr="00290188">
              <w:t>.</w:t>
            </w:r>
          </w:p>
        </w:tc>
      </w:tr>
      <w:tr w:rsidRPr="00290188" w:rsidR="008B6613" w:rsidTr="000E52C6" w14:paraId="16E53C6E" w14:textId="77777777">
        <w:tc>
          <w:tcPr>
            <w:tcW w:w="2263" w:type="dxa"/>
          </w:tcPr>
          <w:p w:rsidRPr="00290188" w:rsidR="008B6613" w:rsidP="000E52C6" w:rsidRDefault="008B6613" w14:paraId="2502CBB1" w14:textId="77777777">
            <w:pPr>
              <w:pStyle w:val="broodtekst"/>
            </w:pPr>
            <w:r w:rsidRPr="00290188">
              <w:t>Aard van het geweld &amp; gevechtsmethodes</w:t>
            </w:r>
          </w:p>
        </w:tc>
        <w:tc>
          <w:tcPr>
            <w:tcW w:w="6663" w:type="dxa"/>
          </w:tcPr>
          <w:p w:rsidRPr="00290188" w:rsidR="008B6613" w:rsidP="008B6613" w:rsidRDefault="008B6613" w14:paraId="54EED1E9" w14:textId="67279E8B">
            <w:pPr>
              <w:pStyle w:val="broodtekst"/>
              <w:numPr>
                <w:ilvl w:val="0"/>
                <w:numId w:val="3"/>
              </w:numPr>
              <w:rPr>
                <w:color w:val="000000" w:themeColor="text1"/>
              </w:rPr>
            </w:pPr>
            <w:r w:rsidRPr="00290188">
              <w:rPr>
                <w:color w:val="000000" w:themeColor="text1"/>
              </w:rPr>
              <w:t xml:space="preserve">In </w:t>
            </w:r>
            <w:proofErr w:type="spellStart"/>
            <w:r w:rsidRPr="00290188">
              <w:rPr>
                <w:color w:val="000000" w:themeColor="text1"/>
              </w:rPr>
              <w:t>Abyei</w:t>
            </w:r>
            <w:proofErr w:type="spellEnd"/>
            <w:r w:rsidRPr="00290188">
              <w:rPr>
                <w:color w:val="000000" w:themeColor="text1"/>
              </w:rPr>
              <w:t xml:space="preserve"> was met name sprake van intercommunaal geweld, vooral tussen de </w:t>
            </w:r>
            <w:proofErr w:type="spellStart"/>
            <w:r w:rsidRPr="00290188">
              <w:rPr>
                <w:color w:val="000000" w:themeColor="text1"/>
              </w:rPr>
              <w:t>Twic</w:t>
            </w:r>
            <w:proofErr w:type="spellEnd"/>
            <w:r w:rsidRPr="00290188">
              <w:rPr>
                <w:color w:val="000000" w:themeColor="text1"/>
              </w:rPr>
              <w:t xml:space="preserve"> </w:t>
            </w:r>
            <w:proofErr w:type="spellStart"/>
            <w:r w:rsidRPr="00290188">
              <w:rPr>
                <w:color w:val="000000" w:themeColor="text1"/>
              </w:rPr>
              <w:t>Dinka</w:t>
            </w:r>
            <w:proofErr w:type="spellEnd"/>
            <w:r w:rsidRPr="00290188">
              <w:rPr>
                <w:color w:val="000000" w:themeColor="text1"/>
              </w:rPr>
              <w:t xml:space="preserve"> en de </w:t>
            </w:r>
            <w:proofErr w:type="spellStart"/>
            <w:r w:rsidRPr="00290188">
              <w:rPr>
                <w:color w:val="000000" w:themeColor="text1"/>
              </w:rPr>
              <w:t>Ngok</w:t>
            </w:r>
            <w:proofErr w:type="spellEnd"/>
            <w:r w:rsidRPr="00290188">
              <w:rPr>
                <w:color w:val="000000" w:themeColor="text1"/>
              </w:rPr>
              <w:t xml:space="preserve"> </w:t>
            </w:r>
            <w:proofErr w:type="spellStart"/>
            <w:r w:rsidRPr="00290188">
              <w:rPr>
                <w:color w:val="000000" w:themeColor="text1"/>
              </w:rPr>
              <w:t>Dinka</w:t>
            </w:r>
            <w:proofErr w:type="spellEnd"/>
            <w:r w:rsidRPr="00290188">
              <w:rPr>
                <w:color w:val="000000" w:themeColor="text1"/>
              </w:rPr>
              <w:t xml:space="preserve">. Zo pleegden gewapende jongeren van de </w:t>
            </w:r>
            <w:proofErr w:type="spellStart"/>
            <w:r w:rsidRPr="00290188">
              <w:rPr>
                <w:color w:val="000000" w:themeColor="text1"/>
              </w:rPr>
              <w:t>Twic</w:t>
            </w:r>
            <w:proofErr w:type="spellEnd"/>
            <w:r w:rsidRPr="00290188">
              <w:rPr>
                <w:color w:val="000000" w:themeColor="text1"/>
              </w:rPr>
              <w:t xml:space="preserve"> </w:t>
            </w:r>
            <w:proofErr w:type="spellStart"/>
            <w:r w:rsidRPr="00290188">
              <w:rPr>
                <w:color w:val="000000" w:themeColor="text1"/>
              </w:rPr>
              <w:t>Dinka</w:t>
            </w:r>
            <w:proofErr w:type="spellEnd"/>
            <w:r w:rsidRPr="00290188">
              <w:rPr>
                <w:color w:val="000000" w:themeColor="text1"/>
              </w:rPr>
              <w:t xml:space="preserve"> geweld waarbij minstens negen doden vielen. Ook vielen gewapende mannen van de nomadengemeenschap de </w:t>
            </w:r>
            <w:proofErr w:type="spellStart"/>
            <w:r w:rsidRPr="00290188">
              <w:rPr>
                <w:color w:val="000000" w:themeColor="text1"/>
              </w:rPr>
              <w:t>Misseriya</w:t>
            </w:r>
            <w:proofErr w:type="spellEnd"/>
            <w:r w:rsidRPr="00290188">
              <w:rPr>
                <w:color w:val="000000" w:themeColor="text1"/>
              </w:rPr>
              <w:t xml:space="preserve"> een politiebureau aan en vonden er strooptochten plaats.</w:t>
            </w:r>
          </w:p>
          <w:p w:rsidRPr="00290188" w:rsidR="008B6613" w:rsidP="000E52C6" w:rsidRDefault="008B6613" w14:paraId="0CA7A803" w14:textId="19A7EE32">
            <w:pPr>
              <w:pStyle w:val="broodtekst"/>
              <w:numPr>
                <w:ilvl w:val="0"/>
                <w:numId w:val="3"/>
              </w:numPr>
              <w:rPr>
                <w:color w:val="000000" w:themeColor="text1"/>
              </w:rPr>
            </w:pPr>
            <w:r w:rsidRPr="00290188">
              <w:rPr>
                <w:color w:val="000000" w:themeColor="text1"/>
              </w:rPr>
              <w:t xml:space="preserve">In de voorgaande verslagperiode was de veiligheidssituatie in </w:t>
            </w:r>
            <w:proofErr w:type="spellStart"/>
            <w:r w:rsidRPr="00290188">
              <w:rPr>
                <w:color w:val="000000" w:themeColor="text1"/>
              </w:rPr>
              <w:t>Abyei</w:t>
            </w:r>
            <w:proofErr w:type="spellEnd"/>
            <w:r w:rsidRPr="00290188">
              <w:rPr>
                <w:color w:val="000000" w:themeColor="text1"/>
              </w:rPr>
              <w:t xml:space="preserve"> al fragiel. Ook de afgelopen periode vonden er veiligheidsincidenten plaats. Zo werden VN vredeshandhavers en civiele VN</w:t>
            </w:r>
            <w:r w:rsidRPr="00290188" w:rsidR="007608C6">
              <w:rPr>
                <w:color w:val="000000" w:themeColor="text1"/>
              </w:rPr>
              <w:t>-</w:t>
            </w:r>
            <w:r w:rsidRPr="00290188">
              <w:rPr>
                <w:color w:val="000000" w:themeColor="text1"/>
              </w:rPr>
              <w:t xml:space="preserve">medewerkers opgepakt door de RSF en werden voertuigen van de VN-missie in </w:t>
            </w:r>
            <w:proofErr w:type="spellStart"/>
            <w:r w:rsidRPr="00290188">
              <w:rPr>
                <w:color w:val="000000" w:themeColor="text1"/>
              </w:rPr>
              <w:t>Abyei</w:t>
            </w:r>
            <w:proofErr w:type="spellEnd"/>
            <w:r w:rsidRPr="00290188">
              <w:rPr>
                <w:color w:val="000000" w:themeColor="text1"/>
              </w:rPr>
              <w:t xml:space="preserve"> geplunderd. </w:t>
            </w:r>
          </w:p>
        </w:tc>
      </w:tr>
      <w:tr w:rsidRPr="00290188" w:rsidR="008B6613" w:rsidTr="00316EAD" w14:paraId="371C7A09" w14:textId="77777777">
        <w:trPr>
          <w:trHeight w:val="1975"/>
        </w:trPr>
        <w:tc>
          <w:tcPr>
            <w:tcW w:w="2263" w:type="dxa"/>
          </w:tcPr>
          <w:p w:rsidRPr="00290188" w:rsidR="008B6613" w:rsidP="000E52C6" w:rsidRDefault="008B6613" w14:paraId="734C0A6B" w14:textId="77777777">
            <w:pPr>
              <w:pStyle w:val="broodtekst"/>
            </w:pPr>
            <w:r w:rsidRPr="00290188">
              <w:t>Aantal geweldsincidenten</w:t>
            </w:r>
          </w:p>
        </w:tc>
        <w:tc>
          <w:tcPr>
            <w:tcW w:w="6663" w:type="dxa"/>
          </w:tcPr>
          <w:p w:rsidRPr="00290188" w:rsidR="008B6613" w:rsidP="000E52C6" w:rsidRDefault="008B6613" w14:paraId="4738AF7E" w14:textId="77777777">
            <w:pPr>
              <w:pStyle w:val="broodtekst"/>
            </w:pPr>
            <w:r w:rsidRPr="00290188">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728"/>
              <w:gridCol w:w="728"/>
              <w:gridCol w:w="1434"/>
            </w:tblGrid>
            <w:tr w:rsidRPr="00290188" w:rsidR="008B6613" w:rsidTr="00316EAD" w14:paraId="413163D0" w14:textId="77777777">
              <w:trPr>
                <w:trHeight w:val="123"/>
                <w:jc w:val="center"/>
              </w:trPr>
              <w:tc>
                <w:tcPr>
                  <w:tcW w:w="0" w:type="auto"/>
                </w:tcPr>
                <w:p w:rsidRPr="00290188" w:rsidR="008B6613" w:rsidP="000E52C6" w:rsidRDefault="008B6613" w14:paraId="64B16218" w14:textId="77777777">
                  <w:pPr>
                    <w:pStyle w:val="Default"/>
                    <w:rPr>
                      <w:b/>
                      <w:bCs/>
                      <w:sz w:val="18"/>
                      <w:szCs w:val="18"/>
                    </w:rPr>
                  </w:pPr>
                </w:p>
              </w:tc>
              <w:tc>
                <w:tcPr>
                  <w:tcW w:w="0" w:type="auto"/>
                </w:tcPr>
                <w:p w:rsidRPr="00290188" w:rsidR="008B6613" w:rsidP="000E52C6" w:rsidRDefault="008B6613" w14:paraId="040D0D16" w14:textId="77777777">
                  <w:pPr>
                    <w:pStyle w:val="Default"/>
                    <w:rPr>
                      <w:b/>
                      <w:bCs/>
                      <w:sz w:val="18"/>
                      <w:szCs w:val="18"/>
                    </w:rPr>
                  </w:pPr>
                  <w:r w:rsidRPr="00290188">
                    <w:rPr>
                      <w:b/>
                      <w:bCs/>
                      <w:sz w:val="18"/>
                      <w:szCs w:val="18"/>
                    </w:rPr>
                    <w:t>2023</w:t>
                  </w:r>
                </w:p>
              </w:tc>
              <w:tc>
                <w:tcPr>
                  <w:tcW w:w="0" w:type="auto"/>
                </w:tcPr>
                <w:p w:rsidRPr="00290188" w:rsidR="008B6613" w:rsidP="000E52C6" w:rsidRDefault="008B6613" w14:paraId="03BBBAB8" w14:textId="77777777">
                  <w:pPr>
                    <w:pStyle w:val="Default"/>
                    <w:rPr>
                      <w:b/>
                      <w:bCs/>
                      <w:sz w:val="18"/>
                      <w:szCs w:val="18"/>
                    </w:rPr>
                  </w:pPr>
                  <w:r w:rsidRPr="00290188">
                    <w:rPr>
                      <w:b/>
                      <w:bCs/>
                      <w:sz w:val="18"/>
                      <w:szCs w:val="18"/>
                    </w:rPr>
                    <w:t>2024</w:t>
                  </w:r>
                </w:p>
              </w:tc>
              <w:tc>
                <w:tcPr>
                  <w:tcW w:w="0" w:type="auto"/>
                </w:tcPr>
                <w:p w:rsidRPr="00290188" w:rsidR="008B6613" w:rsidP="000E52C6" w:rsidRDefault="008B6613" w14:paraId="53F6E163" w14:textId="77777777">
                  <w:pPr>
                    <w:pStyle w:val="Default"/>
                    <w:rPr>
                      <w:b/>
                      <w:bCs/>
                      <w:sz w:val="18"/>
                      <w:szCs w:val="18"/>
                    </w:rPr>
                  </w:pPr>
                  <w:r w:rsidRPr="00290188">
                    <w:rPr>
                      <w:b/>
                      <w:bCs/>
                      <w:sz w:val="18"/>
                      <w:szCs w:val="18"/>
                    </w:rPr>
                    <w:t xml:space="preserve">2025 </w:t>
                  </w:r>
                  <w:r w:rsidRPr="00290188">
                    <w:rPr>
                      <w:b/>
                      <w:bCs/>
                      <w:sz w:val="18"/>
                      <w:szCs w:val="18"/>
                    </w:rPr>
                    <w:br/>
                    <w:t>(t/m 8 aug)</w:t>
                  </w:r>
                </w:p>
              </w:tc>
            </w:tr>
            <w:tr w:rsidRPr="00290188" w:rsidR="008B6613" w:rsidTr="00316EAD" w14:paraId="56199AF2" w14:textId="77777777">
              <w:trPr>
                <w:trHeight w:val="123"/>
                <w:jc w:val="center"/>
              </w:trPr>
              <w:tc>
                <w:tcPr>
                  <w:tcW w:w="0" w:type="auto"/>
                </w:tcPr>
                <w:p w:rsidRPr="00290188" w:rsidR="008B6613" w:rsidP="008B6613" w:rsidRDefault="008B6613" w14:paraId="1ECEFC07" w14:textId="77777777">
                  <w:pPr>
                    <w:pStyle w:val="Default"/>
                    <w:rPr>
                      <w:sz w:val="18"/>
                      <w:szCs w:val="18"/>
                    </w:rPr>
                  </w:pPr>
                  <w:r w:rsidRPr="00290188">
                    <w:rPr>
                      <w:b/>
                      <w:bCs/>
                      <w:sz w:val="18"/>
                      <w:szCs w:val="18"/>
                    </w:rPr>
                    <w:t>Totaal</w:t>
                  </w:r>
                </w:p>
              </w:tc>
              <w:tc>
                <w:tcPr>
                  <w:tcW w:w="0" w:type="auto"/>
                </w:tcPr>
                <w:p w:rsidRPr="00290188" w:rsidR="008B6613" w:rsidP="008B6613" w:rsidRDefault="008B6613" w14:paraId="05A76DBE" w14:textId="449C687F">
                  <w:pPr>
                    <w:pStyle w:val="Default"/>
                    <w:rPr>
                      <w:b/>
                      <w:bCs/>
                      <w:sz w:val="18"/>
                      <w:szCs w:val="18"/>
                    </w:rPr>
                  </w:pPr>
                  <w:r w:rsidRPr="00290188">
                    <w:rPr>
                      <w:b/>
                      <w:bCs/>
                      <w:sz w:val="18"/>
                      <w:szCs w:val="18"/>
                    </w:rPr>
                    <w:t>81</w:t>
                  </w:r>
                </w:p>
              </w:tc>
              <w:tc>
                <w:tcPr>
                  <w:tcW w:w="0" w:type="auto"/>
                </w:tcPr>
                <w:p w:rsidRPr="00290188" w:rsidR="008B6613" w:rsidP="008B6613" w:rsidRDefault="008B6613" w14:paraId="0329B34C" w14:textId="3F61B48A">
                  <w:pPr>
                    <w:pStyle w:val="Default"/>
                    <w:rPr>
                      <w:b/>
                      <w:bCs/>
                      <w:sz w:val="18"/>
                      <w:szCs w:val="18"/>
                    </w:rPr>
                  </w:pPr>
                  <w:r w:rsidRPr="00290188">
                    <w:rPr>
                      <w:b/>
                      <w:bCs/>
                      <w:sz w:val="18"/>
                      <w:szCs w:val="18"/>
                    </w:rPr>
                    <w:t>61</w:t>
                  </w:r>
                </w:p>
              </w:tc>
              <w:tc>
                <w:tcPr>
                  <w:tcW w:w="0" w:type="auto"/>
                </w:tcPr>
                <w:p w:rsidRPr="00290188" w:rsidR="008B6613" w:rsidP="008B6613" w:rsidRDefault="008B6613" w14:paraId="71D01098" w14:textId="2257FB42">
                  <w:pPr>
                    <w:pStyle w:val="Default"/>
                    <w:rPr>
                      <w:b/>
                      <w:bCs/>
                      <w:sz w:val="18"/>
                      <w:szCs w:val="18"/>
                    </w:rPr>
                  </w:pPr>
                  <w:r w:rsidRPr="00290188">
                    <w:rPr>
                      <w:b/>
                      <w:bCs/>
                      <w:sz w:val="18"/>
                      <w:szCs w:val="18"/>
                    </w:rPr>
                    <w:t>27</w:t>
                  </w:r>
                </w:p>
              </w:tc>
            </w:tr>
            <w:tr w:rsidRPr="00290188" w:rsidR="008B6613" w:rsidTr="00316EAD" w14:paraId="79F1DA3D" w14:textId="77777777">
              <w:trPr>
                <w:trHeight w:val="121"/>
                <w:jc w:val="center"/>
              </w:trPr>
              <w:tc>
                <w:tcPr>
                  <w:tcW w:w="0" w:type="auto"/>
                </w:tcPr>
                <w:p w:rsidRPr="00290188" w:rsidR="008B6613" w:rsidP="008B6613" w:rsidRDefault="008B6613" w14:paraId="2F5A0CE8" w14:textId="77777777">
                  <w:pPr>
                    <w:pStyle w:val="Default"/>
                    <w:rPr>
                      <w:sz w:val="18"/>
                      <w:szCs w:val="18"/>
                    </w:rPr>
                  </w:pPr>
                  <w:r w:rsidRPr="00290188">
                    <w:rPr>
                      <w:sz w:val="18"/>
                      <w:szCs w:val="18"/>
                    </w:rPr>
                    <w:t xml:space="preserve">Gevechten </w:t>
                  </w:r>
                </w:p>
              </w:tc>
              <w:tc>
                <w:tcPr>
                  <w:tcW w:w="0" w:type="auto"/>
                </w:tcPr>
                <w:p w:rsidRPr="00290188" w:rsidR="008B6613" w:rsidP="008B6613" w:rsidRDefault="008B6613" w14:paraId="2CADF5B3" w14:textId="244EE6C0">
                  <w:pPr>
                    <w:pStyle w:val="Default"/>
                    <w:rPr>
                      <w:sz w:val="18"/>
                      <w:szCs w:val="18"/>
                    </w:rPr>
                  </w:pPr>
                  <w:r w:rsidRPr="00290188">
                    <w:rPr>
                      <w:sz w:val="18"/>
                      <w:szCs w:val="18"/>
                    </w:rPr>
                    <w:t>34</w:t>
                  </w:r>
                </w:p>
              </w:tc>
              <w:tc>
                <w:tcPr>
                  <w:tcW w:w="0" w:type="auto"/>
                </w:tcPr>
                <w:p w:rsidRPr="00290188" w:rsidR="008B6613" w:rsidP="008B6613" w:rsidRDefault="008B6613" w14:paraId="28B7B091" w14:textId="01F70A14">
                  <w:pPr>
                    <w:pStyle w:val="Default"/>
                    <w:rPr>
                      <w:sz w:val="18"/>
                      <w:szCs w:val="18"/>
                    </w:rPr>
                  </w:pPr>
                  <w:r w:rsidRPr="00290188">
                    <w:rPr>
                      <w:sz w:val="18"/>
                      <w:szCs w:val="18"/>
                    </w:rPr>
                    <w:t>23</w:t>
                  </w:r>
                </w:p>
              </w:tc>
              <w:tc>
                <w:tcPr>
                  <w:tcW w:w="0" w:type="auto"/>
                </w:tcPr>
                <w:p w:rsidRPr="00290188" w:rsidR="008B6613" w:rsidP="008B6613" w:rsidRDefault="008B6613" w14:paraId="29FD6AAB" w14:textId="7D4A48D3">
                  <w:pPr>
                    <w:pStyle w:val="Default"/>
                    <w:rPr>
                      <w:sz w:val="18"/>
                      <w:szCs w:val="18"/>
                    </w:rPr>
                  </w:pPr>
                  <w:r w:rsidRPr="00290188">
                    <w:rPr>
                      <w:sz w:val="18"/>
                      <w:szCs w:val="18"/>
                    </w:rPr>
                    <w:t>10</w:t>
                  </w:r>
                </w:p>
              </w:tc>
            </w:tr>
            <w:tr w:rsidRPr="00290188" w:rsidR="008B6613" w:rsidTr="00316EAD" w14:paraId="6ADD43D9" w14:textId="77777777">
              <w:trPr>
                <w:trHeight w:val="121"/>
                <w:jc w:val="center"/>
              </w:trPr>
              <w:tc>
                <w:tcPr>
                  <w:tcW w:w="0" w:type="auto"/>
                </w:tcPr>
                <w:p w:rsidRPr="00290188" w:rsidR="008B6613" w:rsidP="008B6613" w:rsidRDefault="008B6613" w14:paraId="4E4E583C" w14:textId="77777777">
                  <w:pPr>
                    <w:pStyle w:val="Default"/>
                    <w:rPr>
                      <w:sz w:val="18"/>
                      <w:szCs w:val="18"/>
                    </w:rPr>
                  </w:pPr>
                  <w:r w:rsidRPr="00290188">
                    <w:rPr>
                      <w:sz w:val="18"/>
                      <w:szCs w:val="18"/>
                    </w:rPr>
                    <w:t xml:space="preserve">Explosies/geweld op afstand </w:t>
                  </w:r>
                </w:p>
              </w:tc>
              <w:tc>
                <w:tcPr>
                  <w:tcW w:w="0" w:type="auto"/>
                </w:tcPr>
                <w:p w:rsidRPr="00290188" w:rsidR="008B6613" w:rsidP="008B6613" w:rsidRDefault="008B6613" w14:paraId="2E9BDC3A" w14:textId="25D8C343">
                  <w:pPr>
                    <w:pStyle w:val="Default"/>
                    <w:rPr>
                      <w:sz w:val="18"/>
                      <w:szCs w:val="18"/>
                    </w:rPr>
                  </w:pPr>
                  <w:r w:rsidRPr="00290188">
                    <w:rPr>
                      <w:sz w:val="18"/>
                      <w:szCs w:val="18"/>
                    </w:rPr>
                    <w:t>0</w:t>
                  </w:r>
                </w:p>
              </w:tc>
              <w:tc>
                <w:tcPr>
                  <w:tcW w:w="0" w:type="auto"/>
                </w:tcPr>
                <w:p w:rsidRPr="00290188" w:rsidR="008B6613" w:rsidP="008B6613" w:rsidRDefault="008B6613" w14:paraId="2C5C5C29" w14:textId="07C7AE72">
                  <w:pPr>
                    <w:pStyle w:val="Default"/>
                    <w:rPr>
                      <w:sz w:val="18"/>
                      <w:szCs w:val="18"/>
                    </w:rPr>
                  </w:pPr>
                  <w:r w:rsidRPr="00290188">
                    <w:rPr>
                      <w:sz w:val="18"/>
                      <w:szCs w:val="18"/>
                    </w:rPr>
                    <w:t>0</w:t>
                  </w:r>
                </w:p>
              </w:tc>
              <w:tc>
                <w:tcPr>
                  <w:tcW w:w="0" w:type="auto"/>
                </w:tcPr>
                <w:p w:rsidRPr="00290188" w:rsidR="008B6613" w:rsidP="008B6613" w:rsidRDefault="008B6613" w14:paraId="6E48687C" w14:textId="127BFB5F">
                  <w:pPr>
                    <w:pStyle w:val="Default"/>
                    <w:rPr>
                      <w:sz w:val="18"/>
                      <w:szCs w:val="18"/>
                    </w:rPr>
                  </w:pPr>
                  <w:r w:rsidRPr="00290188">
                    <w:rPr>
                      <w:sz w:val="18"/>
                      <w:szCs w:val="18"/>
                    </w:rPr>
                    <w:t>1</w:t>
                  </w:r>
                </w:p>
              </w:tc>
            </w:tr>
            <w:tr w:rsidRPr="00290188" w:rsidR="008B6613" w:rsidTr="00316EAD" w14:paraId="222DBFEB" w14:textId="77777777">
              <w:trPr>
                <w:trHeight w:val="121"/>
                <w:jc w:val="center"/>
              </w:trPr>
              <w:tc>
                <w:tcPr>
                  <w:tcW w:w="0" w:type="auto"/>
                </w:tcPr>
                <w:p w:rsidRPr="00290188" w:rsidR="008B6613" w:rsidP="008B6613" w:rsidRDefault="008B6613" w14:paraId="4580BDC3" w14:textId="77777777">
                  <w:pPr>
                    <w:pStyle w:val="Default"/>
                    <w:rPr>
                      <w:sz w:val="18"/>
                      <w:szCs w:val="18"/>
                    </w:rPr>
                  </w:pPr>
                  <w:r w:rsidRPr="00290188">
                    <w:rPr>
                      <w:sz w:val="18"/>
                      <w:szCs w:val="18"/>
                    </w:rPr>
                    <w:t xml:space="preserve">Geweld tegen burgers </w:t>
                  </w:r>
                </w:p>
              </w:tc>
              <w:tc>
                <w:tcPr>
                  <w:tcW w:w="0" w:type="auto"/>
                </w:tcPr>
                <w:p w:rsidRPr="00290188" w:rsidR="008B6613" w:rsidP="008B6613" w:rsidRDefault="008B6613" w14:paraId="76FCCB43" w14:textId="39672894">
                  <w:pPr>
                    <w:pStyle w:val="Default"/>
                    <w:rPr>
                      <w:sz w:val="18"/>
                      <w:szCs w:val="18"/>
                    </w:rPr>
                  </w:pPr>
                  <w:r w:rsidRPr="00290188">
                    <w:rPr>
                      <w:sz w:val="18"/>
                      <w:szCs w:val="18"/>
                    </w:rPr>
                    <w:t>47</w:t>
                  </w:r>
                </w:p>
              </w:tc>
              <w:tc>
                <w:tcPr>
                  <w:tcW w:w="0" w:type="auto"/>
                </w:tcPr>
                <w:p w:rsidRPr="00290188" w:rsidR="008B6613" w:rsidP="008B6613" w:rsidRDefault="008B6613" w14:paraId="5B0EB8FB" w14:textId="458C9107">
                  <w:pPr>
                    <w:pStyle w:val="Default"/>
                    <w:rPr>
                      <w:sz w:val="18"/>
                      <w:szCs w:val="18"/>
                    </w:rPr>
                  </w:pPr>
                  <w:r w:rsidRPr="00290188">
                    <w:rPr>
                      <w:sz w:val="18"/>
                      <w:szCs w:val="18"/>
                    </w:rPr>
                    <w:t>38</w:t>
                  </w:r>
                </w:p>
              </w:tc>
              <w:tc>
                <w:tcPr>
                  <w:tcW w:w="0" w:type="auto"/>
                </w:tcPr>
                <w:p w:rsidRPr="00290188" w:rsidR="008B6613" w:rsidP="008B6613" w:rsidRDefault="008B6613" w14:paraId="5EDB67E6" w14:textId="3CA49C86">
                  <w:pPr>
                    <w:pStyle w:val="Default"/>
                    <w:rPr>
                      <w:sz w:val="18"/>
                      <w:szCs w:val="18"/>
                    </w:rPr>
                  </w:pPr>
                  <w:r w:rsidRPr="00290188">
                    <w:rPr>
                      <w:sz w:val="18"/>
                      <w:szCs w:val="18"/>
                    </w:rPr>
                    <w:t>16</w:t>
                  </w:r>
                </w:p>
              </w:tc>
            </w:tr>
          </w:tbl>
          <w:p w:rsidRPr="00290188" w:rsidR="008B6613" w:rsidP="000E52C6" w:rsidRDefault="008B6613" w14:paraId="50285A49" w14:textId="77777777">
            <w:pPr>
              <w:pStyle w:val="broodtekst"/>
            </w:pPr>
          </w:p>
        </w:tc>
      </w:tr>
      <w:tr w:rsidRPr="00290188" w:rsidR="008B6613" w:rsidTr="000E52C6" w14:paraId="1479D31D" w14:textId="77777777">
        <w:tc>
          <w:tcPr>
            <w:tcW w:w="2263" w:type="dxa"/>
          </w:tcPr>
          <w:p w:rsidRPr="00290188" w:rsidR="008B6613" w:rsidP="000E52C6" w:rsidRDefault="008B6613" w14:paraId="5A828B1A" w14:textId="77777777">
            <w:pPr>
              <w:pStyle w:val="broodtekst"/>
            </w:pPr>
            <w:r w:rsidRPr="00290188">
              <w:t>Geografische omvang geweld</w:t>
            </w:r>
          </w:p>
        </w:tc>
        <w:tc>
          <w:tcPr>
            <w:tcW w:w="6663" w:type="dxa"/>
          </w:tcPr>
          <w:p w:rsidRPr="00290188" w:rsidR="008B6613" w:rsidP="000E52C6" w:rsidRDefault="008B6613" w14:paraId="5D1F4A7F" w14:textId="77777777">
            <w:pPr>
              <w:pStyle w:val="broodtekst"/>
              <w:rPr>
                <w:i/>
                <w:iCs/>
              </w:rPr>
            </w:pPr>
            <w:r w:rsidRPr="00290188">
              <w:rPr>
                <w:i/>
                <w:iCs/>
              </w:rPr>
              <w:t>Geen beschikbare informatie</w:t>
            </w:r>
          </w:p>
        </w:tc>
      </w:tr>
      <w:tr w:rsidRPr="00290188" w:rsidR="008B6613" w:rsidTr="000E52C6" w14:paraId="36EEA871" w14:textId="77777777">
        <w:tc>
          <w:tcPr>
            <w:tcW w:w="2263" w:type="dxa"/>
          </w:tcPr>
          <w:p w:rsidRPr="00290188" w:rsidR="008B6613" w:rsidP="000E52C6" w:rsidRDefault="008B6613" w14:paraId="20A4C55F" w14:textId="77777777">
            <w:pPr>
              <w:pStyle w:val="broodtekst"/>
            </w:pPr>
            <w:r w:rsidRPr="00290188">
              <w:t>Veiligheidsstructuur</w:t>
            </w:r>
          </w:p>
        </w:tc>
        <w:tc>
          <w:tcPr>
            <w:tcW w:w="6663" w:type="dxa"/>
          </w:tcPr>
          <w:p w:rsidRPr="00290188" w:rsidR="008B6613" w:rsidP="000E52C6" w:rsidRDefault="008B6613" w14:paraId="6C348C13" w14:textId="7375897C">
            <w:pPr>
              <w:pStyle w:val="broodtekst"/>
            </w:pPr>
            <w:r w:rsidRPr="00290188">
              <w:t xml:space="preserve">De UNISFA is in </w:t>
            </w:r>
            <w:proofErr w:type="spellStart"/>
            <w:r w:rsidRPr="00290188">
              <w:t>Abyei</w:t>
            </w:r>
            <w:proofErr w:type="spellEnd"/>
            <w:r w:rsidRPr="00290188">
              <w:t xml:space="preserve"> gestationeerd om vrede en veiligheid te handhaven. Er is geen beschikbare informatie over de vraag in hoeverre dit ook daadwerkelijk het geval is. </w:t>
            </w:r>
          </w:p>
        </w:tc>
      </w:tr>
      <w:tr w:rsidRPr="00290188" w:rsidR="008B6613" w:rsidTr="000E52C6" w14:paraId="1EC0BECB" w14:textId="77777777">
        <w:tc>
          <w:tcPr>
            <w:tcW w:w="2263" w:type="dxa"/>
          </w:tcPr>
          <w:p w:rsidRPr="00290188" w:rsidR="008B6613" w:rsidP="000E52C6" w:rsidRDefault="008B6613" w14:paraId="7CC0D47C" w14:textId="77777777">
            <w:pPr>
              <w:pStyle w:val="broodtekst"/>
            </w:pPr>
            <w:r w:rsidRPr="00290188">
              <w:t>Doelwitten</w:t>
            </w:r>
          </w:p>
        </w:tc>
        <w:tc>
          <w:tcPr>
            <w:tcW w:w="6663" w:type="dxa"/>
          </w:tcPr>
          <w:p w:rsidRPr="00290188" w:rsidR="008B6613" w:rsidP="000E52C6" w:rsidRDefault="008B6613" w14:paraId="0CA4864C" w14:textId="77777777">
            <w:pPr>
              <w:pStyle w:val="broodtekst"/>
              <w:rPr>
                <w:i/>
                <w:iCs/>
              </w:rPr>
            </w:pPr>
            <w:r w:rsidRPr="00290188">
              <w:rPr>
                <w:i/>
                <w:iCs/>
              </w:rPr>
              <w:t>Geen beschikbare informatie</w:t>
            </w:r>
          </w:p>
        </w:tc>
      </w:tr>
      <w:tr w:rsidRPr="00290188" w:rsidR="008B6613" w:rsidTr="000E52C6" w14:paraId="2B7D9F21" w14:textId="77777777">
        <w:tc>
          <w:tcPr>
            <w:tcW w:w="2263" w:type="dxa"/>
          </w:tcPr>
          <w:p w:rsidRPr="00290188" w:rsidR="008B6613" w:rsidP="000E52C6" w:rsidRDefault="008B6613" w14:paraId="63643987" w14:textId="77777777">
            <w:pPr>
              <w:pStyle w:val="broodtekst"/>
            </w:pPr>
            <w:r w:rsidRPr="00290188">
              <w:t>Dodelijke slachtoffers</w:t>
            </w:r>
          </w:p>
        </w:tc>
        <w:tc>
          <w:tcPr>
            <w:tcW w:w="6663" w:type="dxa"/>
          </w:tcPr>
          <w:p w:rsidRPr="00290188" w:rsidR="008B6613" w:rsidP="000E52C6" w:rsidRDefault="008B6613" w14:paraId="16FFCA56" w14:textId="77777777">
            <w:pPr>
              <w:pStyle w:val="broodtekst"/>
            </w:pPr>
            <w:r w:rsidRPr="00290188">
              <w:t>Aantallen door ACLED geregistreerde doden:</w:t>
            </w:r>
          </w:p>
          <w:p w:rsidRPr="00290188" w:rsidR="008B6613" w:rsidP="000E52C6" w:rsidRDefault="008B6613" w14:paraId="6E01F3FF"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
              <w:gridCol w:w="971"/>
              <w:gridCol w:w="1843"/>
            </w:tblGrid>
            <w:tr w:rsidRPr="00290188" w:rsidR="008B6613" w:rsidTr="00316EAD" w14:paraId="3AB3CE90" w14:textId="77777777">
              <w:trPr>
                <w:trHeight w:val="121"/>
                <w:jc w:val="center"/>
              </w:trPr>
              <w:tc>
                <w:tcPr>
                  <w:tcW w:w="963" w:type="dxa"/>
                </w:tcPr>
                <w:p w:rsidRPr="00290188" w:rsidR="008B6613" w:rsidP="000E52C6" w:rsidRDefault="008B6613" w14:paraId="5BFA64A9" w14:textId="77777777">
                  <w:pPr>
                    <w:pStyle w:val="Default"/>
                    <w:rPr>
                      <w:b/>
                      <w:bCs/>
                      <w:sz w:val="18"/>
                      <w:szCs w:val="18"/>
                    </w:rPr>
                  </w:pPr>
                  <w:r w:rsidRPr="00290188">
                    <w:rPr>
                      <w:b/>
                      <w:bCs/>
                      <w:sz w:val="18"/>
                      <w:szCs w:val="18"/>
                    </w:rPr>
                    <w:t>2023</w:t>
                  </w:r>
                </w:p>
              </w:tc>
              <w:tc>
                <w:tcPr>
                  <w:tcW w:w="971" w:type="dxa"/>
                </w:tcPr>
                <w:p w:rsidRPr="00290188" w:rsidR="008B6613" w:rsidP="000E52C6" w:rsidRDefault="008B6613" w14:paraId="2FF49E4F" w14:textId="77777777">
                  <w:pPr>
                    <w:pStyle w:val="Default"/>
                    <w:rPr>
                      <w:b/>
                      <w:bCs/>
                      <w:sz w:val="18"/>
                      <w:szCs w:val="18"/>
                    </w:rPr>
                  </w:pPr>
                  <w:r w:rsidRPr="00290188">
                    <w:rPr>
                      <w:b/>
                      <w:bCs/>
                      <w:sz w:val="18"/>
                      <w:szCs w:val="18"/>
                    </w:rPr>
                    <w:t>2024</w:t>
                  </w:r>
                </w:p>
              </w:tc>
              <w:tc>
                <w:tcPr>
                  <w:tcW w:w="1843" w:type="dxa"/>
                </w:tcPr>
                <w:p w:rsidRPr="00290188" w:rsidR="008B6613" w:rsidP="000E52C6" w:rsidRDefault="008B6613" w14:paraId="5669FA4A" w14:textId="77777777">
                  <w:pPr>
                    <w:pStyle w:val="Default"/>
                    <w:rPr>
                      <w:b/>
                      <w:bCs/>
                      <w:sz w:val="18"/>
                      <w:szCs w:val="18"/>
                    </w:rPr>
                  </w:pPr>
                  <w:r w:rsidRPr="00290188">
                    <w:rPr>
                      <w:b/>
                      <w:bCs/>
                      <w:sz w:val="18"/>
                      <w:szCs w:val="18"/>
                    </w:rPr>
                    <w:t>2025 t/m 8 aug</w:t>
                  </w:r>
                </w:p>
              </w:tc>
            </w:tr>
            <w:tr w:rsidRPr="00290188" w:rsidR="008B6613" w:rsidTr="00316EAD" w14:paraId="0353A30A" w14:textId="77777777">
              <w:trPr>
                <w:trHeight w:val="121"/>
                <w:jc w:val="center"/>
              </w:trPr>
              <w:tc>
                <w:tcPr>
                  <w:tcW w:w="963" w:type="dxa"/>
                </w:tcPr>
                <w:p w:rsidRPr="00290188" w:rsidR="008B6613" w:rsidP="000E52C6" w:rsidRDefault="008B6613" w14:paraId="1F083073" w14:textId="16E671D2">
                  <w:pPr>
                    <w:pStyle w:val="Default"/>
                    <w:rPr>
                      <w:sz w:val="18"/>
                      <w:szCs w:val="18"/>
                    </w:rPr>
                  </w:pPr>
                  <w:r w:rsidRPr="00290188">
                    <w:rPr>
                      <w:sz w:val="18"/>
                      <w:szCs w:val="18"/>
                    </w:rPr>
                    <w:lastRenderedPageBreak/>
                    <w:t>295</w:t>
                  </w:r>
                </w:p>
              </w:tc>
              <w:tc>
                <w:tcPr>
                  <w:tcW w:w="971" w:type="dxa"/>
                </w:tcPr>
                <w:p w:rsidRPr="00290188" w:rsidR="008B6613" w:rsidP="000E52C6" w:rsidRDefault="008B6613" w14:paraId="18375FDB" w14:textId="3976C150">
                  <w:pPr>
                    <w:pStyle w:val="Default"/>
                    <w:rPr>
                      <w:sz w:val="18"/>
                      <w:szCs w:val="18"/>
                    </w:rPr>
                  </w:pPr>
                  <w:r w:rsidRPr="00290188">
                    <w:rPr>
                      <w:sz w:val="18"/>
                      <w:szCs w:val="18"/>
                    </w:rPr>
                    <w:t>205</w:t>
                  </w:r>
                </w:p>
              </w:tc>
              <w:tc>
                <w:tcPr>
                  <w:tcW w:w="1843" w:type="dxa"/>
                </w:tcPr>
                <w:p w:rsidRPr="00290188" w:rsidR="008B6613" w:rsidP="000E52C6" w:rsidRDefault="008B6613" w14:paraId="1F651141" w14:textId="6AAE4DDE">
                  <w:pPr>
                    <w:pStyle w:val="Default"/>
                    <w:rPr>
                      <w:sz w:val="18"/>
                      <w:szCs w:val="18"/>
                    </w:rPr>
                  </w:pPr>
                  <w:r w:rsidRPr="00290188">
                    <w:rPr>
                      <w:sz w:val="18"/>
                      <w:szCs w:val="18"/>
                    </w:rPr>
                    <w:t>76</w:t>
                  </w:r>
                </w:p>
              </w:tc>
            </w:tr>
          </w:tbl>
          <w:p w:rsidRPr="00290188" w:rsidR="008B6613" w:rsidP="000E52C6" w:rsidRDefault="008B6613" w14:paraId="3AA2617E" w14:textId="77777777">
            <w:pPr>
              <w:pStyle w:val="broodtekst"/>
            </w:pPr>
          </w:p>
          <w:p w:rsidRPr="00290188" w:rsidR="008B6613" w:rsidP="000E52C6" w:rsidRDefault="004C188E" w14:paraId="0282F4B9" w14:textId="086DDD2C">
            <w:pPr>
              <w:pStyle w:val="broodtekst"/>
            </w:pPr>
            <w:r w:rsidRPr="00290188">
              <w:t xml:space="preserve">Geen OHCHR gegevens over </w:t>
            </w:r>
            <w:proofErr w:type="spellStart"/>
            <w:r w:rsidRPr="00290188">
              <w:t>Abyei</w:t>
            </w:r>
            <w:proofErr w:type="spellEnd"/>
            <w:r w:rsidRPr="00290188">
              <w:t xml:space="preserve"> beschikbaar</w:t>
            </w:r>
          </w:p>
          <w:p w:rsidRPr="00290188" w:rsidR="008B6613" w:rsidP="000E52C6" w:rsidRDefault="008B6613" w14:paraId="74F30E6F" w14:textId="77777777">
            <w:pPr>
              <w:pStyle w:val="broodtekst"/>
            </w:pPr>
          </w:p>
        </w:tc>
      </w:tr>
      <w:tr w:rsidRPr="00290188" w:rsidR="004C188E" w:rsidTr="000E52C6" w14:paraId="64699246" w14:textId="77777777">
        <w:tc>
          <w:tcPr>
            <w:tcW w:w="2263" w:type="dxa"/>
          </w:tcPr>
          <w:p w:rsidRPr="00290188" w:rsidR="004C188E" w:rsidP="004C188E" w:rsidRDefault="004C188E" w14:paraId="0D4E87A3" w14:textId="12EEE245">
            <w:pPr>
              <w:pStyle w:val="broodtekst"/>
            </w:pPr>
            <w:r w:rsidRPr="00290188">
              <w:lastRenderedPageBreak/>
              <w:t xml:space="preserve">Aantal ontheemden </w:t>
            </w:r>
          </w:p>
        </w:tc>
        <w:tc>
          <w:tcPr>
            <w:tcW w:w="6663" w:type="dxa"/>
          </w:tcPr>
          <w:p w:rsidRPr="00290188" w:rsidR="004C188E" w:rsidP="004C188E" w:rsidRDefault="004C188E" w14:paraId="21B97FD3" w14:textId="19500FCC">
            <w:pPr>
              <w:pStyle w:val="broodtekst"/>
            </w:pPr>
            <w:r w:rsidRPr="00290188">
              <w:rPr>
                <w:i/>
                <w:iCs/>
              </w:rPr>
              <w:t>Geen beschikbare informatie</w:t>
            </w:r>
          </w:p>
        </w:tc>
      </w:tr>
      <w:tr w:rsidRPr="00290188" w:rsidR="004C188E" w:rsidTr="000E52C6" w14:paraId="48E72C1F" w14:textId="77777777">
        <w:tc>
          <w:tcPr>
            <w:tcW w:w="2263" w:type="dxa"/>
          </w:tcPr>
          <w:p w:rsidRPr="00290188" w:rsidR="004C188E" w:rsidP="004C188E" w:rsidRDefault="004C188E" w14:paraId="411D725A" w14:textId="77777777">
            <w:pPr>
              <w:pStyle w:val="broodtekst"/>
            </w:pPr>
            <w:r w:rsidRPr="00290188">
              <w:t>Humanitaire omstandigheden als gevolg van het conflict</w:t>
            </w:r>
          </w:p>
        </w:tc>
        <w:tc>
          <w:tcPr>
            <w:tcW w:w="6663" w:type="dxa"/>
          </w:tcPr>
          <w:p w:rsidRPr="00290188" w:rsidR="004C188E" w:rsidP="004C188E" w:rsidRDefault="004C188E" w14:paraId="21B8C841" w14:textId="3F7D1447">
            <w:pPr>
              <w:pStyle w:val="broodtekst"/>
            </w:pPr>
            <w:r w:rsidRPr="00290188">
              <w:rPr>
                <w:i/>
                <w:iCs/>
              </w:rPr>
              <w:t>Geen beschikbare informatie</w:t>
            </w:r>
          </w:p>
        </w:tc>
      </w:tr>
    </w:tbl>
    <w:p w:rsidRPr="00290188" w:rsidR="000B36A7" w:rsidP="00364E44" w:rsidRDefault="000B36A7" w14:paraId="15AD2647" w14:textId="77777777">
      <w:pPr>
        <w:pStyle w:val="broodtekst"/>
        <w:rPr>
          <w:iCs/>
          <w:color w:val="000000" w:themeColor="text1"/>
        </w:rPr>
      </w:pPr>
    </w:p>
    <w:p w:rsidRPr="00290188" w:rsidR="003C210D" w:rsidP="004C188E" w:rsidRDefault="00D84A3E" w14:paraId="43ECF4EB" w14:textId="7E340EAA">
      <w:pPr>
        <w:pStyle w:val="broodtekst"/>
        <w:rPr>
          <w:color w:val="000000" w:themeColor="text1"/>
        </w:rPr>
      </w:pPr>
      <w:r w:rsidRPr="00290188">
        <w:rPr>
          <w:b/>
          <w:bCs/>
          <w:color w:val="000000" w:themeColor="text1"/>
        </w:rPr>
        <w:t>Conclusie</w:t>
      </w:r>
      <w:r w:rsidRPr="00290188" w:rsidR="00587FCC">
        <w:rPr>
          <w:b/>
          <w:bCs/>
          <w:color w:val="000000" w:themeColor="text1"/>
        </w:rPr>
        <w:t xml:space="preserve">: </w:t>
      </w:r>
      <w:r w:rsidRPr="00290188" w:rsidR="00B23B39">
        <w:rPr>
          <w:color w:val="000000" w:themeColor="text1"/>
        </w:rPr>
        <w:t xml:space="preserve">In </w:t>
      </w:r>
      <w:proofErr w:type="spellStart"/>
      <w:r w:rsidRPr="00290188" w:rsidR="00B23B39">
        <w:rPr>
          <w:color w:val="000000" w:themeColor="text1"/>
        </w:rPr>
        <w:t>Abyei</w:t>
      </w:r>
      <w:proofErr w:type="spellEnd"/>
      <w:r w:rsidRPr="00290188" w:rsidR="00B23B39">
        <w:rPr>
          <w:color w:val="000000" w:themeColor="text1"/>
        </w:rPr>
        <w:t xml:space="preserve"> hebben veiligheidsincidenten plaatsgevonden.</w:t>
      </w:r>
      <w:r w:rsidRPr="00290188" w:rsidR="008B4577">
        <w:rPr>
          <w:color w:val="000000" w:themeColor="text1"/>
        </w:rPr>
        <w:t xml:space="preserve"> Daarbij is een dalende trend zichtbaar in het aantal incidenten en het aantal geregistreerde doden. Om deze reden en d</w:t>
      </w:r>
      <w:r w:rsidRPr="00290188" w:rsidR="00A362BE">
        <w:rPr>
          <w:color w:val="000000" w:themeColor="text1"/>
        </w:rPr>
        <w:t>oordat het geweld met name gekenmerkt wordt door intercommunaal geweld dat niet direct in het kader van het gewapende conflict wordt gepleegd</w:t>
      </w:r>
      <w:r w:rsidRPr="00290188" w:rsidR="00B7452A">
        <w:rPr>
          <w:color w:val="000000" w:themeColor="text1"/>
        </w:rPr>
        <w:t xml:space="preserve">, </w:t>
      </w:r>
      <w:r w:rsidRPr="00290188" w:rsidR="00A362BE">
        <w:rPr>
          <w:color w:val="000000" w:themeColor="text1"/>
          <w:u w:val="single"/>
        </w:rPr>
        <w:t xml:space="preserve">wordt geadviseerd om voor </w:t>
      </w:r>
      <w:proofErr w:type="spellStart"/>
      <w:r w:rsidRPr="00290188" w:rsidR="00A362BE">
        <w:rPr>
          <w:color w:val="000000" w:themeColor="text1"/>
          <w:u w:val="single"/>
        </w:rPr>
        <w:t>Abyei</w:t>
      </w:r>
      <w:proofErr w:type="spellEnd"/>
      <w:r w:rsidRPr="00290188" w:rsidR="00A362BE">
        <w:rPr>
          <w:color w:val="000000" w:themeColor="text1"/>
          <w:u w:val="single"/>
        </w:rPr>
        <w:t xml:space="preserve"> aan te </w:t>
      </w:r>
      <w:r w:rsidRPr="00290188" w:rsidR="00584F5D">
        <w:rPr>
          <w:color w:val="000000" w:themeColor="text1"/>
          <w:u w:val="single"/>
        </w:rPr>
        <w:t xml:space="preserve">blijven </w:t>
      </w:r>
      <w:r w:rsidRPr="00290188" w:rsidR="00A362BE">
        <w:rPr>
          <w:color w:val="000000" w:themeColor="text1"/>
          <w:u w:val="single"/>
        </w:rPr>
        <w:t>nemen dat er sprake is van een lager niveau van willekeurig geweld</w:t>
      </w:r>
      <w:r w:rsidRPr="00290188" w:rsidR="00A362BE">
        <w:rPr>
          <w:color w:val="000000" w:themeColor="text1"/>
        </w:rPr>
        <w:t>, waarbij uit de individuele omstandigheden van de vreemdeling kan blijken dat diegene risico loopt op ernstige schade.</w:t>
      </w:r>
    </w:p>
    <w:p w:rsidRPr="00290188" w:rsidR="003C210D" w:rsidP="004C188E" w:rsidRDefault="003C210D" w14:paraId="70A23A61" w14:textId="77777777">
      <w:pPr>
        <w:pStyle w:val="broodtekst"/>
        <w:rPr>
          <w:color w:val="000000" w:themeColor="text1"/>
        </w:rPr>
      </w:pPr>
    </w:p>
    <w:p w:rsidRPr="00290188" w:rsidR="004C188E" w:rsidP="004C188E" w:rsidRDefault="004C188E" w14:paraId="4E1D6F97" w14:textId="77777777">
      <w:pPr>
        <w:pStyle w:val="broodtekst"/>
        <w:rPr>
          <w:color w:val="000000" w:themeColor="text1"/>
        </w:rPr>
      </w:pPr>
    </w:p>
    <w:tbl>
      <w:tblPr>
        <w:tblStyle w:val="Tabelraster"/>
        <w:tblW w:w="0" w:type="auto"/>
        <w:tblInd w:w="0" w:type="dxa"/>
        <w:tblLook w:val="04A0" w:firstRow="1" w:lastRow="0" w:firstColumn="1" w:lastColumn="0" w:noHBand="0" w:noVBand="1"/>
      </w:tblPr>
      <w:tblGrid>
        <w:gridCol w:w="2263"/>
        <w:gridCol w:w="6663"/>
      </w:tblGrid>
      <w:tr w:rsidRPr="00290188" w:rsidR="004C188E" w:rsidTr="00802BA7" w14:paraId="1EEAB82C" w14:textId="77777777">
        <w:tc>
          <w:tcPr>
            <w:tcW w:w="8926" w:type="dxa"/>
            <w:gridSpan w:val="2"/>
            <w:shd w:val="clear" w:color="auto" w:fill="DEEAF6" w:themeFill="accent1" w:themeFillTint="33"/>
          </w:tcPr>
          <w:p w:rsidRPr="00290188" w:rsidR="004C188E" w:rsidP="000E52C6" w:rsidRDefault="004C188E" w14:paraId="5A4EDFC0" w14:textId="4E430B76">
            <w:pPr>
              <w:pStyle w:val="broodtekst"/>
              <w:rPr>
                <w:b/>
                <w:bCs/>
              </w:rPr>
            </w:pPr>
            <w:r w:rsidRPr="00290188">
              <w:rPr>
                <w:b/>
                <w:bCs/>
              </w:rPr>
              <w:t xml:space="preserve">De Noordelijke Staat (1,4 </w:t>
            </w:r>
            <w:proofErr w:type="spellStart"/>
            <w:r w:rsidRPr="00290188">
              <w:rPr>
                <w:b/>
                <w:bCs/>
              </w:rPr>
              <w:t>mln</w:t>
            </w:r>
            <w:proofErr w:type="spellEnd"/>
            <w:r w:rsidRPr="00290188">
              <w:rPr>
                <w:b/>
                <w:bCs/>
              </w:rPr>
              <w:t xml:space="preserve"> inwoners)</w:t>
            </w:r>
          </w:p>
        </w:tc>
      </w:tr>
      <w:tr w:rsidRPr="00290188" w:rsidR="004C188E" w:rsidTr="000E52C6" w14:paraId="0C179AF3" w14:textId="77777777">
        <w:tc>
          <w:tcPr>
            <w:tcW w:w="2263" w:type="dxa"/>
          </w:tcPr>
          <w:p w:rsidRPr="00290188" w:rsidR="004C188E" w:rsidP="000E52C6" w:rsidRDefault="004C188E" w14:paraId="2DA82748" w14:textId="77777777">
            <w:pPr>
              <w:pStyle w:val="broodtekst"/>
            </w:pPr>
            <w:r w:rsidRPr="00290188">
              <w:t>Controle</w:t>
            </w:r>
          </w:p>
        </w:tc>
        <w:tc>
          <w:tcPr>
            <w:tcW w:w="6663" w:type="dxa"/>
          </w:tcPr>
          <w:p w:rsidRPr="00290188" w:rsidR="004C188E" w:rsidP="000E52C6" w:rsidRDefault="004C188E" w14:paraId="26F7D0F2" w14:textId="79125E30">
            <w:pPr>
              <w:pStyle w:val="broodtekst"/>
            </w:pPr>
            <w:r w:rsidRPr="00290188">
              <w:rPr>
                <w:color w:val="000000" w:themeColor="text1"/>
              </w:rPr>
              <w:t>In juni 2025 boekten de RSF een belangrijke overwinning in de Noordelijke Staat door het strategisch gelegen drielandenpunt tussen Sudan, Libië en Egypte te veroveren.</w:t>
            </w:r>
          </w:p>
        </w:tc>
      </w:tr>
      <w:tr w:rsidRPr="00290188" w:rsidR="004C188E" w:rsidTr="000E52C6" w14:paraId="18A2C57B" w14:textId="77777777">
        <w:tc>
          <w:tcPr>
            <w:tcW w:w="2263" w:type="dxa"/>
          </w:tcPr>
          <w:p w:rsidRPr="00290188" w:rsidR="004C188E" w:rsidP="000E52C6" w:rsidRDefault="004C188E" w14:paraId="00A01740" w14:textId="77777777">
            <w:pPr>
              <w:pStyle w:val="broodtekst"/>
            </w:pPr>
            <w:r w:rsidRPr="00290188">
              <w:t>Strijdende partijen</w:t>
            </w:r>
          </w:p>
        </w:tc>
        <w:tc>
          <w:tcPr>
            <w:tcW w:w="6663" w:type="dxa"/>
          </w:tcPr>
          <w:p w:rsidRPr="00290188" w:rsidR="004C188E" w:rsidP="000E52C6" w:rsidRDefault="007608C6" w14:paraId="18A8A3DB" w14:textId="17481D14">
            <w:pPr>
              <w:pStyle w:val="broodtekst"/>
            </w:pPr>
            <w:r w:rsidRPr="00290188">
              <w:t xml:space="preserve">In de strijd om het drielandenpunt stonden de SAF en Joint Force tegenover de RSF die op hun beurt zouden worden gesteund door de Libische krijgsheer </w:t>
            </w:r>
            <w:proofErr w:type="spellStart"/>
            <w:r w:rsidRPr="00290188">
              <w:t>Haftar</w:t>
            </w:r>
            <w:proofErr w:type="spellEnd"/>
            <w:r w:rsidRPr="00290188">
              <w:t>.</w:t>
            </w:r>
          </w:p>
        </w:tc>
      </w:tr>
      <w:tr w:rsidRPr="00290188" w:rsidR="004C188E" w:rsidTr="000E52C6" w14:paraId="11E4F89A" w14:textId="77777777">
        <w:tc>
          <w:tcPr>
            <w:tcW w:w="2263" w:type="dxa"/>
          </w:tcPr>
          <w:p w:rsidRPr="00290188" w:rsidR="004C188E" w:rsidP="000E52C6" w:rsidRDefault="004C188E" w14:paraId="377EB226" w14:textId="77777777">
            <w:pPr>
              <w:pStyle w:val="broodtekst"/>
            </w:pPr>
            <w:r w:rsidRPr="00290188">
              <w:t>Aard van het geweld &amp; gevechtsmethodes</w:t>
            </w:r>
          </w:p>
        </w:tc>
        <w:tc>
          <w:tcPr>
            <w:tcW w:w="6663" w:type="dxa"/>
          </w:tcPr>
          <w:p w:rsidRPr="00290188" w:rsidR="00095B3A" w:rsidP="00095B3A" w:rsidRDefault="007608C6" w14:paraId="112E4A18" w14:textId="6FFFDBCF">
            <w:pPr>
              <w:pStyle w:val="broodtekst"/>
            </w:pPr>
            <w:r w:rsidRPr="00290188">
              <w:rPr>
                <w:color w:val="000000" w:themeColor="text1"/>
              </w:rPr>
              <w:t xml:space="preserve">Het drielandenpunt in Noordelijke Staat dat door de RSF werd veroverd wordt </w:t>
            </w:r>
            <w:r w:rsidRPr="00290188" w:rsidR="00095B3A">
              <w:rPr>
                <w:color w:val="000000" w:themeColor="text1"/>
              </w:rPr>
              <w:t xml:space="preserve">als een ‘wetteloos gebied’ beschreven waar ‘totale anarchie’ heerste. </w:t>
            </w:r>
          </w:p>
          <w:p w:rsidRPr="00290188" w:rsidR="004C188E" w:rsidP="004C188E" w:rsidRDefault="00095B3A" w14:paraId="1A74E795" w14:textId="02C57D68">
            <w:pPr>
              <w:pStyle w:val="broodtekst"/>
              <w:rPr>
                <w:i/>
                <w:iCs/>
                <w:color w:val="000000" w:themeColor="text1"/>
              </w:rPr>
            </w:pPr>
            <w:r w:rsidRPr="00290188">
              <w:rPr>
                <w:color w:val="000000" w:themeColor="text1"/>
              </w:rPr>
              <w:t>De RSF voerde drone-aanvallen uit waarbij een waterkrachtdam in Noordelijke Staat geraakt werd.</w:t>
            </w:r>
          </w:p>
        </w:tc>
      </w:tr>
      <w:tr w:rsidRPr="00290188" w:rsidR="004C188E" w:rsidTr="00316EAD" w14:paraId="1F983643" w14:textId="77777777">
        <w:trPr>
          <w:trHeight w:val="1890"/>
        </w:trPr>
        <w:tc>
          <w:tcPr>
            <w:tcW w:w="2263" w:type="dxa"/>
          </w:tcPr>
          <w:p w:rsidRPr="00290188" w:rsidR="004C188E" w:rsidP="000E52C6" w:rsidRDefault="004C188E" w14:paraId="1821EBA3" w14:textId="77777777">
            <w:pPr>
              <w:pStyle w:val="broodtekst"/>
            </w:pPr>
            <w:r w:rsidRPr="00290188">
              <w:t>Aantal geweldsincidenten</w:t>
            </w:r>
          </w:p>
        </w:tc>
        <w:tc>
          <w:tcPr>
            <w:tcW w:w="6663" w:type="dxa"/>
          </w:tcPr>
          <w:p w:rsidRPr="00290188" w:rsidR="004C188E" w:rsidP="000E52C6" w:rsidRDefault="004C188E" w14:paraId="68598ED3" w14:textId="77777777">
            <w:pPr>
              <w:pStyle w:val="broodtekst"/>
            </w:pPr>
            <w:r w:rsidRPr="00290188">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728"/>
              <w:gridCol w:w="728"/>
              <w:gridCol w:w="1434"/>
            </w:tblGrid>
            <w:tr w:rsidRPr="00290188" w:rsidR="004C188E" w:rsidTr="00316EAD" w14:paraId="0DFBF30C" w14:textId="77777777">
              <w:trPr>
                <w:trHeight w:val="123"/>
                <w:jc w:val="center"/>
              </w:trPr>
              <w:tc>
                <w:tcPr>
                  <w:tcW w:w="0" w:type="auto"/>
                </w:tcPr>
                <w:p w:rsidRPr="00290188" w:rsidR="004C188E" w:rsidP="000E52C6" w:rsidRDefault="004C188E" w14:paraId="4EC920D9" w14:textId="77777777">
                  <w:pPr>
                    <w:pStyle w:val="Default"/>
                    <w:rPr>
                      <w:b/>
                      <w:bCs/>
                      <w:sz w:val="18"/>
                      <w:szCs w:val="18"/>
                    </w:rPr>
                  </w:pPr>
                </w:p>
              </w:tc>
              <w:tc>
                <w:tcPr>
                  <w:tcW w:w="0" w:type="auto"/>
                </w:tcPr>
                <w:p w:rsidRPr="00290188" w:rsidR="004C188E" w:rsidP="000E52C6" w:rsidRDefault="004C188E" w14:paraId="14FE09C3" w14:textId="77777777">
                  <w:pPr>
                    <w:pStyle w:val="Default"/>
                    <w:rPr>
                      <w:b/>
                      <w:bCs/>
                      <w:sz w:val="18"/>
                      <w:szCs w:val="18"/>
                    </w:rPr>
                  </w:pPr>
                  <w:r w:rsidRPr="00290188">
                    <w:rPr>
                      <w:b/>
                      <w:bCs/>
                      <w:sz w:val="18"/>
                      <w:szCs w:val="18"/>
                    </w:rPr>
                    <w:t>2023</w:t>
                  </w:r>
                </w:p>
              </w:tc>
              <w:tc>
                <w:tcPr>
                  <w:tcW w:w="0" w:type="auto"/>
                </w:tcPr>
                <w:p w:rsidRPr="00290188" w:rsidR="004C188E" w:rsidP="000E52C6" w:rsidRDefault="004C188E" w14:paraId="70C94B03" w14:textId="77777777">
                  <w:pPr>
                    <w:pStyle w:val="Default"/>
                    <w:rPr>
                      <w:b/>
                      <w:bCs/>
                      <w:sz w:val="18"/>
                      <w:szCs w:val="18"/>
                    </w:rPr>
                  </w:pPr>
                  <w:r w:rsidRPr="00290188">
                    <w:rPr>
                      <w:b/>
                      <w:bCs/>
                      <w:sz w:val="18"/>
                      <w:szCs w:val="18"/>
                    </w:rPr>
                    <w:t>2024</w:t>
                  </w:r>
                </w:p>
              </w:tc>
              <w:tc>
                <w:tcPr>
                  <w:tcW w:w="0" w:type="auto"/>
                </w:tcPr>
                <w:p w:rsidRPr="00290188" w:rsidR="004C188E" w:rsidP="000E52C6" w:rsidRDefault="004C188E" w14:paraId="754FB5BC" w14:textId="77777777">
                  <w:pPr>
                    <w:pStyle w:val="Default"/>
                    <w:rPr>
                      <w:b/>
                      <w:bCs/>
                      <w:sz w:val="18"/>
                      <w:szCs w:val="18"/>
                    </w:rPr>
                  </w:pPr>
                  <w:r w:rsidRPr="00290188">
                    <w:rPr>
                      <w:b/>
                      <w:bCs/>
                      <w:sz w:val="18"/>
                      <w:szCs w:val="18"/>
                    </w:rPr>
                    <w:t xml:space="preserve">2025 </w:t>
                  </w:r>
                  <w:r w:rsidRPr="00290188">
                    <w:rPr>
                      <w:b/>
                      <w:bCs/>
                      <w:sz w:val="18"/>
                      <w:szCs w:val="18"/>
                    </w:rPr>
                    <w:br/>
                    <w:t>(t/m 8 aug)</w:t>
                  </w:r>
                </w:p>
              </w:tc>
            </w:tr>
            <w:tr w:rsidRPr="00290188" w:rsidR="004C188E" w:rsidTr="00316EAD" w14:paraId="333102F4" w14:textId="77777777">
              <w:trPr>
                <w:trHeight w:val="123"/>
                <w:jc w:val="center"/>
              </w:trPr>
              <w:tc>
                <w:tcPr>
                  <w:tcW w:w="0" w:type="auto"/>
                </w:tcPr>
                <w:p w:rsidRPr="00290188" w:rsidR="004C188E" w:rsidP="000E52C6" w:rsidRDefault="004C188E" w14:paraId="15A7CFAE" w14:textId="77777777">
                  <w:pPr>
                    <w:pStyle w:val="Default"/>
                    <w:rPr>
                      <w:sz w:val="18"/>
                      <w:szCs w:val="18"/>
                    </w:rPr>
                  </w:pPr>
                  <w:r w:rsidRPr="00290188">
                    <w:rPr>
                      <w:b/>
                      <w:bCs/>
                      <w:sz w:val="18"/>
                      <w:szCs w:val="18"/>
                    </w:rPr>
                    <w:t>Totaal</w:t>
                  </w:r>
                </w:p>
              </w:tc>
              <w:tc>
                <w:tcPr>
                  <w:tcW w:w="0" w:type="auto"/>
                </w:tcPr>
                <w:p w:rsidRPr="00290188" w:rsidR="004C188E" w:rsidP="000E52C6" w:rsidRDefault="00095B3A" w14:paraId="61D70227" w14:textId="63748C32">
                  <w:pPr>
                    <w:pStyle w:val="Default"/>
                    <w:rPr>
                      <w:b/>
                      <w:bCs/>
                      <w:sz w:val="18"/>
                      <w:szCs w:val="18"/>
                    </w:rPr>
                  </w:pPr>
                  <w:r w:rsidRPr="00290188">
                    <w:rPr>
                      <w:b/>
                      <w:bCs/>
                      <w:sz w:val="18"/>
                      <w:szCs w:val="18"/>
                    </w:rPr>
                    <w:t>15</w:t>
                  </w:r>
                </w:p>
              </w:tc>
              <w:tc>
                <w:tcPr>
                  <w:tcW w:w="0" w:type="auto"/>
                </w:tcPr>
                <w:p w:rsidRPr="00290188" w:rsidR="004C188E" w:rsidP="000E52C6" w:rsidRDefault="00095B3A" w14:paraId="107A7800" w14:textId="0933344E">
                  <w:pPr>
                    <w:pStyle w:val="Default"/>
                    <w:rPr>
                      <w:b/>
                      <w:bCs/>
                      <w:sz w:val="18"/>
                      <w:szCs w:val="18"/>
                    </w:rPr>
                  </w:pPr>
                  <w:r w:rsidRPr="00290188">
                    <w:rPr>
                      <w:b/>
                      <w:bCs/>
                      <w:sz w:val="18"/>
                      <w:szCs w:val="18"/>
                    </w:rPr>
                    <w:t>9</w:t>
                  </w:r>
                </w:p>
              </w:tc>
              <w:tc>
                <w:tcPr>
                  <w:tcW w:w="0" w:type="auto"/>
                </w:tcPr>
                <w:p w:rsidRPr="00290188" w:rsidR="004C188E" w:rsidP="000E52C6" w:rsidRDefault="00095B3A" w14:paraId="455A45B5" w14:textId="6745C638">
                  <w:pPr>
                    <w:pStyle w:val="Default"/>
                    <w:rPr>
                      <w:b/>
                      <w:bCs/>
                      <w:sz w:val="18"/>
                      <w:szCs w:val="18"/>
                    </w:rPr>
                  </w:pPr>
                  <w:r w:rsidRPr="00290188">
                    <w:rPr>
                      <w:b/>
                      <w:bCs/>
                      <w:sz w:val="18"/>
                      <w:szCs w:val="18"/>
                    </w:rPr>
                    <w:t>49</w:t>
                  </w:r>
                </w:p>
              </w:tc>
            </w:tr>
            <w:tr w:rsidRPr="00290188" w:rsidR="004C188E" w:rsidTr="00316EAD" w14:paraId="26622529" w14:textId="77777777">
              <w:trPr>
                <w:trHeight w:val="121"/>
                <w:jc w:val="center"/>
              </w:trPr>
              <w:tc>
                <w:tcPr>
                  <w:tcW w:w="0" w:type="auto"/>
                </w:tcPr>
                <w:p w:rsidRPr="00290188" w:rsidR="004C188E" w:rsidP="000E52C6" w:rsidRDefault="004C188E" w14:paraId="7A4B0814" w14:textId="77777777">
                  <w:pPr>
                    <w:pStyle w:val="Default"/>
                    <w:rPr>
                      <w:sz w:val="18"/>
                      <w:szCs w:val="18"/>
                    </w:rPr>
                  </w:pPr>
                  <w:r w:rsidRPr="00290188">
                    <w:rPr>
                      <w:sz w:val="18"/>
                      <w:szCs w:val="18"/>
                    </w:rPr>
                    <w:t xml:space="preserve">Gevechten </w:t>
                  </w:r>
                </w:p>
              </w:tc>
              <w:tc>
                <w:tcPr>
                  <w:tcW w:w="0" w:type="auto"/>
                </w:tcPr>
                <w:p w:rsidRPr="00290188" w:rsidR="004C188E" w:rsidP="000E52C6" w:rsidRDefault="008B4577" w14:paraId="2B81E55F" w14:textId="3CD7A910">
                  <w:pPr>
                    <w:pStyle w:val="Default"/>
                    <w:rPr>
                      <w:sz w:val="18"/>
                      <w:szCs w:val="18"/>
                    </w:rPr>
                  </w:pPr>
                  <w:r w:rsidRPr="00290188">
                    <w:rPr>
                      <w:sz w:val="18"/>
                      <w:szCs w:val="18"/>
                    </w:rPr>
                    <w:t>12</w:t>
                  </w:r>
                </w:p>
              </w:tc>
              <w:tc>
                <w:tcPr>
                  <w:tcW w:w="0" w:type="auto"/>
                </w:tcPr>
                <w:p w:rsidRPr="00290188" w:rsidR="004C188E" w:rsidP="000E52C6" w:rsidRDefault="008B4577" w14:paraId="31493BF6" w14:textId="47BCC68F">
                  <w:pPr>
                    <w:pStyle w:val="Default"/>
                    <w:rPr>
                      <w:sz w:val="18"/>
                      <w:szCs w:val="18"/>
                    </w:rPr>
                  </w:pPr>
                  <w:r w:rsidRPr="00290188">
                    <w:rPr>
                      <w:sz w:val="18"/>
                      <w:szCs w:val="18"/>
                    </w:rPr>
                    <w:t>3</w:t>
                  </w:r>
                </w:p>
              </w:tc>
              <w:tc>
                <w:tcPr>
                  <w:tcW w:w="0" w:type="auto"/>
                </w:tcPr>
                <w:p w:rsidRPr="00290188" w:rsidR="004C188E" w:rsidP="000E52C6" w:rsidRDefault="008B4577" w14:paraId="618E2D06" w14:textId="50F5CD52">
                  <w:pPr>
                    <w:pStyle w:val="Default"/>
                    <w:rPr>
                      <w:sz w:val="18"/>
                      <w:szCs w:val="18"/>
                    </w:rPr>
                  </w:pPr>
                  <w:r w:rsidRPr="00290188">
                    <w:rPr>
                      <w:sz w:val="18"/>
                      <w:szCs w:val="18"/>
                    </w:rPr>
                    <w:t>30</w:t>
                  </w:r>
                </w:p>
              </w:tc>
            </w:tr>
            <w:tr w:rsidRPr="00290188" w:rsidR="004C188E" w:rsidTr="00316EAD" w14:paraId="07AEE139" w14:textId="77777777">
              <w:trPr>
                <w:trHeight w:val="121"/>
                <w:jc w:val="center"/>
              </w:trPr>
              <w:tc>
                <w:tcPr>
                  <w:tcW w:w="0" w:type="auto"/>
                </w:tcPr>
                <w:p w:rsidRPr="00290188" w:rsidR="004C188E" w:rsidP="000E52C6" w:rsidRDefault="004C188E" w14:paraId="1E38518A" w14:textId="77777777">
                  <w:pPr>
                    <w:pStyle w:val="Default"/>
                    <w:rPr>
                      <w:sz w:val="18"/>
                      <w:szCs w:val="18"/>
                    </w:rPr>
                  </w:pPr>
                  <w:r w:rsidRPr="00290188">
                    <w:rPr>
                      <w:sz w:val="18"/>
                      <w:szCs w:val="18"/>
                    </w:rPr>
                    <w:t xml:space="preserve">Explosies/geweld op afstand </w:t>
                  </w:r>
                </w:p>
              </w:tc>
              <w:tc>
                <w:tcPr>
                  <w:tcW w:w="0" w:type="auto"/>
                </w:tcPr>
                <w:p w:rsidRPr="00290188" w:rsidR="004C188E" w:rsidP="000E52C6" w:rsidRDefault="00095B3A" w14:paraId="719CE516" w14:textId="2226AAA4">
                  <w:pPr>
                    <w:pStyle w:val="Default"/>
                    <w:rPr>
                      <w:sz w:val="18"/>
                      <w:szCs w:val="18"/>
                    </w:rPr>
                  </w:pPr>
                  <w:r w:rsidRPr="00290188">
                    <w:rPr>
                      <w:sz w:val="18"/>
                      <w:szCs w:val="18"/>
                    </w:rPr>
                    <w:t>2</w:t>
                  </w:r>
                </w:p>
              </w:tc>
              <w:tc>
                <w:tcPr>
                  <w:tcW w:w="0" w:type="auto"/>
                </w:tcPr>
                <w:p w:rsidRPr="00290188" w:rsidR="004C188E" w:rsidP="000E52C6" w:rsidRDefault="00095B3A" w14:paraId="2B0D618C" w14:textId="406D108C">
                  <w:pPr>
                    <w:pStyle w:val="Default"/>
                    <w:rPr>
                      <w:sz w:val="18"/>
                      <w:szCs w:val="18"/>
                    </w:rPr>
                  </w:pPr>
                  <w:r w:rsidRPr="00290188">
                    <w:rPr>
                      <w:sz w:val="18"/>
                      <w:szCs w:val="18"/>
                    </w:rPr>
                    <w:t>1</w:t>
                  </w:r>
                </w:p>
              </w:tc>
              <w:tc>
                <w:tcPr>
                  <w:tcW w:w="0" w:type="auto"/>
                </w:tcPr>
                <w:p w:rsidRPr="00290188" w:rsidR="004C188E" w:rsidP="000E52C6" w:rsidRDefault="00095B3A" w14:paraId="3B6408B5" w14:textId="06135BF0">
                  <w:pPr>
                    <w:pStyle w:val="Default"/>
                    <w:rPr>
                      <w:sz w:val="18"/>
                      <w:szCs w:val="18"/>
                    </w:rPr>
                  </w:pPr>
                  <w:r w:rsidRPr="00290188">
                    <w:rPr>
                      <w:sz w:val="18"/>
                      <w:szCs w:val="18"/>
                    </w:rPr>
                    <w:t>10</w:t>
                  </w:r>
                </w:p>
              </w:tc>
            </w:tr>
            <w:tr w:rsidRPr="00290188" w:rsidR="004C188E" w:rsidTr="00316EAD" w14:paraId="6B3F2030" w14:textId="77777777">
              <w:trPr>
                <w:trHeight w:val="121"/>
                <w:jc w:val="center"/>
              </w:trPr>
              <w:tc>
                <w:tcPr>
                  <w:tcW w:w="0" w:type="auto"/>
                </w:tcPr>
                <w:p w:rsidRPr="00290188" w:rsidR="004C188E" w:rsidP="000E52C6" w:rsidRDefault="004C188E" w14:paraId="5B02F689" w14:textId="77777777">
                  <w:pPr>
                    <w:pStyle w:val="Default"/>
                    <w:rPr>
                      <w:sz w:val="18"/>
                      <w:szCs w:val="18"/>
                    </w:rPr>
                  </w:pPr>
                  <w:r w:rsidRPr="00290188">
                    <w:rPr>
                      <w:sz w:val="18"/>
                      <w:szCs w:val="18"/>
                    </w:rPr>
                    <w:t xml:space="preserve">Geweld tegen burgers </w:t>
                  </w:r>
                </w:p>
              </w:tc>
              <w:tc>
                <w:tcPr>
                  <w:tcW w:w="0" w:type="auto"/>
                </w:tcPr>
                <w:p w:rsidRPr="00290188" w:rsidR="004C188E" w:rsidP="000E52C6" w:rsidRDefault="00095B3A" w14:paraId="1BB8D3C4" w14:textId="2FBAAD27">
                  <w:pPr>
                    <w:pStyle w:val="Default"/>
                    <w:rPr>
                      <w:sz w:val="18"/>
                      <w:szCs w:val="18"/>
                    </w:rPr>
                  </w:pPr>
                  <w:r w:rsidRPr="00290188">
                    <w:rPr>
                      <w:sz w:val="18"/>
                      <w:szCs w:val="18"/>
                    </w:rPr>
                    <w:t>1</w:t>
                  </w:r>
                </w:p>
              </w:tc>
              <w:tc>
                <w:tcPr>
                  <w:tcW w:w="0" w:type="auto"/>
                </w:tcPr>
                <w:p w:rsidRPr="00290188" w:rsidR="004C188E" w:rsidP="000E52C6" w:rsidRDefault="00095B3A" w14:paraId="1CA0D28F" w14:textId="27917607">
                  <w:pPr>
                    <w:pStyle w:val="Default"/>
                    <w:rPr>
                      <w:sz w:val="18"/>
                      <w:szCs w:val="18"/>
                    </w:rPr>
                  </w:pPr>
                  <w:r w:rsidRPr="00290188">
                    <w:rPr>
                      <w:sz w:val="18"/>
                      <w:szCs w:val="18"/>
                    </w:rPr>
                    <w:t>5</w:t>
                  </w:r>
                </w:p>
              </w:tc>
              <w:tc>
                <w:tcPr>
                  <w:tcW w:w="0" w:type="auto"/>
                </w:tcPr>
                <w:p w:rsidRPr="00290188" w:rsidR="004C188E" w:rsidP="000E52C6" w:rsidRDefault="00095B3A" w14:paraId="60BA6EF2" w14:textId="1269C19D">
                  <w:pPr>
                    <w:pStyle w:val="Default"/>
                    <w:rPr>
                      <w:sz w:val="18"/>
                      <w:szCs w:val="18"/>
                    </w:rPr>
                  </w:pPr>
                  <w:r w:rsidRPr="00290188">
                    <w:rPr>
                      <w:sz w:val="18"/>
                      <w:szCs w:val="18"/>
                    </w:rPr>
                    <w:t>9</w:t>
                  </w:r>
                </w:p>
              </w:tc>
            </w:tr>
          </w:tbl>
          <w:p w:rsidRPr="00290188" w:rsidR="004C188E" w:rsidP="000E52C6" w:rsidRDefault="004C188E" w14:paraId="6FC2CF50" w14:textId="77777777">
            <w:pPr>
              <w:pStyle w:val="broodtekst"/>
            </w:pPr>
          </w:p>
        </w:tc>
      </w:tr>
      <w:tr w:rsidRPr="00290188" w:rsidR="004C188E" w:rsidTr="000E52C6" w14:paraId="4806C70A" w14:textId="77777777">
        <w:tc>
          <w:tcPr>
            <w:tcW w:w="2263" w:type="dxa"/>
          </w:tcPr>
          <w:p w:rsidRPr="00290188" w:rsidR="004C188E" w:rsidP="000E52C6" w:rsidRDefault="004C188E" w14:paraId="2D66681B" w14:textId="77777777">
            <w:pPr>
              <w:pStyle w:val="broodtekst"/>
            </w:pPr>
            <w:r w:rsidRPr="00290188">
              <w:t>Geografische omvang geweld</w:t>
            </w:r>
          </w:p>
        </w:tc>
        <w:tc>
          <w:tcPr>
            <w:tcW w:w="6663" w:type="dxa"/>
          </w:tcPr>
          <w:p w:rsidRPr="00290188" w:rsidR="004C188E" w:rsidP="000E52C6" w:rsidRDefault="004C188E" w14:paraId="4CB49D63" w14:textId="77777777">
            <w:pPr>
              <w:pStyle w:val="broodtekst"/>
              <w:rPr>
                <w:i/>
                <w:iCs/>
              </w:rPr>
            </w:pPr>
            <w:r w:rsidRPr="00290188">
              <w:rPr>
                <w:i/>
                <w:iCs/>
              </w:rPr>
              <w:t>Geen beschikbare informatie</w:t>
            </w:r>
          </w:p>
        </w:tc>
      </w:tr>
      <w:tr w:rsidRPr="00290188" w:rsidR="004C188E" w:rsidTr="000E52C6" w14:paraId="6B1D4E26" w14:textId="77777777">
        <w:tc>
          <w:tcPr>
            <w:tcW w:w="2263" w:type="dxa"/>
          </w:tcPr>
          <w:p w:rsidRPr="00290188" w:rsidR="004C188E" w:rsidP="000E52C6" w:rsidRDefault="004C188E" w14:paraId="470EAFF0" w14:textId="77777777">
            <w:pPr>
              <w:pStyle w:val="broodtekst"/>
            </w:pPr>
            <w:r w:rsidRPr="00290188">
              <w:t>Veiligheidsstructuur</w:t>
            </w:r>
          </w:p>
        </w:tc>
        <w:tc>
          <w:tcPr>
            <w:tcW w:w="6663" w:type="dxa"/>
          </w:tcPr>
          <w:p w:rsidRPr="00290188" w:rsidR="004C188E" w:rsidP="000E52C6" w:rsidRDefault="00095B3A" w14:paraId="198053D8" w14:textId="51F2B1F1">
            <w:pPr>
              <w:pStyle w:val="broodtekst"/>
              <w:rPr>
                <w:i/>
                <w:iCs/>
              </w:rPr>
            </w:pPr>
            <w:r w:rsidRPr="00290188">
              <w:rPr>
                <w:i/>
                <w:iCs/>
              </w:rPr>
              <w:t>Geen beschikbare informatie</w:t>
            </w:r>
          </w:p>
        </w:tc>
      </w:tr>
      <w:tr w:rsidRPr="00290188" w:rsidR="004C188E" w:rsidTr="000E52C6" w14:paraId="2F11F195" w14:textId="77777777">
        <w:tc>
          <w:tcPr>
            <w:tcW w:w="2263" w:type="dxa"/>
          </w:tcPr>
          <w:p w:rsidRPr="00290188" w:rsidR="004C188E" w:rsidP="000E52C6" w:rsidRDefault="004C188E" w14:paraId="5E4BE8FC" w14:textId="77777777">
            <w:pPr>
              <w:pStyle w:val="broodtekst"/>
            </w:pPr>
            <w:r w:rsidRPr="00290188">
              <w:t>Doelwitten</w:t>
            </w:r>
          </w:p>
        </w:tc>
        <w:tc>
          <w:tcPr>
            <w:tcW w:w="6663" w:type="dxa"/>
          </w:tcPr>
          <w:p w:rsidRPr="00290188" w:rsidR="004C188E" w:rsidP="000E52C6" w:rsidRDefault="004C188E" w14:paraId="2135FC04" w14:textId="77777777">
            <w:pPr>
              <w:pStyle w:val="broodtekst"/>
              <w:rPr>
                <w:i/>
                <w:iCs/>
              </w:rPr>
            </w:pPr>
            <w:r w:rsidRPr="00290188">
              <w:rPr>
                <w:i/>
                <w:iCs/>
              </w:rPr>
              <w:t>Geen beschikbare informatie</w:t>
            </w:r>
          </w:p>
        </w:tc>
      </w:tr>
      <w:tr w:rsidRPr="00290188" w:rsidR="004C188E" w:rsidTr="000E52C6" w14:paraId="022AB37D" w14:textId="77777777">
        <w:tc>
          <w:tcPr>
            <w:tcW w:w="2263" w:type="dxa"/>
          </w:tcPr>
          <w:p w:rsidRPr="00290188" w:rsidR="004C188E" w:rsidP="000E52C6" w:rsidRDefault="004C188E" w14:paraId="5E6DA995" w14:textId="77777777">
            <w:pPr>
              <w:pStyle w:val="broodtekst"/>
            </w:pPr>
            <w:r w:rsidRPr="00290188">
              <w:t>Dodelijke slachtoffers</w:t>
            </w:r>
          </w:p>
        </w:tc>
        <w:tc>
          <w:tcPr>
            <w:tcW w:w="6663" w:type="dxa"/>
          </w:tcPr>
          <w:p w:rsidRPr="00290188" w:rsidR="004C188E" w:rsidP="000E52C6" w:rsidRDefault="004C188E" w14:paraId="300FABC5" w14:textId="77777777">
            <w:pPr>
              <w:pStyle w:val="broodtekst"/>
            </w:pPr>
            <w:r w:rsidRPr="00290188">
              <w:t>Aantallen door ACLED geregistreerde doden:</w:t>
            </w:r>
          </w:p>
          <w:p w:rsidRPr="00290188" w:rsidR="004C188E" w:rsidP="000E52C6" w:rsidRDefault="004C188E" w14:paraId="643D7AF5"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
              <w:gridCol w:w="971"/>
              <w:gridCol w:w="1843"/>
            </w:tblGrid>
            <w:tr w:rsidRPr="00290188" w:rsidR="004C188E" w:rsidTr="00316EAD" w14:paraId="447DA6C8" w14:textId="77777777">
              <w:trPr>
                <w:trHeight w:val="121"/>
                <w:jc w:val="center"/>
              </w:trPr>
              <w:tc>
                <w:tcPr>
                  <w:tcW w:w="963" w:type="dxa"/>
                </w:tcPr>
                <w:p w:rsidRPr="00290188" w:rsidR="004C188E" w:rsidP="000E52C6" w:rsidRDefault="004C188E" w14:paraId="25A2F367" w14:textId="77777777">
                  <w:pPr>
                    <w:pStyle w:val="Default"/>
                    <w:rPr>
                      <w:b/>
                      <w:bCs/>
                      <w:sz w:val="18"/>
                      <w:szCs w:val="18"/>
                    </w:rPr>
                  </w:pPr>
                  <w:r w:rsidRPr="00290188">
                    <w:rPr>
                      <w:b/>
                      <w:bCs/>
                      <w:sz w:val="18"/>
                      <w:szCs w:val="18"/>
                    </w:rPr>
                    <w:t>2023</w:t>
                  </w:r>
                </w:p>
              </w:tc>
              <w:tc>
                <w:tcPr>
                  <w:tcW w:w="971" w:type="dxa"/>
                </w:tcPr>
                <w:p w:rsidRPr="00290188" w:rsidR="004C188E" w:rsidP="000E52C6" w:rsidRDefault="004C188E" w14:paraId="77608D8E" w14:textId="77777777">
                  <w:pPr>
                    <w:pStyle w:val="Default"/>
                    <w:rPr>
                      <w:b/>
                      <w:bCs/>
                      <w:sz w:val="18"/>
                      <w:szCs w:val="18"/>
                    </w:rPr>
                  </w:pPr>
                  <w:r w:rsidRPr="00290188">
                    <w:rPr>
                      <w:b/>
                      <w:bCs/>
                      <w:sz w:val="18"/>
                      <w:szCs w:val="18"/>
                    </w:rPr>
                    <w:t>2024</w:t>
                  </w:r>
                </w:p>
              </w:tc>
              <w:tc>
                <w:tcPr>
                  <w:tcW w:w="1843" w:type="dxa"/>
                </w:tcPr>
                <w:p w:rsidRPr="00290188" w:rsidR="004C188E" w:rsidP="000E52C6" w:rsidRDefault="004C188E" w14:paraId="4E238A4E" w14:textId="77777777">
                  <w:pPr>
                    <w:pStyle w:val="Default"/>
                    <w:rPr>
                      <w:b/>
                      <w:bCs/>
                      <w:sz w:val="18"/>
                      <w:szCs w:val="18"/>
                    </w:rPr>
                  </w:pPr>
                  <w:r w:rsidRPr="00290188">
                    <w:rPr>
                      <w:b/>
                      <w:bCs/>
                      <w:sz w:val="18"/>
                      <w:szCs w:val="18"/>
                    </w:rPr>
                    <w:t>2025 t/m 8 aug</w:t>
                  </w:r>
                </w:p>
              </w:tc>
            </w:tr>
            <w:tr w:rsidRPr="00290188" w:rsidR="004C188E" w:rsidTr="00316EAD" w14:paraId="121767DF" w14:textId="77777777">
              <w:trPr>
                <w:trHeight w:val="121"/>
                <w:jc w:val="center"/>
              </w:trPr>
              <w:tc>
                <w:tcPr>
                  <w:tcW w:w="963" w:type="dxa"/>
                </w:tcPr>
                <w:p w:rsidRPr="00290188" w:rsidR="004C188E" w:rsidP="000E52C6" w:rsidRDefault="00095B3A" w14:paraId="23741555" w14:textId="5FCCC9DD">
                  <w:pPr>
                    <w:pStyle w:val="Default"/>
                    <w:rPr>
                      <w:sz w:val="18"/>
                      <w:szCs w:val="18"/>
                    </w:rPr>
                  </w:pPr>
                  <w:r w:rsidRPr="00290188">
                    <w:rPr>
                      <w:sz w:val="18"/>
                      <w:szCs w:val="18"/>
                    </w:rPr>
                    <w:t>45</w:t>
                  </w:r>
                </w:p>
              </w:tc>
              <w:tc>
                <w:tcPr>
                  <w:tcW w:w="971" w:type="dxa"/>
                </w:tcPr>
                <w:p w:rsidRPr="00290188" w:rsidR="004C188E" w:rsidP="000E52C6" w:rsidRDefault="00095B3A" w14:paraId="37632D14" w14:textId="4E690A03">
                  <w:pPr>
                    <w:pStyle w:val="Default"/>
                    <w:rPr>
                      <w:sz w:val="18"/>
                      <w:szCs w:val="18"/>
                    </w:rPr>
                  </w:pPr>
                  <w:r w:rsidRPr="00290188">
                    <w:rPr>
                      <w:sz w:val="18"/>
                      <w:szCs w:val="18"/>
                    </w:rPr>
                    <w:t>5</w:t>
                  </w:r>
                </w:p>
              </w:tc>
              <w:tc>
                <w:tcPr>
                  <w:tcW w:w="1843" w:type="dxa"/>
                </w:tcPr>
                <w:p w:rsidRPr="00290188" w:rsidR="004C188E" w:rsidP="000E52C6" w:rsidRDefault="00095B3A" w14:paraId="72C531E1" w14:textId="7B531031">
                  <w:pPr>
                    <w:pStyle w:val="Default"/>
                    <w:rPr>
                      <w:sz w:val="18"/>
                      <w:szCs w:val="18"/>
                    </w:rPr>
                  </w:pPr>
                  <w:r w:rsidRPr="00290188">
                    <w:rPr>
                      <w:sz w:val="18"/>
                      <w:szCs w:val="18"/>
                    </w:rPr>
                    <w:t>47</w:t>
                  </w:r>
                </w:p>
              </w:tc>
            </w:tr>
          </w:tbl>
          <w:p w:rsidRPr="00290188" w:rsidR="004C188E" w:rsidP="000E52C6" w:rsidRDefault="004C188E" w14:paraId="26F8957A" w14:textId="77777777">
            <w:pPr>
              <w:pStyle w:val="broodtekst"/>
            </w:pPr>
          </w:p>
          <w:p w:rsidRPr="00290188" w:rsidR="004C188E" w:rsidP="004C188E" w:rsidRDefault="004C188E" w14:paraId="3B9E1057" w14:textId="02027485">
            <w:pPr>
              <w:pStyle w:val="broodtekst"/>
            </w:pPr>
            <w:r w:rsidRPr="00290188">
              <w:t xml:space="preserve">OHCHR registreerde </w:t>
            </w:r>
            <w:r w:rsidRPr="00290188" w:rsidR="007608C6">
              <w:t>negen</w:t>
            </w:r>
            <w:r w:rsidRPr="00290188">
              <w:t xml:space="preserve"> burgerdoden in de periode van 1 januari 2025 tot 30 juni 2025.</w:t>
            </w:r>
          </w:p>
          <w:p w:rsidRPr="00290188" w:rsidR="004C188E" w:rsidP="004C188E" w:rsidRDefault="004C188E" w14:paraId="5DBEF786" w14:textId="77777777">
            <w:pPr>
              <w:pStyle w:val="broodtekst"/>
            </w:pPr>
          </w:p>
        </w:tc>
      </w:tr>
      <w:tr w:rsidRPr="00290188" w:rsidR="004C188E" w:rsidTr="000E52C6" w14:paraId="60B7352B" w14:textId="77777777">
        <w:tc>
          <w:tcPr>
            <w:tcW w:w="2263" w:type="dxa"/>
          </w:tcPr>
          <w:p w:rsidRPr="00290188" w:rsidR="004C188E" w:rsidP="000E52C6" w:rsidRDefault="004C188E" w14:paraId="3B3473CA" w14:textId="716B1C72">
            <w:pPr>
              <w:pStyle w:val="broodtekst"/>
            </w:pPr>
            <w:r w:rsidRPr="00290188">
              <w:t>Aantal ontheemden</w:t>
            </w:r>
          </w:p>
        </w:tc>
        <w:tc>
          <w:tcPr>
            <w:tcW w:w="6663" w:type="dxa"/>
          </w:tcPr>
          <w:p w:rsidRPr="00290188" w:rsidR="004C188E" w:rsidP="000E52C6" w:rsidRDefault="00095B3A" w14:paraId="664ADAC2" w14:textId="352F4823">
            <w:pPr>
              <w:pStyle w:val="broodtekst"/>
            </w:pPr>
            <w:r w:rsidRPr="00290188">
              <w:t>Ontheemden die in de Noordelijke Staat verblijven (d.d. 9 juli 2025): 530.127</w:t>
            </w:r>
          </w:p>
        </w:tc>
      </w:tr>
      <w:tr w:rsidRPr="00290188" w:rsidR="004C188E" w:rsidTr="000E52C6" w14:paraId="001EA92E" w14:textId="77777777">
        <w:tc>
          <w:tcPr>
            <w:tcW w:w="2263" w:type="dxa"/>
          </w:tcPr>
          <w:p w:rsidRPr="00290188" w:rsidR="004C188E" w:rsidP="000E52C6" w:rsidRDefault="004C188E" w14:paraId="6F7F93A7" w14:textId="77777777">
            <w:pPr>
              <w:pStyle w:val="broodtekst"/>
            </w:pPr>
            <w:r w:rsidRPr="00290188">
              <w:t>Humanitaire omstandigheden als gevolg van het conflict</w:t>
            </w:r>
          </w:p>
        </w:tc>
        <w:tc>
          <w:tcPr>
            <w:tcW w:w="6663" w:type="dxa"/>
          </w:tcPr>
          <w:p w:rsidRPr="00290188" w:rsidR="004C188E" w:rsidP="000E52C6" w:rsidRDefault="004C188E" w14:paraId="0C505021" w14:textId="77777777">
            <w:pPr>
              <w:pStyle w:val="broodtekst"/>
            </w:pPr>
            <w:r w:rsidRPr="00290188">
              <w:rPr>
                <w:i/>
                <w:iCs/>
              </w:rPr>
              <w:t>Geen beschikbare informatie</w:t>
            </w:r>
          </w:p>
        </w:tc>
      </w:tr>
    </w:tbl>
    <w:p w:rsidRPr="00290188" w:rsidR="00587FCC" w:rsidP="004C188E" w:rsidRDefault="00A362BE" w14:paraId="51443C80" w14:textId="213D777B">
      <w:pPr>
        <w:pStyle w:val="broodtekst"/>
        <w:rPr>
          <w:color w:val="000000" w:themeColor="text1"/>
        </w:rPr>
      </w:pPr>
      <w:r w:rsidRPr="00290188">
        <w:rPr>
          <w:color w:val="000000" w:themeColor="text1"/>
        </w:rPr>
        <w:t xml:space="preserve"> </w:t>
      </w:r>
    </w:p>
    <w:p w:rsidRPr="00290188" w:rsidR="00F13641" w:rsidP="00095B3A" w:rsidRDefault="00F13641" w14:paraId="7FA21F0B" w14:textId="735AE33E">
      <w:pPr>
        <w:pStyle w:val="broodtekst"/>
        <w:rPr>
          <w:color w:val="000000" w:themeColor="text1"/>
        </w:rPr>
      </w:pPr>
      <w:r w:rsidRPr="00290188">
        <w:rPr>
          <w:b/>
          <w:bCs/>
          <w:color w:val="000000" w:themeColor="text1"/>
        </w:rPr>
        <w:t>Conclusie:</w:t>
      </w:r>
      <w:r w:rsidRPr="00290188" w:rsidR="00A362BE">
        <w:rPr>
          <w:b/>
          <w:bCs/>
          <w:color w:val="000000" w:themeColor="text1"/>
        </w:rPr>
        <w:t xml:space="preserve"> </w:t>
      </w:r>
      <w:r w:rsidRPr="00290188" w:rsidR="00A362BE">
        <w:rPr>
          <w:color w:val="000000" w:themeColor="text1"/>
        </w:rPr>
        <w:t>In de Noordelijke Staat vonden veiligheidsincidenten plaats</w:t>
      </w:r>
      <w:r w:rsidRPr="00290188" w:rsidR="00B7452A">
        <w:rPr>
          <w:color w:val="000000" w:themeColor="text1"/>
        </w:rPr>
        <w:t xml:space="preserve">, die relatief gezien zijn toegenomen in vergelijking met de voorgaande verslagperiode. Deze incidenten vonden echter op </w:t>
      </w:r>
      <w:r w:rsidRPr="00290188" w:rsidR="00B7452A">
        <w:rPr>
          <w:color w:val="000000" w:themeColor="text1"/>
        </w:rPr>
        <w:lastRenderedPageBreak/>
        <w:t xml:space="preserve">een minder grote schaal plaats dan in </w:t>
      </w:r>
      <w:r w:rsidRPr="00290188" w:rsidR="008B4577">
        <w:rPr>
          <w:color w:val="000000" w:themeColor="text1"/>
        </w:rPr>
        <w:t xml:space="preserve">veel </w:t>
      </w:r>
      <w:r w:rsidRPr="00290188" w:rsidR="00B7452A">
        <w:rPr>
          <w:color w:val="000000" w:themeColor="text1"/>
        </w:rPr>
        <w:t>andere gebieden in Sudan</w:t>
      </w:r>
      <w:r w:rsidRPr="00290188" w:rsidR="008B4577">
        <w:rPr>
          <w:color w:val="000000" w:themeColor="text1"/>
        </w:rPr>
        <w:t xml:space="preserve">. </w:t>
      </w:r>
      <w:r w:rsidRPr="00290188" w:rsidR="00B7452A">
        <w:rPr>
          <w:color w:val="000000" w:themeColor="text1"/>
          <w:u w:val="single"/>
        </w:rPr>
        <w:t xml:space="preserve">Daarom </w:t>
      </w:r>
      <w:r w:rsidRPr="00290188" w:rsidR="00A362BE">
        <w:rPr>
          <w:color w:val="000000" w:themeColor="text1"/>
          <w:u w:val="single"/>
        </w:rPr>
        <w:t xml:space="preserve">wordt geadviseerd om aan te </w:t>
      </w:r>
      <w:r w:rsidRPr="00290188" w:rsidR="00584F5D">
        <w:rPr>
          <w:color w:val="000000" w:themeColor="text1"/>
          <w:u w:val="single"/>
        </w:rPr>
        <w:t xml:space="preserve">blijven </w:t>
      </w:r>
      <w:r w:rsidRPr="00290188" w:rsidR="00A362BE">
        <w:rPr>
          <w:color w:val="000000" w:themeColor="text1"/>
          <w:u w:val="single"/>
        </w:rPr>
        <w:t>nemen dat er sprake is van een lager niveau van willekeurig geweld</w:t>
      </w:r>
      <w:r w:rsidRPr="00290188" w:rsidR="00A362BE">
        <w:rPr>
          <w:color w:val="000000" w:themeColor="text1"/>
        </w:rPr>
        <w:t xml:space="preserve">, waarbij uit de individuele omstandigheden van de vreemdeling kan blijken dat diegene risico loopt op ernstige schade. </w:t>
      </w:r>
    </w:p>
    <w:p w:rsidRPr="00290188" w:rsidR="00B20D25" w:rsidP="00095B3A" w:rsidRDefault="00B20D25" w14:paraId="5DF67C21" w14:textId="77777777">
      <w:pPr>
        <w:pStyle w:val="broodtekst"/>
        <w:rPr>
          <w:color w:val="000000" w:themeColor="text1"/>
        </w:rPr>
      </w:pPr>
    </w:p>
    <w:p w:rsidRPr="00290188" w:rsidR="00095B3A" w:rsidP="00095B3A" w:rsidRDefault="00095B3A" w14:paraId="7F691F2B" w14:textId="77777777">
      <w:pPr>
        <w:pStyle w:val="broodtekst"/>
        <w:rPr>
          <w:color w:val="000000" w:themeColor="text1"/>
        </w:rPr>
      </w:pPr>
    </w:p>
    <w:tbl>
      <w:tblPr>
        <w:tblStyle w:val="Tabelraster"/>
        <w:tblW w:w="0" w:type="auto"/>
        <w:tblInd w:w="0" w:type="dxa"/>
        <w:tblLook w:val="04A0" w:firstRow="1" w:lastRow="0" w:firstColumn="1" w:lastColumn="0" w:noHBand="0" w:noVBand="1"/>
      </w:tblPr>
      <w:tblGrid>
        <w:gridCol w:w="2263"/>
        <w:gridCol w:w="6663"/>
      </w:tblGrid>
      <w:tr w:rsidRPr="00290188" w:rsidR="00095B3A" w:rsidTr="00802BA7" w14:paraId="1165B824" w14:textId="77777777">
        <w:tc>
          <w:tcPr>
            <w:tcW w:w="8926" w:type="dxa"/>
            <w:gridSpan w:val="2"/>
            <w:shd w:val="clear" w:color="auto" w:fill="DEEAF6" w:themeFill="accent1" w:themeFillTint="33"/>
          </w:tcPr>
          <w:p w:rsidRPr="00290188" w:rsidR="00095B3A" w:rsidP="000E52C6" w:rsidRDefault="00095B3A" w14:paraId="4A253B6E" w14:textId="66407762">
            <w:pPr>
              <w:pStyle w:val="broodtekst"/>
              <w:rPr>
                <w:b/>
                <w:bCs/>
              </w:rPr>
            </w:pPr>
            <w:r w:rsidRPr="00290188">
              <w:rPr>
                <w:b/>
                <w:bCs/>
              </w:rPr>
              <w:t xml:space="preserve">Nijl (2,4 </w:t>
            </w:r>
            <w:proofErr w:type="spellStart"/>
            <w:r w:rsidRPr="00290188">
              <w:rPr>
                <w:b/>
                <w:bCs/>
              </w:rPr>
              <w:t>mln</w:t>
            </w:r>
            <w:proofErr w:type="spellEnd"/>
            <w:r w:rsidRPr="00290188">
              <w:rPr>
                <w:b/>
                <w:bCs/>
              </w:rPr>
              <w:t xml:space="preserve"> inwoners)</w:t>
            </w:r>
          </w:p>
        </w:tc>
      </w:tr>
      <w:tr w:rsidRPr="00290188" w:rsidR="00095B3A" w:rsidTr="000E52C6" w14:paraId="52804956" w14:textId="77777777">
        <w:tc>
          <w:tcPr>
            <w:tcW w:w="2263" w:type="dxa"/>
          </w:tcPr>
          <w:p w:rsidRPr="00290188" w:rsidR="00095B3A" w:rsidP="000E52C6" w:rsidRDefault="00095B3A" w14:paraId="0655F401" w14:textId="77777777">
            <w:pPr>
              <w:pStyle w:val="broodtekst"/>
            </w:pPr>
            <w:r w:rsidRPr="00290188">
              <w:t>Controle</w:t>
            </w:r>
          </w:p>
        </w:tc>
        <w:tc>
          <w:tcPr>
            <w:tcW w:w="6663" w:type="dxa"/>
          </w:tcPr>
          <w:p w:rsidRPr="00290188" w:rsidR="00095B3A" w:rsidP="000E52C6" w:rsidRDefault="00095B3A" w14:paraId="2A7E834F" w14:textId="0F7F0EBF">
            <w:pPr>
              <w:pStyle w:val="broodtekst"/>
            </w:pPr>
            <w:r w:rsidRPr="00290188">
              <w:rPr>
                <w:color w:val="000000" w:themeColor="text1"/>
              </w:rPr>
              <w:t>In de staat Nijl is de controle grotendeels in handen van de SAF.</w:t>
            </w:r>
            <w:r w:rsidRPr="00290188">
              <w:rPr>
                <w:rStyle w:val="Voetnootmarkering"/>
                <w:color w:val="000000" w:themeColor="text1"/>
              </w:rPr>
              <w:footnoteReference w:id="26"/>
            </w:r>
          </w:p>
        </w:tc>
      </w:tr>
      <w:tr w:rsidRPr="00290188" w:rsidR="00095B3A" w:rsidTr="000E52C6" w14:paraId="6877F629" w14:textId="77777777">
        <w:tc>
          <w:tcPr>
            <w:tcW w:w="2263" w:type="dxa"/>
          </w:tcPr>
          <w:p w:rsidRPr="00290188" w:rsidR="00095B3A" w:rsidP="000E52C6" w:rsidRDefault="00095B3A" w14:paraId="1E8A47B4" w14:textId="77777777">
            <w:pPr>
              <w:pStyle w:val="broodtekst"/>
            </w:pPr>
            <w:r w:rsidRPr="00290188">
              <w:t>Strijdende partijen</w:t>
            </w:r>
          </w:p>
        </w:tc>
        <w:tc>
          <w:tcPr>
            <w:tcW w:w="6663" w:type="dxa"/>
          </w:tcPr>
          <w:p w:rsidRPr="00290188" w:rsidR="00095B3A" w:rsidP="000E52C6" w:rsidRDefault="00095B3A" w14:paraId="39ED879A" w14:textId="63C2C760">
            <w:pPr>
              <w:pStyle w:val="broodtekst"/>
              <w:rPr>
                <w:i/>
                <w:iCs/>
              </w:rPr>
            </w:pPr>
            <w:r w:rsidRPr="00290188">
              <w:t xml:space="preserve">SAF (inclusief gelieerde </w:t>
            </w:r>
            <w:r w:rsidRPr="00290188" w:rsidR="007608C6">
              <w:t>milities</w:t>
            </w:r>
            <w:r w:rsidRPr="00290188">
              <w:t>) &amp; RSF</w:t>
            </w:r>
            <w:r w:rsidRPr="00290188" w:rsidR="007608C6">
              <w:t>.</w:t>
            </w:r>
          </w:p>
        </w:tc>
      </w:tr>
      <w:tr w:rsidRPr="00290188" w:rsidR="00095B3A" w:rsidTr="000E52C6" w14:paraId="1D01D7E2" w14:textId="77777777">
        <w:tc>
          <w:tcPr>
            <w:tcW w:w="2263" w:type="dxa"/>
          </w:tcPr>
          <w:p w:rsidRPr="00290188" w:rsidR="00095B3A" w:rsidP="000E52C6" w:rsidRDefault="00095B3A" w14:paraId="5D2B6D37" w14:textId="77777777">
            <w:pPr>
              <w:pStyle w:val="broodtekst"/>
            </w:pPr>
            <w:r w:rsidRPr="00290188">
              <w:t>Aard van het geweld &amp; gevechtsmethodes</w:t>
            </w:r>
          </w:p>
        </w:tc>
        <w:tc>
          <w:tcPr>
            <w:tcW w:w="6663" w:type="dxa"/>
          </w:tcPr>
          <w:p w:rsidRPr="00290188" w:rsidR="00095B3A" w:rsidP="00095B3A" w:rsidRDefault="00095B3A" w14:paraId="02D59CBC" w14:textId="77777777">
            <w:pPr>
              <w:pStyle w:val="broodtekst"/>
              <w:rPr>
                <w:color w:val="000000" w:themeColor="text1"/>
              </w:rPr>
            </w:pPr>
            <w:r w:rsidRPr="00290188">
              <w:rPr>
                <w:color w:val="000000" w:themeColor="text1"/>
              </w:rPr>
              <w:t>De RSF pleegden o.a. in Nijl strategische droneaanvallen ver van de frontlinies vandaan, met als doel om een constant gevoel van dreiging te creëren en de SAF te dwingen om haar verdedigingslinies uit te breiden en de SAF daarmee te verzwakken. Er werd een escalatie van luchtaanvallen geobserveerd in Nijl, en het gebruik van geweld op afstand nam toe zoals luchtaanvallen, droneaanvallen en artilleriebeschietingen. Hierbij kwamen ook burgers om het leven.</w:t>
            </w:r>
            <w:r w:rsidRPr="00290188">
              <w:rPr>
                <w:rStyle w:val="Voetnootmarkering"/>
                <w:color w:val="000000" w:themeColor="text1"/>
              </w:rPr>
              <w:footnoteReference w:id="27"/>
            </w:r>
          </w:p>
          <w:p w:rsidRPr="00290188" w:rsidR="00095B3A" w:rsidP="000E52C6" w:rsidRDefault="00095B3A" w14:paraId="211E286E" w14:textId="29EBA893">
            <w:pPr>
              <w:pStyle w:val="broodtekst"/>
              <w:rPr>
                <w:i/>
                <w:iCs/>
                <w:color w:val="000000" w:themeColor="text1"/>
              </w:rPr>
            </w:pPr>
          </w:p>
        </w:tc>
      </w:tr>
      <w:tr w:rsidRPr="00290188" w:rsidR="00095B3A" w:rsidTr="00316EAD" w14:paraId="64B4AE20" w14:textId="77777777">
        <w:trPr>
          <w:trHeight w:val="1890"/>
        </w:trPr>
        <w:tc>
          <w:tcPr>
            <w:tcW w:w="2263" w:type="dxa"/>
          </w:tcPr>
          <w:p w:rsidRPr="00290188" w:rsidR="00095B3A" w:rsidP="000E52C6" w:rsidRDefault="00095B3A" w14:paraId="6AC3BD5C" w14:textId="77777777">
            <w:pPr>
              <w:pStyle w:val="broodtekst"/>
            </w:pPr>
            <w:r w:rsidRPr="00290188">
              <w:t>Aantal geweldsincidenten</w:t>
            </w:r>
          </w:p>
        </w:tc>
        <w:tc>
          <w:tcPr>
            <w:tcW w:w="6663" w:type="dxa"/>
          </w:tcPr>
          <w:p w:rsidRPr="00290188" w:rsidR="00095B3A" w:rsidP="000E52C6" w:rsidRDefault="00095B3A" w14:paraId="72445E77" w14:textId="77777777">
            <w:pPr>
              <w:pStyle w:val="broodtekst"/>
            </w:pPr>
            <w:r w:rsidRPr="00290188">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728"/>
              <w:gridCol w:w="728"/>
              <w:gridCol w:w="1434"/>
            </w:tblGrid>
            <w:tr w:rsidRPr="00290188" w:rsidR="00095B3A" w:rsidTr="00316EAD" w14:paraId="637F957F" w14:textId="77777777">
              <w:trPr>
                <w:trHeight w:val="123"/>
                <w:jc w:val="center"/>
              </w:trPr>
              <w:tc>
                <w:tcPr>
                  <w:tcW w:w="0" w:type="auto"/>
                </w:tcPr>
                <w:p w:rsidRPr="00290188" w:rsidR="00095B3A" w:rsidP="000E52C6" w:rsidRDefault="00095B3A" w14:paraId="43E8F896" w14:textId="77777777">
                  <w:pPr>
                    <w:pStyle w:val="Default"/>
                    <w:rPr>
                      <w:b/>
                      <w:bCs/>
                      <w:sz w:val="18"/>
                      <w:szCs w:val="18"/>
                    </w:rPr>
                  </w:pPr>
                </w:p>
              </w:tc>
              <w:tc>
                <w:tcPr>
                  <w:tcW w:w="0" w:type="auto"/>
                </w:tcPr>
                <w:p w:rsidRPr="00290188" w:rsidR="00095B3A" w:rsidP="000E52C6" w:rsidRDefault="00095B3A" w14:paraId="5B9567FC" w14:textId="77777777">
                  <w:pPr>
                    <w:pStyle w:val="Default"/>
                    <w:rPr>
                      <w:b/>
                      <w:bCs/>
                      <w:sz w:val="18"/>
                      <w:szCs w:val="18"/>
                    </w:rPr>
                  </w:pPr>
                  <w:r w:rsidRPr="00290188">
                    <w:rPr>
                      <w:b/>
                      <w:bCs/>
                      <w:sz w:val="18"/>
                      <w:szCs w:val="18"/>
                    </w:rPr>
                    <w:t>2023</w:t>
                  </w:r>
                </w:p>
              </w:tc>
              <w:tc>
                <w:tcPr>
                  <w:tcW w:w="0" w:type="auto"/>
                </w:tcPr>
                <w:p w:rsidRPr="00290188" w:rsidR="00095B3A" w:rsidP="000E52C6" w:rsidRDefault="00095B3A" w14:paraId="0DC3120E" w14:textId="77777777">
                  <w:pPr>
                    <w:pStyle w:val="Default"/>
                    <w:rPr>
                      <w:b/>
                      <w:bCs/>
                      <w:sz w:val="18"/>
                      <w:szCs w:val="18"/>
                    </w:rPr>
                  </w:pPr>
                  <w:r w:rsidRPr="00290188">
                    <w:rPr>
                      <w:b/>
                      <w:bCs/>
                      <w:sz w:val="18"/>
                      <w:szCs w:val="18"/>
                    </w:rPr>
                    <w:t>2024</w:t>
                  </w:r>
                </w:p>
              </w:tc>
              <w:tc>
                <w:tcPr>
                  <w:tcW w:w="0" w:type="auto"/>
                </w:tcPr>
                <w:p w:rsidRPr="00290188" w:rsidR="00095B3A" w:rsidP="000E52C6" w:rsidRDefault="00095B3A" w14:paraId="0F985EF5" w14:textId="77777777">
                  <w:pPr>
                    <w:pStyle w:val="Default"/>
                    <w:rPr>
                      <w:b/>
                      <w:bCs/>
                      <w:sz w:val="18"/>
                      <w:szCs w:val="18"/>
                    </w:rPr>
                  </w:pPr>
                  <w:r w:rsidRPr="00290188">
                    <w:rPr>
                      <w:b/>
                      <w:bCs/>
                      <w:sz w:val="18"/>
                      <w:szCs w:val="18"/>
                    </w:rPr>
                    <w:t xml:space="preserve">2025 </w:t>
                  </w:r>
                  <w:r w:rsidRPr="00290188">
                    <w:rPr>
                      <w:b/>
                      <w:bCs/>
                      <w:sz w:val="18"/>
                      <w:szCs w:val="18"/>
                    </w:rPr>
                    <w:br/>
                    <w:t>(t/m 8 aug)</w:t>
                  </w:r>
                </w:p>
              </w:tc>
            </w:tr>
            <w:tr w:rsidRPr="00290188" w:rsidR="00095B3A" w:rsidTr="00316EAD" w14:paraId="09EC8D9C" w14:textId="77777777">
              <w:trPr>
                <w:trHeight w:val="123"/>
                <w:jc w:val="center"/>
              </w:trPr>
              <w:tc>
                <w:tcPr>
                  <w:tcW w:w="0" w:type="auto"/>
                </w:tcPr>
                <w:p w:rsidRPr="00290188" w:rsidR="00095B3A" w:rsidP="000E52C6" w:rsidRDefault="00095B3A" w14:paraId="309727B1" w14:textId="77777777">
                  <w:pPr>
                    <w:pStyle w:val="Default"/>
                    <w:rPr>
                      <w:sz w:val="18"/>
                      <w:szCs w:val="18"/>
                    </w:rPr>
                  </w:pPr>
                  <w:r w:rsidRPr="00290188">
                    <w:rPr>
                      <w:b/>
                      <w:bCs/>
                      <w:sz w:val="18"/>
                      <w:szCs w:val="18"/>
                    </w:rPr>
                    <w:t>Totaal</w:t>
                  </w:r>
                </w:p>
              </w:tc>
              <w:tc>
                <w:tcPr>
                  <w:tcW w:w="0" w:type="auto"/>
                </w:tcPr>
                <w:p w:rsidRPr="00290188" w:rsidR="00095B3A" w:rsidP="000E52C6" w:rsidRDefault="00584F5D" w14:paraId="31DA8320" w14:textId="2B8CF0C9">
                  <w:pPr>
                    <w:pStyle w:val="Default"/>
                    <w:rPr>
                      <w:b/>
                      <w:bCs/>
                      <w:sz w:val="18"/>
                      <w:szCs w:val="18"/>
                    </w:rPr>
                  </w:pPr>
                  <w:r w:rsidRPr="00290188">
                    <w:rPr>
                      <w:b/>
                      <w:bCs/>
                      <w:sz w:val="18"/>
                      <w:szCs w:val="18"/>
                    </w:rPr>
                    <w:t>12</w:t>
                  </w:r>
                </w:p>
              </w:tc>
              <w:tc>
                <w:tcPr>
                  <w:tcW w:w="0" w:type="auto"/>
                </w:tcPr>
                <w:p w:rsidRPr="00290188" w:rsidR="00095B3A" w:rsidP="000E52C6" w:rsidRDefault="00584F5D" w14:paraId="26E52397" w14:textId="253F41F7">
                  <w:pPr>
                    <w:pStyle w:val="Default"/>
                    <w:rPr>
                      <w:b/>
                      <w:bCs/>
                      <w:sz w:val="18"/>
                      <w:szCs w:val="18"/>
                    </w:rPr>
                  </w:pPr>
                  <w:r w:rsidRPr="00290188">
                    <w:rPr>
                      <w:b/>
                      <w:bCs/>
                      <w:sz w:val="18"/>
                      <w:szCs w:val="18"/>
                    </w:rPr>
                    <w:t>47</w:t>
                  </w:r>
                </w:p>
              </w:tc>
              <w:tc>
                <w:tcPr>
                  <w:tcW w:w="0" w:type="auto"/>
                </w:tcPr>
                <w:p w:rsidRPr="00290188" w:rsidR="00095B3A" w:rsidP="000E52C6" w:rsidRDefault="00584F5D" w14:paraId="3F931DD7" w14:textId="4EE6BC10">
                  <w:pPr>
                    <w:pStyle w:val="Default"/>
                    <w:rPr>
                      <w:b/>
                      <w:bCs/>
                      <w:sz w:val="18"/>
                      <w:szCs w:val="18"/>
                    </w:rPr>
                  </w:pPr>
                  <w:r w:rsidRPr="00290188">
                    <w:rPr>
                      <w:b/>
                      <w:bCs/>
                      <w:sz w:val="18"/>
                      <w:szCs w:val="18"/>
                    </w:rPr>
                    <w:t>27</w:t>
                  </w:r>
                </w:p>
              </w:tc>
            </w:tr>
            <w:tr w:rsidRPr="00290188" w:rsidR="00095B3A" w:rsidTr="00316EAD" w14:paraId="3A985970" w14:textId="77777777">
              <w:trPr>
                <w:trHeight w:val="121"/>
                <w:jc w:val="center"/>
              </w:trPr>
              <w:tc>
                <w:tcPr>
                  <w:tcW w:w="0" w:type="auto"/>
                </w:tcPr>
                <w:p w:rsidRPr="00290188" w:rsidR="00095B3A" w:rsidP="000E52C6" w:rsidRDefault="00095B3A" w14:paraId="53015E9B" w14:textId="77777777">
                  <w:pPr>
                    <w:pStyle w:val="Default"/>
                    <w:rPr>
                      <w:sz w:val="18"/>
                      <w:szCs w:val="18"/>
                    </w:rPr>
                  </w:pPr>
                  <w:r w:rsidRPr="00290188">
                    <w:rPr>
                      <w:sz w:val="18"/>
                      <w:szCs w:val="18"/>
                    </w:rPr>
                    <w:t xml:space="preserve">Gevechten </w:t>
                  </w:r>
                </w:p>
              </w:tc>
              <w:tc>
                <w:tcPr>
                  <w:tcW w:w="0" w:type="auto"/>
                </w:tcPr>
                <w:p w:rsidRPr="00290188" w:rsidR="00095B3A" w:rsidP="000E52C6" w:rsidRDefault="00584F5D" w14:paraId="76973E57" w14:textId="04C98A4F">
                  <w:pPr>
                    <w:pStyle w:val="Default"/>
                    <w:rPr>
                      <w:sz w:val="18"/>
                      <w:szCs w:val="18"/>
                    </w:rPr>
                  </w:pPr>
                  <w:r w:rsidRPr="00290188">
                    <w:rPr>
                      <w:sz w:val="18"/>
                      <w:szCs w:val="18"/>
                    </w:rPr>
                    <w:t>5</w:t>
                  </w:r>
                </w:p>
              </w:tc>
              <w:tc>
                <w:tcPr>
                  <w:tcW w:w="0" w:type="auto"/>
                </w:tcPr>
                <w:p w:rsidRPr="00290188" w:rsidR="00095B3A" w:rsidP="000E52C6" w:rsidRDefault="00584F5D" w14:paraId="233F8E3D" w14:textId="17D30BF7">
                  <w:pPr>
                    <w:pStyle w:val="Default"/>
                    <w:rPr>
                      <w:sz w:val="18"/>
                      <w:szCs w:val="18"/>
                    </w:rPr>
                  </w:pPr>
                  <w:r w:rsidRPr="00290188">
                    <w:rPr>
                      <w:sz w:val="18"/>
                      <w:szCs w:val="18"/>
                    </w:rPr>
                    <w:t>18</w:t>
                  </w:r>
                </w:p>
              </w:tc>
              <w:tc>
                <w:tcPr>
                  <w:tcW w:w="0" w:type="auto"/>
                </w:tcPr>
                <w:p w:rsidRPr="00290188" w:rsidR="00095B3A" w:rsidP="000E52C6" w:rsidRDefault="00584F5D" w14:paraId="58406CBC" w14:textId="19205E66">
                  <w:pPr>
                    <w:pStyle w:val="Default"/>
                    <w:rPr>
                      <w:sz w:val="18"/>
                      <w:szCs w:val="18"/>
                    </w:rPr>
                  </w:pPr>
                  <w:r w:rsidRPr="00290188">
                    <w:rPr>
                      <w:sz w:val="18"/>
                      <w:szCs w:val="18"/>
                    </w:rPr>
                    <w:t>15</w:t>
                  </w:r>
                </w:p>
              </w:tc>
            </w:tr>
            <w:tr w:rsidRPr="00290188" w:rsidR="00095B3A" w:rsidTr="00316EAD" w14:paraId="3B5AA39C" w14:textId="77777777">
              <w:trPr>
                <w:trHeight w:val="121"/>
                <w:jc w:val="center"/>
              </w:trPr>
              <w:tc>
                <w:tcPr>
                  <w:tcW w:w="0" w:type="auto"/>
                </w:tcPr>
                <w:p w:rsidRPr="00290188" w:rsidR="00095B3A" w:rsidP="000E52C6" w:rsidRDefault="00095B3A" w14:paraId="01AC022C" w14:textId="77777777">
                  <w:pPr>
                    <w:pStyle w:val="Default"/>
                    <w:rPr>
                      <w:sz w:val="18"/>
                      <w:szCs w:val="18"/>
                    </w:rPr>
                  </w:pPr>
                  <w:r w:rsidRPr="00290188">
                    <w:rPr>
                      <w:sz w:val="18"/>
                      <w:szCs w:val="18"/>
                    </w:rPr>
                    <w:t xml:space="preserve">Explosies/geweld op afstand </w:t>
                  </w:r>
                </w:p>
              </w:tc>
              <w:tc>
                <w:tcPr>
                  <w:tcW w:w="0" w:type="auto"/>
                </w:tcPr>
                <w:p w:rsidRPr="00290188" w:rsidR="00095B3A" w:rsidP="000E52C6" w:rsidRDefault="00584F5D" w14:paraId="3EDBF55A" w14:textId="09D22E4C">
                  <w:pPr>
                    <w:pStyle w:val="Default"/>
                    <w:rPr>
                      <w:sz w:val="18"/>
                      <w:szCs w:val="18"/>
                    </w:rPr>
                  </w:pPr>
                  <w:r w:rsidRPr="00290188">
                    <w:rPr>
                      <w:sz w:val="18"/>
                      <w:szCs w:val="18"/>
                    </w:rPr>
                    <w:t>2</w:t>
                  </w:r>
                </w:p>
              </w:tc>
              <w:tc>
                <w:tcPr>
                  <w:tcW w:w="0" w:type="auto"/>
                </w:tcPr>
                <w:p w:rsidRPr="00290188" w:rsidR="00095B3A" w:rsidP="000E52C6" w:rsidRDefault="00584F5D" w14:paraId="17604D59" w14:textId="3BF7027D">
                  <w:pPr>
                    <w:pStyle w:val="Default"/>
                    <w:rPr>
                      <w:sz w:val="18"/>
                      <w:szCs w:val="18"/>
                    </w:rPr>
                  </w:pPr>
                  <w:r w:rsidRPr="00290188">
                    <w:rPr>
                      <w:sz w:val="18"/>
                      <w:szCs w:val="18"/>
                    </w:rPr>
                    <w:t>16</w:t>
                  </w:r>
                </w:p>
              </w:tc>
              <w:tc>
                <w:tcPr>
                  <w:tcW w:w="0" w:type="auto"/>
                </w:tcPr>
                <w:p w:rsidRPr="00290188" w:rsidR="00095B3A" w:rsidP="000E52C6" w:rsidRDefault="00584F5D" w14:paraId="64841D08" w14:textId="166B4CAA">
                  <w:pPr>
                    <w:pStyle w:val="Default"/>
                    <w:rPr>
                      <w:sz w:val="18"/>
                      <w:szCs w:val="18"/>
                    </w:rPr>
                  </w:pPr>
                  <w:r w:rsidRPr="00290188">
                    <w:rPr>
                      <w:sz w:val="18"/>
                      <w:szCs w:val="18"/>
                    </w:rPr>
                    <w:t>11</w:t>
                  </w:r>
                </w:p>
              </w:tc>
            </w:tr>
            <w:tr w:rsidRPr="00290188" w:rsidR="00095B3A" w:rsidTr="00316EAD" w14:paraId="6EEC1463" w14:textId="77777777">
              <w:trPr>
                <w:trHeight w:val="121"/>
                <w:jc w:val="center"/>
              </w:trPr>
              <w:tc>
                <w:tcPr>
                  <w:tcW w:w="0" w:type="auto"/>
                </w:tcPr>
                <w:p w:rsidRPr="00290188" w:rsidR="00095B3A" w:rsidP="000E52C6" w:rsidRDefault="00095B3A" w14:paraId="1F435A23" w14:textId="77777777">
                  <w:pPr>
                    <w:pStyle w:val="Default"/>
                    <w:rPr>
                      <w:sz w:val="18"/>
                      <w:szCs w:val="18"/>
                    </w:rPr>
                  </w:pPr>
                  <w:r w:rsidRPr="00290188">
                    <w:rPr>
                      <w:sz w:val="18"/>
                      <w:szCs w:val="18"/>
                    </w:rPr>
                    <w:t xml:space="preserve">Geweld tegen burgers </w:t>
                  </w:r>
                </w:p>
              </w:tc>
              <w:tc>
                <w:tcPr>
                  <w:tcW w:w="0" w:type="auto"/>
                </w:tcPr>
                <w:p w:rsidRPr="00290188" w:rsidR="00095B3A" w:rsidP="000E52C6" w:rsidRDefault="00584F5D" w14:paraId="75E5A89C" w14:textId="2D68D539">
                  <w:pPr>
                    <w:pStyle w:val="Default"/>
                    <w:rPr>
                      <w:sz w:val="18"/>
                      <w:szCs w:val="18"/>
                    </w:rPr>
                  </w:pPr>
                  <w:r w:rsidRPr="00290188">
                    <w:rPr>
                      <w:sz w:val="18"/>
                      <w:szCs w:val="18"/>
                    </w:rPr>
                    <w:t>5</w:t>
                  </w:r>
                </w:p>
              </w:tc>
              <w:tc>
                <w:tcPr>
                  <w:tcW w:w="0" w:type="auto"/>
                </w:tcPr>
                <w:p w:rsidRPr="00290188" w:rsidR="00095B3A" w:rsidP="000E52C6" w:rsidRDefault="00584F5D" w14:paraId="068255D9" w14:textId="1572077E">
                  <w:pPr>
                    <w:pStyle w:val="Default"/>
                    <w:rPr>
                      <w:sz w:val="18"/>
                      <w:szCs w:val="18"/>
                    </w:rPr>
                  </w:pPr>
                  <w:r w:rsidRPr="00290188">
                    <w:rPr>
                      <w:sz w:val="18"/>
                      <w:szCs w:val="18"/>
                    </w:rPr>
                    <w:t>13</w:t>
                  </w:r>
                </w:p>
              </w:tc>
              <w:tc>
                <w:tcPr>
                  <w:tcW w:w="0" w:type="auto"/>
                </w:tcPr>
                <w:p w:rsidRPr="00290188" w:rsidR="00095B3A" w:rsidP="000E52C6" w:rsidRDefault="00584F5D" w14:paraId="51240BF8" w14:textId="52962A37">
                  <w:pPr>
                    <w:pStyle w:val="Default"/>
                    <w:rPr>
                      <w:sz w:val="18"/>
                      <w:szCs w:val="18"/>
                    </w:rPr>
                  </w:pPr>
                  <w:r w:rsidRPr="00290188">
                    <w:rPr>
                      <w:sz w:val="18"/>
                      <w:szCs w:val="18"/>
                    </w:rPr>
                    <w:t>1</w:t>
                  </w:r>
                </w:p>
              </w:tc>
            </w:tr>
          </w:tbl>
          <w:p w:rsidRPr="00290188" w:rsidR="00095B3A" w:rsidP="000E52C6" w:rsidRDefault="00095B3A" w14:paraId="71D71E5C" w14:textId="77777777">
            <w:pPr>
              <w:pStyle w:val="broodtekst"/>
            </w:pPr>
          </w:p>
        </w:tc>
      </w:tr>
      <w:tr w:rsidRPr="00290188" w:rsidR="00095B3A" w:rsidTr="000E52C6" w14:paraId="6419CF90" w14:textId="77777777">
        <w:tc>
          <w:tcPr>
            <w:tcW w:w="2263" w:type="dxa"/>
          </w:tcPr>
          <w:p w:rsidRPr="00290188" w:rsidR="00095B3A" w:rsidP="000E52C6" w:rsidRDefault="00095B3A" w14:paraId="0288E176" w14:textId="77777777">
            <w:pPr>
              <w:pStyle w:val="broodtekst"/>
            </w:pPr>
            <w:r w:rsidRPr="00290188">
              <w:t>Geografische omvang geweld</w:t>
            </w:r>
          </w:p>
        </w:tc>
        <w:tc>
          <w:tcPr>
            <w:tcW w:w="6663" w:type="dxa"/>
          </w:tcPr>
          <w:p w:rsidRPr="00290188" w:rsidR="00095B3A" w:rsidP="000E52C6" w:rsidRDefault="00095B3A" w14:paraId="583E2B8E" w14:textId="77777777">
            <w:pPr>
              <w:pStyle w:val="broodtekst"/>
              <w:rPr>
                <w:i/>
                <w:iCs/>
              </w:rPr>
            </w:pPr>
            <w:r w:rsidRPr="00290188">
              <w:rPr>
                <w:i/>
                <w:iCs/>
              </w:rPr>
              <w:t>Geen beschikbare informatie</w:t>
            </w:r>
          </w:p>
        </w:tc>
      </w:tr>
      <w:tr w:rsidRPr="00290188" w:rsidR="00A21A21" w:rsidTr="000E52C6" w14:paraId="77826B1E" w14:textId="77777777">
        <w:tc>
          <w:tcPr>
            <w:tcW w:w="2263" w:type="dxa"/>
          </w:tcPr>
          <w:p w:rsidRPr="00290188" w:rsidR="00A21A21" w:rsidP="00A21A21" w:rsidRDefault="00A21A21" w14:paraId="4D3CA426" w14:textId="77777777">
            <w:pPr>
              <w:pStyle w:val="broodtekst"/>
            </w:pPr>
            <w:r w:rsidRPr="00290188">
              <w:t>Veiligheidsstructuur</w:t>
            </w:r>
          </w:p>
        </w:tc>
        <w:tc>
          <w:tcPr>
            <w:tcW w:w="6663" w:type="dxa"/>
          </w:tcPr>
          <w:p w:rsidRPr="00290188" w:rsidR="00A21A21" w:rsidP="00A21A21" w:rsidRDefault="00A21A21" w14:paraId="2A7221AB" w14:textId="400D5499">
            <w:pPr>
              <w:pStyle w:val="broodtekst"/>
              <w:rPr>
                <w:i/>
                <w:iCs/>
              </w:rPr>
            </w:pPr>
            <w:r w:rsidRPr="00290188">
              <w:t xml:space="preserve">De SAF hebben </w:t>
            </w:r>
            <w:r w:rsidRPr="00290188" w:rsidR="00917FD9">
              <w:t xml:space="preserve">Nijl </w:t>
            </w:r>
            <w:r w:rsidRPr="00290188">
              <w:t xml:space="preserve">grotendeels </w:t>
            </w:r>
            <w:r w:rsidRPr="00290188" w:rsidR="00917FD9">
              <w:t xml:space="preserve">onder </w:t>
            </w:r>
            <w:r w:rsidRPr="00290188">
              <w:t>controle. Volgens het ambtsbericht houden de SAF geen rekening met het beschermen van de burgerbevolking.</w:t>
            </w:r>
          </w:p>
        </w:tc>
      </w:tr>
      <w:tr w:rsidRPr="00290188" w:rsidR="00A21A21" w:rsidTr="000E52C6" w14:paraId="24523E5F" w14:textId="77777777">
        <w:tc>
          <w:tcPr>
            <w:tcW w:w="2263" w:type="dxa"/>
          </w:tcPr>
          <w:p w:rsidRPr="00290188" w:rsidR="00A21A21" w:rsidP="00A21A21" w:rsidRDefault="00A21A21" w14:paraId="61546179" w14:textId="77777777">
            <w:pPr>
              <w:pStyle w:val="broodtekst"/>
            </w:pPr>
            <w:r w:rsidRPr="00290188">
              <w:t>Doelwitten</w:t>
            </w:r>
          </w:p>
        </w:tc>
        <w:tc>
          <w:tcPr>
            <w:tcW w:w="6663" w:type="dxa"/>
          </w:tcPr>
          <w:p w:rsidRPr="00290188" w:rsidR="00A21A21" w:rsidP="00A21A21" w:rsidRDefault="00A21A21" w14:paraId="7D2C374B" w14:textId="77777777">
            <w:pPr>
              <w:pStyle w:val="broodtekst"/>
              <w:rPr>
                <w:i/>
                <w:iCs/>
              </w:rPr>
            </w:pPr>
            <w:r w:rsidRPr="00290188">
              <w:rPr>
                <w:i/>
                <w:iCs/>
              </w:rPr>
              <w:t>Geen beschikbare informatie</w:t>
            </w:r>
          </w:p>
        </w:tc>
      </w:tr>
      <w:tr w:rsidRPr="00290188" w:rsidR="00A21A21" w:rsidTr="000E52C6" w14:paraId="299EB3CE" w14:textId="77777777">
        <w:tc>
          <w:tcPr>
            <w:tcW w:w="2263" w:type="dxa"/>
          </w:tcPr>
          <w:p w:rsidRPr="00290188" w:rsidR="00A21A21" w:rsidP="00A21A21" w:rsidRDefault="00A21A21" w14:paraId="022F7B63" w14:textId="77777777">
            <w:pPr>
              <w:pStyle w:val="broodtekst"/>
            </w:pPr>
            <w:r w:rsidRPr="00290188">
              <w:t>Dodelijke slachtoffers</w:t>
            </w:r>
          </w:p>
        </w:tc>
        <w:tc>
          <w:tcPr>
            <w:tcW w:w="6663" w:type="dxa"/>
          </w:tcPr>
          <w:p w:rsidRPr="00290188" w:rsidR="00A21A21" w:rsidP="00A21A21" w:rsidRDefault="00A21A21" w14:paraId="729D3345" w14:textId="77777777">
            <w:pPr>
              <w:pStyle w:val="broodtekst"/>
            </w:pPr>
            <w:r w:rsidRPr="00290188">
              <w:t>Aantallen door ACLED geregistreerde doden:</w:t>
            </w:r>
          </w:p>
          <w:p w:rsidRPr="00290188" w:rsidR="00A21A21" w:rsidP="00A21A21" w:rsidRDefault="00A21A21" w14:paraId="13C4C1A7"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
              <w:gridCol w:w="971"/>
              <w:gridCol w:w="1843"/>
            </w:tblGrid>
            <w:tr w:rsidRPr="00290188" w:rsidR="00A21A21" w:rsidTr="00316EAD" w14:paraId="6D241710" w14:textId="77777777">
              <w:trPr>
                <w:trHeight w:val="121"/>
                <w:jc w:val="center"/>
              </w:trPr>
              <w:tc>
                <w:tcPr>
                  <w:tcW w:w="963" w:type="dxa"/>
                </w:tcPr>
                <w:p w:rsidRPr="00290188" w:rsidR="00A21A21" w:rsidP="00A21A21" w:rsidRDefault="00A21A21" w14:paraId="7E45D724" w14:textId="77777777">
                  <w:pPr>
                    <w:pStyle w:val="Default"/>
                    <w:rPr>
                      <w:b/>
                      <w:bCs/>
                      <w:sz w:val="18"/>
                      <w:szCs w:val="18"/>
                    </w:rPr>
                  </w:pPr>
                  <w:r w:rsidRPr="00290188">
                    <w:rPr>
                      <w:b/>
                      <w:bCs/>
                      <w:sz w:val="18"/>
                      <w:szCs w:val="18"/>
                    </w:rPr>
                    <w:t>2023</w:t>
                  </w:r>
                </w:p>
              </w:tc>
              <w:tc>
                <w:tcPr>
                  <w:tcW w:w="971" w:type="dxa"/>
                </w:tcPr>
                <w:p w:rsidRPr="00290188" w:rsidR="00A21A21" w:rsidP="00A21A21" w:rsidRDefault="00A21A21" w14:paraId="585B781D" w14:textId="77777777">
                  <w:pPr>
                    <w:pStyle w:val="Default"/>
                    <w:rPr>
                      <w:b/>
                      <w:bCs/>
                      <w:sz w:val="18"/>
                      <w:szCs w:val="18"/>
                    </w:rPr>
                  </w:pPr>
                  <w:r w:rsidRPr="00290188">
                    <w:rPr>
                      <w:b/>
                      <w:bCs/>
                      <w:sz w:val="18"/>
                      <w:szCs w:val="18"/>
                    </w:rPr>
                    <w:t>2024</w:t>
                  </w:r>
                </w:p>
              </w:tc>
              <w:tc>
                <w:tcPr>
                  <w:tcW w:w="1843" w:type="dxa"/>
                </w:tcPr>
                <w:p w:rsidRPr="00290188" w:rsidR="00A21A21" w:rsidP="00A21A21" w:rsidRDefault="00A21A21" w14:paraId="481BCA13" w14:textId="77777777">
                  <w:pPr>
                    <w:pStyle w:val="Default"/>
                    <w:rPr>
                      <w:b/>
                      <w:bCs/>
                      <w:sz w:val="18"/>
                      <w:szCs w:val="18"/>
                    </w:rPr>
                  </w:pPr>
                  <w:r w:rsidRPr="00290188">
                    <w:rPr>
                      <w:b/>
                      <w:bCs/>
                      <w:sz w:val="18"/>
                      <w:szCs w:val="18"/>
                    </w:rPr>
                    <w:t>2025 t/m 8 aug</w:t>
                  </w:r>
                </w:p>
              </w:tc>
            </w:tr>
            <w:tr w:rsidRPr="00290188" w:rsidR="00A21A21" w:rsidTr="00316EAD" w14:paraId="41A22E25" w14:textId="77777777">
              <w:trPr>
                <w:trHeight w:val="121"/>
                <w:jc w:val="center"/>
              </w:trPr>
              <w:tc>
                <w:tcPr>
                  <w:tcW w:w="963" w:type="dxa"/>
                </w:tcPr>
                <w:p w:rsidRPr="00290188" w:rsidR="00A21A21" w:rsidP="00A21A21" w:rsidRDefault="00A21A21" w14:paraId="1C95AAB0" w14:textId="1DD82296">
                  <w:pPr>
                    <w:pStyle w:val="Default"/>
                    <w:rPr>
                      <w:sz w:val="18"/>
                      <w:szCs w:val="18"/>
                    </w:rPr>
                  </w:pPr>
                  <w:r w:rsidRPr="00290188">
                    <w:rPr>
                      <w:sz w:val="18"/>
                      <w:szCs w:val="18"/>
                    </w:rPr>
                    <w:t>18</w:t>
                  </w:r>
                </w:p>
              </w:tc>
              <w:tc>
                <w:tcPr>
                  <w:tcW w:w="971" w:type="dxa"/>
                </w:tcPr>
                <w:p w:rsidRPr="00290188" w:rsidR="00A21A21" w:rsidP="00A21A21" w:rsidRDefault="00A21A21" w14:paraId="34C1EEBD" w14:textId="0D6E4707">
                  <w:pPr>
                    <w:pStyle w:val="Default"/>
                    <w:rPr>
                      <w:sz w:val="18"/>
                      <w:szCs w:val="18"/>
                    </w:rPr>
                  </w:pPr>
                  <w:r w:rsidRPr="00290188">
                    <w:rPr>
                      <w:sz w:val="18"/>
                      <w:szCs w:val="18"/>
                    </w:rPr>
                    <w:t>92</w:t>
                  </w:r>
                </w:p>
              </w:tc>
              <w:tc>
                <w:tcPr>
                  <w:tcW w:w="1843" w:type="dxa"/>
                </w:tcPr>
                <w:p w:rsidRPr="00290188" w:rsidR="00A21A21" w:rsidP="00A21A21" w:rsidRDefault="00A21A21" w14:paraId="0EF0A979" w14:textId="69B80309">
                  <w:pPr>
                    <w:pStyle w:val="Default"/>
                    <w:rPr>
                      <w:sz w:val="18"/>
                      <w:szCs w:val="18"/>
                    </w:rPr>
                  </w:pPr>
                  <w:r w:rsidRPr="00290188">
                    <w:rPr>
                      <w:sz w:val="18"/>
                      <w:szCs w:val="18"/>
                    </w:rPr>
                    <w:t>25</w:t>
                  </w:r>
                </w:p>
              </w:tc>
            </w:tr>
          </w:tbl>
          <w:p w:rsidRPr="00290188" w:rsidR="00A21A21" w:rsidP="00A21A21" w:rsidRDefault="00A21A21" w14:paraId="05D11B36" w14:textId="77777777">
            <w:pPr>
              <w:pStyle w:val="broodtekst"/>
            </w:pPr>
          </w:p>
          <w:p w:rsidRPr="00290188" w:rsidR="00A21A21" w:rsidP="00A21A21" w:rsidRDefault="00A21A21" w14:paraId="1C98B684" w14:textId="680451DE">
            <w:pPr>
              <w:pStyle w:val="broodtekst"/>
            </w:pPr>
            <w:r w:rsidRPr="00290188">
              <w:t xml:space="preserve">OHCHR registreerde </w:t>
            </w:r>
            <w:r w:rsidRPr="00290188" w:rsidR="00917FD9">
              <w:t>twaalf</w:t>
            </w:r>
            <w:r w:rsidRPr="00290188">
              <w:t xml:space="preserve"> burgerdoden in de periode van 1 januari 2025 tot 30 juni 2025.</w:t>
            </w:r>
          </w:p>
        </w:tc>
      </w:tr>
      <w:tr w:rsidRPr="00290188" w:rsidR="00A21A21" w:rsidTr="000E52C6" w14:paraId="3C72F564" w14:textId="77777777">
        <w:tc>
          <w:tcPr>
            <w:tcW w:w="2263" w:type="dxa"/>
          </w:tcPr>
          <w:p w:rsidRPr="00290188" w:rsidR="00A21A21" w:rsidP="00A21A21" w:rsidRDefault="00A21A21" w14:paraId="4864B51C" w14:textId="71EF30F7">
            <w:pPr>
              <w:pStyle w:val="broodtekst"/>
            </w:pPr>
            <w:r w:rsidRPr="00290188">
              <w:t xml:space="preserve">Aantal ontheemden </w:t>
            </w:r>
          </w:p>
        </w:tc>
        <w:tc>
          <w:tcPr>
            <w:tcW w:w="6663" w:type="dxa"/>
          </w:tcPr>
          <w:p w:rsidRPr="00290188" w:rsidR="00A21A21" w:rsidP="00A21A21" w:rsidRDefault="00A21A21" w14:paraId="34BC7220" w14:textId="6777474C">
            <w:pPr>
              <w:pStyle w:val="broodtekst"/>
            </w:pPr>
            <w:r w:rsidRPr="00290188">
              <w:t>Ontheemden die in Nijl verblijven (d.d. 9 juli 2025): 585.975</w:t>
            </w:r>
          </w:p>
        </w:tc>
      </w:tr>
      <w:tr w:rsidRPr="00290188" w:rsidR="00A21A21" w:rsidTr="000E52C6" w14:paraId="3FD97A5D" w14:textId="77777777">
        <w:tc>
          <w:tcPr>
            <w:tcW w:w="2263" w:type="dxa"/>
          </w:tcPr>
          <w:p w:rsidRPr="00290188" w:rsidR="00A21A21" w:rsidP="00A21A21" w:rsidRDefault="00A21A21" w14:paraId="213CC6E9" w14:textId="77777777">
            <w:pPr>
              <w:pStyle w:val="broodtekst"/>
            </w:pPr>
            <w:r w:rsidRPr="00290188">
              <w:t>Humanitaire omstandigheden als gevolg van het conflict</w:t>
            </w:r>
          </w:p>
        </w:tc>
        <w:tc>
          <w:tcPr>
            <w:tcW w:w="6663" w:type="dxa"/>
          </w:tcPr>
          <w:p w:rsidRPr="00290188" w:rsidR="00A21A21" w:rsidP="00A21A21" w:rsidRDefault="00A21A21" w14:paraId="33A79A5C" w14:textId="59E482E4">
            <w:pPr>
              <w:pStyle w:val="broodtekst"/>
              <w:rPr>
                <w:color w:val="000000" w:themeColor="text1"/>
              </w:rPr>
            </w:pPr>
            <w:r w:rsidRPr="00290188">
              <w:rPr>
                <w:color w:val="000000" w:themeColor="text1"/>
              </w:rPr>
              <w:t xml:space="preserve">In Nijl nam de ontheemding als gevolg van het geweld toe in de loop van 2024. </w:t>
            </w:r>
            <w:r w:rsidRPr="00290188" w:rsidR="008B4577">
              <w:rPr>
                <w:color w:val="000000" w:themeColor="text1"/>
              </w:rPr>
              <w:t xml:space="preserve">Er werden grote tekorten aan noodhulp gemeld. </w:t>
            </w:r>
            <w:r w:rsidRPr="00290188">
              <w:rPr>
                <w:color w:val="000000" w:themeColor="text1"/>
              </w:rPr>
              <w:t xml:space="preserve">Er wordt geschat dat er bijna 2 </w:t>
            </w:r>
            <w:r w:rsidRPr="00290188" w:rsidR="00917FD9">
              <w:rPr>
                <w:color w:val="000000" w:themeColor="text1"/>
              </w:rPr>
              <w:t>miljoen</w:t>
            </w:r>
            <w:r w:rsidRPr="00290188">
              <w:rPr>
                <w:color w:val="000000" w:themeColor="text1"/>
              </w:rPr>
              <w:t xml:space="preserve"> ontheemden in 288 ontheemdenkampen wonen in de staat Nijl, en dat Nijl het grootste percentage ontheemden uit </w:t>
            </w:r>
            <w:proofErr w:type="spellStart"/>
            <w:r w:rsidRPr="00290188">
              <w:rPr>
                <w:color w:val="000000" w:themeColor="text1"/>
              </w:rPr>
              <w:t>Khartoum</w:t>
            </w:r>
            <w:proofErr w:type="spellEnd"/>
            <w:r w:rsidRPr="00290188">
              <w:rPr>
                <w:color w:val="000000" w:themeColor="text1"/>
              </w:rPr>
              <w:t xml:space="preserve"> opvangt in heel Sudan.</w:t>
            </w:r>
            <w:r w:rsidRPr="00290188">
              <w:rPr>
                <w:rStyle w:val="Voetnootmarkering"/>
                <w:color w:val="000000" w:themeColor="text1"/>
              </w:rPr>
              <w:footnoteReference w:id="28"/>
            </w:r>
          </w:p>
        </w:tc>
      </w:tr>
    </w:tbl>
    <w:p w:rsidRPr="00290188" w:rsidR="00095B3A" w:rsidP="00095B3A" w:rsidRDefault="00095B3A" w14:paraId="15380B71" w14:textId="77777777">
      <w:pPr>
        <w:pStyle w:val="broodtekst"/>
        <w:rPr>
          <w:color w:val="000000" w:themeColor="text1"/>
        </w:rPr>
      </w:pPr>
      <w:r w:rsidRPr="00290188">
        <w:rPr>
          <w:color w:val="000000" w:themeColor="text1"/>
        </w:rPr>
        <w:t xml:space="preserve"> </w:t>
      </w:r>
    </w:p>
    <w:p w:rsidRPr="00290188" w:rsidR="00F13641" w:rsidP="00584F5D" w:rsidRDefault="00F13641" w14:paraId="65FEEA22" w14:textId="2E7E46C3">
      <w:pPr>
        <w:pStyle w:val="broodtekst"/>
        <w:rPr>
          <w:color w:val="000000" w:themeColor="text1"/>
        </w:rPr>
      </w:pPr>
      <w:r w:rsidRPr="00290188">
        <w:rPr>
          <w:b/>
          <w:bCs/>
          <w:color w:val="000000" w:themeColor="text1"/>
        </w:rPr>
        <w:t>Conclusie:</w:t>
      </w:r>
      <w:r w:rsidRPr="00290188" w:rsidR="00A362BE">
        <w:rPr>
          <w:b/>
          <w:bCs/>
          <w:color w:val="000000" w:themeColor="text1"/>
        </w:rPr>
        <w:t xml:space="preserve"> </w:t>
      </w:r>
      <w:r w:rsidRPr="00290188" w:rsidR="00A362BE">
        <w:rPr>
          <w:color w:val="000000" w:themeColor="text1"/>
        </w:rPr>
        <w:t xml:space="preserve">In Nijl vonden veiligheidsincidenten plaats, zoals luchtaanvallen. Dit vond op minder grote schaal plaats dan in </w:t>
      </w:r>
      <w:r w:rsidRPr="00290188" w:rsidR="00482D33">
        <w:rPr>
          <w:color w:val="000000" w:themeColor="text1"/>
        </w:rPr>
        <w:t xml:space="preserve">sommige </w:t>
      </w:r>
      <w:r w:rsidRPr="00290188" w:rsidR="00A362BE">
        <w:rPr>
          <w:color w:val="000000" w:themeColor="text1"/>
        </w:rPr>
        <w:t>andere gebieden in Sudan. Doordat de SAF controle over Nijl heeft</w:t>
      </w:r>
      <w:r w:rsidRPr="00290188" w:rsidR="00917FD9">
        <w:rPr>
          <w:color w:val="000000" w:themeColor="text1"/>
        </w:rPr>
        <w:t>,</w:t>
      </w:r>
      <w:r w:rsidRPr="00290188" w:rsidR="00A362BE">
        <w:rPr>
          <w:color w:val="000000" w:themeColor="text1"/>
        </w:rPr>
        <w:t xml:space="preserve"> is de veiligheidssituatie relatief gezien stabieler dan in andere deelstaten. </w:t>
      </w:r>
      <w:r w:rsidRPr="00290188" w:rsidR="00B7452A">
        <w:rPr>
          <w:color w:val="000000" w:themeColor="text1"/>
          <w:u w:val="single"/>
        </w:rPr>
        <w:t xml:space="preserve">Daarom wordt </w:t>
      </w:r>
      <w:r w:rsidRPr="00290188" w:rsidR="00A362BE">
        <w:rPr>
          <w:color w:val="000000" w:themeColor="text1"/>
          <w:u w:val="single"/>
        </w:rPr>
        <w:t xml:space="preserve">geadviseerd om voor deze deelstaat aan te </w:t>
      </w:r>
      <w:r w:rsidRPr="00290188" w:rsidR="00584F5D">
        <w:rPr>
          <w:color w:val="000000" w:themeColor="text1"/>
          <w:u w:val="single"/>
        </w:rPr>
        <w:t xml:space="preserve">blijven </w:t>
      </w:r>
      <w:r w:rsidRPr="00290188" w:rsidR="00A362BE">
        <w:rPr>
          <w:color w:val="000000" w:themeColor="text1"/>
          <w:u w:val="single"/>
        </w:rPr>
        <w:t>nemen dat er sprake is van een lager niveau van willekeurig geweld</w:t>
      </w:r>
      <w:r w:rsidRPr="00290188" w:rsidR="00A362BE">
        <w:rPr>
          <w:color w:val="000000" w:themeColor="text1"/>
        </w:rPr>
        <w:t>, waarbij uit de individuele omstandigheden van de vreemdeling kan blijken dat diegene risico loopt op ernstige schade.</w:t>
      </w:r>
    </w:p>
    <w:p w:rsidRPr="00290188" w:rsidR="00584F5D" w:rsidP="00584F5D" w:rsidRDefault="00584F5D" w14:paraId="60554363" w14:textId="77777777">
      <w:pPr>
        <w:pStyle w:val="broodtekst"/>
        <w:rPr>
          <w:color w:val="000000" w:themeColor="text1"/>
        </w:rPr>
      </w:pPr>
    </w:p>
    <w:tbl>
      <w:tblPr>
        <w:tblStyle w:val="Tabelraster"/>
        <w:tblW w:w="0" w:type="auto"/>
        <w:tblInd w:w="0" w:type="dxa"/>
        <w:tblLook w:val="04A0" w:firstRow="1" w:lastRow="0" w:firstColumn="1" w:lastColumn="0" w:noHBand="0" w:noVBand="1"/>
      </w:tblPr>
      <w:tblGrid>
        <w:gridCol w:w="2263"/>
        <w:gridCol w:w="6663"/>
      </w:tblGrid>
      <w:tr w:rsidRPr="00290188" w:rsidR="00584F5D" w:rsidTr="00802BA7" w14:paraId="55240B4D" w14:textId="77777777">
        <w:tc>
          <w:tcPr>
            <w:tcW w:w="8926" w:type="dxa"/>
            <w:gridSpan w:val="2"/>
            <w:shd w:val="clear" w:color="auto" w:fill="DEEAF6" w:themeFill="accent1" w:themeFillTint="33"/>
          </w:tcPr>
          <w:p w:rsidRPr="00290188" w:rsidR="00584F5D" w:rsidP="000E52C6" w:rsidRDefault="00584F5D" w14:paraId="7A241419" w14:textId="2DD10250">
            <w:pPr>
              <w:pStyle w:val="broodtekst"/>
              <w:rPr>
                <w:b/>
                <w:bCs/>
              </w:rPr>
            </w:pPr>
            <w:r w:rsidRPr="00290188">
              <w:rPr>
                <w:b/>
                <w:bCs/>
              </w:rPr>
              <w:t xml:space="preserve">Rode Zee (1,8 </w:t>
            </w:r>
            <w:proofErr w:type="spellStart"/>
            <w:r w:rsidRPr="00290188">
              <w:rPr>
                <w:b/>
                <w:bCs/>
              </w:rPr>
              <w:t>mln</w:t>
            </w:r>
            <w:proofErr w:type="spellEnd"/>
            <w:r w:rsidRPr="00290188">
              <w:rPr>
                <w:b/>
                <w:bCs/>
              </w:rPr>
              <w:t xml:space="preserve"> inwoners)</w:t>
            </w:r>
          </w:p>
        </w:tc>
      </w:tr>
      <w:tr w:rsidRPr="00290188" w:rsidR="00584F5D" w:rsidTr="000E52C6" w14:paraId="010FAD82" w14:textId="77777777">
        <w:tc>
          <w:tcPr>
            <w:tcW w:w="2263" w:type="dxa"/>
          </w:tcPr>
          <w:p w:rsidRPr="00290188" w:rsidR="00584F5D" w:rsidP="000E52C6" w:rsidRDefault="00584F5D" w14:paraId="62D26B80" w14:textId="77777777">
            <w:pPr>
              <w:pStyle w:val="broodtekst"/>
            </w:pPr>
            <w:r w:rsidRPr="00290188">
              <w:t>Controle</w:t>
            </w:r>
          </w:p>
        </w:tc>
        <w:tc>
          <w:tcPr>
            <w:tcW w:w="6663" w:type="dxa"/>
          </w:tcPr>
          <w:p w:rsidRPr="00290188" w:rsidR="00584F5D" w:rsidP="000E52C6" w:rsidRDefault="00584F5D" w14:paraId="3D73083C" w14:textId="45AA7B41">
            <w:pPr>
              <w:pStyle w:val="broodtekst"/>
            </w:pPr>
            <w:r w:rsidRPr="00290188">
              <w:rPr>
                <w:color w:val="000000" w:themeColor="text1"/>
              </w:rPr>
              <w:t>De SAF hebben de staat Rode Zee momenteel in handen.</w:t>
            </w:r>
          </w:p>
        </w:tc>
      </w:tr>
      <w:tr w:rsidRPr="00290188" w:rsidR="00584F5D" w:rsidTr="000E52C6" w14:paraId="22688C2E" w14:textId="77777777">
        <w:tc>
          <w:tcPr>
            <w:tcW w:w="2263" w:type="dxa"/>
          </w:tcPr>
          <w:p w:rsidRPr="00290188" w:rsidR="00584F5D" w:rsidP="000E52C6" w:rsidRDefault="00584F5D" w14:paraId="5180012F" w14:textId="77777777">
            <w:pPr>
              <w:pStyle w:val="broodtekst"/>
            </w:pPr>
            <w:r w:rsidRPr="00290188">
              <w:lastRenderedPageBreak/>
              <w:t>Strijdende partijen</w:t>
            </w:r>
          </w:p>
        </w:tc>
        <w:tc>
          <w:tcPr>
            <w:tcW w:w="6663" w:type="dxa"/>
          </w:tcPr>
          <w:p w:rsidRPr="00290188" w:rsidR="00584F5D" w:rsidP="000E52C6" w:rsidRDefault="00584F5D" w14:paraId="36BA4151" w14:textId="28B2AB62">
            <w:pPr>
              <w:pStyle w:val="broodtekst"/>
              <w:rPr>
                <w:i/>
                <w:iCs/>
              </w:rPr>
            </w:pPr>
            <w:r w:rsidRPr="00290188">
              <w:t xml:space="preserve">SAF (inclusief gelieerde </w:t>
            </w:r>
            <w:r w:rsidRPr="00290188" w:rsidR="00917FD9">
              <w:t>milities</w:t>
            </w:r>
            <w:r w:rsidRPr="00290188">
              <w:t>) &amp; RSF</w:t>
            </w:r>
            <w:r w:rsidRPr="00290188" w:rsidR="00917FD9">
              <w:t>.</w:t>
            </w:r>
          </w:p>
        </w:tc>
      </w:tr>
      <w:tr w:rsidRPr="00290188" w:rsidR="00584F5D" w:rsidTr="000E52C6" w14:paraId="3A2D72D8" w14:textId="77777777">
        <w:tc>
          <w:tcPr>
            <w:tcW w:w="2263" w:type="dxa"/>
          </w:tcPr>
          <w:p w:rsidRPr="00290188" w:rsidR="00584F5D" w:rsidP="000E52C6" w:rsidRDefault="00584F5D" w14:paraId="1FD68CB1" w14:textId="77777777">
            <w:pPr>
              <w:pStyle w:val="broodtekst"/>
            </w:pPr>
            <w:r w:rsidRPr="00290188">
              <w:t>Aard van het geweld &amp; gevechtsmethodes</w:t>
            </w:r>
          </w:p>
        </w:tc>
        <w:tc>
          <w:tcPr>
            <w:tcW w:w="6663" w:type="dxa"/>
          </w:tcPr>
          <w:p w:rsidRPr="00290188" w:rsidR="00584F5D" w:rsidP="00584F5D" w:rsidRDefault="00584F5D" w14:paraId="24BE78CF" w14:textId="5080CF97">
            <w:pPr>
              <w:pStyle w:val="broodtekst"/>
              <w:rPr>
                <w:color w:val="000000" w:themeColor="text1"/>
              </w:rPr>
            </w:pPr>
            <w:r w:rsidRPr="00290188">
              <w:rPr>
                <w:color w:val="000000" w:themeColor="text1"/>
              </w:rPr>
              <w:t>De RSF pleegden o.a. in Rode Zee strategische droneaanvallen ver van de frontlinies vandaan, met als doel om een constant gevoel van dreiging te creëren en de SAF te dwingen om haar verdedigingslinies uit te breiden en de SAF daarmee te verzwakken</w:t>
            </w:r>
            <w:r w:rsidRPr="00290188" w:rsidR="00917FD9">
              <w:rPr>
                <w:color w:val="000000" w:themeColor="text1"/>
              </w:rPr>
              <w:t>.</w:t>
            </w:r>
          </w:p>
        </w:tc>
      </w:tr>
      <w:tr w:rsidRPr="00290188" w:rsidR="00584F5D" w:rsidTr="00316EAD" w14:paraId="54D26B6C" w14:textId="77777777">
        <w:trPr>
          <w:trHeight w:val="2058"/>
        </w:trPr>
        <w:tc>
          <w:tcPr>
            <w:tcW w:w="2263" w:type="dxa"/>
          </w:tcPr>
          <w:p w:rsidRPr="00290188" w:rsidR="00584F5D" w:rsidP="000E52C6" w:rsidRDefault="00584F5D" w14:paraId="7C9B938B" w14:textId="77777777">
            <w:pPr>
              <w:pStyle w:val="broodtekst"/>
            </w:pPr>
            <w:r w:rsidRPr="00290188">
              <w:t>Aantal geweldsincidenten</w:t>
            </w:r>
          </w:p>
        </w:tc>
        <w:tc>
          <w:tcPr>
            <w:tcW w:w="6663" w:type="dxa"/>
          </w:tcPr>
          <w:p w:rsidRPr="00290188" w:rsidR="00584F5D" w:rsidP="000E52C6" w:rsidRDefault="00584F5D" w14:paraId="77783BD8" w14:textId="77777777">
            <w:pPr>
              <w:pStyle w:val="broodtekst"/>
            </w:pPr>
            <w:r w:rsidRPr="00290188">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728"/>
              <w:gridCol w:w="728"/>
              <w:gridCol w:w="1434"/>
            </w:tblGrid>
            <w:tr w:rsidRPr="00290188" w:rsidR="00584F5D" w:rsidTr="00316EAD" w14:paraId="64E65B1A" w14:textId="77777777">
              <w:trPr>
                <w:trHeight w:val="123"/>
                <w:jc w:val="center"/>
              </w:trPr>
              <w:tc>
                <w:tcPr>
                  <w:tcW w:w="0" w:type="auto"/>
                </w:tcPr>
                <w:p w:rsidRPr="00290188" w:rsidR="00584F5D" w:rsidP="000E52C6" w:rsidRDefault="00584F5D" w14:paraId="5A9CD384" w14:textId="77777777">
                  <w:pPr>
                    <w:pStyle w:val="Default"/>
                    <w:rPr>
                      <w:b/>
                      <w:bCs/>
                      <w:sz w:val="18"/>
                      <w:szCs w:val="18"/>
                    </w:rPr>
                  </w:pPr>
                </w:p>
              </w:tc>
              <w:tc>
                <w:tcPr>
                  <w:tcW w:w="0" w:type="auto"/>
                </w:tcPr>
                <w:p w:rsidRPr="00290188" w:rsidR="00584F5D" w:rsidP="000E52C6" w:rsidRDefault="00584F5D" w14:paraId="4D6B4725" w14:textId="77777777">
                  <w:pPr>
                    <w:pStyle w:val="Default"/>
                    <w:rPr>
                      <w:b/>
                      <w:bCs/>
                      <w:sz w:val="18"/>
                      <w:szCs w:val="18"/>
                    </w:rPr>
                  </w:pPr>
                  <w:r w:rsidRPr="00290188">
                    <w:rPr>
                      <w:b/>
                      <w:bCs/>
                      <w:sz w:val="18"/>
                      <w:szCs w:val="18"/>
                    </w:rPr>
                    <w:t>2023</w:t>
                  </w:r>
                </w:p>
              </w:tc>
              <w:tc>
                <w:tcPr>
                  <w:tcW w:w="0" w:type="auto"/>
                </w:tcPr>
                <w:p w:rsidRPr="00290188" w:rsidR="00584F5D" w:rsidP="000E52C6" w:rsidRDefault="00584F5D" w14:paraId="27952844" w14:textId="77777777">
                  <w:pPr>
                    <w:pStyle w:val="Default"/>
                    <w:rPr>
                      <w:b/>
                      <w:bCs/>
                      <w:sz w:val="18"/>
                      <w:szCs w:val="18"/>
                    </w:rPr>
                  </w:pPr>
                  <w:r w:rsidRPr="00290188">
                    <w:rPr>
                      <w:b/>
                      <w:bCs/>
                      <w:sz w:val="18"/>
                      <w:szCs w:val="18"/>
                    </w:rPr>
                    <w:t>2024</w:t>
                  </w:r>
                </w:p>
              </w:tc>
              <w:tc>
                <w:tcPr>
                  <w:tcW w:w="0" w:type="auto"/>
                </w:tcPr>
                <w:p w:rsidRPr="00290188" w:rsidR="00584F5D" w:rsidP="000E52C6" w:rsidRDefault="00584F5D" w14:paraId="203679AB" w14:textId="77777777">
                  <w:pPr>
                    <w:pStyle w:val="Default"/>
                    <w:rPr>
                      <w:b/>
                      <w:bCs/>
                      <w:sz w:val="18"/>
                      <w:szCs w:val="18"/>
                    </w:rPr>
                  </w:pPr>
                  <w:r w:rsidRPr="00290188">
                    <w:rPr>
                      <w:b/>
                      <w:bCs/>
                      <w:sz w:val="18"/>
                      <w:szCs w:val="18"/>
                    </w:rPr>
                    <w:t xml:space="preserve">2025 </w:t>
                  </w:r>
                  <w:r w:rsidRPr="00290188">
                    <w:rPr>
                      <w:b/>
                      <w:bCs/>
                      <w:sz w:val="18"/>
                      <w:szCs w:val="18"/>
                    </w:rPr>
                    <w:br/>
                    <w:t>(t/m 8 aug)</w:t>
                  </w:r>
                </w:p>
              </w:tc>
            </w:tr>
            <w:tr w:rsidRPr="00290188" w:rsidR="00584F5D" w:rsidTr="00316EAD" w14:paraId="6F86148A" w14:textId="77777777">
              <w:trPr>
                <w:trHeight w:val="123"/>
                <w:jc w:val="center"/>
              </w:trPr>
              <w:tc>
                <w:tcPr>
                  <w:tcW w:w="0" w:type="auto"/>
                </w:tcPr>
                <w:p w:rsidRPr="00290188" w:rsidR="00584F5D" w:rsidP="000E52C6" w:rsidRDefault="00584F5D" w14:paraId="7441E74F" w14:textId="77777777">
                  <w:pPr>
                    <w:pStyle w:val="Default"/>
                    <w:rPr>
                      <w:sz w:val="18"/>
                      <w:szCs w:val="18"/>
                    </w:rPr>
                  </w:pPr>
                  <w:r w:rsidRPr="00290188">
                    <w:rPr>
                      <w:b/>
                      <w:bCs/>
                      <w:sz w:val="18"/>
                      <w:szCs w:val="18"/>
                    </w:rPr>
                    <w:t>Totaal</w:t>
                  </w:r>
                </w:p>
              </w:tc>
              <w:tc>
                <w:tcPr>
                  <w:tcW w:w="0" w:type="auto"/>
                </w:tcPr>
                <w:p w:rsidRPr="00290188" w:rsidR="00584F5D" w:rsidP="000E52C6" w:rsidRDefault="00584F5D" w14:paraId="1F53AD00" w14:textId="384738D1">
                  <w:pPr>
                    <w:pStyle w:val="Default"/>
                    <w:rPr>
                      <w:b/>
                      <w:bCs/>
                      <w:sz w:val="18"/>
                      <w:szCs w:val="18"/>
                    </w:rPr>
                  </w:pPr>
                  <w:r w:rsidRPr="00290188">
                    <w:rPr>
                      <w:b/>
                      <w:bCs/>
                      <w:sz w:val="18"/>
                      <w:szCs w:val="18"/>
                    </w:rPr>
                    <w:t>9</w:t>
                  </w:r>
                </w:p>
              </w:tc>
              <w:tc>
                <w:tcPr>
                  <w:tcW w:w="0" w:type="auto"/>
                </w:tcPr>
                <w:p w:rsidRPr="00290188" w:rsidR="00584F5D" w:rsidP="000E52C6" w:rsidRDefault="00584F5D" w14:paraId="682090AB" w14:textId="1F5B795A">
                  <w:pPr>
                    <w:pStyle w:val="Default"/>
                    <w:rPr>
                      <w:b/>
                      <w:bCs/>
                      <w:sz w:val="18"/>
                      <w:szCs w:val="18"/>
                    </w:rPr>
                  </w:pPr>
                  <w:r w:rsidRPr="00290188">
                    <w:rPr>
                      <w:b/>
                      <w:bCs/>
                      <w:sz w:val="18"/>
                      <w:szCs w:val="18"/>
                    </w:rPr>
                    <w:t>5</w:t>
                  </w:r>
                </w:p>
              </w:tc>
              <w:tc>
                <w:tcPr>
                  <w:tcW w:w="0" w:type="auto"/>
                </w:tcPr>
                <w:p w:rsidRPr="00290188" w:rsidR="00584F5D" w:rsidP="000E52C6" w:rsidRDefault="00584F5D" w14:paraId="445AEEC0" w14:textId="47F736F6">
                  <w:pPr>
                    <w:pStyle w:val="Default"/>
                    <w:rPr>
                      <w:b/>
                      <w:bCs/>
                      <w:sz w:val="18"/>
                      <w:szCs w:val="18"/>
                    </w:rPr>
                  </w:pPr>
                  <w:r w:rsidRPr="00290188">
                    <w:rPr>
                      <w:b/>
                      <w:bCs/>
                      <w:sz w:val="18"/>
                      <w:szCs w:val="18"/>
                    </w:rPr>
                    <w:t>23</w:t>
                  </w:r>
                </w:p>
              </w:tc>
            </w:tr>
            <w:tr w:rsidRPr="00290188" w:rsidR="00584F5D" w:rsidTr="00316EAD" w14:paraId="2268ECED" w14:textId="77777777">
              <w:trPr>
                <w:trHeight w:val="121"/>
                <w:jc w:val="center"/>
              </w:trPr>
              <w:tc>
                <w:tcPr>
                  <w:tcW w:w="0" w:type="auto"/>
                </w:tcPr>
                <w:p w:rsidRPr="00290188" w:rsidR="00584F5D" w:rsidP="000E52C6" w:rsidRDefault="00584F5D" w14:paraId="05CED557" w14:textId="77777777">
                  <w:pPr>
                    <w:pStyle w:val="Default"/>
                    <w:rPr>
                      <w:sz w:val="18"/>
                      <w:szCs w:val="18"/>
                    </w:rPr>
                  </w:pPr>
                  <w:r w:rsidRPr="00290188">
                    <w:rPr>
                      <w:sz w:val="18"/>
                      <w:szCs w:val="18"/>
                    </w:rPr>
                    <w:t xml:space="preserve">Gevechten </w:t>
                  </w:r>
                </w:p>
              </w:tc>
              <w:tc>
                <w:tcPr>
                  <w:tcW w:w="0" w:type="auto"/>
                </w:tcPr>
                <w:p w:rsidRPr="00290188" w:rsidR="00584F5D" w:rsidP="000E52C6" w:rsidRDefault="00584F5D" w14:paraId="6ADB30F6" w14:textId="7204623E">
                  <w:pPr>
                    <w:pStyle w:val="Default"/>
                    <w:rPr>
                      <w:sz w:val="18"/>
                      <w:szCs w:val="18"/>
                    </w:rPr>
                  </w:pPr>
                  <w:r w:rsidRPr="00290188">
                    <w:rPr>
                      <w:sz w:val="18"/>
                      <w:szCs w:val="18"/>
                    </w:rPr>
                    <w:t>5</w:t>
                  </w:r>
                </w:p>
              </w:tc>
              <w:tc>
                <w:tcPr>
                  <w:tcW w:w="0" w:type="auto"/>
                </w:tcPr>
                <w:p w:rsidRPr="00290188" w:rsidR="00584F5D" w:rsidP="000E52C6" w:rsidRDefault="00584F5D" w14:paraId="75F23CB5" w14:textId="2D39CD6D">
                  <w:pPr>
                    <w:pStyle w:val="Default"/>
                    <w:rPr>
                      <w:sz w:val="18"/>
                      <w:szCs w:val="18"/>
                    </w:rPr>
                  </w:pPr>
                  <w:r w:rsidRPr="00290188">
                    <w:rPr>
                      <w:sz w:val="18"/>
                      <w:szCs w:val="18"/>
                    </w:rPr>
                    <w:t>2</w:t>
                  </w:r>
                </w:p>
              </w:tc>
              <w:tc>
                <w:tcPr>
                  <w:tcW w:w="0" w:type="auto"/>
                </w:tcPr>
                <w:p w:rsidRPr="00290188" w:rsidR="00584F5D" w:rsidP="000E52C6" w:rsidRDefault="00584F5D" w14:paraId="690FE8F5" w14:textId="6761D0EA">
                  <w:pPr>
                    <w:pStyle w:val="Default"/>
                    <w:rPr>
                      <w:sz w:val="18"/>
                      <w:szCs w:val="18"/>
                    </w:rPr>
                  </w:pPr>
                  <w:r w:rsidRPr="00290188">
                    <w:rPr>
                      <w:sz w:val="18"/>
                      <w:szCs w:val="18"/>
                    </w:rPr>
                    <w:t>18</w:t>
                  </w:r>
                </w:p>
              </w:tc>
            </w:tr>
            <w:tr w:rsidRPr="00290188" w:rsidR="00584F5D" w:rsidTr="00316EAD" w14:paraId="3D895FE6" w14:textId="77777777">
              <w:trPr>
                <w:trHeight w:val="121"/>
                <w:jc w:val="center"/>
              </w:trPr>
              <w:tc>
                <w:tcPr>
                  <w:tcW w:w="0" w:type="auto"/>
                </w:tcPr>
                <w:p w:rsidRPr="00290188" w:rsidR="00584F5D" w:rsidP="000E52C6" w:rsidRDefault="00584F5D" w14:paraId="2E56057C" w14:textId="77777777">
                  <w:pPr>
                    <w:pStyle w:val="Default"/>
                    <w:rPr>
                      <w:sz w:val="18"/>
                      <w:szCs w:val="18"/>
                    </w:rPr>
                  </w:pPr>
                  <w:r w:rsidRPr="00290188">
                    <w:rPr>
                      <w:sz w:val="18"/>
                      <w:szCs w:val="18"/>
                    </w:rPr>
                    <w:t xml:space="preserve">Explosies/geweld op afstand </w:t>
                  </w:r>
                </w:p>
              </w:tc>
              <w:tc>
                <w:tcPr>
                  <w:tcW w:w="0" w:type="auto"/>
                </w:tcPr>
                <w:p w:rsidRPr="00290188" w:rsidR="00584F5D" w:rsidP="000E52C6" w:rsidRDefault="00584F5D" w14:paraId="351D212B" w14:textId="2A452205">
                  <w:pPr>
                    <w:pStyle w:val="Default"/>
                    <w:rPr>
                      <w:sz w:val="18"/>
                      <w:szCs w:val="18"/>
                    </w:rPr>
                  </w:pPr>
                  <w:r w:rsidRPr="00290188">
                    <w:rPr>
                      <w:sz w:val="18"/>
                      <w:szCs w:val="18"/>
                    </w:rPr>
                    <w:t>0</w:t>
                  </w:r>
                </w:p>
              </w:tc>
              <w:tc>
                <w:tcPr>
                  <w:tcW w:w="0" w:type="auto"/>
                </w:tcPr>
                <w:p w:rsidRPr="00290188" w:rsidR="00584F5D" w:rsidP="000E52C6" w:rsidRDefault="00584F5D" w14:paraId="398E2E29" w14:textId="092628A0">
                  <w:pPr>
                    <w:pStyle w:val="Default"/>
                    <w:rPr>
                      <w:sz w:val="18"/>
                      <w:szCs w:val="18"/>
                    </w:rPr>
                  </w:pPr>
                  <w:r w:rsidRPr="00290188">
                    <w:rPr>
                      <w:sz w:val="18"/>
                      <w:szCs w:val="18"/>
                    </w:rPr>
                    <w:t>0</w:t>
                  </w:r>
                </w:p>
              </w:tc>
              <w:tc>
                <w:tcPr>
                  <w:tcW w:w="0" w:type="auto"/>
                </w:tcPr>
                <w:p w:rsidRPr="00290188" w:rsidR="00584F5D" w:rsidP="000E52C6" w:rsidRDefault="00584F5D" w14:paraId="1E8DB5EF" w14:textId="7D96AD39">
                  <w:pPr>
                    <w:pStyle w:val="Default"/>
                    <w:rPr>
                      <w:sz w:val="18"/>
                      <w:szCs w:val="18"/>
                    </w:rPr>
                  </w:pPr>
                  <w:r w:rsidRPr="00290188">
                    <w:rPr>
                      <w:sz w:val="18"/>
                      <w:szCs w:val="18"/>
                    </w:rPr>
                    <w:t>2</w:t>
                  </w:r>
                </w:p>
              </w:tc>
            </w:tr>
            <w:tr w:rsidRPr="00290188" w:rsidR="00584F5D" w:rsidTr="00316EAD" w14:paraId="317A7114" w14:textId="77777777">
              <w:trPr>
                <w:trHeight w:val="121"/>
                <w:jc w:val="center"/>
              </w:trPr>
              <w:tc>
                <w:tcPr>
                  <w:tcW w:w="0" w:type="auto"/>
                </w:tcPr>
                <w:p w:rsidRPr="00290188" w:rsidR="00584F5D" w:rsidP="000E52C6" w:rsidRDefault="00584F5D" w14:paraId="5A30DEBC" w14:textId="77777777">
                  <w:pPr>
                    <w:pStyle w:val="Default"/>
                    <w:rPr>
                      <w:sz w:val="18"/>
                      <w:szCs w:val="18"/>
                    </w:rPr>
                  </w:pPr>
                  <w:r w:rsidRPr="00290188">
                    <w:rPr>
                      <w:sz w:val="18"/>
                      <w:szCs w:val="18"/>
                    </w:rPr>
                    <w:t xml:space="preserve">Geweld tegen burgers </w:t>
                  </w:r>
                </w:p>
              </w:tc>
              <w:tc>
                <w:tcPr>
                  <w:tcW w:w="0" w:type="auto"/>
                </w:tcPr>
                <w:p w:rsidRPr="00290188" w:rsidR="00584F5D" w:rsidP="000E52C6" w:rsidRDefault="00584F5D" w14:paraId="1FDDA685" w14:textId="188056CD">
                  <w:pPr>
                    <w:pStyle w:val="Default"/>
                    <w:rPr>
                      <w:sz w:val="18"/>
                      <w:szCs w:val="18"/>
                    </w:rPr>
                  </w:pPr>
                  <w:r w:rsidRPr="00290188">
                    <w:rPr>
                      <w:sz w:val="18"/>
                      <w:szCs w:val="18"/>
                    </w:rPr>
                    <w:t>4</w:t>
                  </w:r>
                </w:p>
              </w:tc>
              <w:tc>
                <w:tcPr>
                  <w:tcW w:w="0" w:type="auto"/>
                </w:tcPr>
                <w:p w:rsidRPr="00290188" w:rsidR="00584F5D" w:rsidP="000E52C6" w:rsidRDefault="00584F5D" w14:paraId="1549F617" w14:textId="0E8EA9F4">
                  <w:pPr>
                    <w:pStyle w:val="Default"/>
                    <w:rPr>
                      <w:sz w:val="18"/>
                      <w:szCs w:val="18"/>
                    </w:rPr>
                  </w:pPr>
                  <w:r w:rsidRPr="00290188">
                    <w:rPr>
                      <w:sz w:val="18"/>
                      <w:szCs w:val="18"/>
                    </w:rPr>
                    <w:t>3</w:t>
                  </w:r>
                </w:p>
              </w:tc>
              <w:tc>
                <w:tcPr>
                  <w:tcW w:w="0" w:type="auto"/>
                </w:tcPr>
                <w:p w:rsidRPr="00290188" w:rsidR="00584F5D" w:rsidP="000E52C6" w:rsidRDefault="00584F5D" w14:paraId="5172858E" w14:textId="121AA0F4">
                  <w:pPr>
                    <w:pStyle w:val="Default"/>
                    <w:rPr>
                      <w:sz w:val="18"/>
                      <w:szCs w:val="18"/>
                    </w:rPr>
                  </w:pPr>
                  <w:r w:rsidRPr="00290188">
                    <w:rPr>
                      <w:sz w:val="18"/>
                      <w:szCs w:val="18"/>
                    </w:rPr>
                    <w:t>3</w:t>
                  </w:r>
                </w:p>
              </w:tc>
            </w:tr>
          </w:tbl>
          <w:p w:rsidRPr="00290188" w:rsidR="00584F5D" w:rsidP="000E52C6" w:rsidRDefault="00584F5D" w14:paraId="4150D399" w14:textId="77777777">
            <w:pPr>
              <w:pStyle w:val="broodtekst"/>
            </w:pPr>
          </w:p>
        </w:tc>
      </w:tr>
      <w:tr w:rsidRPr="00290188" w:rsidR="00584F5D" w:rsidTr="000E52C6" w14:paraId="73A53B99" w14:textId="77777777">
        <w:tc>
          <w:tcPr>
            <w:tcW w:w="2263" w:type="dxa"/>
          </w:tcPr>
          <w:p w:rsidRPr="00290188" w:rsidR="00584F5D" w:rsidP="000E52C6" w:rsidRDefault="00584F5D" w14:paraId="276FFC15" w14:textId="77777777">
            <w:pPr>
              <w:pStyle w:val="broodtekst"/>
            </w:pPr>
            <w:r w:rsidRPr="00290188">
              <w:t>Geografische omvang geweld</w:t>
            </w:r>
          </w:p>
        </w:tc>
        <w:tc>
          <w:tcPr>
            <w:tcW w:w="6663" w:type="dxa"/>
          </w:tcPr>
          <w:p w:rsidRPr="00290188" w:rsidR="00584F5D" w:rsidP="000E52C6" w:rsidRDefault="00584F5D" w14:paraId="0E26700C" w14:textId="77777777">
            <w:pPr>
              <w:pStyle w:val="broodtekst"/>
              <w:rPr>
                <w:i/>
                <w:iCs/>
              </w:rPr>
            </w:pPr>
            <w:r w:rsidRPr="00290188">
              <w:rPr>
                <w:i/>
                <w:iCs/>
              </w:rPr>
              <w:t>Geen beschikbare informatie</w:t>
            </w:r>
          </w:p>
        </w:tc>
      </w:tr>
      <w:tr w:rsidRPr="00290188" w:rsidR="00584F5D" w:rsidTr="000E52C6" w14:paraId="20F86A7D" w14:textId="77777777">
        <w:tc>
          <w:tcPr>
            <w:tcW w:w="2263" w:type="dxa"/>
          </w:tcPr>
          <w:p w:rsidRPr="00290188" w:rsidR="00584F5D" w:rsidP="000E52C6" w:rsidRDefault="00584F5D" w14:paraId="24EC421D" w14:textId="77777777">
            <w:pPr>
              <w:pStyle w:val="broodtekst"/>
            </w:pPr>
            <w:r w:rsidRPr="00290188">
              <w:t>Veiligheidsstructuur</w:t>
            </w:r>
          </w:p>
        </w:tc>
        <w:tc>
          <w:tcPr>
            <w:tcW w:w="6663" w:type="dxa"/>
          </w:tcPr>
          <w:p w:rsidRPr="00290188" w:rsidR="00584F5D" w:rsidP="000E52C6" w:rsidRDefault="00A21A21" w14:paraId="16B10ACF" w14:textId="49DCF5B5">
            <w:pPr>
              <w:pStyle w:val="broodtekst"/>
              <w:rPr>
                <w:i/>
                <w:iCs/>
              </w:rPr>
            </w:pPr>
            <w:r w:rsidRPr="00290188">
              <w:t xml:space="preserve">De SAF hebben </w:t>
            </w:r>
            <w:r w:rsidRPr="00290188" w:rsidR="00917FD9">
              <w:t xml:space="preserve">Rode Zee </w:t>
            </w:r>
            <w:r w:rsidRPr="00290188">
              <w:t xml:space="preserve">grotendeels </w:t>
            </w:r>
            <w:r w:rsidRPr="00290188" w:rsidR="00917FD9">
              <w:t xml:space="preserve">onder </w:t>
            </w:r>
            <w:r w:rsidRPr="00290188">
              <w:t>controle. Volgens het ambtsbericht houden de SAF geen rekening met het beschermen van de burgerbevolking.</w:t>
            </w:r>
          </w:p>
        </w:tc>
      </w:tr>
      <w:tr w:rsidRPr="00290188" w:rsidR="00584F5D" w:rsidTr="000E52C6" w14:paraId="125B43C4" w14:textId="77777777">
        <w:tc>
          <w:tcPr>
            <w:tcW w:w="2263" w:type="dxa"/>
          </w:tcPr>
          <w:p w:rsidRPr="00290188" w:rsidR="00584F5D" w:rsidP="000E52C6" w:rsidRDefault="00584F5D" w14:paraId="7519F53B" w14:textId="77777777">
            <w:pPr>
              <w:pStyle w:val="broodtekst"/>
            </w:pPr>
            <w:r w:rsidRPr="00290188">
              <w:t>Doelwitten</w:t>
            </w:r>
          </w:p>
        </w:tc>
        <w:tc>
          <w:tcPr>
            <w:tcW w:w="6663" w:type="dxa"/>
          </w:tcPr>
          <w:p w:rsidRPr="00290188" w:rsidR="00584F5D" w:rsidP="000E52C6" w:rsidRDefault="00584F5D" w14:paraId="7FE1BEA2" w14:textId="77777777">
            <w:pPr>
              <w:pStyle w:val="broodtekst"/>
              <w:rPr>
                <w:i/>
                <w:iCs/>
              </w:rPr>
            </w:pPr>
            <w:r w:rsidRPr="00290188">
              <w:rPr>
                <w:i/>
                <w:iCs/>
              </w:rPr>
              <w:t>Geen beschikbare informatie</w:t>
            </w:r>
          </w:p>
        </w:tc>
      </w:tr>
      <w:tr w:rsidRPr="00290188" w:rsidR="00584F5D" w:rsidTr="000E52C6" w14:paraId="389A42E1" w14:textId="77777777">
        <w:tc>
          <w:tcPr>
            <w:tcW w:w="2263" w:type="dxa"/>
          </w:tcPr>
          <w:p w:rsidRPr="00290188" w:rsidR="00584F5D" w:rsidP="000E52C6" w:rsidRDefault="00584F5D" w14:paraId="524373DE" w14:textId="77777777">
            <w:pPr>
              <w:pStyle w:val="broodtekst"/>
            </w:pPr>
            <w:r w:rsidRPr="00290188">
              <w:t>Dodelijke slachtoffers</w:t>
            </w:r>
          </w:p>
        </w:tc>
        <w:tc>
          <w:tcPr>
            <w:tcW w:w="6663" w:type="dxa"/>
          </w:tcPr>
          <w:p w:rsidRPr="00290188" w:rsidR="00584F5D" w:rsidP="000E52C6" w:rsidRDefault="00584F5D" w14:paraId="00C0F84C" w14:textId="77777777">
            <w:pPr>
              <w:pStyle w:val="broodtekst"/>
            </w:pPr>
            <w:r w:rsidRPr="00290188">
              <w:t>Aantallen door ACLED geregistreerde doden:</w:t>
            </w:r>
          </w:p>
          <w:p w:rsidRPr="00290188" w:rsidR="00584F5D" w:rsidP="000E52C6" w:rsidRDefault="00584F5D" w14:paraId="06023DA0"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
              <w:gridCol w:w="971"/>
              <w:gridCol w:w="1843"/>
            </w:tblGrid>
            <w:tr w:rsidRPr="00290188" w:rsidR="00584F5D" w:rsidTr="00316EAD" w14:paraId="05055CD5" w14:textId="77777777">
              <w:trPr>
                <w:trHeight w:val="121"/>
                <w:jc w:val="center"/>
              </w:trPr>
              <w:tc>
                <w:tcPr>
                  <w:tcW w:w="963" w:type="dxa"/>
                </w:tcPr>
                <w:p w:rsidRPr="00290188" w:rsidR="00584F5D" w:rsidP="000E52C6" w:rsidRDefault="00584F5D" w14:paraId="1F02D794" w14:textId="77777777">
                  <w:pPr>
                    <w:pStyle w:val="Default"/>
                    <w:rPr>
                      <w:b/>
                      <w:bCs/>
                      <w:sz w:val="18"/>
                      <w:szCs w:val="18"/>
                    </w:rPr>
                  </w:pPr>
                  <w:r w:rsidRPr="00290188">
                    <w:rPr>
                      <w:b/>
                      <w:bCs/>
                      <w:sz w:val="18"/>
                      <w:szCs w:val="18"/>
                    </w:rPr>
                    <w:t>2023</w:t>
                  </w:r>
                </w:p>
              </w:tc>
              <w:tc>
                <w:tcPr>
                  <w:tcW w:w="971" w:type="dxa"/>
                </w:tcPr>
                <w:p w:rsidRPr="00290188" w:rsidR="00584F5D" w:rsidP="000E52C6" w:rsidRDefault="00584F5D" w14:paraId="4B150D6F" w14:textId="77777777">
                  <w:pPr>
                    <w:pStyle w:val="Default"/>
                    <w:rPr>
                      <w:b/>
                      <w:bCs/>
                      <w:sz w:val="18"/>
                      <w:szCs w:val="18"/>
                    </w:rPr>
                  </w:pPr>
                  <w:r w:rsidRPr="00290188">
                    <w:rPr>
                      <w:b/>
                      <w:bCs/>
                      <w:sz w:val="18"/>
                      <w:szCs w:val="18"/>
                    </w:rPr>
                    <w:t>2024</w:t>
                  </w:r>
                </w:p>
              </w:tc>
              <w:tc>
                <w:tcPr>
                  <w:tcW w:w="1843" w:type="dxa"/>
                </w:tcPr>
                <w:p w:rsidRPr="00290188" w:rsidR="00584F5D" w:rsidP="000E52C6" w:rsidRDefault="00584F5D" w14:paraId="01B12C83" w14:textId="77777777">
                  <w:pPr>
                    <w:pStyle w:val="Default"/>
                    <w:rPr>
                      <w:b/>
                      <w:bCs/>
                      <w:sz w:val="18"/>
                      <w:szCs w:val="18"/>
                    </w:rPr>
                  </w:pPr>
                  <w:r w:rsidRPr="00290188">
                    <w:rPr>
                      <w:b/>
                      <w:bCs/>
                      <w:sz w:val="18"/>
                      <w:szCs w:val="18"/>
                    </w:rPr>
                    <w:t>2025 t/m 8 aug</w:t>
                  </w:r>
                </w:p>
              </w:tc>
            </w:tr>
            <w:tr w:rsidRPr="00290188" w:rsidR="00584F5D" w:rsidTr="00316EAD" w14:paraId="613484C1" w14:textId="77777777">
              <w:trPr>
                <w:trHeight w:val="121"/>
                <w:jc w:val="center"/>
              </w:trPr>
              <w:tc>
                <w:tcPr>
                  <w:tcW w:w="963" w:type="dxa"/>
                </w:tcPr>
                <w:p w:rsidRPr="00290188" w:rsidR="00584F5D" w:rsidP="000E52C6" w:rsidRDefault="00584F5D" w14:paraId="39C7168C" w14:textId="229D63AB">
                  <w:pPr>
                    <w:pStyle w:val="Default"/>
                    <w:rPr>
                      <w:sz w:val="18"/>
                      <w:szCs w:val="18"/>
                    </w:rPr>
                  </w:pPr>
                  <w:r w:rsidRPr="00290188">
                    <w:rPr>
                      <w:sz w:val="18"/>
                      <w:szCs w:val="18"/>
                    </w:rPr>
                    <w:t>1</w:t>
                  </w:r>
                </w:p>
              </w:tc>
              <w:tc>
                <w:tcPr>
                  <w:tcW w:w="971" w:type="dxa"/>
                </w:tcPr>
                <w:p w:rsidRPr="00290188" w:rsidR="00584F5D" w:rsidP="000E52C6" w:rsidRDefault="00584F5D" w14:paraId="25B8C80D" w14:textId="0B05655A">
                  <w:pPr>
                    <w:pStyle w:val="Default"/>
                    <w:rPr>
                      <w:sz w:val="18"/>
                      <w:szCs w:val="18"/>
                    </w:rPr>
                  </w:pPr>
                  <w:r w:rsidRPr="00290188">
                    <w:rPr>
                      <w:sz w:val="18"/>
                      <w:szCs w:val="18"/>
                    </w:rPr>
                    <w:t>6</w:t>
                  </w:r>
                </w:p>
              </w:tc>
              <w:tc>
                <w:tcPr>
                  <w:tcW w:w="1843" w:type="dxa"/>
                </w:tcPr>
                <w:p w:rsidRPr="00290188" w:rsidR="00584F5D" w:rsidP="000E52C6" w:rsidRDefault="00584F5D" w14:paraId="3CDF650D" w14:textId="690DD315">
                  <w:pPr>
                    <w:pStyle w:val="Default"/>
                    <w:rPr>
                      <w:sz w:val="18"/>
                      <w:szCs w:val="18"/>
                    </w:rPr>
                  </w:pPr>
                  <w:r w:rsidRPr="00290188">
                    <w:rPr>
                      <w:sz w:val="18"/>
                      <w:szCs w:val="18"/>
                    </w:rPr>
                    <w:t>3</w:t>
                  </w:r>
                </w:p>
              </w:tc>
            </w:tr>
          </w:tbl>
          <w:p w:rsidRPr="00290188" w:rsidR="00584F5D" w:rsidP="000E52C6" w:rsidRDefault="00584F5D" w14:paraId="36D5C292" w14:textId="77777777">
            <w:pPr>
              <w:pStyle w:val="broodtekst"/>
            </w:pPr>
          </w:p>
          <w:p w:rsidRPr="00290188" w:rsidR="00584F5D" w:rsidP="000E52C6" w:rsidRDefault="00584F5D" w14:paraId="41962871" w14:textId="204B366F">
            <w:pPr>
              <w:pStyle w:val="broodtekst"/>
            </w:pPr>
            <w:r w:rsidRPr="00290188">
              <w:t xml:space="preserve">OHCHR registreerde </w:t>
            </w:r>
            <w:r w:rsidRPr="00290188" w:rsidR="00917FD9">
              <w:t>nul</w:t>
            </w:r>
            <w:r w:rsidRPr="00290188">
              <w:t xml:space="preserve"> burgerdoden in de periode van 1 januari 2025 tot 30 juni 2025.</w:t>
            </w:r>
          </w:p>
        </w:tc>
      </w:tr>
      <w:tr w:rsidRPr="00290188" w:rsidR="00584F5D" w:rsidTr="000E52C6" w14:paraId="73905A22" w14:textId="77777777">
        <w:tc>
          <w:tcPr>
            <w:tcW w:w="2263" w:type="dxa"/>
          </w:tcPr>
          <w:p w:rsidRPr="00290188" w:rsidR="00584F5D" w:rsidP="000E52C6" w:rsidRDefault="00584F5D" w14:paraId="110484B0" w14:textId="44130942">
            <w:pPr>
              <w:pStyle w:val="broodtekst"/>
            </w:pPr>
            <w:r w:rsidRPr="00290188">
              <w:t>Aantal ontheemden</w:t>
            </w:r>
          </w:p>
        </w:tc>
        <w:tc>
          <w:tcPr>
            <w:tcW w:w="6663" w:type="dxa"/>
          </w:tcPr>
          <w:p w:rsidRPr="00290188" w:rsidR="00584F5D" w:rsidP="000E52C6" w:rsidRDefault="00584F5D" w14:paraId="75630A55" w14:textId="45FE655B">
            <w:pPr>
              <w:pStyle w:val="broodtekst"/>
            </w:pPr>
            <w:r w:rsidRPr="00290188">
              <w:t>Ontheemden die in Rode Zee verblijven (d.d. 9 juli 2025): 178.582</w:t>
            </w:r>
          </w:p>
        </w:tc>
      </w:tr>
      <w:tr w:rsidRPr="00290188" w:rsidR="00584F5D" w:rsidTr="000E52C6" w14:paraId="51331B63" w14:textId="77777777">
        <w:tc>
          <w:tcPr>
            <w:tcW w:w="2263" w:type="dxa"/>
          </w:tcPr>
          <w:p w:rsidRPr="00290188" w:rsidR="00584F5D" w:rsidP="000E52C6" w:rsidRDefault="00584F5D" w14:paraId="03DEC2EA" w14:textId="77777777">
            <w:pPr>
              <w:pStyle w:val="broodtekst"/>
            </w:pPr>
            <w:r w:rsidRPr="00290188">
              <w:t>Humanitaire omstandigheden als gevolg van het conflict</w:t>
            </w:r>
          </w:p>
        </w:tc>
        <w:tc>
          <w:tcPr>
            <w:tcW w:w="6663" w:type="dxa"/>
          </w:tcPr>
          <w:p w:rsidRPr="00290188" w:rsidR="00584F5D" w:rsidP="000E52C6" w:rsidRDefault="00584F5D" w14:paraId="13E84887" w14:textId="4C6D4DD3">
            <w:pPr>
              <w:pStyle w:val="broodtekst"/>
              <w:rPr>
                <w:color w:val="000000" w:themeColor="text1"/>
              </w:rPr>
            </w:pPr>
            <w:r w:rsidRPr="00290188">
              <w:rPr>
                <w:i/>
                <w:iCs/>
              </w:rPr>
              <w:t>Geen beschikbare informatie</w:t>
            </w:r>
          </w:p>
        </w:tc>
      </w:tr>
    </w:tbl>
    <w:p w:rsidRPr="00290188" w:rsidR="00584F5D" w:rsidP="00584F5D" w:rsidRDefault="00584F5D" w14:paraId="30AE9595" w14:textId="77777777">
      <w:pPr>
        <w:pStyle w:val="broodtekst"/>
        <w:rPr>
          <w:color w:val="000000" w:themeColor="text1"/>
        </w:rPr>
      </w:pPr>
      <w:r w:rsidRPr="00290188">
        <w:rPr>
          <w:color w:val="000000" w:themeColor="text1"/>
        </w:rPr>
        <w:t xml:space="preserve"> </w:t>
      </w:r>
    </w:p>
    <w:p w:rsidRPr="00290188" w:rsidR="00587FCC" w:rsidP="00364E44" w:rsidRDefault="00F13641" w14:paraId="245E83EE" w14:textId="0073FC59">
      <w:pPr>
        <w:pStyle w:val="broodtekst"/>
        <w:rPr>
          <w:color w:val="000000" w:themeColor="text1"/>
        </w:rPr>
      </w:pPr>
      <w:r w:rsidRPr="00290188">
        <w:rPr>
          <w:b/>
          <w:bCs/>
          <w:color w:val="000000" w:themeColor="text1"/>
        </w:rPr>
        <w:t xml:space="preserve">Conclusie: </w:t>
      </w:r>
      <w:r w:rsidRPr="00290188" w:rsidR="00EE5AB1">
        <w:rPr>
          <w:color w:val="000000" w:themeColor="text1"/>
        </w:rPr>
        <w:t>In Rode Nijl vonden veiligheidsincidenten plaats, maar op minder grote schaal dan in andere gebieden in Sudan</w:t>
      </w:r>
      <w:r w:rsidRPr="00290188" w:rsidR="00584F5D">
        <w:rPr>
          <w:color w:val="000000" w:themeColor="text1"/>
        </w:rPr>
        <w:t xml:space="preserve">. </w:t>
      </w:r>
      <w:r w:rsidRPr="00290188" w:rsidR="00EE5AB1">
        <w:rPr>
          <w:color w:val="000000" w:themeColor="text1"/>
        </w:rPr>
        <w:t>Doordat de SAF controle over Rode Nijl heeft</w:t>
      </w:r>
      <w:r w:rsidRPr="00290188" w:rsidR="00917FD9">
        <w:rPr>
          <w:color w:val="000000" w:themeColor="text1"/>
        </w:rPr>
        <w:t>,</w:t>
      </w:r>
      <w:r w:rsidRPr="00290188" w:rsidR="00EE5AB1">
        <w:rPr>
          <w:color w:val="000000" w:themeColor="text1"/>
        </w:rPr>
        <w:t xml:space="preserve"> is de veiligheidssituatie relatief gezien stabieler dan in andere deelstaten. </w:t>
      </w:r>
      <w:r w:rsidRPr="00290188" w:rsidR="00B7452A">
        <w:rPr>
          <w:color w:val="000000" w:themeColor="text1"/>
          <w:u w:val="single"/>
        </w:rPr>
        <w:t>Daarom wordt</w:t>
      </w:r>
      <w:r w:rsidRPr="00290188" w:rsidR="00584F5D">
        <w:rPr>
          <w:color w:val="000000" w:themeColor="text1"/>
          <w:u w:val="single"/>
        </w:rPr>
        <w:t xml:space="preserve"> geadviseerd om voor deze deelstaat aan te blijven nemen dat er sprake is van een lager niveau van willekeurig geweld</w:t>
      </w:r>
      <w:r w:rsidRPr="00290188" w:rsidR="00584F5D">
        <w:rPr>
          <w:color w:val="000000" w:themeColor="text1"/>
        </w:rPr>
        <w:t>, waarbij uit de individuele omstandigheden van de vreemdeling kan blijken dat diegene risico loopt op ernstige schade.</w:t>
      </w:r>
    </w:p>
    <w:p w:rsidRPr="00290188" w:rsidR="00316EAD" w:rsidP="00364E44" w:rsidRDefault="00316EAD" w14:paraId="14FA2D40" w14:textId="77777777">
      <w:pPr>
        <w:pStyle w:val="broodtekst"/>
        <w:rPr>
          <w:color w:val="000000" w:themeColor="text1"/>
        </w:rPr>
      </w:pPr>
    </w:p>
    <w:p w:rsidRPr="00290188" w:rsidR="00584F5D" w:rsidP="00364E44" w:rsidRDefault="00584F5D" w14:paraId="4D635983" w14:textId="77777777">
      <w:pPr>
        <w:pStyle w:val="broodtekst"/>
        <w:rPr>
          <w:color w:val="000000" w:themeColor="text1"/>
        </w:rPr>
      </w:pPr>
    </w:p>
    <w:tbl>
      <w:tblPr>
        <w:tblStyle w:val="Tabelraster"/>
        <w:tblW w:w="0" w:type="auto"/>
        <w:tblInd w:w="0" w:type="dxa"/>
        <w:tblLook w:val="04A0" w:firstRow="1" w:lastRow="0" w:firstColumn="1" w:lastColumn="0" w:noHBand="0" w:noVBand="1"/>
      </w:tblPr>
      <w:tblGrid>
        <w:gridCol w:w="2263"/>
        <w:gridCol w:w="6663"/>
      </w:tblGrid>
      <w:tr w:rsidRPr="00290188" w:rsidR="00584F5D" w:rsidTr="00802BA7" w14:paraId="0E21ABB4" w14:textId="77777777">
        <w:tc>
          <w:tcPr>
            <w:tcW w:w="8926" w:type="dxa"/>
            <w:gridSpan w:val="2"/>
            <w:shd w:val="clear" w:color="auto" w:fill="DEEAF6" w:themeFill="accent1" w:themeFillTint="33"/>
          </w:tcPr>
          <w:p w:rsidRPr="00290188" w:rsidR="00584F5D" w:rsidP="000E52C6" w:rsidRDefault="00584F5D" w14:paraId="1216C21E" w14:textId="5F1DE273">
            <w:pPr>
              <w:pStyle w:val="broodtekst"/>
              <w:rPr>
                <w:b/>
                <w:bCs/>
              </w:rPr>
            </w:pPr>
            <w:proofErr w:type="spellStart"/>
            <w:r w:rsidRPr="00290188">
              <w:rPr>
                <w:b/>
                <w:bCs/>
              </w:rPr>
              <w:t>Gedaref</w:t>
            </w:r>
            <w:proofErr w:type="spellEnd"/>
            <w:r w:rsidRPr="00290188">
              <w:rPr>
                <w:b/>
                <w:bCs/>
              </w:rPr>
              <w:t xml:space="preserve"> (3,1 </w:t>
            </w:r>
            <w:proofErr w:type="spellStart"/>
            <w:r w:rsidRPr="00290188">
              <w:rPr>
                <w:b/>
                <w:bCs/>
              </w:rPr>
              <w:t>mln</w:t>
            </w:r>
            <w:proofErr w:type="spellEnd"/>
            <w:r w:rsidRPr="00290188">
              <w:rPr>
                <w:b/>
                <w:bCs/>
              </w:rPr>
              <w:t xml:space="preserve"> inwoners)</w:t>
            </w:r>
          </w:p>
        </w:tc>
      </w:tr>
      <w:tr w:rsidRPr="00290188" w:rsidR="00584F5D" w:rsidTr="000E52C6" w14:paraId="60F1C7A6" w14:textId="77777777">
        <w:tc>
          <w:tcPr>
            <w:tcW w:w="2263" w:type="dxa"/>
          </w:tcPr>
          <w:p w:rsidRPr="00290188" w:rsidR="00584F5D" w:rsidP="000E52C6" w:rsidRDefault="00584F5D" w14:paraId="3CC4D1B6" w14:textId="77777777">
            <w:pPr>
              <w:pStyle w:val="broodtekst"/>
            </w:pPr>
            <w:r w:rsidRPr="00290188">
              <w:t>Controle</w:t>
            </w:r>
          </w:p>
        </w:tc>
        <w:tc>
          <w:tcPr>
            <w:tcW w:w="6663" w:type="dxa"/>
          </w:tcPr>
          <w:p w:rsidRPr="00290188" w:rsidR="00584F5D" w:rsidP="000E52C6" w:rsidRDefault="00584F5D" w14:paraId="65AE0B3B" w14:textId="5548E239">
            <w:pPr>
              <w:pStyle w:val="broodtekst"/>
            </w:pPr>
            <w:r w:rsidRPr="00290188">
              <w:rPr>
                <w:color w:val="000000" w:themeColor="text1"/>
              </w:rPr>
              <w:t xml:space="preserve">De SAF hebben de staat </w:t>
            </w:r>
            <w:proofErr w:type="spellStart"/>
            <w:r w:rsidRPr="00290188">
              <w:rPr>
                <w:color w:val="000000" w:themeColor="text1"/>
              </w:rPr>
              <w:t>Gedaref</w:t>
            </w:r>
            <w:proofErr w:type="spellEnd"/>
            <w:r w:rsidRPr="00290188">
              <w:rPr>
                <w:color w:val="000000" w:themeColor="text1"/>
              </w:rPr>
              <w:t xml:space="preserve"> momenteel in handen.</w:t>
            </w:r>
          </w:p>
        </w:tc>
      </w:tr>
      <w:tr w:rsidRPr="00290188" w:rsidR="00584F5D" w:rsidTr="000E52C6" w14:paraId="23501C3C" w14:textId="77777777">
        <w:tc>
          <w:tcPr>
            <w:tcW w:w="2263" w:type="dxa"/>
          </w:tcPr>
          <w:p w:rsidRPr="00290188" w:rsidR="00584F5D" w:rsidP="000E52C6" w:rsidRDefault="00584F5D" w14:paraId="368516C1" w14:textId="77777777">
            <w:pPr>
              <w:pStyle w:val="broodtekst"/>
            </w:pPr>
            <w:r w:rsidRPr="00290188">
              <w:t>Strijdende partijen</w:t>
            </w:r>
          </w:p>
        </w:tc>
        <w:tc>
          <w:tcPr>
            <w:tcW w:w="6663" w:type="dxa"/>
          </w:tcPr>
          <w:p w:rsidRPr="00290188" w:rsidR="00584F5D" w:rsidP="000E52C6" w:rsidRDefault="00584F5D" w14:paraId="2AC6AFB9" w14:textId="357E7DE9">
            <w:pPr>
              <w:pStyle w:val="broodtekst"/>
              <w:rPr>
                <w:i/>
                <w:iCs/>
              </w:rPr>
            </w:pPr>
            <w:r w:rsidRPr="00290188">
              <w:t xml:space="preserve">SAF (inclusief gelieerde </w:t>
            </w:r>
            <w:r w:rsidRPr="00290188" w:rsidR="00917FD9">
              <w:t>milities</w:t>
            </w:r>
            <w:r w:rsidRPr="00290188">
              <w:t>) &amp; RSF (inclusief gelieerde milities).</w:t>
            </w:r>
          </w:p>
        </w:tc>
      </w:tr>
      <w:tr w:rsidRPr="00290188" w:rsidR="00584F5D" w:rsidTr="000E52C6" w14:paraId="604E4F45" w14:textId="77777777">
        <w:tc>
          <w:tcPr>
            <w:tcW w:w="2263" w:type="dxa"/>
          </w:tcPr>
          <w:p w:rsidRPr="00290188" w:rsidR="00584F5D" w:rsidP="000E52C6" w:rsidRDefault="00584F5D" w14:paraId="5357DCF9" w14:textId="77777777">
            <w:pPr>
              <w:pStyle w:val="broodtekst"/>
            </w:pPr>
            <w:r w:rsidRPr="00290188">
              <w:t>Aard van het geweld &amp; gevechtsmethodes</w:t>
            </w:r>
          </w:p>
        </w:tc>
        <w:tc>
          <w:tcPr>
            <w:tcW w:w="6663" w:type="dxa"/>
          </w:tcPr>
          <w:p w:rsidRPr="00290188" w:rsidR="00A21A21" w:rsidP="00A21A21" w:rsidRDefault="00A21A21" w14:paraId="5E27C15C" w14:textId="398C4FD0">
            <w:pPr>
              <w:pStyle w:val="broodtekst"/>
              <w:numPr>
                <w:ilvl w:val="0"/>
                <w:numId w:val="3"/>
              </w:numPr>
              <w:rPr>
                <w:color w:val="000000" w:themeColor="text1"/>
              </w:rPr>
            </w:pPr>
            <w:r w:rsidRPr="00290188">
              <w:rPr>
                <w:color w:val="000000" w:themeColor="text1"/>
              </w:rPr>
              <w:t xml:space="preserve">De RSF pleegden op verschillende plekken in </w:t>
            </w:r>
            <w:proofErr w:type="spellStart"/>
            <w:r w:rsidRPr="00290188">
              <w:rPr>
                <w:color w:val="000000" w:themeColor="text1"/>
              </w:rPr>
              <w:t>Gedaref</w:t>
            </w:r>
            <w:proofErr w:type="spellEnd"/>
            <w:r w:rsidRPr="00290188">
              <w:rPr>
                <w:color w:val="000000" w:themeColor="text1"/>
              </w:rPr>
              <w:t xml:space="preserve">, waaronder </w:t>
            </w:r>
            <w:proofErr w:type="spellStart"/>
            <w:r w:rsidRPr="00290188">
              <w:rPr>
                <w:color w:val="000000" w:themeColor="text1"/>
              </w:rPr>
              <w:t>Gedaref</w:t>
            </w:r>
            <w:proofErr w:type="spellEnd"/>
            <w:r w:rsidRPr="00290188">
              <w:rPr>
                <w:color w:val="000000" w:themeColor="text1"/>
              </w:rPr>
              <w:t xml:space="preserve"> </w:t>
            </w:r>
            <w:r w:rsidRPr="00290188" w:rsidR="00917FD9">
              <w:rPr>
                <w:color w:val="000000" w:themeColor="text1"/>
              </w:rPr>
              <w:t>C</w:t>
            </w:r>
            <w:r w:rsidRPr="00290188">
              <w:rPr>
                <w:color w:val="000000" w:themeColor="text1"/>
              </w:rPr>
              <w:t>ity, strategische droneaanvallen ver van de frontlinies vandaan, met als doel om een constant gevoel van dreiging te creëren en de SAF te dwingen om haar verdedigingslinies uit te breiden en de SAF daarmee te verzwakken.</w:t>
            </w:r>
            <w:r w:rsidRPr="00290188">
              <w:rPr>
                <w:rStyle w:val="Voetnootmarkering"/>
                <w:color w:val="000000" w:themeColor="text1"/>
              </w:rPr>
              <w:footnoteReference w:id="29"/>
            </w:r>
          </w:p>
          <w:p w:rsidRPr="00290188" w:rsidR="00A21A21" w:rsidP="00A21A21" w:rsidRDefault="00A21A21" w14:paraId="3631E19B" w14:textId="77777777">
            <w:pPr>
              <w:pStyle w:val="broodtekst"/>
              <w:numPr>
                <w:ilvl w:val="0"/>
                <w:numId w:val="3"/>
              </w:numPr>
              <w:rPr>
                <w:color w:val="000000" w:themeColor="text1"/>
              </w:rPr>
            </w:pPr>
            <w:r w:rsidRPr="00290188">
              <w:rPr>
                <w:color w:val="000000" w:themeColor="text1"/>
              </w:rPr>
              <w:t xml:space="preserve">Ook is gemeld dat er in het najaar van 2024 diverse aanvallen werden gepleegd op </w:t>
            </w:r>
            <w:proofErr w:type="spellStart"/>
            <w:r w:rsidRPr="00290188">
              <w:rPr>
                <w:color w:val="000000" w:themeColor="text1"/>
              </w:rPr>
              <w:t>Gedaref</w:t>
            </w:r>
            <w:proofErr w:type="spellEnd"/>
            <w:r w:rsidRPr="00290188">
              <w:rPr>
                <w:color w:val="000000" w:themeColor="text1"/>
              </w:rPr>
              <w:t xml:space="preserve">, waarbij burgers om het leven kwamen. Ook was er sprake van een bestorming van een dorp rond </w:t>
            </w:r>
            <w:proofErr w:type="spellStart"/>
            <w:r w:rsidRPr="00290188">
              <w:rPr>
                <w:color w:val="000000" w:themeColor="text1"/>
              </w:rPr>
              <w:t>Butana</w:t>
            </w:r>
            <w:proofErr w:type="spellEnd"/>
            <w:r w:rsidRPr="00290188">
              <w:rPr>
                <w:color w:val="000000" w:themeColor="text1"/>
              </w:rPr>
              <w:t>, waarbij zes burgers gedood werden en waardoor andere bewoners ontheemd raakten.</w:t>
            </w:r>
            <w:r w:rsidRPr="00290188">
              <w:rPr>
                <w:rStyle w:val="Voetnootmarkering"/>
                <w:color w:val="000000" w:themeColor="text1"/>
              </w:rPr>
              <w:footnoteReference w:id="30"/>
            </w:r>
          </w:p>
          <w:p w:rsidRPr="00290188" w:rsidR="00584F5D" w:rsidP="000E52C6" w:rsidRDefault="00584F5D" w14:paraId="6CC5189E" w14:textId="2645C874">
            <w:pPr>
              <w:pStyle w:val="broodtekst"/>
              <w:rPr>
                <w:color w:val="000000" w:themeColor="text1"/>
              </w:rPr>
            </w:pPr>
          </w:p>
        </w:tc>
      </w:tr>
      <w:tr w:rsidRPr="00290188" w:rsidR="00584F5D" w:rsidTr="00316EAD" w14:paraId="08AB0A8B" w14:textId="77777777">
        <w:trPr>
          <w:trHeight w:val="1916"/>
        </w:trPr>
        <w:tc>
          <w:tcPr>
            <w:tcW w:w="2263" w:type="dxa"/>
          </w:tcPr>
          <w:p w:rsidRPr="00290188" w:rsidR="00584F5D" w:rsidP="000E52C6" w:rsidRDefault="00584F5D" w14:paraId="3743FD3B" w14:textId="77777777">
            <w:pPr>
              <w:pStyle w:val="broodtekst"/>
            </w:pPr>
            <w:r w:rsidRPr="00290188">
              <w:lastRenderedPageBreak/>
              <w:t>Aantal geweldsincidenten</w:t>
            </w:r>
          </w:p>
        </w:tc>
        <w:tc>
          <w:tcPr>
            <w:tcW w:w="6663" w:type="dxa"/>
          </w:tcPr>
          <w:p w:rsidRPr="00290188" w:rsidR="00584F5D" w:rsidP="000E52C6" w:rsidRDefault="00584F5D" w14:paraId="4656A13E" w14:textId="77777777">
            <w:pPr>
              <w:pStyle w:val="broodtekst"/>
            </w:pPr>
            <w:r w:rsidRPr="00290188">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728"/>
              <w:gridCol w:w="728"/>
              <w:gridCol w:w="1434"/>
            </w:tblGrid>
            <w:tr w:rsidRPr="00290188" w:rsidR="00584F5D" w:rsidTr="00316EAD" w14:paraId="038E7E1D" w14:textId="77777777">
              <w:trPr>
                <w:trHeight w:val="123"/>
                <w:jc w:val="center"/>
              </w:trPr>
              <w:tc>
                <w:tcPr>
                  <w:tcW w:w="0" w:type="auto"/>
                </w:tcPr>
                <w:p w:rsidRPr="00290188" w:rsidR="00584F5D" w:rsidP="000E52C6" w:rsidRDefault="00584F5D" w14:paraId="04749514" w14:textId="77777777">
                  <w:pPr>
                    <w:pStyle w:val="Default"/>
                    <w:rPr>
                      <w:b/>
                      <w:bCs/>
                      <w:sz w:val="18"/>
                      <w:szCs w:val="18"/>
                    </w:rPr>
                  </w:pPr>
                </w:p>
              </w:tc>
              <w:tc>
                <w:tcPr>
                  <w:tcW w:w="0" w:type="auto"/>
                </w:tcPr>
                <w:p w:rsidRPr="00290188" w:rsidR="00584F5D" w:rsidP="000E52C6" w:rsidRDefault="00584F5D" w14:paraId="0787D3AC" w14:textId="77777777">
                  <w:pPr>
                    <w:pStyle w:val="Default"/>
                    <w:rPr>
                      <w:b/>
                      <w:bCs/>
                      <w:sz w:val="18"/>
                      <w:szCs w:val="18"/>
                    </w:rPr>
                  </w:pPr>
                  <w:r w:rsidRPr="00290188">
                    <w:rPr>
                      <w:b/>
                      <w:bCs/>
                      <w:sz w:val="18"/>
                      <w:szCs w:val="18"/>
                    </w:rPr>
                    <w:t>2023</w:t>
                  </w:r>
                </w:p>
              </w:tc>
              <w:tc>
                <w:tcPr>
                  <w:tcW w:w="0" w:type="auto"/>
                </w:tcPr>
                <w:p w:rsidRPr="00290188" w:rsidR="00584F5D" w:rsidP="000E52C6" w:rsidRDefault="00584F5D" w14:paraId="00D011D4" w14:textId="77777777">
                  <w:pPr>
                    <w:pStyle w:val="Default"/>
                    <w:rPr>
                      <w:b/>
                      <w:bCs/>
                      <w:sz w:val="18"/>
                      <w:szCs w:val="18"/>
                    </w:rPr>
                  </w:pPr>
                  <w:r w:rsidRPr="00290188">
                    <w:rPr>
                      <w:b/>
                      <w:bCs/>
                      <w:sz w:val="18"/>
                      <w:szCs w:val="18"/>
                    </w:rPr>
                    <w:t>2024</w:t>
                  </w:r>
                </w:p>
              </w:tc>
              <w:tc>
                <w:tcPr>
                  <w:tcW w:w="0" w:type="auto"/>
                </w:tcPr>
                <w:p w:rsidRPr="00290188" w:rsidR="00584F5D" w:rsidP="000E52C6" w:rsidRDefault="00584F5D" w14:paraId="4948A92A" w14:textId="77777777">
                  <w:pPr>
                    <w:pStyle w:val="Default"/>
                    <w:rPr>
                      <w:b/>
                      <w:bCs/>
                      <w:sz w:val="18"/>
                      <w:szCs w:val="18"/>
                    </w:rPr>
                  </w:pPr>
                  <w:r w:rsidRPr="00290188">
                    <w:rPr>
                      <w:b/>
                      <w:bCs/>
                      <w:sz w:val="18"/>
                      <w:szCs w:val="18"/>
                    </w:rPr>
                    <w:t xml:space="preserve">2025 </w:t>
                  </w:r>
                  <w:r w:rsidRPr="00290188">
                    <w:rPr>
                      <w:b/>
                      <w:bCs/>
                      <w:sz w:val="18"/>
                      <w:szCs w:val="18"/>
                    </w:rPr>
                    <w:br/>
                    <w:t>(t/m 8 aug)</w:t>
                  </w:r>
                </w:p>
              </w:tc>
            </w:tr>
            <w:tr w:rsidRPr="00290188" w:rsidR="00584F5D" w:rsidTr="00316EAD" w14:paraId="41F3F072" w14:textId="77777777">
              <w:trPr>
                <w:trHeight w:val="123"/>
                <w:jc w:val="center"/>
              </w:trPr>
              <w:tc>
                <w:tcPr>
                  <w:tcW w:w="0" w:type="auto"/>
                </w:tcPr>
                <w:p w:rsidRPr="00290188" w:rsidR="00584F5D" w:rsidP="000E52C6" w:rsidRDefault="00584F5D" w14:paraId="0C88D2EA" w14:textId="77777777">
                  <w:pPr>
                    <w:pStyle w:val="Default"/>
                    <w:rPr>
                      <w:sz w:val="18"/>
                      <w:szCs w:val="18"/>
                    </w:rPr>
                  </w:pPr>
                  <w:r w:rsidRPr="00290188">
                    <w:rPr>
                      <w:b/>
                      <w:bCs/>
                      <w:sz w:val="18"/>
                      <w:szCs w:val="18"/>
                    </w:rPr>
                    <w:t>Totaal</w:t>
                  </w:r>
                </w:p>
              </w:tc>
              <w:tc>
                <w:tcPr>
                  <w:tcW w:w="0" w:type="auto"/>
                </w:tcPr>
                <w:p w:rsidRPr="00290188" w:rsidR="00584F5D" w:rsidP="000E52C6" w:rsidRDefault="00584F5D" w14:paraId="78100D35" w14:textId="5F954319">
                  <w:pPr>
                    <w:pStyle w:val="Default"/>
                    <w:rPr>
                      <w:b/>
                      <w:bCs/>
                      <w:sz w:val="18"/>
                      <w:szCs w:val="18"/>
                    </w:rPr>
                  </w:pPr>
                  <w:r w:rsidRPr="00290188">
                    <w:rPr>
                      <w:b/>
                      <w:bCs/>
                      <w:sz w:val="18"/>
                      <w:szCs w:val="18"/>
                    </w:rPr>
                    <w:t>14</w:t>
                  </w:r>
                </w:p>
              </w:tc>
              <w:tc>
                <w:tcPr>
                  <w:tcW w:w="0" w:type="auto"/>
                </w:tcPr>
                <w:p w:rsidRPr="00290188" w:rsidR="00584F5D" w:rsidP="000E52C6" w:rsidRDefault="00584F5D" w14:paraId="1AD79EEB" w14:textId="23D7523E">
                  <w:pPr>
                    <w:pStyle w:val="Default"/>
                    <w:rPr>
                      <w:b/>
                      <w:bCs/>
                      <w:sz w:val="18"/>
                      <w:szCs w:val="18"/>
                    </w:rPr>
                  </w:pPr>
                  <w:r w:rsidRPr="00290188">
                    <w:rPr>
                      <w:b/>
                      <w:bCs/>
                      <w:sz w:val="18"/>
                      <w:szCs w:val="18"/>
                    </w:rPr>
                    <w:t>32</w:t>
                  </w:r>
                </w:p>
              </w:tc>
              <w:tc>
                <w:tcPr>
                  <w:tcW w:w="0" w:type="auto"/>
                </w:tcPr>
                <w:p w:rsidRPr="00290188" w:rsidR="00584F5D" w:rsidP="000E52C6" w:rsidRDefault="00584F5D" w14:paraId="5CF8702A" w14:textId="167ADD95">
                  <w:pPr>
                    <w:pStyle w:val="Default"/>
                    <w:rPr>
                      <w:b/>
                      <w:bCs/>
                      <w:sz w:val="18"/>
                      <w:szCs w:val="18"/>
                    </w:rPr>
                  </w:pPr>
                  <w:r w:rsidRPr="00290188">
                    <w:rPr>
                      <w:b/>
                      <w:bCs/>
                      <w:sz w:val="18"/>
                      <w:szCs w:val="18"/>
                    </w:rPr>
                    <w:t>7</w:t>
                  </w:r>
                </w:p>
              </w:tc>
            </w:tr>
            <w:tr w:rsidRPr="00290188" w:rsidR="00584F5D" w:rsidTr="00316EAD" w14:paraId="6661FDFF" w14:textId="77777777">
              <w:trPr>
                <w:trHeight w:val="121"/>
                <w:jc w:val="center"/>
              </w:trPr>
              <w:tc>
                <w:tcPr>
                  <w:tcW w:w="0" w:type="auto"/>
                </w:tcPr>
                <w:p w:rsidRPr="00290188" w:rsidR="00584F5D" w:rsidP="000E52C6" w:rsidRDefault="00584F5D" w14:paraId="465C228D" w14:textId="77777777">
                  <w:pPr>
                    <w:pStyle w:val="Default"/>
                    <w:rPr>
                      <w:sz w:val="18"/>
                      <w:szCs w:val="18"/>
                    </w:rPr>
                  </w:pPr>
                  <w:r w:rsidRPr="00290188">
                    <w:rPr>
                      <w:sz w:val="18"/>
                      <w:szCs w:val="18"/>
                    </w:rPr>
                    <w:t xml:space="preserve">Gevechten </w:t>
                  </w:r>
                </w:p>
              </w:tc>
              <w:tc>
                <w:tcPr>
                  <w:tcW w:w="0" w:type="auto"/>
                </w:tcPr>
                <w:p w:rsidRPr="00290188" w:rsidR="00584F5D" w:rsidP="000E52C6" w:rsidRDefault="00584F5D" w14:paraId="57A64C98" w14:textId="0293546E">
                  <w:pPr>
                    <w:pStyle w:val="Default"/>
                    <w:rPr>
                      <w:sz w:val="18"/>
                      <w:szCs w:val="18"/>
                    </w:rPr>
                  </w:pPr>
                  <w:r w:rsidRPr="00290188">
                    <w:rPr>
                      <w:sz w:val="18"/>
                      <w:szCs w:val="18"/>
                    </w:rPr>
                    <w:t>9</w:t>
                  </w:r>
                </w:p>
              </w:tc>
              <w:tc>
                <w:tcPr>
                  <w:tcW w:w="0" w:type="auto"/>
                </w:tcPr>
                <w:p w:rsidRPr="00290188" w:rsidR="00584F5D" w:rsidP="000E52C6" w:rsidRDefault="00584F5D" w14:paraId="21D5471A" w14:textId="40AD5E00">
                  <w:pPr>
                    <w:pStyle w:val="Default"/>
                    <w:rPr>
                      <w:sz w:val="18"/>
                      <w:szCs w:val="18"/>
                    </w:rPr>
                  </w:pPr>
                  <w:r w:rsidRPr="00290188">
                    <w:rPr>
                      <w:sz w:val="18"/>
                      <w:szCs w:val="18"/>
                    </w:rPr>
                    <w:t>16</w:t>
                  </w:r>
                </w:p>
              </w:tc>
              <w:tc>
                <w:tcPr>
                  <w:tcW w:w="0" w:type="auto"/>
                </w:tcPr>
                <w:p w:rsidRPr="00290188" w:rsidR="00584F5D" w:rsidP="000E52C6" w:rsidRDefault="00584F5D" w14:paraId="0E1568CB" w14:textId="55FBF7F8">
                  <w:pPr>
                    <w:pStyle w:val="Default"/>
                    <w:rPr>
                      <w:sz w:val="18"/>
                      <w:szCs w:val="18"/>
                    </w:rPr>
                  </w:pPr>
                  <w:r w:rsidRPr="00290188">
                    <w:rPr>
                      <w:sz w:val="18"/>
                      <w:szCs w:val="18"/>
                    </w:rPr>
                    <w:t>1</w:t>
                  </w:r>
                </w:p>
              </w:tc>
            </w:tr>
            <w:tr w:rsidRPr="00290188" w:rsidR="00584F5D" w:rsidTr="00316EAD" w14:paraId="26FA5469" w14:textId="77777777">
              <w:trPr>
                <w:trHeight w:val="121"/>
                <w:jc w:val="center"/>
              </w:trPr>
              <w:tc>
                <w:tcPr>
                  <w:tcW w:w="0" w:type="auto"/>
                </w:tcPr>
                <w:p w:rsidRPr="00290188" w:rsidR="00584F5D" w:rsidP="000E52C6" w:rsidRDefault="00584F5D" w14:paraId="585A2010" w14:textId="77777777">
                  <w:pPr>
                    <w:pStyle w:val="Default"/>
                    <w:rPr>
                      <w:sz w:val="18"/>
                      <w:szCs w:val="18"/>
                    </w:rPr>
                  </w:pPr>
                  <w:r w:rsidRPr="00290188">
                    <w:rPr>
                      <w:sz w:val="18"/>
                      <w:szCs w:val="18"/>
                    </w:rPr>
                    <w:t xml:space="preserve">Explosies/geweld op afstand </w:t>
                  </w:r>
                </w:p>
              </w:tc>
              <w:tc>
                <w:tcPr>
                  <w:tcW w:w="0" w:type="auto"/>
                </w:tcPr>
                <w:p w:rsidRPr="00290188" w:rsidR="00584F5D" w:rsidP="000E52C6" w:rsidRDefault="00584F5D" w14:paraId="148CEC64" w14:textId="3E64DA5B">
                  <w:pPr>
                    <w:pStyle w:val="Default"/>
                    <w:rPr>
                      <w:sz w:val="18"/>
                      <w:szCs w:val="18"/>
                    </w:rPr>
                  </w:pPr>
                  <w:r w:rsidRPr="00290188">
                    <w:rPr>
                      <w:sz w:val="18"/>
                      <w:szCs w:val="18"/>
                    </w:rPr>
                    <w:t>0</w:t>
                  </w:r>
                </w:p>
              </w:tc>
              <w:tc>
                <w:tcPr>
                  <w:tcW w:w="0" w:type="auto"/>
                </w:tcPr>
                <w:p w:rsidRPr="00290188" w:rsidR="00584F5D" w:rsidP="000E52C6" w:rsidRDefault="00584F5D" w14:paraId="7D55855A" w14:textId="3E19B92A">
                  <w:pPr>
                    <w:pStyle w:val="Default"/>
                    <w:rPr>
                      <w:sz w:val="18"/>
                      <w:szCs w:val="18"/>
                    </w:rPr>
                  </w:pPr>
                  <w:r w:rsidRPr="00290188">
                    <w:rPr>
                      <w:sz w:val="18"/>
                      <w:szCs w:val="18"/>
                    </w:rPr>
                    <w:t>8</w:t>
                  </w:r>
                </w:p>
              </w:tc>
              <w:tc>
                <w:tcPr>
                  <w:tcW w:w="0" w:type="auto"/>
                </w:tcPr>
                <w:p w:rsidRPr="00290188" w:rsidR="00584F5D" w:rsidP="000E52C6" w:rsidRDefault="00584F5D" w14:paraId="54E9C368" w14:textId="7BE14D81">
                  <w:pPr>
                    <w:pStyle w:val="Default"/>
                    <w:rPr>
                      <w:sz w:val="18"/>
                      <w:szCs w:val="18"/>
                    </w:rPr>
                  </w:pPr>
                  <w:r w:rsidRPr="00290188">
                    <w:rPr>
                      <w:sz w:val="18"/>
                      <w:szCs w:val="18"/>
                    </w:rPr>
                    <w:t>1</w:t>
                  </w:r>
                </w:p>
              </w:tc>
            </w:tr>
            <w:tr w:rsidRPr="00290188" w:rsidR="00584F5D" w:rsidTr="00316EAD" w14:paraId="15C49AE2" w14:textId="77777777">
              <w:trPr>
                <w:trHeight w:val="121"/>
                <w:jc w:val="center"/>
              </w:trPr>
              <w:tc>
                <w:tcPr>
                  <w:tcW w:w="0" w:type="auto"/>
                </w:tcPr>
                <w:p w:rsidRPr="00290188" w:rsidR="00584F5D" w:rsidP="000E52C6" w:rsidRDefault="00584F5D" w14:paraId="6C84FBA3" w14:textId="77777777">
                  <w:pPr>
                    <w:pStyle w:val="Default"/>
                    <w:rPr>
                      <w:sz w:val="18"/>
                      <w:szCs w:val="18"/>
                    </w:rPr>
                  </w:pPr>
                  <w:r w:rsidRPr="00290188">
                    <w:rPr>
                      <w:sz w:val="18"/>
                      <w:szCs w:val="18"/>
                    </w:rPr>
                    <w:t xml:space="preserve">Geweld tegen burgers </w:t>
                  </w:r>
                </w:p>
              </w:tc>
              <w:tc>
                <w:tcPr>
                  <w:tcW w:w="0" w:type="auto"/>
                </w:tcPr>
                <w:p w:rsidRPr="00290188" w:rsidR="00584F5D" w:rsidP="000E52C6" w:rsidRDefault="00584F5D" w14:paraId="44B67E99" w14:textId="0D67587C">
                  <w:pPr>
                    <w:pStyle w:val="Default"/>
                    <w:rPr>
                      <w:sz w:val="18"/>
                      <w:szCs w:val="18"/>
                    </w:rPr>
                  </w:pPr>
                  <w:r w:rsidRPr="00290188">
                    <w:rPr>
                      <w:sz w:val="18"/>
                      <w:szCs w:val="18"/>
                    </w:rPr>
                    <w:t>5</w:t>
                  </w:r>
                </w:p>
              </w:tc>
              <w:tc>
                <w:tcPr>
                  <w:tcW w:w="0" w:type="auto"/>
                </w:tcPr>
                <w:p w:rsidRPr="00290188" w:rsidR="00584F5D" w:rsidP="000E52C6" w:rsidRDefault="00584F5D" w14:paraId="28237A17" w14:textId="50BA4205">
                  <w:pPr>
                    <w:pStyle w:val="Default"/>
                    <w:rPr>
                      <w:sz w:val="18"/>
                      <w:szCs w:val="18"/>
                    </w:rPr>
                  </w:pPr>
                  <w:r w:rsidRPr="00290188">
                    <w:rPr>
                      <w:sz w:val="18"/>
                      <w:szCs w:val="18"/>
                    </w:rPr>
                    <w:t>8</w:t>
                  </w:r>
                </w:p>
              </w:tc>
              <w:tc>
                <w:tcPr>
                  <w:tcW w:w="0" w:type="auto"/>
                </w:tcPr>
                <w:p w:rsidRPr="00290188" w:rsidR="00584F5D" w:rsidP="000E52C6" w:rsidRDefault="00584F5D" w14:paraId="740F9B45" w14:textId="1483A3C5">
                  <w:pPr>
                    <w:pStyle w:val="Default"/>
                    <w:rPr>
                      <w:sz w:val="18"/>
                      <w:szCs w:val="18"/>
                    </w:rPr>
                  </w:pPr>
                  <w:r w:rsidRPr="00290188">
                    <w:rPr>
                      <w:sz w:val="18"/>
                      <w:szCs w:val="18"/>
                    </w:rPr>
                    <w:t>5</w:t>
                  </w:r>
                </w:p>
              </w:tc>
            </w:tr>
          </w:tbl>
          <w:p w:rsidRPr="00290188" w:rsidR="00584F5D" w:rsidP="000E52C6" w:rsidRDefault="00584F5D" w14:paraId="32768A79" w14:textId="77777777">
            <w:pPr>
              <w:pStyle w:val="broodtekst"/>
            </w:pPr>
          </w:p>
        </w:tc>
      </w:tr>
      <w:tr w:rsidRPr="00290188" w:rsidR="00584F5D" w:rsidTr="000E52C6" w14:paraId="0053AC7A" w14:textId="77777777">
        <w:tc>
          <w:tcPr>
            <w:tcW w:w="2263" w:type="dxa"/>
          </w:tcPr>
          <w:p w:rsidRPr="00290188" w:rsidR="00584F5D" w:rsidP="000E52C6" w:rsidRDefault="00584F5D" w14:paraId="24C02E05" w14:textId="77777777">
            <w:pPr>
              <w:pStyle w:val="broodtekst"/>
            </w:pPr>
            <w:r w:rsidRPr="00290188">
              <w:t>Geografische omvang geweld</w:t>
            </w:r>
          </w:p>
        </w:tc>
        <w:tc>
          <w:tcPr>
            <w:tcW w:w="6663" w:type="dxa"/>
          </w:tcPr>
          <w:p w:rsidRPr="00290188" w:rsidR="00584F5D" w:rsidP="000E52C6" w:rsidRDefault="00584F5D" w14:paraId="7BB24024" w14:textId="77777777">
            <w:pPr>
              <w:pStyle w:val="broodtekst"/>
              <w:rPr>
                <w:i/>
                <w:iCs/>
              </w:rPr>
            </w:pPr>
            <w:r w:rsidRPr="00290188">
              <w:rPr>
                <w:i/>
                <w:iCs/>
              </w:rPr>
              <w:t>Geen beschikbare informatie</w:t>
            </w:r>
          </w:p>
        </w:tc>
      </w:tr>
      <w:tr w:rsidRPr="00290188" w:rsidR="00584F5D" w:rsidTr="000E52C6" w14:paraId="762C41BF" w14:textId="77777777">
        <w:tc>
          <w:tcPr>
            <w:tcW w:w="2263" w:type="dxa"/>
          </w:tcPr>
          <w:p w:rsidRPr="00290188" w:rsidR="00584F5D" w:rsidP="000E52C6" w:rsidRDefault="00584F5D" w14:paraId="250C807D" w14:textId="77777777">
            <w:pPr>
              <w:pStyle w:val="broodtekst"/>
            </w:pPr>
            <w:r w:rsidRPr="00290188">
              <w:t>Veiligheidsstructuur</w:t>
            </w:r>
          </w:p>
        </w:tc>
        <w:tc>
          <w:tcPr>
            <w:tcW w:w="6663" w:type="dxa"/>
          </w:tcPr>
          <w:p w:rsidRPr="00290188" w:rsidR="00584F5D" w:rsidP="000E52C6" w:rsidRDefault="00A21A21" w14:paraId="6BAA0FC7" w14:textId="5333DA88">
            <w:pPr>
              <w:pStyle w:val="broodtekst"/>
              <w:rPr>
                <w:i/>
                <w:iCs/>
              </w:rPr>
            </w:pPr>
            <w:r w:rsidRPr="00290188">
              <w:t xml:space="preserve">De SAF hebben </w:t>
            </w:r>
            <w:proofErr w:type="spellStart"/>
            <w:r w:rsidRPr="00290188" w:rsidR="00917FD9">
              <w:t>Gedaref</w:t>
            </w:r>
            <w:proofErr w:type="spellEnd"/>
            <w:r w:rsidRPr="00290188" w:rsidR="00917FD9">
              <w:t xml:space="preserve"> </w:t>
            </w:r>
            <w:r w:rsidRPr="00290188">
              <w:t xml:space="preserve">grotendeels </w:t>
            </w:r>
            <w:r w:rsidRPr="00290188" w:rsidR="00917FD9">
              <w:t xml:space="preserve">onder </w:t>
            </w:r>
            <w:r w:rsidRPr="00290188">
              <w:t>controle. Volgens het ambtsbericht houden de SAF geen rekening met het beschermen van de burgerbevolking.</w:t>
            </w:r>
          </w:p>
        </w:tc>
      </w:tr>
      <w:tr w:rsidRPr="00290188" w:rsidR="00584F5D" w:rsidTr="000E52C6" w14:paraId="40646EB4" w14:textId="77777777">
        <w:tc>
          <w:tcPr>
            <w:tcW w:w="2263" w:type="dxa"/>
          </w:tcPr>
          <w:p w:rsidRPr="00290188" w:rsidR="00584F5D" w:rsidP="000E52C6" w:rsidRDefault="00584F5D" w14:paraId="1AE3315A" w14:textId="77777777">
            <w:pPr>
              <w:pStyle w:val="broodtekst"/>
            </w:pPr>
            <w:r w:rsidRPr="00290188">
              <w:t>Doelwitten</w:t>
            </w:r>
          </w:p>
        </w:tc>
        <w:tc>
          <w:tcPr>
            <w:tcW w:w="6663" w:type="dxa"/>
          </w:tcPr>
          <w:p w:rsidRPr="00290188" w:rsidR="00584F5D" w:rsidP="000E52C6" w:rsidRDefault="00584F5D" w14:paraId="18E91201" w14:textId="77777777">
            <w:pPr>
              <w:pStyle w:val="broodtekst"/>
              <w:rPr>
                <w:i/>
                <w:iCs/>
              </w:rPr>
            </w:pPr>
            <w:r w:rsidRPr="00290188">
              <w:rPr>
                <w:i/>
                <w:iCs/>
              </w:rPr>
              <w:t>Geen beschikbare informatie</w:t>
            </w:r>
          </w:p>
        </w:tc>
      </w:tr>
      <w:tr w:rsidRPr="00290188" w:rsidR="00584F5D" w:rsidTr="000E52C6" w14:paraId="69281E77" w14:textId="77777777">
        <w:tc>
          <w:tcPr>
            <w:tcW w:w="2263" w:type="dxa"/>
          </w:tcPr>
          <w:p w:rsidRPr="00290188" w:rsidR="00584F5D" w:rsidP="000E52C6" w:rsidRDefault="00584F5D" w14:paraId="67F7CE06" w14:textId="77777777">
            <w:pPr>
              <w:pStyle w:val="broodtekst"/>
            </w:pPr>
            <w:r w:rsidRPr="00290188">
              <w:t>Dodelijke slachtoffers</w:t>
            </w:r>
          </w:p>
        </w:tc>
        <w:tc>
          <w:tcPr>
            <w:tcW w:w="6663" w:type="dxa"/>
          </w:tcPr>
          <w:p w:rsidRPr="00290188" w:rsidR="00584F5D" w:rsidP="000E52C6" w:rsidRDefault="00584F5D" w14:paraId="28A7A5D5" w14:textId="77777777">
            <w:pPr>
              <w:pStyle w:val="broodtekst"/>
            </w:pPr>
            <w:r w:rsidRPr="00290188">
              <w:t>Aantallen door ACLED geregistreerde doden:</w:t>
            </w:r>
          </w:p>
          <w:p w:rsidRPr="00290188" w:rsidR="00584F5D" w:rsidP="000E52C6" w:rsidRDefault="00584F5D" w14:paraId="42919433"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
              <w:gridCol w:w="971"/>
              <w:gridCol w:w="1843"/>
            </w:tblGrid>
            <w:tr w:rsidRPr="00290188" w:rsidR="00584F5D" w:rsidTr="00316EAD" w14:paraId="7B5CA8E4" w14:textId="77777777">
              <w:trPr>
                <w:trHeight w:val="121"/>
                <w:jc w:val="center"/>
              </w:trPr>
              <w:tc>
                <w:tcPr>
                  <w:tcW w:w="963" w:type="dxa"/>
                </w:tcPr>
                <w:p w:rsidRPr="00290188" w:rsidR="00584F5D" w:rsidP="000E52C6" w:rsidRDefault="00584F5D" w14:paraId="65EF4EBA" w14:textId="77777777">
                  <w:pPr>
                    <w:pStyle w:val="Default"/>
                    <w:rPr>
                      <w:b/>
                      <w:bCs/>
                      <w:sz w:val="18"/>
                      <w:szCs w:val="18"/>
                    </w:rPr>
                  </w:pPr>
                  <w:r w:rsidRPr="00290188">
                    <w:rPr>
                      <w:b/>
                      <w:bCs/>
                      <w:sz w:val="18"/>
                      <w:szCs w:val="18"/>
                    </w:rPr>
                    <w:t>2023</w:t>
                  </w:r>
                </w:p>
              </w:tc>
              <w:tc>
                <w:tcPr>
                  <w:tcW w:w="971" w:type="dxa"/>
                </w:tcPr>
                <w:p w:rsidRPr="00290188" w:rsidR="00584F5D" w:rsidP="000E52C6" w:rsidRDefault="00584F5D" w14:paraId="28AC2C7C" w14:textId="77777777">
                  <w:pPr>
                    <w:pStyle w:val="Default"/>
                    <w:rPr>
                      <w:b/>
                      <w:bCs/>
                      <w:sz w:val="18"/>
                      <w:szCs w:val="18"/>
                    </w:rPr>
                  </w:pPr>
                  <w:r w:rsidRPr="00290188">
                    <w:rPr>
                      <w:b/>
                      <w:bCs/>
                      <w:sz w:val="18"/>
                      <w:szCs w:val="18"/>
                    </w:rPr>
                    <w:t>2024</w:t>
                  </w:r>
                </w:p>
              </w:tc>
              <w:tc>
                <w:tcPr>
                  <w:tcW w:w="1843" w:type="dxa"/>
                </w:tcPr>
                <w:p w:rsidRPr="00290188" w:rsidR="00584F5D" w:rsidP="000E52C6" w:rsidRDefault="00584F5D" w14:paraId="70334EA3" w14:textId="77777777">
                  <w:pPr>
                    <w:pStyle w:val="Default"/>
                    <w:rPr>
                      <w:b/>
                      <w:bCs/>
                      <w:sz w:val="18"/>
                      <w:szCs w:val="18"/>
                    </w:rPr>
                  </w:pPr>
                  <w:r w:rsidRPr="00290188">
                    <w:rPr>
                      <w:b/>
                      <w:bCs/>
                      <w:sz w:val="18"/>
                      <w:szCs w:val="18"/>
                    </w:rPr>
                    <w:t>2025 t/m 8 aug</w:t>
                  </w:r>
                </w:p>
              </w:tc>
            </w:tr>
            <w:tr w:rsidRPr="00290188" w:rsidR="00584F5D" w:rsidTr="00316EAD" w14:paraId="1BB8CF86" w14:textId="77777777">
              <w:trPr>
                <w:trHeight w:val="121"/>
                <w:jc w:val="center"/>
              </w:trPr>
              <w:tc>
                <w:tcPr>
                  <w:tcW w:w="963" w:type="dxa"/>
                </w:tcPr>
                <w:p w:rsidRPr="00290188" w:rsidR="00584F5D" w:rsidP="000E52C6" w:rsidRDefault="00584F5D" w14:paraId="2CC81F67" w14:textId="192E69E7">
                  <w:pPr>
                    <w:pStyle w:val="Default"/>
                    <w:rPr>
                      <w:sz w:val="18"/>
                      <w:szCs w:val="18"/>
                    </w:rPr>
                  </w:pPr>
                  <w:r w:rsidRPr="00290188">
                    <w:rPr>
                      <w:sz w:val="18"/>
                      <w:szCs w:val="18"/>
                    </w:rPr>
                    <w:t>5</w:t>
                  </w:r>
                </w:p>
              </w:tc>
              <w:tc>
                <w:tcPr>
                  <w:tcW w:w="971" w:type="dxa"/>
                </w:tcPr>
                <w:p w:rsidRPr="00290188" w:rsidR="00584F5D" w:rsidP="000E52C6" w:rsidRDefault="00584F5D" w14:paraId="14696D8A" w14:textId="60A9B979">
                  <w:pPr>
                    <w:pStyle w:val="Default"/>
                    <w:rPr>
                      <w:sz w:val="18"/>
                      <w:szCs w:val="18"/>
                    </w:rPr>
                  </w:pPr>
                  <w:r w:rsidRPr="00290188">
                    <w:rPr>
                      <w:sz w:val="18"/>
                      <w:szCs w:val="18"/>
                    </w:rPr>
                    <w:t>73</w:t>
                  </w:r>
                </w:p>
              </w:tc>
              <w:tc>
                <w:tcPr>
                  <w:tcW w:w="1843" w:type="dxa"/>
                </w:tcPr>
                <w:p w:rsidRPr="00290188" w:rsidR="00584F5D" w:rsidP="000E52C6" w:rsidRDefault="00584F5D" w14:paraId="2B9C06AC" w14:textId="6A3D5330">
                  <w:pPr>
                    <w:pStyle w:val="Default"/>
                    <w:rPr>
                      <w:sz w:val="18"/>
                      <w:szCs w:val="18"/>
                    </w:rPr>
                  </w:pPr>
                  <w:r w:rsidRPr="00290188">
                    <w:rPr>
                      <w:sz w:val="18"/>
                      <w:szCs w:val="18"/>
                    </w:rPr>
                    <w:t>4</w:t>
                  </w:r>
                </w:p>
              </w:tc>
            </w:tr>
          </w:tbl>
          <w:p w:rsidRPr="00290188" w:rsidR="00584F5D" w:rsidP="000E52C6" w:rsidRDefault="00584F5D" w14:paraId="1BFE15C2" w14:textId="77777777">
            <w:pPr>
              <w:pStyle w:val="broodtekst"/>
            </w:pPr>
          </w:p>
          <w:p w:rsidRPr="00290188" w:rsidR="00584F5D" w:rsidP="000E52C6" w:rsidRDefault="00584F5D" w14:paraId="7D95714A" w14:textId="1D4FA00A">
            <w:pPr>
              <w:pStyle w:val="broodtekst"/>
            </w:pPr>
            <w:r w:rsidRPr="00290188">
              <w:t xml:space="preserve">OHCHR registreerde </w:t>
            </w:r>
            <w:r w:rsidRPr="00290188" w:rsidR="00917FD9">
              <w:t>nul</w:t>
            </w:r>
            <w:r w:rsidRPr="00290188">
              <w:t xml:space="preserve"> burgerdoden in de periode van 1 januari 2025 tot 30 juni 2025.</w:t>
            </w:r>
          </w:p>
        </w:tc>
      </w:tr>
      <w:tr w:rsidRPr="00290188" w:rsidR="00584F5D" w:rsidTr="000E52C6" w14:paraId="0EEDA0D3" w14:textId="77777777">
        <w:tc>
          <w:tcPr>
            <w:tcW w:w="2263" w:type="dxa"/>
          </w:tcPr>
          <w:p w:rsidRPr="00290188" w:rsidR="00584F5D" w:rsidP="000E52C6" w:rsidRDefault="00584F5D" w14:paraId="43259B5D" w14:textId="0A3F0A0C">
            <w:pPr>
              <w:pStyle w:val="broodtekst"/>
            </w:pPr>
            <w:r w:rsidRPr="00290188">
              <w:t>Aantal ontheemden</w:t>
            </w:r>
          </w:p>
        </w:tc>
        <w:tc>
          <w:tcPr>
            <w:tcW w:w="6663" w:type="dxa"/>
          </w:tcPr>
          <w:p w:rsidRPr="00290188" w:rsidR="00584F5D" w:rsidP="000E52C6" w:rsidRDefault="00584F5D" w14:paraId="14C61A5A" w14:textId="2240255E">
            <w:pPr>
              <w:pStyle w:val="broodtekst"/>
            </w:pPr>
            <w:r w:rsidRPr="00290188">
              <w:t xml:space="preserve">Ontheemden die in </w:t>
            </w:r>
            <w:proofErr w:type="spellStart"/>
            <w:r w:rsidRPr="00290188">
              <w:t>Gedaref</w:t>
            </w:r>
            <w:proofErr w:type="spellEnd"/>
            <w:r w:rsidRPr="00290188">
              <w:t xml:space="preserve"> verblijven (d.d. 9 juli 2025): 475.315</w:t>
            </w:r>
          </w:p>
        </w:tc>
      </w:tr>
      <w:tr w:rsidRPr="00290188" w:rsidR="00584F5D" w:rsidTr="000E52C6" w14:paraId="466A22CF" w14:textId="77777777">
        <w:tc>
          <w:tcPr>
            <w:tcW w:w="2263" w:type="dxa"/>
          </w:tcPr>
          <w:p w:rsidRPr="00290188" w:rsidR="00584F5D" w:rsidP="00584F5D" w:rsidRDefault="00584F5D" w14:paraId="4D3F85FC" w14:textId="77777777">
            <w:pPr>
              <w:pStyle w:val="broodtekst"/>
            </w:pPr>
            <w:r w:rsidRPr="00290188">
              <w:t>Humanitaire omstandigheden als gevolg van het conflict</w:t>
            </w:r>
          </w:p>
        </w:tc>
        <w:tc>
          <w:tcPr>
            <w:tcW w:w="6663" w:type="dxa"/>
          </w:tcPr>
          <w:p w:rsidRPr="00290188" w:rsidR="00A21A21" w:rsidP="00A21A21" w:rsidRDefault="00A21A21" w14:paraId="6897C381" w14:textId="77777777">
            <w:pPr>
              <w:pStyle w:val="broodtekst"/>
              <w:rPr>
                <w:color w:val="000000" w:themeColor="text1"/>
              </w:rPr>
            </w:pPr>
            <w:r w:rsidRPr="00290188">
              <w:rPr>
                <w:color w:val="000000" w:themeColor="text1"/>
              </w:rPr>
              <w:t xml:space="preserve">Experts vrezen dat de uitbreiding van het conflict naar de landbouwrijke staat </w:t>
            </w:r>
            <w:proofErr w:type="spellStart"/>
            <w:r w:rsidRPr="00290188">
              <w:rPr>
                <w:color w:val="000000" w:themeColor="text1"/>
              </w:rPr>
              <w:t>Gedaref</w:t>
            </w:r>
            <w:proofErr w:type="spellEnd"/>
            <w:r w:rsidRPr="00290188">
              <w:rPr>
                <w:color w:val="000000" w:themeColor="text1"/>
              </w:rPr>
              <w:t>, de reeds ernstige voedselzekerheidssituatie dramatisch zou kunnen verslechteren.</w:t>
            </w:r>
            <w:r w:rsidRPr="00290188">
              <w:rPr>
                <w:rStyle w:val="Voetnootmarkering"/>
                <w:color w:val="000000" w:themeColor="text1"/>
              </w:rPr>
              <w:footnoteReference w:id="31"/>
            </w:r>
          </w:p>
          <w:p w:rsidRPr="00290188" w:rsidR="00A21A21" w:rsidP="00A21A21" w:rsidRDefault="00A21A21" w14:paraId="267EE2EA" w14:textId="77777777">
            <w:pPr>
              <w:pStyle w:val="broodtekst"/>
              <w:rPr>
                <w:color w:val="000000" w:themeColor="text1"/>
              </w:rPr>
            </w:pPr>
          </w:p>
          <w:p w:rsidRPr="00290188" w:rsidR="00584F5D" w:rsidP="00584F5D" w:rsidRDefault="00A21A21" w14:paraId="1903EB64" w14:textId="0C8B53A3">
            <w:pPr>
              <w:pStyle w:val="broodtekst"/>
            </w:pPr>
            <w:r w:rsidRPr="00290188">
              <w:rPr>
                <w:color w:val="000000" w:themeColor="text1"/>
              </w:rPr>
              <w:t xml:space="preserve">Veel ontheemden vluchtten uit de westelijke en centrale delen van Sudan naar de oostelijke staten, waaronder </w:t>
            </w:r>
            <w:proofErr w:type="spellStart"/>
            <w:r w:rsidRPr="00290188">
              <w:rPr>
                <w:color w:val="000000" w:themeColor="text1"/>
              </w:rPr>
              <w:t>Gedaref</w:t>
            </w:r>
            <w:proofErr w:type="spellEnd"/>
            <w:r w:rsidRPr="00290188">
              <w:rPr>
                <w:color w:val="000000" w:themeColor="text1"/>
              </w:rPr>
              <w:t>. Mede hierdoor werd</w:t>
            </w:r>
            <w:r w:rsidRPr="00290188">
              <w:t xml:space="preserve"> </w:t>
            </w:r>
            <w:proofErr w:type="spellStart"/>
            <w:r w:rsidRPr="00290188" w:rsidR="00584F5D">
              <w:t>Gedaref</w:t>
            </w:r>
            <w:proofErr w:type="spellEnd"/>
            <w:r w:rsidRPr="00290188" w:rsidR="00584F5D">
              <w:t xml:space="preserve"> één van de epicentra van de cholera-uitbraak in september 2025. </w:t>
            </w:r>
          </w:p>
        </w:tc>
      </w:tr>
    </w:tbl>
    <w:p w:rsidRPr="00290188" w:rsidR="00584F5D" w:rsidP="00584F5D" w:rsidRDefault="00584F5D" w14:paraId="70C643FA" w14:textId="77777777">
      <w:pPr>
        <w:pStyle w:val="broodtekst"/>
        <w:rPr>
          <w:color w:val="000000" w:themeColor="text1"/>
        </w:rPr>
      </w:pPr>
      <w:r w:rsidRPr="00290188">
        <w:rPr>
          <w:color w:val="000000" w:themeColor="text1"/>
        </w:rPr>
        <w:t xml:space="preserve"> </w:t>
      </w:r>
    </w:p>
    <w:p w:rsidRPr="00290188" w:rsidR="00625948" w:rsidP="00A21A21" w:rsidRDefault="00F13641" w14:paraId="6D81C184" w14:textId="07537C76">
      <w:pPr>
        <w:pStyle w:val="broodtekst"/>
        <w:rPr>
          <w:color w:val="000000" w:themeColor="text1"/>
        </w:rPr>
      </w:pPr>
      <w:r w:rsidRPr="00290188">
        <w:rPr>
          <w:b/>
          <w:bCs/>
          <w:color w:val="000000" w:themeColor="text1"/>
        </w:rPr>
        <w:t>Conclusie:</w:t>
      </w:r>
      <w:r w:rsidRPr="00290188" w:rsidR="00EE5AB1">
        <w:rPr>
          <w:b/>
          <w:bCs/>
          <w:color w:val="000000" w:themeColor="text1"/>
        </w:rPr>
        <w:t xml:space="preserve"> </w:t>
      </w:r>
      <w:r w:rsidRPr="00290188" w:rsidR="00EE5AB1">
        <w:rPr>
          <w:color w:val="000000" w:themeColor="text1"/>
        </w:rPr>
        <w:t xml:space="preserve">In </w:t>
      </w:r>
      <w:proofErr w:type="spellStart"/>
      <w:r w:rsidRPr="00290188" w:rsidR="00EE5AB1">
        <w:rPr>
          <w:color w:val="000000" w:themeColor="text1"/>
        </w:rPr>
        <w:t>Gedaref</w:t>
      </w:r>
      <w:proofErr w:type="spellEnd"/>
      <w:r w:rsidRPr="00290188" w:rsidR="00EE5AB1">
        <w:rPr>
          <w:color w:val="000000" w:themeColor="text1"/>
        </w:rPr>
        <w:t xml:space="preserve"> vonden veiligheidsincidenten plaats, waaronder (lucht)aanvallen op dorpen. Dit vond op minder grote schaal plaats dan in andere gebieden in Sudan. Doordat de SAF controle over </w:t>
      </w:r>
      <w:proofErr w:type="spellStart"/>
      <w:r w:rsidRPr="00290188" w:rsidR="00EE5AB1">
        <w:rPr>
          <w:color w:val="000000" w:themeColor="text1"/>
        </w:rPr>
        <w:t>Gedaref</w:t>
      </w:r>
      <w:proofErr w:type="spellEnd"/>
      <w:r w:rsidRPr="00290188" w:rsidR="00EE5AB1">
        <w:rPr>
          <w:color w:val="000000" w:themeColor="text1"/>
        </w:rPr>
        <w:t xml:space="preserve"> heeft</w:t>
      </w:r>
      <w:r w:rsidRPr="00290188" w:rsidR="00917FD9">
        <w:rPr>
          <w:color w:val="000000" w:themeColor="text1"/>
        </w:rPr>
        <w:t>,</w:t>
      </w:r>
      <w:r w:rsidRPr="00290188" w:rsidR="00EE5AB1">
        <w:rPr>
          <w:color w:val="000000" w:themeColor="text1"/>
        </w:rPr>
        <w:t xml:space="preserve"> is de veiligheidssituatie relatief gezien stabieler dan in andere deelstaten. </w:t>
      </w:r>
      <w:proofErr w:type="spellStart"/>
      <w:r w:rsidRPr="00290188" w:rsidR="00A21A21">
        <w:rPr>
          <w:color w:val="000000" w:themeColor="text1"/>
        </w:rPr>
        <w:t>Gedaref</w:t>
      </w:r>
      <w:proofErr w:type="spellEnd"/>
      <w:r w:rsidRPr="00290188" w:rsidR="00A21A21">
        <w:rPr>
          <w:color w:val="000000" w:themeColor="text1"/>
        </w:rPr>
        <w:t xml:space="preserve"> ging gebukt</w:t>
      </w:r>
      <w:r w:rsidRPr="00290188" w:rsidR="008B4577">
        <w:rPr>
          <w:color w:val="000000" w:themeColor="text1"/>
        </w:rPr>
        <w:t xml:space="preserve"> onder de humanitaire crisis</w:t>
      </w:r>
      <w:r w:rsidRPr="00290188" w:rsidR="00A21A21">
        <w:rPr>
          <w:color w:val="000000" w:themeColor="text1"/>
        </w:rPr>
        <w:t xml:space="preserve">, met name </w:t>
      </w:r>
      <w:r w:rsidRPr="00290188" w:rsidR="008B4577">
        <w:rPr>
          <w:color w:val="000000" w:themeColor="text1"/>
        </w:rPr>
        <w:t xml:space="preserve">voor </w:t>
      </w:r>
      <w:r w:rsidRPr="00290188" w:rsidR="00A21A21">
        <w:rPr>
          <w:color w:val="000000" w:themeColor="text1"/>
        </w:rPr>
        <w:t xml:space="preserve">de vele ontheemden die in </w:t>
      </w:r>
      <w:proofErr w:type="spellStart"/>
      <w:r w:rsidRPr="00290188" w:rsidR="00A21A21">
        <w:rPr>
          <w:color w:val="000000" w:themeColor="text1"/>
        </w:rPr>
        <w:t>Gedaref</w:t>
      </w:r>
      <w:proofErr w:type="spellEnd"/>
      <w:r w:rsidRPr="00290188" w:rsidR="00A21A21">
        <w:rPr>
          <w:color w:val="000000" w:themeColor="text1"/>
        </w:rPr>
        <w:t xml:space="preserve"> verblijven. </w:t>
      </w:r>
      <w:r w:rsidRPr="00290188" w:rsidR="00A21A21">
        <w:rPr>
          <w:color w:val="000000" w:themeColor="text1"/>
          <w:u w:val="single"/>
        </w:rPr>
        <w:t>Er wordt geadviseerd om voor deze deelstaat aan te blijven nemen dat er sprake is van een lager niveau van willekeurig geweld</w:t>
      </w:r>
      <w:r w:rsidRPr="00290188" w:rsidR="00A21A21">
        <w:rPr>
          <w:color w:val="000000" w:themeColor="text1"/>
        </w:rPr>
        <w:t>, waarbij uit de individuele omstandigheden van de vreemdeling kan blijken dat diegene risico loopt op ernstige schade.</w:t>
      </w:r>
    </w:p>
    <w:p w:rsidRPr="00290188" w:rsidR="00A21A21" w:rsidP="00A21A21" w:rsidRDefault="00A21A21" w14:paraId="53A1FCFF" w14:textId="77777777">
      <w:pPr>
        <w:pStyle w:val="broodtekst"/>
        <w:rPr>
          <w:color w:val="000000" w:themeColor="text1"/>
        </w:rPr>
      </w:pPr>
    </w:p>
    <w:tbl>
      <w:tblPr>
        <w:tblStyle w:val="Tabelraster"/>
        <w:tblW w:w="0" w:type="auto"/>
        <w:tblInd w:w="0" w:type="dxa"/>
        <w:tblLook w:val="04A0" w:firstRow="1" w:lastRow="0" w:firstColumn="1" w:lastColumn="0" w:noHBand="0" w:noVBand="1"/>
      </w:tblPr>
      <w:tblGrid>
        <w:gridCol w:w="2263"/>
        <w:gridCol w:w="6663"/>
      </w:tblGrid>
      <w:tr w:rsidRPr="00290188" w:rsidR="00A21A21" w:rsidTr="00802BA7" w14:paraId="0ED6F9A8" w14:textId="77777777">
        <w:tc>
          <w:tcPr>
            <w:tcW w:w="8926" w:type="dxa"/>
            <w:gridSpan w:val="2"/>
            <w:shd w:val="clear" w:color="auto" w:fill="DEEAF6" w:themeFill="accent1" w:themeFillTint="33"/>
          </w:tcPr>
          <w:p w:rsidRPr="00290188" w:rsidR="00A21A21" w:rsidP="000E52C6" w:rsidRDefault="00A21A21" w14:paraId="36845C55" w14:textId="67311C59">
            <w:pPr>
              <w:pStyle w:val="broodtekst"/>
              <w:rPr>
                <w:b/>
                <w:bCs/>
              </w:rPr>
            </w:pPr>
            <w:proofErr w:type="spellStart"/>
            <w:r w:rsidRPr="00290188">
              <w:rPr>
                <w:b/>
                <w:bCs/>
              </w:rPr>
              <w:t>Kassala</w:t>
            </w:r>
            <w:proofErr w:type="spellEnd"/>
            <w:r w:rsidRPr="00290188">
              <w:rPr>
                <w:b/>
                <w:bCs/>
              </w:rPr>
              <w:t xml:space="preserve"> (3 </w:t>
            </w:r>
            <w:proofErr w:type="spellStart"/>
            <w:r w:rsidRPr="00290188">
              <w:rPr>
                <w:b/>
                <w:bCs/>
              </w:rPr>
              <w:t>mln</w:t>
            </w:r>
            <w:proofErr w:type="spellEnd"/>
            <w:r w:rsidRPr="00290188">
              <w:rPr>
                <w:b/>
                <w:bCs/>
              </w:rPr>
              <w:t xml:space="preserve"> inwoners)</w:t>
            </w:r>
          </w:p>
        </w:tc>
      </w:tr>
      <w:tr w:rsidRPr="00290188" w:rsidR="00A21A21" w:rsidTr="000E52C6" w14:paraId="691620A8" w14:textId="77777777">
        <w:tc>
          <w:tcPr>
            <w:tcW w:w="2263" w:type="dxa"/>
          </w:tcPr>
          <w:p w:rsidRPr="00290188" w:rsidR="00A21A21" w:rsidP="000E52C6" w:rsidRDefault="00A21A21" w14:paraId="68344E29" w14:textId="77777777">
            <w:pPr>
              <w:pStyle w:val="broodtekst"/>
            </w:pPr>
            <w:r w:rsidRPr="00290188">
              <w:t>Controle</w:t>
            </w:r>
          </w:p>
        </w:tc>
        <w:tc>
          <w:tcPr>
            <w:tcW w:w="6663" w:type="dxa"/>
          </w:tcPr>
          <w:p w:rsidRPr="00290188" w:rsidR="00A21A21" w:rsidP="000E52C6" w:rsidRDefault="00A21A21" w14:paraId="39A77A93" w14:textId="2787A946">
            <w:pPr>
              <w:pStyle w:val="broodtekst"/>
            </w:pPr>
            <w:r w:rsidRPr="00290188">
              <w:rPr>
                <w:color w:val="000000" w:themeColor="text1"/>
              </w:rPr>
              <w:t xml:space="preserve">De SAF hebben de staat </w:t>
            </w:r>
            <w:proofErr w:type="spellStart"/>
            <w:r w:rsidRPr="00290188" w:rsidR="00917FD9">
              <w:rPr>
                <w:color w:val="000000" w:themeColor="text1"/>
              </w:rPr>
              <w:t>Kassala</w:t>
            </w:r>
            <w:proofErr w:type="spellEnd"/>
            <w:r w:rsidRPr="00290188">
              <w:rPr>
                <w:color w:val="000000" w:themeColor="text1"/>
              </w:rPr>
              <w:t xml:space="preserve"> momenteel in handen.</w:t>
            </w:r>
          </w:p>
        </w:tc>
      </w:tr>
      <w:tr w:rsidRPr="00290188" w:rsidR="00A21A21" w:rsidTr="000E52C6" w14:paraId="2DD0F987" w14:textId="77777777">
        <w:tc>
          <w:tcPr>
            <w:tcW w:w="2263" w:type="dxa"/>
          </w:tcPr>
          <w:p w:rsidRPr="00290188" w:rsidR="00A21A21" w:rsidP="000E52C6" w:rsidRDefault="00A21A21" w14:paraId="10EFC345" w14:textId="77777777">
            <w:pPr>
              <w:pStyle w:val="broodtekst"/>
            </w:pPr>
            <w:r w:rsidRPr="00290188">
              <w:t>Strijdende partijen</w:t>
            </w:r>
          </w:p>
        </w:tc>
        <w:tc>
          <w:tcPr>
            <w:tcW w:w="6663" w:type="dxa"/>
          </w:tcPr>
          <w:p w:rsidRPr="00290188" w:rsidR="00A21A21" w:rsidP="000E52C6" w:rsidRDefault="00A21A21" w14:paraId="5922F9AB" w14:textId="6A879500">
            <w:pPr>
              <w:pStyle w:val="broodtekst"/>
              <w:rPr>
                <w:i/>
                <w:iCs/>
              </w:rPr>
            </w:pPr>
            <w:r w:rsidRPr="00290188">
              <w:t xml:space="preserve">SAF (inclusief gelieerde </w:t>
            </w:r>
            <w:r w:rsidRPr="00290188" w:rsidR="00917FD9">
              <w:t>milities)</w:t>
            </w:r>
            <w:r w:rsidRPr="00290188">
              <w:t xml:space="preserve"> &amp; RSF (inclusief gelieerde milities).</w:t>
            </w:r>
          </w:p>
        </w:tc>
      </w:tr>
      <w:tr w:rsidRPr="00290188" w:rsidR="00A21A21" w:rsidTr="000E52C6" w14:paraId="78CCB08D" w14:textId="77777777">
        <w:tc>
          <w:tcPr>
            <w:tcW w:w="2263" w:type="dxa"/>
          </w:tcPr>
          <w:p w:rsidRPr="00290188" w:rsidR="00A21A21" w:rsidP="000E52C6" w:rsidRDefault="00A21A21" w14:paraId="450172CE" w14:textId="77777777">
            <w:pPr>
              <w:pStyle w:val="broodtekst"/>
            </w:pPr>
            <w:r w:rsidRPr="00290188">
              <w:t>Aard van het geweld &amp; gevechtsmethodes</w:t>
            </w:r>
          </w:p>
        </w:tc>
        <w:tc>
          <w:tcPr>
            <w:tcW w:w="6663" w:type="dxa"/>
          </w:tcPr>
          <w:p w:rsidRPr="00290188" w:rsidR="00A21A21" w:rsidP="00A21A21" w:rsidRDefault="00316EAD" w14:paraId="2862FE90" w14:textId="3D5A0DA8">
            <w:pPr>
              <w:pStyle w:val="broodtekst"/>
              <w:rPr>
                <w:i/>
                <w:iCs/>
                <w:color w:val="000000" w:themeColor="text1"/>
              </w:rPr>
            </w:pPr>
            <w:r w:rsidRPr="00290188">
              <w:rPr>
                <w:i/>
                <w:iCs/>
                <w:color w:val="000000" w:themeColor="text1"/>
              </w:rPr>
              <w:t>Geen beschikbare informatie</w:t>
            </w:r>
          </w:p>
        </w:tc>
      </w:tr>
      <w:tr w:rsidRPr="00290188" w:rsidR="00A21A21" w:rsidTr="00316EAD" w14:paraId="1239A226" w14:textId="77777777">
        <w:trPr>
          <w:trHeight w:val="1911"/>
        </w:trPr>
        <w:tc>
          <w:tcPr>
            <w:tcW w:w="2263" w:type="dxa"/>
          </w:tcPr>
          <w:p w:rsidRPr="00290188" w:rsidR="00A21A21" w:rsidP="000E52C6" w:rsidRDefault="00A21A21" w14:paraId="5F9E140C" w14:textId="77777777">
            <w:pPr>
              <w:pStyle w:val="broodtekst"/>
            </w:pPr>
            <w:r w:rsidRPr="00290188">
              <w:t>Aantal geweldsincidenten</w:t>
            </w:r>
          </w:p>
        </w:tc>
        <w:tc>
          <w:tcPr>
            <w:tcW w:w="6663" w:type="dxa"/>
          </w:tcPr>
          <w:p w:rsidRPr="00290188" w:rsidR="00A21A21" w:rsidP="000E52C6" w:rsidRDefault="00A21A21" w14:paraId="4E73EFE4" w14:textId="77777777">
            <w:pPr>
              <w:pStyle w:val="broodtekst"/>
            </w:pPr>
            <w:r w:rsidRPr="00290188">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87"/>
              <w:gridCol w:w="728"/>
              <w:gridCol w:w="728"/>
              <w:gridCol w:w="1434"/>
            </w:tblGrid>
            <w:tr w:rsidRPr="00290188" w:rsidR="00A21A21" w:rsidTr="00316EAD" w14:paraId="3EAF171C" w14:textId="77777777">
              <w:trPr>
                <w:trHeight w:val="123"/>
                <w:jc w:val="center"/>
              </w:trPr>
              <w:tc>
                <w:tcPr>
                  <w:tcW w:w="0" w:type="auto"/>
                </w:tcPr>
                <w:p w:rsidRPr="00290188" w:rsidR="00A21A21" w:rsidP="000E52C6" w:rsidRDefault="00A21A21" w14:paraId="50C6EE5F" w14:textId="77777777">
                  <w:pPr>
                    <w:pStyle w:val="Default"/>
                    <w:rPr>
                      <w:b/>
                      <w:bCs/>
                      <w:sz w:val="18"/>
                      <w:szCs w:val="18"/>
                    </w:rPr>
                  </w:pPr>
                </w:p>
              </w:tc>
              <w:tc>
                <w:tcPr>
                  <w:tcW w:w="0" w:type="auto"/>
                </w:tcPr>
                <w:p w:rsidRPr="00290188" w:rsidR="00A21A21" w:rsidP="000E52C6" w:rsidRDefault="00A21A21" w14:paraId="7AB3859B" w14:textId="77777777">
                  <w:pPr>
                    <w:pStyle w:val="Default"/>
                    <w:rPr>
                      <w:b/>
                      <w:bCs/>
                      <w:sz w:val="18"/>
                      <w:szCs w:val="18"/>
                    </w:rPr>
                  </w:pPr>
                  <w:r w:rsidRPr="00290188">
                    <w:rPr>
                      <w:b/>
                      <w:bCs/>
                      <w:sz w:val="18"/>
                      <w:szCs w:val="18"/>
                    </w:rPr>
                    <w:t>2023</w:t>
                  </w:r>
                </w:p>
              </w:tc>
              <w:tc>
                <w:tcPr>
                  <w:tcW w:w="0" w:type="auto"/>
                </w:tcPr>
                <w:p w:rsidRPr="00290188" w:rsidR="00A21A21" w:rsidP="000E52C6" w:rsidRDefault="00A21A21" w14:paraId="54197601" w14:textId="77777777">
                  <w:pPr>
                    <w:pStyle w:val="Default"/>
                    <w:rPr>
                      <w:b/>
                      <w:bCs/>
                      <w:sz w:val="18"/>
                      <w:szCs w:val="18"/>
                    </w:rPr>
                  </w:pPr>
                  <w:r w:rsidRPr="00290188">
                    <w:rPr>
                      <w:b/>
                      <w:bCs/>
                      <w:sz w:val="18"/>
                      <w:szCs w:val="18"/>
                    </w:rPr>
                    <w:t>2024</w:t>
                  </w:r>
                </w:p>
              </w:tc>
              <w:tc>
                <w:tcPr>
                  <w:tcW w:w="0" w:type="auto"/>
                </w:tcPr>
                <w:p w:rsidRPr="00290188" w:rsidR="00A21A21" w:rsidP="000E52C6" w:rsidRDefault="00A21A21" w14:paraId="6FD0F760" w14:textId="77777777">
                  <w:pPr>
                    <w:pStyle w:val="Default"/>
                    <w:rPr>
                      <w:b/>
                      <w:bCs/>
                      <w:sz w:val="18"/>
                      <w:szCs w:val="18"/>
                    </w:rPr>
                  </w:pPr>
                  <w:r w:rsidRPr="00290188">
                    <w:rPr>
                      <w:b/>
                      <w:bCs/>
                      <w:sz w:val="18"/>
                      <w:szCs w:val="18"/>
                    </w:rPr>
                    <w:t xml:space="preserve">2025 </w:t>
                  </w:r>
                  <w:r w:rsidRPr="00290188">
                    <w:rPr>
                      <w:b/>
                      <w:bCs/>
                      <w:sz w:val="18"/>
                      <w:szCs w:val="18"/>
                    </w:rPr>
                    <w:br/>
                    <w:t>(t/m 8 aug)</w:t>
                  </w:r>
                </w:p>
              </w:tc>
            </w:tr>
            <w:tr w:rsidRPr="00290188" w:rsidR="00A21A21" w:rsidTr="00316EAD" w14:paraId="4544DDF6" w14:textId="77777777">
              <w:trPr>
                <w:trHeight w:val="123"/>
                <w:jc w:val="center"/>
              </w:trPr>
              <w:tc>
                <w:tcPr>
                  <w:tcW w:w="0" w:type="auto"/>
                </w:tcPr>
                <w:p w:rsidRPr="00290188" w:rsidR="00A21A21" w:rsidP="000E52C6" w:rsidRDefault="00A21A21" w14:paraId="5E16631D" w14:textId="77777777">
                  <w:pPr>
                    <w:pStyle w:val="Default"/>
                    <w:rPr>
                      <w:sz w:val="18"/>
                      <w:szCs w:val="18"/>
                    </w:rPr>
                  </w:pPr>
                  <w:r w:rsidRPr="00290188">
                    <w:rPr>
                      <w:b/>
                      <w:bCs/>
                      <w:sz w:val="18"/>
                      <w:szCs w:val="18"/>
                    </w:rPr>
                    <w:t>Totaal</w:t>
                  </w:r>
                </w:p>
              </w:tc>
              <w:tc>
                <w:tcPr>
                  <w:tcW w:w="0" w:type="auto"/>
                </w:tcPr>
                <w:p w:rsidRPr="00290188" w:rsidR="00A21A21" w:rsidP="000E52C6" w:rsidRDefault="00A21A21" w14:paraId="1BE5367D" w14:textId="75C6CB50">
                  <w:pPr>
                    <w:pStyle w:val="Default"/>
                    <w:rPr>
                      <w:b/>
                      <w:bCs/>
                      <w:sz w:val="18"/>
                      <w:szCs w:val="18"/>
                    </w:rPr>
                  </w:pPr>
                  <w:r w:rsidRPr="00290188">
                    <w:rPr>
                      <w:b/>
                      <w:bCs/>
                      <w:sz w:val="18"/>
                      <w:szCs w:val="18"/>
                    </w:rPr>
                    <w:t>9</w:t>
                  </w:r>
                </w:p>
              </w:tc>
              <w:tc>
                <w:tcPr>
                  <w:tcW w:w="0" w:type="auto"/>
                </w:tcPr>
                <w:p w:rsidRPr="00290188" w:rsidR="00A21A21" w:rsidP="000E52C6" w:rsidRDefault="00A21A21" w14:paraId="436822EA" w14:textId="6672B7EB">
                  <w:pPr>
                    <w:pStyle w:val="Default"/>
                    <w:rPr>
                      <w:b/>
                      <w:bCs/>
                      <w:sz w:val="18"/>
                      <w:szCs w:val="18"/>
                    </w:rPr>
                  </w:pPr>
                  <w:r w:rsidRPr="00290188">
                    <w:rPr>
                      <w:b/>
                      <w:bCs/>
                      <w:sz w:val="18"/>
                      <w:szCs w:val="18"/>
                    </w:rPr>
                    <w:t>5</w:t>
                  </w:r>
                </w:p>
              </w:tc>
              <w:tc>
                <w:tcPr>
                  <w:tcW w:w="0" w:type="auto"/>
                </w:tcPr>
                <w:p w:rsidRPr="00290188" w:rsidR="00A21A21" w:rsidP="000E52C6" w:rsidRDefault="00A21A21" w14:paraId="0D104C1E" w14:textId="49B3747A">
                  <w:pPr>
                    <w:pStyle w:val="Default"/>
                    <w:rPr>
                      <w:b/>
                      <w:bCs/>
                      <w:sz w:val="18"/>
                      <w:szCs w:val="18"/>
                    </w:rPr>
                  </w:pPr>
                  <w:r w:rsidRPr="00290188">
                    <w:rPr>
                      <w:b/>
                      <w:bCs/>
                      <w:sz w:val="18"/>
                      <w:szCs w:val="18"/>
                    </w:rPr>
                    <w:t>17</w:t>
                  </w:r>
                </w:p>
              </w:tc>
            </w:tr>
            <w:tr w:rsidRPr="00290188" w:rsidR="00A21A21" w:rsidTr="00316EAD" w14:paraId="6C3D2A2E" w14:textId="77777777">
              <w:trPr>
                <w:trHeight w:val="121"/>
                <w:jc w:val="center"/>
              </w:trPr>
              <w:tc>
                <w:tcPr>
                  <w:tcW w:w="0" w:type="auto"/>
                </w:tcPr>
                <w:p w:rsidRPr="00290188" w:rsidR="00A21A21" w:rsidP="000E52C6" w:rsidRDefault="00A21A21" w14:paraId="7E03EFA5" w14:textId="77777777">
                  <w:pPr>
                    <w:pStyle w:val="Default"/>
                    <w:rPr>
                      <w:sz w:val="18"/>
                      <w:szCs w:val="18"/>
                    </w:rPr>
                  </w:pPr>
                  <w:r w:rsidRPr="00290188">
                    <w:rPr>
                      <w:sz w:val="18"/>
                      <w:szCs w:val="18"/>
                    </w:rPr>
                    <w:t xml:space="preserve">Gevechten </w:t>
                  </w:r>
                </w:p>
              </w:tc>
              <w:tc>
                <w:tcPr>
                  <w:tcW w:w="0" w:type="auto"/>
                </w:tcPr>
                <w:p w:rsidRPr="00290188" w:rsidR="00A21A21" w:rsidP="000E52C6" w:rsidRDefault="00A21A21" w14:paraId="780D7F81" w14:textId="04884710">
                  <w:pPr>
                    <w:pStyle w:val="Default"/>
                    <w:rPr>
                      <w:sz w:val="18"/>
                      <w:szCs w:val="18"/>
                    </w:rPr>
                  </w:pPr>
                  <w:r w:rsidRPr="00290188">
                    <w:rPr>
                      <w:sz w:val="18"/>
                      <w:szCs w:val="18"/>
                    </w:rPr>
                    <w:t>4</w:t>
                  </w:r>
                </w:p>
              </w:tc>
              <w:tc>
                <w:tcPr>
                  <w:tcW w:w="0" w:type="auto"/>
                </w:tcPr>
                <w:p w:rsidRPr="00290188" w:rsidR="00A21A21" w:rsidP="000E52C6" w:rsidRDefault="00A21A21" w14:paraId="38E16DBA" w14:textId="7B1AE303">
                  <w:pPr>
                    <w:pStyle w:val="Default"/>
                    <w:rPr>
                      <w:sz w:val="18"/>
                      <w:szCs w:val="18"/>
                    </w:rPr>
                  </w:pPr>
                  <w:r w:rsidRPr="00290188">
                    <w:rPr>
                      <w:sz w:val="18"/>
                      <w:szCs w:val="18"/>
                    </w:rPr>
                    <w:t>4</w:t>
                  </w:r>
                </w:p>
              </w:tc>
              <w:tc>
                <w:tcPr>
                  <w:tcW w:w="0" w:type="auto"/>
                </w:tcPr>
                <w:p w:rsidRPr="00290188" w:rsidR="00A21A21" w:rsidP="000E52C6" w:rsidRDefault="00A21A21" w14:paraId="3B3B47C5" w14:textId="5183DEC1">
                  <w:pPr>
                    <w:pStyle w:val="Default"/>
                    <w:rPr>
                      <w:sz w:val="18"/>
                      <w:szCs w:val="18"/>
                    </w:rPr>
                  </w:pPr>
                  <w:r w:rsidRPr="00290188">
                    <w:rPr>
                      <w:sz w:val="18"/>
                      <w:szCs w:val="18"/>
                    </w:rPr>
                    <w:t>8</w:t>
                  </w:r>
                </w:p>
              </w:tc>
            </w:tr>
            <w:tr w:rsidRPr="00290188" w:rsidR="00A21A21" w:rsidTr="00316EAD" w14:paraId="63A1EAFB" w14:textId="77777777">
              <w:trPr>
                <w:trHeight w:val="121"/>
                <w:jc w:val="center"/>
              </w:trPr>
              <w:tc>
                <w:tcPr>
                  <w:tcW w:w="0" w:type="auto"/>
                </w:tcPr>
                <w:p w:rsidRPr="00290188" w:rsidR="00A21A21" w:rsidP="000E52C6" w:rsidRDefault="00A21A21" w14:paraId="018809D8" w14:textId="77777777">
                  <w:pPr>
                    <w:pStyle w:val="Default"/>
                    <w:rPr>
                      <w:sz w:val="18"/>
                      <w:szCs w:val="18"/>
                    </w:rPr>
                  </w:pPr>
                  <w:r w:rsidRPr="00290188">
                    <w:rPr>
                      <w:sz w:val="18"/>
                      <w:szCs w:val="18"/>
                    </w:rPr>
                    <w:t xml:space="preserve">Explosies/geweld op afstand </w:t>
                  </w:r>
                </w:p>
              </w:tc>
              <w:tc>
                <w:tcPr>
                  <w:tcW w:w="0" w:type="auto"/>
                </w:tcPr>
                <w:p w:rsidRPr="00290188" w:rsidR="00A21A21" w:rsidP="000E52C6" w:rsidRDefault="00A21A21" w14:paraId="5AEE62EF" w14:textId="4B0564E9">
                  <w:pPr>
                    <w:pStyle w:val="Default"/>
                    <w:rPr>
                      <w:sz w:val="18"/>
                      <w:szCs w:val="18"/>
                    </w:rPr>
                  </w:pPr>
                  <w:r w:rsidRPr="00290188">
                    <w:rPr>
                      <w:sz w:val="18"/>
                      <w:szCs w:val="18"/>
                    </w:rPr>
                    <w:t>0</w:t>
                  </w:r>
                </w:p>
              </w:tc>
              <w:tc>
                <w:tcPr>
                  <w:tcW w:w="0" w:type="auto"/>
                </w:tcPr>
                <w:p w:rsidRPr="00290188" w:rsidR="00A21A21" w:rsidP="000E52C6" w:rsidRDefault="00A21A21" w14:paraId="06563EE6" w14:textId="28FD0D79">
                  <w:pPr>
                    <w:pStyle w:val="Default"/>
                    <w:rPr>
                      <w:sz w:val="18"/>
                      <w:szCs w:val="18"/>
                    </w:rPr>
                  </w:pPr>
                  <w:r w:rsidRPr="00290188">
                    <w:rPr>
                      <w:sz w:val="18"/>
                      <w:szCs w:val="18"/>
                    </w:rPr>
                    <w:t>0</w:t>
                  </w:r>
                </w:p>
              </w:tc>
              <w:tc>
                <w:tcPr>
                  <w:tcW w:w="0" w:type="auto"/>
                </w:tcPr>
                <w:p w:rsidRPr="00290188" w:rsidR="00A21A21" w:rsidP="000E52C6" w:rsidRDefault="00A21A21" w14:paraId="35B7B4DA" w14:textId="0EFA91BC">
                  <w:pPr>
                    <w:pStyle w:val="Default"/>
                    <w:rPr>
                      <w:sz w:val="18"/>
                      <w:szCs w:val="18"/>
                    </w:rPr>
                  </w:pPr>
                  <w:r w:rsidRPr="00290188">
                    <w:rPr>
                      <w:sz w:val="18"/>
                      <w:szCs w:val="18"/>
                    </w:rPr>
                    <w:t>1</w:t>
                  </w:r>
                </w:p>
              </w:tc>
            </w:tr>
            <w:tr w:rsidRPr="00290188" w:rsidR="00A21A21" w:rsidTr="00316EAD" w14:paraId="08E419E8" w14:textId="77777777">
              <w:trPr>
                <w:trHeight w:val="121"/>
                <w:jc w:val="center"/>
              </w:trPr>
              <w:tc>
                <w:tcPr>
                  <w:tcW w:w="0" w:type="auto"/>
                </w:tcPr>
                <w:p w:rsidRPr="00290188" w:rsidR="00A21A21" w:rsidP="000E52C6" w:rsidRDefault="00A21A21" w14:paraId="55C08C94" w14:textId="77777777">
                  <w:pPr>
                    <w:pStyle w:val="Default"/>
                    <w:rPr>
                      <w:sz w:val="18"/>
                      <w:szCs w:val="18"/>
                    </w:rPr>
                  </w:pPr>
                  <w:r w:rsidRPr="00290188">
                    <w:rPr>
                      <w:sz w:val="18"/>
                      <w:szCs w:val="18"/>
                    </w:rPr>
                    <w:t xml:space="preserve">Geweld tegen burgers </w:t>
                  </w:r>
                </w:p>
              </w:tc>
              <w:tc>
                <w:tcPr>
                  <w:tcW w:w="0" w:type="auto"/>
                </w:tcPr>
                <w:p w:rsidRPr="00290188" w:rsidR="00A21A21" w:rsidP="000E52C6" w:rsidRDefault="00A21A21" w14:paraId="56DDEB19" w14:textId="3DB5844E">
                  <w:pPr>
                    <w:pStyle w:val="Default"/>
                    <w:rPr>
                      <w:sz w:val="18"/>
                      <w:szCs w:val="18"/>
                    </w:rPr>
                  </w:pPr>
                  <w:r w:rsidRPr="00290188">
                    <w:rPr>
                      <w:sz w:val="18"/>
                      <w:szCs w:val="18"/>
                    </w:rPr>
                    <w:t>5</w:t>
                  </w:r>
                </w:p>
              </w:tc>
              <w:tc>
                <w:tcPr>
                  <w:tcW w:w="0" w:type="auto"/>
                </w:tcPr>
                <w:p w:rsidRPr="00290188" w:rsidR="00A21A21" w:rsidP="000E52C6" w:rsidRDefault="00A21A21" w14:paraId="1A90F60D" w14:textId="77A18836">
                  <w:pPr>
                    <w:pStyle w:val="Default"/>
                    <w:rPr>
                      <w:sz w:val="18"/>
                      <w:szCs w:val="18"/>
                    </w:rPr>
                  </w:pPr>
                  <w:r w:rsidRPr="00290188">
                    <w:rPr>
                      <w:sz w:val="18"/>
                      <w:szCs w:val="18"/>
                    </w:rPr>
                    <w:t>1</w:t>
                  </w:r>
                </w:p>
              </w:tc>
              <w:tc>
                <w:tcPr>
                  <w:tcW w:w="0" w:type="auto"/>
                </w:tcPr>
                <w:p w:rsidRPr="00290188" w:rsidR="00A21A21" w:rsidP="000E52C6" w:rsidRDefault="00A21A21" w14:paraId="463C0DA4" w14:textId="0AF384B2">
                  <w:pPr>
                    <w:pStyle w:val="Default"/>
                    <w:rPr>
                      <w:sz w:val="18"/>
                      <w:szCs w:val="18"/>
                    </w:rPr>
                  </w:pPr>
                  <w:r w:rsidRPr="00290188">
                    <w:rPr>
                      <w:sz w:val="18"/>
                      <w:szCs w:val="18"/>
                    </w:rPr>
                    <w:t>8</w:t>
                  </w:r>
                </w:p>
              </w:tc>
            </w:tr>
          </w:tbl>
          <w:p w:rsidRPr="00290188" w:rsidR="00A21A21" w:rsidP="000E52C6" w:rsidRDefault="00A21A21" w14:paraId="31C29E24" w14:textId="77777777">
            <w:pPr>
              <w:pStyle w:val="broodtekst"/>
            </w:pPr>
          </w:p>
        </w:tc>
      </w:tr>
      <w:tr w:rsidRPr="00290188" w:rsidR="00A21A21" w:rsidTr="000E52C6" w14:paraId="31CE74B0" w14:textId="77777777">
        <w:tc>
          <w:tcPr>
            <w:tcW w:w="2263" w:type="dxa"/>
          </w:tcPr>
          <w:p w:rsidRPr="00290188" w:rsidR="00A21A21" w:rsidP="000E52C6" w:rsidRDefault="00A21A21" w14:paraId="480E41D4" w14:textId="77777777">
            <w:pPr>
              <w:pStyle w:val="broodtekst"/>
            </w:pPr>
            <w:r w:rsidRPr="00290188">
              <w:t>Geografische omvang geweld</w:t>
            </w:r>
          </w:p>
        </w:tc>
        <w:tc>
          <w:tcPr>
            <w:tcW w:w="6663" w:type="dxa"/>
          </w:tcPr>
          <w:p w:rsidRPr="00290188" w:rsidR="00A21A21" w:rsidP="000E52C6" w:rsidRDefault="00A21A21" w14:paraId="66003A6E" w14:textId="77777777">
            <w:pPr>
              <w:pStyle w:val="broodtekst"/>
              <w:rPr>
                <w:i/>
                <w:iCs/>
              </w:rPr>
            </w:pPr>
            <w:r w:rsidRPr="00290188">
              <w:rPr>
                <w:i/>
                <w:iCs/>
              </w:rPr>
              <w:t>Geen beschikbare informatie</w:t>
            </w:r>
          </w:p>
        </w:tc>
      </w:tr>
      <w:tr w:rsidRPr="00290188" w:rsidR="00A21A21" w:rsidTr="000E52C6" w14:paraId="718A4D7A" w14:textId="77777777">
        <w:tc>
          <w:tcPr>
            <w:tcW w:w="2263" w:type="dxa"/>
          </w:tcPr>
          <w:p w:rsidRPr="00290188" w:rsidR="00A21A21" w:rsidP="000E52C6" w:rsidRDefault="00A21A21" w14:paraId="585F5EE6" w14:textId="77777777">
            <w:pPr>
              <w:pStyle w:val="broodtekst"/>
            </w:pPr>
            <w:r w:rsidRPr="00290188">
              <w:lastRenderedPageBreak/>
              <w:t>Veiligheidsstructuur</w:t>
            </w:r>
          </w:p>
        </w:tc>
        <w:tc>
          <w:tcPr>
            <w:tcW w:w="6663" w:type="dxa"/>
          </w:tcPr>
          <w:p w:rsidRPr="00290188" w:rsidR="00A21A21" w:rsidP="000E52C6" w:rsidRDefault="00A21A21" w14:paraId="5DC88B06" w14:textId="03FCC1B0">
            <w:pPr>
              <w:pStyle w:val="broodtekst"/>
              <w:rPr>
                <w:i/>
                <w:iCs/>
              </w:rPr>
            </w:pPr>
            <w:r w:rsidRPr="00290188">
              <w:t xml:space="preserve">De SAF hebben </w:t>
            </w:r>
            <w:proofErr w:type="spellStart"/>
            <w:r w:rsidRPr="00290188" w:rsidR="00917FD9">
              <w:t>Kassala</w:t>
            </w:r>
            <w:proofErr w:type="spellEnd"/>
            <w:r w:rsidRPr="00290188" w:rsidR="00917FD9">
              <w:t xml:space="preserve"> </w:t>
            </w:r>
            <w:r w:rsidRPr="00290188">
              <w:t xml:space="preserve">grotendeels </w:t>
            </w:r>
            <w:r w:rsidRPr="00290188" w:rsidR="00917FD9">
              <w:t xml:space="preserve">onder </w:t>
            </w:r>
            <w:r w:rsidRPr="00290188">
              <w:t>controle. Volgens het ambtsbericht houden de SAF geen rekening met het beschermen van de burgerbevolking.</w:t>
            </w:r>
          </w:p>
        </w:tc>
      </w:tr>
      <w:tr w:rsidRPr="00290188" w:rsidR="00A21A21" w:rsidTr="000E52C6" w14:paraId="38C6B5B4" w14:textId="77777777">
        <w:tc>
          <w:tcPr>
            <w:tcW w:w="2263" w:type="dxa"/>
          </w:tcPr>
          <w:p w:rsidRPr="00290188" w:rsidR="00A21A21" w:rsidP="000E52C6" w:rsidRDefault="00A21A21" w14:paraId="61CB3B87" w14:textId="77777777">
            <w:pPr>
              <w:pStyle w:val="broodtekst"/>
            </w:pPr>
            <w:r w:rsidRPr="00290188">
              <w:t>Doelwitten</w:t>
            </w:r>
          </w:p>
        </w:tc>
        <w:tc>
          <w:tcPr>
            <w:tcW w:w="6663" w:type="dxa"/>
          </w:tcPr>
          <w:p w:rsidRPr="00290188" w:rsidR="00A21A21" w:rsidP="000E52C6" w:rsidRDefault="00A21A21" w14:paraId="4CB78DC6" w14:textId="77777777">
            <w:pPr>
              <w:pStyle w:val="broodtekst"/>
              <w:rPr>
                <w:i/>
                <w:iCs/>
              </w:rPr>
            </w:pPr>
            <w:r w:rsidRPr="00290188">
              <w:rPr>
                <w:i/>
                <w:iCs/>
              </w:rPr>
              <w:t>Geen beschikbare informatie</w:t>
            </w:r>
          </w:p>
        </w:tc>
      </w:tr>
      <w:tr w:rsidRPr="00290188" w:rsidR="00A21A21" w:rsidTr="000E52C6" w14:paraId="3661ED71" w14:textId="77777777">
        <w:tc>
          <w:tcPr>
            <w:tcW w:w="2263" w:type="dxa"/>
          </w:tcPr>
          <w:p w:rsidRPr="00290188" w:rsidR="00A21A21" w:rsidP="000E52C6" w:rsidRDefault="00A21A21" w14:paraId="3A358CE3" w14:textId="77777777">
            <w:pPr>
              <w:pStyle w:val="broodtekst"/>
            </w:pPr>
            <w:r w:rsidRPr="00290188">
              <w:t>Dodelijke slachtoffers</w:t>
            </w:r>
          </w:p>
        </w:tc>
        <w:tc>
          <w:tcPr>
            <w:tcW w:w="6663" w:type="dxa"/>
          </w:tcPr>
          <w:p w:rsidRPr="00290188" w:rsidR="00A21A21" w:rsidP="000E52C6" w:rsidRDefault="00A21A21" w14:paraId="336AB9C8" w14:textId="77777777">
            <w:pPr>
              <w:pStyle w:val="broodtekst"/>
            </w:pPr>
            <w:r w:rsidRPr="00290188">
              <w:t>Aantallen door ACLED geregistreerde doden:</w:t>
            </w:r>
          </w:p>
          <w:p w:rsidRPr="00290188" w:rsidR="00A21A21" w:rsidP="000E52C6" w:rsidRDefault="00A21A21" w14:paraId="2065F4EA" w14:textId="77777777">
            <w:pPr>
              <w:pStyle w:val="broodteks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3"/>
              <w:gridCol w:w="971"/>
              <w:gridCol w:w="1843"/>
            </w:tblGrid>
            <w:tr w:rsidRPr="00290188" w:rsidR="00A21A21" w:rsidTr="00316EAD" w14:paraId="4C33F9E0" w14:textId="77777777">
              <w:trPr>
                <w:trHeight w:val="121"/>
                <w:jc w:val="center"/>
              </w:trPr>
              <w:tc>
                <w:tcPr>
                  <w:tcW w:w="963" w:type="dxa"/>
                </w:tcPr>
                <w:p w:rsidRPr="00290188" w:rsidR="00A21A21" w:rsidP="000E52C6" w:rsidRDefault="00A21A21" w14:paraId="027184E3" w14:textId="77777777">
                  <w:pPr>
                    <w:pStyle w:val="Default"/>
                    <w:rPr>
                      <w:b/>
                      <w:bCs/>
                      <w:sz w:val="18"/>
                      <w:szCs w:val="18"/>
                    </w:rPr>
                  </w:pPr>
                  <w:r w:rsidRPr="00290188">
                    <w:rPr>
                      <w:b/>
                      <w:bCs/>
                      <w:sz w:val="18"/>
                      <w:szCs w:val="18"/>
                    </w:rPr>
                    <w:t>2023</w:t>
                  </w:r>
                </w:p>
              </w:tc>
              <w:tc>
                <w:tcPr>
                  <w:tcW w:w="971" w:type="dxa"/>
                </w:tcPr>
                <w:p w:rsidRPr="00290188" w:rsidR="00A21A21" w:rsidP="000E52C6" w:rsidRDefault="00A21A21" w14:paraId="58039DB4" w14:textId="77777777">
                  <w:pPr>
                    <w:pStyle w:val="Default"/>
                    <w:rPr>
                      <w:b/>
                      <w:bCs/>
                      <w:sz w:val="18"/>
                      <w:szCs w:val="18"/>
                    </w:rPr>
                  </w:pPr>
                  <w:r w:rsidRPr="00290188">
                    <w:rPr>
                      <w:b/>
                      <w:bCs/>
                      <w:sz w:val="18"/>
                      <w:szCs w:val="18"/>
                    </w:rPr>
                    <w:t>2024</w:t>
                  </w:r>
                </w:p>
              </w:tc>
              <w:tc>
                <w:tcPr>
                  <w:tcW w:w="1843" w:type="dxa"/>
                </w:tcPr>
                <w:p w:rsidRPr="00290188" w:rsidR="00A21A21" w:rsidP="000E52C6" w:rsidRDefault="00A21A21" w14:paraId="1DC5E6CD" w14:textId="77777777">
                  <w:pPr>
                    <w:pStyle w:val="Default"/>
                    <w:rPr>
                      <w:b/>
                      <w:bCs/>
                      <w:sz w:val="18"/>
                      <w:szCs w:val="18"/>
                    </w:rPr>
                  </w:pPr>
                  <w:r w:rsidRPr="00290188">
                    <w:rPr>
                      <w:b/>
                      <w:bCs/>
                      <w:sz w:val="18"/>
                      <w:szCs w:val="18"/>
                    </w:rPr>
                    <w:t>2025 t/m 8 aug</w:t>
                  </w:r>
                </w:p>
              </w:tc>
            </w:tr>
            <w:tr w:rsidRPr="00290188" w:rsidR="00A21A21" w:rsidTr="00316EAD" w14:paraId="3993572E" w14:textId="77777777">
              <w:trPr>
                <w:trHeight w:val="121"/>
                <w:jc w:val="center"/>
              </w:trPr>
              <w:tc>
                <w:tcPr>
                  <w:tcW w:w="963" w:type="dxa"/>
                </w:tcPr>
                <w:p w:rsidRPr="00290188" w:rsidR="00A21A21" w:rsidP="000E52C6" w:rsidRDefault="00A21A21" w14:paraId="0105D115" w14:textId="3B36448E">
                  <w:pPr>
                    <w:pStyle w:val="Default"/>
                    <w:rPr>
                      <w:sz w:val="18"/>
                      <w:szCs w:val="18"/>
                    </w:rPr>
                  </w:pPr>
                  <w:r w:rsidRPr="00290188">
                    <w:rPr>
                      <w:sz w:val="18"/>
                      <w:szCs w:val="18"/>
                    </w:rPr>
                    <w:t>3</w:t>
                  </w:r>
                </w:p>
              </w:tc>
              <w:tc>
                <w:tcPr>
                  <w:tcW w:w="971" w:type="dxa"/>
                </w:tcPr>
                <w:p w:rsidRPr="00290188" w:rsidR="00A21A21" w:rsidP="000E52C6" w:rsidRDefault="00A21A21" w14:paraId="5732C9C6" w14:textId="2BF0D5A7">
                  <w:pPr>
                    <w:pStyle w:val="Default"/>
                    <w:rPr>
                      <w:sz w:val="18"/>
                      <w:szCs w:val="18"/>
                    </w:rPr>
                  </w:pPr>
                  <w:r w:rsidRPr="00290188">
                    <w:rPr>
                      <w:sz w:val="18"/>
                      <w:szCs w:val="18"/>
                    </w:rPr>
                    <w:t>1</w:t>
                  </w:r>
                </w:p>
              </w:tc>
              <w:tc>
                <w:tcPr>
                  <w:tcW w:w="1843" w:type="dxa"/>
                </w:tcPr>
                <w:p w:rsidRPr="00290188" w:rsidR="00A21A21" w:rsidP="000E52C6" w:rsidRDefault="00A21A21" w14:paraId="5273A525" w14:textId="4BA3D621">
                  <w:pPr>
                    <w:pStyle w:val="Default"/>
                    <w:rPr>
                      <w:sz w:val="18"/>
                      <w:szCs w:val="18"/>
                    </w:rPr>
                  </w:pPr>
                  <w:r w:rsidRPr="00290188">
                    <w:rPr>
                      <w:sz w:val="18"/>
                      <w:szCs w:val="18"/>
                    </w:rPr>
                    <w:t>12</w:t>
                  </w:r>
                </w:p>
              </w:tc>
            </w:tr>
          </w:tbl>
          <w:p w:rsidRPr="00290188" w:rsidR="00A21A21" w:rsidP="000E52C6" w:rsidRDefault="00A21A21" w14:paraId="64845846" w14:textId="77777777">
            <w:pPr>
              <w:pStyle w:val="broodtekst"/>
            </w:pPr>
          </w:p>
          <w:p w:rsidRPr="00290188" w:rsidR="00A21A21" w:rsidP="000E52C6" w:rsidRDefault="00A21A21" w14:paraId="443B6A18" w14:textId="0E06BC54">
            <w:pPr>
              <w:pStyle w:val="broodtekst"/>
            </w:pPr>
            <w:r w:rsidRPr="00290188">
              <w:t xml:space="preserve">OHCHR registreerde </w:t>
            </w:r>
            <w:r w:rsidRPr="00290188" w:rsidR="00917FD9">
              <w:t>vier</w:t>
            </w:r>
            <w:r w:rsidRPr="00290188">
              <w:t xml:space="preserve"> burgerdoden in de periode van 1 januari 2025 tot 30 juni 2025.</w:t>
            </w:r>
          </w:p>
        </w:tc>
      </w:tr>
      <w:tr w:rsidRPr="00290188" w:rsidR="00A21A21" w:rsidTr="000E52C6" w14:paraId="79B1F721" w14:textId="77777777">
        <w:tc>
          <w:tcPr>
            <w:tcW w:w="2263" w:type="dxa"/>
          </w:tcPr>
          <w:p w:rsidRPr="00290188" w:rsidR="00A21A21" w:rsidP="000E52C6" w:rsidRDefault="00A21A21" w14:paraId="65DECFE8" w14:textId="239EAFBC">
            <w:pPr>
              <w:pStyle w:val="broodtekst"/>
            </w:pPr>
            <w:r w:rsidRPr="00290188">
              <w:t>Aantal ontheemden</w:t>
            </w:r>
          </w:p>
        </w:tc>
        <w:tc>
          <w:tcPr>
            <w:tcW w:w="6663" w:type="dxa"/>
          </w:tcPr>
          <w:p w:rsidRPr="00290188" w:rsidR="00A21A21" w:rsidP="000E52C6" w:rsidRDefault="00A21A21" w14:paraId="2FDAD88A" w14:textId="38581887">
            <w:pPr>
              <w:pStyle w:val="broodtekst"/>
            </w:pPr>
            <w:r w:rsidRPr="00290188">
              <w:t xml:space="preserve">Ontheemden die in </w:t>
            </w:r>
            <w:proofErr w:type="spellStart"/>
            <w:r w:rsidRPr="00290188">
              <w:t>Kassala</w:t>
            </w:r>
            <w:proofErr w:type="spellEnd"/>
            <w:r w:rsidRPr="00290188">
              <w:t xml:space="preserve"> verblijven (d.d. 9 juli 2025): 118.605</w:t>
            </w:r>
          </w:p>
        </w:tc>
      </w:tr>
      <w:tr w:rsidRPr="00290188" w:rsidR="00A21A21" w:rsidTr="000E52C6" w14:paraId="143BF391" w14:textId="77777777">
        <w:tc>
          <w:tcPr>
            <w:tcW w:w="2263" w:type="dxa"/>
          </w:tcPr>
          <w:p w:rsidRPr="00290188" w:rsidR="00A21A21" w:rsidP="000E52C6" w:rsidRDefault="00A21A21" w14:paraId="3B629464" w14:textId="77777777">
            <w:pPr>
              <w:pStyle w:val="broodtekst"/>
            </w:pPr>
            <w:r w:rsidRPr="00290188">
              <w:t>Humanitaire omstandigheden als gevolg van het conflict</w:t>
            </w:r>
          </w:p>
        </w:tc>
        <w:tc>
          <w:tcPr>
            <w:tcW w:w="6663" w:type="dxa"/>
          </w:tcPr>
          <w:p w:rsidRPr="00290188" w:rsidR="00A21A21" w:rsidP="000E52C6" w:rsidRDefault="00A21A21" w14:paraId="5E203271" w14:textId="4258B132">
            <w:pPr>
              <w:pStyle w:val="broodtekst"/>
            </w:pPr>
            <w:r w:rsidRPr="00290188">
              <w:rPr>
                <w:color w:val="000000" w:themeColor="text1"/>
              </w:rPr>
              <w:t xml:space="preserve">Veel ontheemden vluchtten uit de westelijke en centrale delen van Sudan naar de oostelijke staten, waaronder </w:t>
            </w:r>
            <w:proofErr w:type="spellStart"/>
            <w:r w:rsidRPr="00290188">
              <w:rPr>
                <w:color w:val="000000" w:themeColor="text1"/>
              </w:rPr>
              <w:t>Kassala</w:t>
            </w:r>
            <w:proofErr w:type="spellEnd"/>
            <w:r w:rsidRPr="00290188">
              <w:rPr>
                <w:color w:val="000000" w:themeColor="text1"/>
              </w:rPr>
              <w:t xml:space="preserve">. In </w:t>
            </w:r>
            <w:proofErr w:type="spellStart"/>
            <w:r w:rsidRPr="00290188">
              <w:rPr>
                <w:color w:val="000000" w:themeColor="text1"/>
              </w:rPr>
              <w:t>Kassala</w:t>
            </w:r>
            <w:proofErr w:type="spellEnd"/>
            <w:r w:rsidRPr="00290188">
              <w:rPr>
                <w:color w:val="000000" w:themeColor="text1"/>
              </w:rPr>
              <w:t xml:space="preserve">, nabij de hoofdstad, ligt ook een van de grootste ontheemdenkampen van Sudan, kamp Al </w:t>
            </w:r>
            <w:proofErr w:type="spellStart"/>
            <w:r w:rsidRPr="00290188">
              <w:rPr>
                <w:color w:val="000000" w:themeColor="text1"/>
              </w:rPr>
              <w:t>Shagarab</w:t>
            </w:r>
            <w:proofErr w:type="spellEnd"/>
            <w:r w:rsidRPr="00290188">
              <w:rPr>
                <w:color w:val="000000" w:themeColor="text1"/>
              </w:rPr>
              <w:t xml:space="preserve">. Mede hierdoor werden de staten </w:t>
            </w:r>
            <w:proofErr w:type="spellStart"/>
            <w:r w:rsidRPr="00290188">
              <w:rPr>
                <w:color w:val="000000" w:themeColor="text1"/>
              </w:rPr>
              <w:t>Kassala</w:t>
            </w:r>
            <w:proofErr w:type="spellEnd"/>
            <w:r w:rsidRPr="00290188">
              <w:rPr>
                <w:color w:val="000000" w:themeColor="text1"/>
              </w:rPr>
              <w:t xml:space="preserve"> en </w:t>
            </w:r>
            <w:proofErr w:type="spellStart"/>
            <w:r w:rsidRPr="00290188">
              <w:rPr>
                <w:color w:val="000000" w:themeColor="text1"/>
              </w:rPr>
              <w:t>Gedaref</w:t>
            </w:r>
            <w:proofErr w:type="spellEnd"/>
            <w:r w:rsidRPr="00290188">
              <w:rPr>
                <w:color w:val="000000" w:themeColor="text1"/>
              </w:rPr>
              <w:t xml:space="preserve"> in verhouding het meest geraakt door cholera-uitbraken die met name in ontheemdenkampen voorkwamen. Daarnaast kregen ontheemden in </w:t>
            </w:r>
            <w:proofErr w:type="spellStart"/>
            <w:r w:rsidRPr="00290188">
              <w:rPr>
                <w:color w:val="000000" w:themeColor="text1"/>
              </w:rPr>
              <w:t>Kassala</w:t>
            </w:r>
            <w:proofErr w:type="spellEnd"/>
            <w:r w:rsidRPr="00290188">
              <w:rPr>
                <w:color w:val="000000" w:themeColor="text1"/>
              </w:rPr>
              <w:t xml:space="preserve"> met ernstige voedselonzekerheid en tekort aan humanitaire hulp, als gevolg van het gewapende conflict.</w:t>
            </w:r>
            <w:r w:rsidRPr="00290188">
              <w:rPr>
                <w:rStyle w:val="Voetnootmarkering"/>
                <w:color w:val="000000" w:themeColor="text1"/>
              </w:rPr>
              <w:footnoteReference w:id="32"/>
            </w:r>
          </w:p>
        </w:tc>
      </w:tr>
    </w:tbl>
    <w:p w:rsidRPr="00290188" w:rsidR="00A21A21" w:rsidP="00A21A21" w:rsidRDefault="00A21A21" w14:paraId="5AFBC556" w14:textId="77777777">
      <w:pPr>
        <w:pStyle w:val="broodtekst"/>
        <w:rPr>
          <w:color w:val="000000" w:themeColor="text1"/>
        </w:rPr>
      </w:pPr>
      <w:r w:rsidRPr="00290188">
        <w:rPr>
          <w:color w:val="000000" w:themeColor="text1"/>
        </w:rPr>
        <w:t xml:space="preserve"> </w:t>
      </w:r>
    </w:p>
    <w:p w:rsidRPr="00587FCC" w:rsidR="00F13641" w:rsidP="00A21A21" w:rsidRDefault="00F13641" w14:paraId="20250FE7" w14:textId="3373A67A">
      <w:pPr>
        <w:pStyle w:val="broodtekst"/>
      </w:pPr>
      <w:r w:rsidRPr="00290188">
        <w:rPr>
          <w:b/>
          <w:bCs/>
          <w:color w:val="000000" w:themeColor="text1"/>
        </w:rPr>
        <w:t>Conclusie:</w:t>
      </w:r>
      <w:r w:rsidRPr="00290188" w:rsidR="00EE5AB1">
        <w:rPr>
          <w:b/>
          <w:bCs/>
          <w:color w:val="000000" w:themeColor="text1"/>
        </w:rPr>
        <w:t xml:space="preserve"> </w:t>
      </w:r>
      <w:r w:rsidRPr="00290188" w:rsidR="00EE5AB1">
        <w:rPr>
          <w:color w:val="000000" w:themeColor="text1"/>
        </w:rPr>
        <w:t xml:space="preserve">In </w:t>
      </w:r>
      <w:proofErr w:type="spellStart"/>
      <w:r w:rsidRPr="00290188" w:rsidR="00EE5AB1">
        <w:rPr>
          <w:color w:val="000000" w:themeColor="text1"/>
        </w:rPr>
        <w:t>Kassala</w:t>
      </w:r>
      <w:proofErr w:type="spellEnd"/>
      <w:r w:rsidRPr="00290188" w:rsidR="00EE5AB1">
        <w:rPr>
          <w:color w:val="000000" w:themeColor="text1"/>
        </w:rPr>
        <w:t xml:space="preserve"> vonden veiligheidsincidenten plaats, maar op minder grote schaal plaats dan in andere gebieden in Sudan. Doordat de SAF controle over </w:t>
      </w:r>
      <w:proofErr w:type="spellStart"/>
      <w:r w:rsidRPr="00290188" w:rsidR="00EE5AB1">
        <w:rPr>
          <w:color w:val="000000" w:themeColor="text1"/>
        </w:rPr>
        <w:t>Kassala</w:t>
      </w:r>
      <w:proofErr w:type="spellEnd"/>
      <w:r w:rsidRPr="00290188" w:rsidR="00EE5AB1">
        <w:rPr>
          <w:color w:val="000000" w:themeColor="text1"/>
        </w:rPr>
        <w:t xml:space="preserve"> heeft</w:t>
      </w:r>
      <w:r w:rsidRPr="00290188" w:rsidR="00917FD9">
        <w:rPr>
          <w:color w:val="000000" w:themeColor="text1"/>
        </w:rPr>
        <w:t>,</w:t>
      </w:r>
      <w:r w:rsidRPr="00290188" w:rsidR="00EE5AB1">
        <w:rPr>
          <w:color w:val="000000" w:themeColor="text1"/>
        </w:rPr>
        <w:t xml:space="preserve"> is de veiligheidssituatie relatief gezien stabieler dan in andere deelstaten, waardoor </w:t>
      </w:r>
      <w:proofErr w:type="spellStart"/>
      <w:r w:rsidRPr="00290188" w:rsidR="00EE5AB1">
        <w:rPr>
          <w:color w:val="000000" w:themeColor="text1"/>
        </w:rPr>
        <w:t>Kassala</w:t>
      </w:r>
      <w:proofErr w:type="spellEnd"/>
      <w:r w:rsidRPr="00290188" w:rsidR="00EE5AB1">
        <w:rPr>
          <w:color w:val="000000" w:themeColor="text1"/>
        </w:rPr>
        <w:t xml:space="preserve"> relatief gezien zeer veel ontheemden opvangt. </w:t>
      </w:r>
      <w:r w:rsidRPr="00290188" w:rsidR="00B7452A">
        <w:rPr>
          <w:color w:val="000000" w:themeColor="text1"/>
          <w:u w:val="single"/>
        </w:rPr>
        <w:t xml:space="preserve">Daarom wordt </w:t>
      </w:r>
      <w:r w:rsidRPr="00290188" w:rsidR="00EE5AB1">
        <w:rPr>
          <w:color w:val="000000" w:themeColor="text1"/>
          <w:u w:val="single"/>
        </w:rPr>
        <w:t>voor deze deelstaat aangenomen dat er sprake is van een lager niveau van willekeurig geweld</w:t>
      </w:r>
      <w:r w:rsidRPr="00290188" w:rsidR="00EE5AB1">
        <w:rPr>
          <w:color w:val="000000" w:themeColor="text1"/>
        </w:rPr>
        <w:t>, waarbij uit de individuele omstandigheden van de vreemdeling kan blijken dat diegene risico loopt op ernstige schade.</w:t>
      </w:r>
    </w:p>
    <w:p w:rsidRPr="003843BD" w:rsidR="00E11E7F" w:rsidP="00EE5AB1" w:rsidRDefault="00E11E7F" w14:paraId="6193A067" w14:textId="0F2719AE">
      <w:pPr>
        <w:pStyle w:val="broodtekst"/>
        <w:rPr>
          <w:color w:val="000000" w:themeColor="text1"/>
        </w:rPr>
      </w:pPr>
    </w:p>
    <w:sectPr w:rsidRPr="003843BD" w:rsidR="00E11E7F"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3BB9" w14:textId="77777777" w:rsidR="006F3A24" w:rsidRDefault="006F3A24" w:rsidP="00D97818">
      <w:pPr>
        <w:spacing w:line="240" w:lineRule="auto"/>
      </w:pPr>
      <w:r>
        <w:separator/>
      </w:r>
    </w:p>
  </w:endnote>
  <w:endnote w:type="continuationSeparator" w:id="0">
    <w:p w14:paraId="03BDDCE6" w14:textId="77777777" w:rsidR="006F3A24" w:rsidRDefault="006F3A24" w:rsidP="00D97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653818"/>
      <w:docPartObj>
        <w:docPartGallery w:val="Page Numbers (Bottom of Page)"/>
        <w:docPartUnique/>
      </w:docPartObj>
    </w:sdtPr>
    <w:sdtEndPr/>
    <w:sdtContent>
      <w:p w14:paraId="7C687E85" w14:textId="4E249EC8" w:rsidR="00276C0E" w:rsidRDefault="00276C0E">
        <w:pPr>
          <w:pStyle w:val="Voettekst"/>
          <w:jc w:val="right"/>
        </w:pPr>
        <w:r>
          <w:fldChar w:fldCharType="begin"/>
        </w:r>
        <w:r>
          <w:instrText>PAGE   \* MERGEFORMAT</w:instrText>
        </w:r>
        <w:r>
          <w:fldChar w:fldCharType="separate"/>
        </w:r>
        <w:r>
          <w:t>2</w:t>
        </w:r>
        <w:r>
          <w:fldChar w:fldCharType="end"/>
        </w:r>
      </w:p>
    </w:sdtContent>
  </w:sdt>
  <w:p w14:paraId="206E302D" w14:textId="77777777" w:rsidR="00276C0E" w:rsidRDefault="00276C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D4F2" w14:textId="77777777" w:rsidR="006F3A24" w:rsidRDefault="006F3A24" w:rsidP="00D97818">
      <w:pPr>
        <w:spacing w:line="240" w:lineRule="auto"/>
      </w:pPr>
      <w:r>
        <w:separator/>
      </w:r>
    </w:p>
  </w:footnote>
  <w:footnote w:type="continuationSeparator" w:id="0">
    <w:p w14:paraId="79F7EF9A" w14:textId="77777777" w:rsidR="006F3A24" w:rsidRDefault="006F3A24" w:rsidP="00D97818">
      <w:pPr>
        <w:spacing w:line="240" w:lineRule="auto"/>
      </w:pPr>
      <w:r>
        <w:continuationSeparator/>
      </w:r>
    </w:p>
  </w:footnote>
  <w:footnote w:id="1">
    <w:p w14:paraId="283C84A7" w14:textId="2D365B46" w:rsidR="009F192E" w:rsidRPr="004F4CEA" w:rsidRDefault="009F192E"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p.70</w:t>
      </w:r>
    </w:p>
  </w:footnote>
  <w:footnote w:id="2">
    <w:p w14:paraId="1840CBB7" w14:textId="66161808" w:rsidR="00D12BFB" w:rsidRPr="004F4CEA" w:rsidRDefault="00D12BFB"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w:t>
      </w:r>
      <w:r w:rsidR="00D615E5" w:rsidRPr="004F4CEA">
        <w:rPr>
          <w:sz w:val="14"/>
          <w:szCs w:val="14"/>
          <w:lang w:val="en-US"/>
        </w:rPr>
        <w:t>70</w:t>
      </w:r>
    </w:p>
  </w:footnote>
  <w:footnote w:id="3">
    <w:p w14:paraId="750A6860" w14:textId="0455964A" w:rsidR="009F192E" w:rsidRPr="004F4CEA" w:rsidRDefault="009F192E" w:rsidP="004F4CEA">
      <w:pPr>
        <w:pStyle w:val="Voetnoottekst"/>
        <w:spacing w:line="240" w:lineRule="auto"/>
        <w:rPr>
          <w:sz w:val="14"/>
          <w:szCs w:val="14"/>
          <w:lang w:val="en-US"/>
        </w:rPr>
      </w:pPr>
      <w:r w:rsidRPr="004F4CEA">
        <w:rPr>
          <w:rStyle w:val="Voetnootmarkering"/>
          <w:sz w:val="14"/>
          <w:szCs w:val="14"/>
        </w:rPr>
        <w:footnoteRef/>
      </w:r>
      <w:r w:rsidR="00CE29D6" w:rsidRPr="004F4CEA">
        <w:rPr>
          <w:sz w:val="14"/>
          <w:szCs w:val="14"/>
          <w:lang w:val="en-US"/>
        </w:rPr>
        <w:t xml:space="preserve"> EUAA Country of Origin Information: Security Situation Sudan, </w:t>
      </w:r>
      <w:proofErr w:type="spellStart"/>
      <w:r w:rsidR="00CE29D6" w:rsidRPr="004F4CEA">
        <w:rPr>
          <w:sz w:val="14"/>
          <w:szCs w:val="14"/>
          <w:lang w:val="en-US"/>
        </w:rPr>
        <w:t>februari</w:t>
      </w:r>
      <w:proofErr w:type="spellEnd"/>
      <w:r w:rsidR="00CE29D6" w:rsidRPr="004F4CEA">
        <w:rPr>
          <w:sz w:val="14"/>
          <w:szCs w:val="14"/>
          <w:lang w:val="en-US"/>
        </w:rPr>
        <w:t xml:space="preserve"> 2025, p.72</w:t>
      </w:r>
    </w:p>
  </w:footnote>
  <w:footnote w:id="4">
    <w:p w14:paraId="62FFC634" w14:textId="2C4C7347" w:rsidR="00CE29D6" w:rsidRPr="004F4CEA" w:rsidRDefault="00CE29D6"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p.70</w:t>
      </w:r>
    </w:p>
  </w:footnote>
  <w:footnote w:id="5">
    <w:p w14:paraId="2B820660" w14:textId="77777777" w:rsidR="00D615E5" w:rsidRPr="004F4CEA" w:rsidRDefault="00D615E5"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p.74</w:t>
      </w:r>
    </w:p>
  </w:footnote>
  <w:footnote w:id="6">
    <w:p w14:paraId="309E9373" w14:textId="5592B0C8" w:rsidR="001768F2" w:rsidRPr="004F4CEA" w:rsidRDefault="001768F2"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p.76</w:t>
      </w:r>
    </w:p>
  </w:footnote>
  <w:footnote w:id="7">
    <w:p w14:paraId="4718003E" w14:textId="65E18DB2" w:rsidR="00D615E5" w:rsidRPr="004F4CEA" w:rsidRDefault="00D615E5"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p.73-74</w:t>
      </w:r>
    </w:p>
  </w:footnote>
  <w:footnote w:id="8">
    <w:p w14:paraId="525EC047" w14:textId="77777777" w:rsidR="00281F89" w:rsidRPr="004F4CEA" w:rsidRDefault="00281F89" w:rsidP="004F4CEA">
      <w:pPr>
        <w:pStyle w:val="Voetnoottekst"/>
        <w:spacing w:line="240" w:lineRule="auto"/>
        <w:rPr>
          <w:sz w:val="14"/>
          <w:szCs w:val="14"/>
        </w:rPr>
      </w:pPr>
      <w:r w:rsidRPr="004F4CEA">
        <w:rPr>
          <w:rStyle w:val="Voetnootmarkering"/>
          <w:sz w:val="14"/>
          <w:szCs w:val="14"/>
        </w:rPr>
        <w:footnoteRef/>
      </w:r>
      <w:r w:rsidRPr="004F4CEA">
        <w:rPr>
          <w:sz w:val="14"/>
          <w:szCs w:val="14"/>
        </w:rPr>
        <w:t xml:space="preserve"> NOS, ‘Tientallen burgerdoden gemeld bij inname Sudanese stad door rebellen’, 27 oktober 2025, </w:t>
      </w:r>
      <w:hyperlink r:id="rId1" w:history="1">
        <w:r w:rsidRPr="004F4CEA">
          <w:rPr>
            <w:rStyle w:val="Hyperlink"/>
            <w:sz w:val="14"/>
            <w:szCs w:val="14"/>
          </w:rPr>
          <w:t>Tientallen burgerdoden gemeld bij inname Sudanese stad door rebellen</w:t>
        </w:r>
      </w:hyperlink>
      <w:r w:rsidRPr="004F4CEA">
        <w:rPr>
          <w:sz w:val="14"/>
          <w:szCs w:val="14"/>
        </w:rPr>
        <w:t xml:space="preserve"> </w:t>
      </w:r>
    </w:p>
  </w:footnote>
  <w:footnote w:id="9">
    <w:p w14:paraId="239B675A" w14:textId="69AFF504" w:rsidR="00281F89" w:rsidRPr="004F4CEA" w:rsidRDefault="00281F89" w:rsidP="004F4CEA">
      <w:pPr>
        <w:pStyle w:val="Voetnoottekst"/>
        <w:spacing w:line="240" w:lineRule="auto"/>
        <w:rPr>
          <w:sz w:val="14"/>
          <w:szCs w:val="14"/>
        </w:rPr>
      </w:pPr>
      <w:r w:rsidRPr="004F4CEA">
        <w:rPr>
          <w:rStyle w:val="Voetnootmarkering"/>
          <w:sz w:val="14"/>
          <w:szCs w:val="14"/>
        </w:rPr>
        <w:footnoteRef/>
      </w:r>
      <w:r w:rsidRPr="004F4CEA">
        <w:rPr>
          <w:sz w:val="14"/>
          <w:szCs w:val="14"/>
        </w:rPr>
        <w:t xml:space="preserve"> Algemeen Ambtsbericht Sudan, </w:t>
      </w:r>
      <w:r w:rsidR="00CE49E2" w:rsidRPr="004F4CEA">
        <w:rPr>
          <w:sz w:val="14"/>
          <w:szCs w:val="14"/>
        </w:rPr>
        <w:t>december</w:t>
      </w:r>
      <w:r w:rsidRPr="004F4CEA">
        <w:rPr>
          <w:sz w:val="14"/>
          <w:szCs w:val="14"/>
        </w:rPr>
        <w:t xml:space="preserve"> 2025, p.</w:t>
      </w:r>
      <w:r w:rsidR="003210DC" w:rsidRPr="004F4CEA">
        <w:rPr>
          <w:sz w:val="14"/>
          <w:szCs w:val="14"/>
        </w:rPr>
        <w:t>41</w:t>
      </w:r>
    </w:p>
  </w:footnote>
  <w:footnote w:id="10">
    <w:p w14:paraId="3ABD8F9E" w14:textId="77777777" w:rsidR="00867DE2" w:rsidRPr="004F4CEA" w:rsidRDefault="00867DE2"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p.80</w:t>
      </w:r>
    </w:p>
  </w:footnote>
  <w:footnote w:id="11">
    <w:p w14:paraId="6FA916CA" w14:textId="61FB0EA1" w:rsidR="009569C3" w:rsidRPr="004F4CEA" w:rsidRDefault="009569C3"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p.82</w:t>
      </w:r>
    </w:p>
  </w:footnote>
  <w:footnote w:id="12">
    <w:p w14:paraId="78D1E791" w14:textId="179DAE46" w:rsidR="00202D1A" w:rsidRPr="004F4CEA" w:rsidRDefault="00202D1A"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p.86</w:t>
      </w:r>
    </w:p>
  </w:footnote>
  <w:footnote w:id="13">
    <w:p w14:paraId="2CDB4219" w14:textId="78C1CF86" w:rsidR="00147976" w:rsidRPr="004F4CEA" w:rsidRDefault="00147976" w:rsidP="004F4CEA">
      <w:pPr>
        <w:pStyle w:val="Voetnoottekst"/>
        <w:spacing w:line="240" w:lineRule="auto"/>
        <w:rPr>
          <w:sz w:val="14"/>
          <w:szCs w:val="14"/>
        </w:rPr>
      </w:pPr>
      <w:r w:rsidRPr="004F4CEA">
        <w:rPr>
          <w:rStyle w:val="Voetnootmarkering"/>
          <w:sz w:val="14"/>
          <w:szCs w:val="14"/>
        </w:rPr>
        <w:footnoteRef/>
      </w:r>
      <w:r w:rsidRPr="004F4CEA">
        <w:rPr>
          <w:sz w:val="14"/>
          <w:szCs w:val="14"/>
        </w:rPr>
        <w:t xml:space="preserve"> De SPLM-N (</w:t>
      </w:r>
      <w:proofErr w:type="spellStart"/>
      <w:r w:rsidRPr="004F4CEA">
        <w:rPr>
          <w:sz w:val="14"/>
          <w:szCs w:val="14"/>
        </w:rPr>
        <w:t>Sudan’s</w:t>
      </w:r>
      <w:proofErr w:type="spellEnd"/>
      <w:r w:rsidRPr="004F4CEA">
        <w:rPr>
          <w:sz w:val="14"/>
          <w:szCs w:val="14"/>
        </w:rPr>
        <w:t xml:space="preserve"> People </w:t>
      </w:r>
      <w:proofErr w:type="spellStart"/>
      <w:r w:rsidRPr="004F4CEA">
        <w:rPr>
          <w:sz w:val="14"/>
          <w:szCs w:val="14"/>
        </w:rPr>
        <w:t>Liberation</w:t>
      </w:r>
      <w:proofErr w:type="spellEnd"/>
      <w:r w:rsidRPr="004F4CEA">
        <w:rPr>
          <w:sz w:val="14"/>
          <w:szCs w:val="14"/>
        </w:rPr>
        <w:t xml:space="preserve"> </w:t>
      </w:r>
      <w:proofErr w:type="spellStart"/>
      <w:r w:rsidRPr="004F4CEA">
        <w:rPr>
          <w:sz w:val="14"/>
          <w:szCs w:val="14"/>
        </w:rPr>
        <w:t>Movement</w:t>
      </w:r>
      <w:proofErr w:type="spellEnd"/>
      <w:r w:rsidRPr="004F4CEA">
        <w:rPr>
          <w:sz w:val="14"/>
          <w:szCs w:val="14"/>
        </w:rPr>
        <w:t xml:space="preserve"> – North) streeft naar eigen zeggen naar een seculiere en democratische staat en is actief in o.a. Zuid-</w:t>
      </w:r>
      <w:proofErr w:type="spellStart"/>
      <w:r w:rsidRPr="004F4CEA">
        <w:rPr>
          <w:sz w:val="14"/>
          <w:szCs w:val="14"/>
        </w:rPr>
        <w:t>Kordofan</w:t>
      </w:r>
      <w:proofErr w:type="spellEnd"/>
      <w:r w:rsidRPr="004F4CEA">
        <w:rPr>
          <w:sz w:val="14"/>
          <w:szCs w:val="14"/>
        </w:rPr>
        <w:t>. De SPLM-N streed</w:t>
      </w:r>
      <w:r w:rsidR="001038CF" w:rsidRPr="004F4CEA">
        <w:rPr>
          <w:sz w:val="14"/>
          <w:szCs w:val="14"/>
        </w:rPr>
        <w:t xml:space="preserve"> en strijdt</w:t>
      </w:r>
      <w:r w:rsidRPr="004F4CEA">
        <w:rPr>
          <w:sz w:val="14"/>
          <w:szCs w:val="14"/>
        </w:rPr>
        <w:t xml:space="preserve"> in beginsel tegen de SAF. De factie Al </w:t>
      </w:r>
      <w:proofErr w:type="spellStart"/>
      <w:r w:rsidRPr="004F4CEA">
        <w:rPr>
          <w:sz w:val="14"/>
          <w:szCs w:val="14"/>
        </w:rPr>
        <w:t>Hilu</w:t>
      </w:r>
      <w:proofErr w:type="spellEnd"/>
      <w:r w:rsidRPr="004F4CEA">
        <w:rPr>
          <w:sz w:val="14"/>
          <w:szCs w:val="14"/>
        </w:rPr>
        <w:t xml:space="preserve"> is actief in het </w:t>
      </w:r>
      <w:proofErr w:type="spellStart"/>
      <w:r w:rsidRPr="004F4CEA">
        <w:rPr>
          <w:sz w:val="14"/>
          <w:szCs w:val="14"/>
        </w:rPr>
        <w:t>Nuba</w:t>
      </w:r>
      <w:proofErr w:type="spellEnd"/>
      <w:r w:rsidRPr="004F4CEA">
        <w:rPr>
          <w:sz w:val="14"/>
          <w:szCs w:val="14"/>
        </w:rPr>
        <w:t>-gebergte in Zuid-</w:t>
      </w:r>
      <w:proofErr w:type="spellStart"/>
      <w:r w:rsidRPr="004F4CEA">
        <w:rPr>
          <w:sz w:val="14"/>
          <w:szCs w:val="14"/>
        </w:rPr>
        <w:t>Kordofan</w:t>
      </w:r>
      <w:proofErr w:type="spellEnd"/>
      <w:r w:rsidR="00734164" w:rsidRPr="004F4CEA">
        <w:rPr>
          <w:sz w:val="14"/>
          <w:szCs w:val="14"/>
        </w:rPr>
        <w:t>.</w:t>
      </w:r>
    </w:p>
  </w:footnote>
  <w:footnote w:id="14">
    <w:p w14:paraId="18556C63" w14:textId="38533A93" w:rsidR="00845A8D" w:rsidRPr="004F4CEA" w:rsidRDefault="00845A8D"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p.91, p.93</w:t>
      </w:r>
    </w:p>
  </w:footnote>
  <w:footnote w:id="15">
    <w:p w14:paraId="3C81D4A2" w14:textId="0C918A44" w:rsidR="00B35014" w:rsidRPr="004F4CEA" w:rsidRDefault="00B35014"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p.91</w:t>
      </w:r>
    </w:p>
  </w:footnote>
  <w:footnote w:id="16">
    <w:p w14:paraId="6438AD37" w14:textId="296E8D0D" w:rsidR="00845A8D" w:rsidRPr="004F4CEA" w:rsidRDefault="00845A8D"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p.94</w:t>
      </w:r>
    </w:p>
  </w:footnote>
  <w:footnote w:id="17">
    <w:p w14:paraId="78FFCC89" w14:textId="249C63DB" w:rsidR="00AD117B" w:rsidRPr="004F4CEA" w:rsidRDefault="00AD117B"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p.96</w:t>
      </w:r>
    </w:p>
  </w:footnote>
  <w:footnote w:id="18">
    <w:p w14:paraId="29884459" w14:textId="1CE2E8B1" w:rsidR="00AD117B" w:rsidRPr="004F4CEA" w:rsidRDefault="00AD117B"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p.99</w:t>
      </w:r>
    </w:p>
  </w:footnote>
  <w:footnote w:id="19">
    <w:p w14:paraId="3B6A3B50" w14:textId="3BB5C403" w:rsidR="009D4984" w:rsidRPr="004F4CEA" w:rsidRDefault="009D4984"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p.102</w:t>
      </w:r>
    </w:p>
  </w:footnote>
  <w:footnote w:id="20">
    <w:p w14:paraId="39B76F6E" w14:textId="63170CBA" w:rsidR="00B61973" w:rsidRPr="004F4CEA" w:rsidRDefault="00B61973"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p.103</w:t>
      </w:r>
    </w:p>
  </w:footnote>
  <w:footnote w:id="21">
    <w:p w14:paraId="12D3E284" w14:textId="77777777" w:rsidR="00E62C4E" w:rsidRPr="004F4CEA" w:rsidRDefault="00E62C4E"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p.101</w:t>
      </w:r>
    </w:p>
  </w:footnote>
  <w:footnote w:id="22">
    <w:p w14:paraId="7E3922BA" w14:textId="77777777" w:rsidR="00647FAD" w:rsidRPr="004F4CEA" w:rsidRDefault="00647FAD"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p.97</w:t>
      </w:r>
    </w:p>
  </w:footnote>
  <w:footnote w:id="23">
    <w:p w14:paraId="01BE6A6A" w14:textId="77777777" w:rsidR="00647FAD" w:rsidRPr="004F4CEA" w:rsidRDefault="00647FAD"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p.102</w:t>
      </w:r>
    </w:p>
  </w:footnote>
  <w:footnote w:id="24">
    <w:p w14:paraId="4880052B" w14:textId="640C69DC" w:rsidR="00E479E8" w:rsidRPr="00E479E8" w:rsidRDefault="00E479E8">
      <w:pPr>
        <w:pStyle w:val="Voetnoottekst"/>
        <w:rPr>
          <w:lang w:val="en-US"/>
        </w:rPr>
      </w:pPr>
      <w:r>
        <w:rPr>
          <w:rStyle w:val="Voetnootmarkering"/>
        </w:rPr>
        <w:footnoteRef/>
      </w:r>
      <w:r w:rsidRPr="00E479E8">
        <w:rPr>
          <w:lang w:val="en-US"/>
        </w:rPr>
        <w:t xml:space="preserve"> </w:t>
      </w:r>
      <w:r>
        <w:rPr>
          <w:lang w:val="en-US"/>
        </w:rPr>
        <w:t xml:space="preserve">ACLED, “Blue Nile: From peripheral front to central battleground in the Sudan conflict”, 26 </w:t>
      </w:r>
      <w:proofErr w:type="spellStart"/>
      <w:r>
        <w:rPr>
          <w:lang w:val="en-US"/>
        </w:rPr>
        <w:t>januari</w:t>
      </w:r>
      <w:proofErr w:type="spellEnd"/>
      <w:r>
        <w:rPr>
          <w:lang w:val="en-US"/>
        </w:rPr>
        <w:t xml:space="preserve"> 2026, </w:t>
      </w:r>
      <w:r>
        <w:fldChar w:fldCharType="begin"/>
      </w:r>
      <w:r w:rsidRPr="00290188">
        <w:rPr>
          <w:lang w:val="en-US"/>
        </w:rPr>
        <w:instrText>HYPERLINK "https://acleddata.com/report/blue-nile-peripheral-front-central-battleground-sudan-conflict"</w:instrText>
      </w:r>
      <w:r>
        <w:fldChar w:fldCharType="separate"/>
      </w:r>
      <w:r w:rsidRPr="00E479E8">
        <w:rPr>
          <w:rStyle w:val="Hyperlink"/>
          <w:lang w:val="en-US"/>
        </w:rPr>
        <w:t>Blue Nile: From peripheral front to central battleground in the Sudan conflict | ACLED</w:t>
      </w:r>
      <w:r>
        <w:fldChar w:fldCharType="end"/>
      </w:r>
    </w:p>
  </w:footnote>
  <w:footnote w:id="25">
    <w:p w14:paraId="70FD290F" w14:textId="77777777" w:rsidR="0050058C" w:rsidRPr="00E479E8" w:rsidRDefault="0050058C" w:rsidP="0050058C">
      <w:pPr>
        <w:pStyle w:val="Voetnoottekst"/>
        <w:rPr>
          <w:lang w:val="en-US"/>
        </w:rPr>
      </w:pPr>
      <w:r>
        <w:rPr>
          <w:rStyle w:val="Voetnootmarkering"/>
        </w:rPr>
        <w:footnoteRef/>
      </w:r>
      <w:r w:rsidRPr="00E479E8">
        <w:rPr>
          <w:lang w:val="en-US"/>
        </w:rPr>
        <w:t xml:space="preserve"> </w:t>
      </w:r>
      <w:r>
        <w:rPr>
          <w:lang w:val="en-US"/>
        </w:rPr>
        <w:t xml:space="preserve">ACLED, “Blue Nile: From peripheral front to central battleground in the Sudan conflict”, 26 </w:t>
      </w:r>
      <w:proofErr w:type="spellStart"/>
      <w:r>
        <w:rPr>
          <w:lang w:val="en-US"/>
        </w:rPr>
        <w:t>januari</w:t>
      </w:r>
      <w:proofErr w:type="spellEnd"/>
      <w:r>
        <w:rPr>
          <w:lang w:val="en-US"/>
        </w:rPr>
        <w:t xml:space="preserve"> 2026, </w:t>
      </w:r>
      <w:r>
        <w:fldChar w:fldCharType="begin"/>
      </w:r>
      <w:r w:rsidRPr="00290188">
        <w:rPr>
          <w:lang w:val="en-US"/>
        </w:rPr>
        <w:instrText>HYPERLINK "https://acleddata.com/report/blue-nile-peripheral-front-central-battleground-sudan-conflict"</w:instrText>
      </w:r>
      <w:r>
        <w:fldChar w:fldCharType="separate"/>
      </w:r>
      <w:r w:rsidRPr="00E479E8">
        <w:rPr>
          <w:rStyle w:val="Hyperlink"/>
          <w:lang w:val="en-US"/>
        </w:rPr>
        <w:t>Blue Nile: From peripheral front to central battleground in the Sudan conflict | ACLED</w:t>
      </w:r>
      <w:r>
        <w:fldChar w:fldCharType="end"/>
      </w:r>
    </w:p>
  </w:footnote>
  <w:footnote w:id="26">
    <w:p w14:paraId="186564AB" w14:textId="77777777" w:rsidR="00095B3A" w:rsidRPr="004F4CEA" w:rsidRDefault="00095B3A"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p.104</w:t>
      </w:r>
    </w:p>
  </w:footnote>
  <w:footnote w:id="27">
    <w:p w14:paraId="57EA8F85" w14:textId="77777777" w:rsidR="00095B3A" w:rsidRPr="004F4CEA" w:rsidRDefault="00095B3A"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 109</w:t>
      </w:r>
    </w:p>
  </w:footnote>
  <w:footnote w:id="28">
    <w:p w14:paraId="70037A32" w14:textId="77777777" w:rsidR="00A21A21" w:rsidRPr="004F4CEA" w:rsidRDefault="00A21A21"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p.36-37</w:t>
      </w:r>
    </w:p>
  </w:footnote>
  <w:footnote w:id="29">
    <w:p w14:paraId="32A8C276" w14:textId="77777777" w:rsidR="00A21A21" w:rsidRPr="004F4CEA" w:rsidRDefault="00A21A21"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p.36-37</w:t>
      </w:r>
    </w:p>
  </w:footnote>
  <w:footnote w:id="30">
    <w:p w14:paraId="0F3909D4" w14:textId="77777777" w:rsidR="00A21A21" w:rsidRPr="004F4CEA" w:rsidRDefault="00A21A21"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p.114</w:t>
      </w:r>
    </w:p>
  </w:footnote>
  <w:footnote w:id="31">
    <w:p w14:paraId="3BB530E8" w14:textId="77777777" w:rsidR="00A21A21" w:rsidRPr="004F4CEA" w:rsidRDefault="00A21A21"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p.113</w:t>
      </w:r>
    </w:p>
  </w:footnote>
  <w:footnote w:id="32">
    <w:p w14:paraId="6C10C13E" w14:textId="77777777" w:rsidR="00A21A21" w:rsidRPr="004F4CEA" w:rsidRDefault="00A21A21" w:rsidP="004F4CEA">
      <w:pPr>
        <w:pStyle w:val="Voetnoottekst"/>
        <w:spacing w:line="240" w:lineRule="auto"/>
        <w:rPr>
          <w:sz w:val="14"/>
          <w:szCs w:val="14"/>
          <w:lang w:val="en-US"/>
        </w:rPr>
      </w:pPr>
      <w:r w:rsidRPr="004F4CEA">
        <w:rPr>
          <w:rStyle w:val="Voetnootmarkering"/>
          <w:sz w:val="14"/>
          <w:szCs w:val="14"/>
        </w:rPr>
        <w:footnoteRef/>
      </w:r>
      <w:r w:rsidRPr="004F4CEA">
        <w:rPr>
          <w:sz w:val="14"/>
          <w:szCs w:val="14"/>
          <w:lang w:val="en-US"/>
        </w:rPr>
        <w:t xml:space="preserve"> EUAA Country of Origin Information: Security Situation Sudan, </w:t>
      </w:r>
      <w:proofErr w:type="spellStart"/>
      <w:r w:rsidRPr="004F4CEA">
        <w:rPr>
          <w:sz w:val="14"/>
          <w:szCs w:val="14"/>
          <w:lang w:val="en-US"/>
        </w:rPr>
        <w:t>februari</w:t>
      </w:r>
      <w:proofErr w:type="spellEnd"/>
      <w:r w:rsidRPr="004F4CEA">
        <w:rPr>
          <w:sz w:val="14"/>
          <w:szCs w:val="14"/>
          <w:lang w:val="en-US"/>
        </w:rPr>
        <w:t xml:space="preserve"> 2025, p.115, p. 118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034"/>
    <w:multiLevelType w:val="hybridMultilevel"/>
    <w:tmpl w:val="DE200724"/>
    <w:lvl w:ilvl="0" w:tplc="04130001">
      <w:start w:val="1"/>
      <w:numFmt w:val="bullet"/>
      <w:lvlText w:val=""/>
      <w:lvlJc w:val="left"/>
      <w:pPr>
        <w:ind w:left="720" w:hanging="360"/>
      </w:pPr>
      <w:rPr>
        <w:rFonts w:ascii="Symbol" w:hAnsi="Symbol" w:hint="default"/>
        <w:u w:val="non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667E9A"/>
    <w:multiLevelType w:val="hybridMultilevel"/>
    <w:tmpl w:val="A6FCBAC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05415C5"/>
    <w:multiLevelType w:val="hybridMultilevel"/>
    <w:tmpl w:val="896A10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1DA0334"/>
    <w:multiLevelType w:val="hybridMultilevel"/>
    <w:tmpl w:val="19A4EAA0"/>
    <w:lvl w:ilvl="0" w:tplc="790A190A">
      <w:start w:val="1"/>
      <w:numFmt w:val="decimal"/>
      <w:lvlText w:val="%1)"/>
      <w:lvlJc w:val="left"/>
      <w:pPr>
        <w:ind w:left="1140" w:hanging="360"/>
      </w:pPr>
    </w:lvl>
    <w:lvl w:ilvl="1" w:tplc="EF40EA42">
      <w:start w:val="1"/>
      <w:numFmt w:val="decimal"/>
      <w:lvlText w:val="%2)"/>
      <w:lvlJc w:val="left"/>
      <w:pPr>
        <w:ind w:left="1140" w:hanging="360"/>
      </w:pPr>
    </w:lvl>
    <w:lvl w:ilvl="2" w:tplc="A41AF3A0">
      <w:start w:val="1"/>
      <w:numFmt w:val="decimal"/>
      <w:lvlText w:val="%3)"/>
      <w:lvlJc w:val="left"/>
      <w:pPr>
        <w:ind w:left="1140" w:hanging="360"/>
      </w:pPr>
    </w:lvl>
    <w:lvl w:ilvl="3" w:tplc="EC60E70E">
      <w:start w:val="1"/>
      <w:numFmt w:val="decimal"/>
      <w:lvlText w:val="%4)"/>
      <w:lvlJc w:val="left"/>
      <w:pPr>
        <w:ind w:left="1140" w:hanging="360"/>
      </w:pPr>
    </w:lvl>
    <w:lvl w:ilvl="4" w:tplc="CC161E42">
      <w:start w:val="1"/>
      <w:numFmt w:val="decimal"/>
      <w:lvlText w:val="%5)"/>
      <w:lvlJc w:val="left"/>
      <w:pPr>
        <w:ind w:left="1140" w:hanging="360"/>
      </w:pPr>
    </w:lvl>
    <w:lvl w:ilvl="5" w:tplc="149A9D3C">
      <w:start w:val="1"/>
      <w:numFmt w:val="decimal"/>
      <w:lvlText w:val="%6)"/>
      <w:lvlJc w:val="left"/>
      <w:pPr>
        <w:ind w:left="1140" w:hanging="360"/>
      </w:pPr>
    </w:lvl>
    <w:lvl w:ilvl="6" w:tplc="7318D3DC">
      <w:start w:val="1"/>
      <w:numFmt w:val="decimal"/>
      <w:lvlText w:val="%7)"/>
      <w:lvlJc w:val="left"/>
      <w:pPr>
        <w:ind w:left="1140" w:hanging="360"/>
      </w:pPr>
    </w:lvl>
    <w:lvl w:ilvl="7" w:tplc="3D9023EC">
      <w:start w:val="1"/>
      <w:numFmt w:val="decimal"/>
      <w:lvlText w:val="%8)"/>
      <w:lvlJc w:val="left"/>
      <w:pPr>
        <w:ind w:left="1140" w:hanging="360"/>
      </w:pPr>
    </w:lvl>
    <w:lvl w:ilvl="8" w:tplc="9F7854E6">
      <w:start w:val="1"/>
      <w:numFmt w:val="decimal"/>
      <w:lvlText w:val="%9)"/>
      <w:lvlJc w:val="left"/>
      <w:pPr>
        <w:ind w:left="1140" w:hanging="360"/>
      </w:pPr>
    </w:lvl>
  </w:abstractNum>
  <w:abstractNum w:abstractNumId="4" w15:restartNumberingAfterBreak="0">
    <w:nsid w:val="68CB03FD"/>
    <w:multiLevelType w:val="hybridMultilevel"/>
    <w:tmpl w:val="502E6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9250F1E"/>
    <w:multiLevelType w:val="hybridMultilevel"/>
    <w:tmpl w:val="59129E5C"/>
    <w:lvl w:ilvl="0" w:tplc="BED0B6D8">
      <w:start w:val="1"/>
      <w:numFmt w:val="decimal"/>
      <w:lvlText w:val="%1)"/>
      <w:lvlJc w:val="left"/>
      <w:pPr>
        <w:ind w:left="1140" w:hanging="360"/>
      </w:pPr>
    </w:lvl>
    <w:lvl w:ilvl="1" w:tplc="16C6FE6A">
      <w:start w:val="1"/>
      <w:numFmt w:val="decimal"/>
      <w:lvlText w:val="%2)"/>
      <w:lvlJc w:val="left"/>
      <w:pPr>
        <w:ind w:left="1140" w:hanging="360"/>
      </w:pPr>
    </w:lvl>
    <w:lvl w:ilvl="2" w:tplc="F34EA9DE">
      <w:start w:val="1"/>
      <w:numFmt w:val="decimal"/>
      <w:lvlText w:val="%3)"/>
      <w:lvlJc w:val="left"/>
      <w:pPr>
        <w:ind w:left="1140" w:hanging="360"/>
      </w:pPr>
    </w:lvl>
    <w:lvl w:ilvl="3" w:tplc="45008CC2">
      <w:start w:val="1"/>
      <w:numFmt w:val="decimal"/>
      <w:lvlText w:val="%4)"/>
      <w:lvlJc w:val="left"/>
      <w:pPr>
        <w:ind w:left="1140" w:hanging="360"/>
      </w:pPr>
    </w:lvl>
    <w:lvl w:ilvl="4" w:tplc="7C880616">
      <w:start w:val="1"/>
      <w:numFmt w:val="decimal"/>
      <w:lvlText w:val="%5)"/>
      <w:lvlJc w:val="left"/>
      <w:pPr>
        <w:ind w:left="1140" w:hanging="360"/>
      </w:pPr>
    </w:lvl>
    <w:lvl w:ilvl="5" w:tplc="F45C30EC">
      <w:start w:val="1"/>
      <w:numFmt w:val="decimal"/>
      <w:lvlText w:val="%6)"/>
      <w:lvlJc w:val="left"/>
      <w:pPr>
        <w:ind w:left="1140" w:hanging="360"/>
      </w:pPr>
    </w:lvl>
    <w:lvl w:ilvl="6" w:tplc="5EBCD4A4">
      <w:start w:val="1"/>
      <w:numFmt w:val="decimal"/>
      <w:lvlText w:val="%7)"/>
      <w:lvlJc w:val="left"/>
      <w:pPr>
        <w:ind w:left="1140" w:hanging="360"/>
      </w:pPr>
    </w:lvl>
    <w:lvl w:ilvl="7" w:tplc="4F7E1DAC">
      <w:start w:val="1"/>
      <w:numFmt w:val="decimal"/>
      <w:lvlText w:val="%8)"/>
      <w:lvlJc w:val="left"/>
      <w:pPr>
        <w:ind w:left="1140" w:hanging="360"/>
      </w:pPr>
    </w:lvl>
    <w:lvl w:ilvl="8" w:tplc="DAE416EA">
      <w:start w:val="1"/>
      <w:numFmt w:val="decimal"/>
      <w:lvlText w:val="%9)"/>
      <w:lvlJc w:val="left"/>
      <w:pPr>
        <w:ind w:left="1140" w:hanging="360"/>
      </w:pPr>
    </w:lvl>
  </w:abstractNum>
  <w:num w:numId="1" w16cid:durableId="767887573">
    <w:abstractNumId w:val="0"/>
  </w:num>
  <w:num w:numId="2" w16cid:durableId="345209444">
    <w:abstractNumId w:val="1"/>
  </w:num>
  <w:num w:numId="3" w16cid:durableId="824859325">
    <w:abstractNumId w:val="2"/>
  </w:num>
  <w:num w:numId="4" w16cid:durableId="2122258887">
    <w:abstractNumId w:val="4"/>
  </w:num>
  <w:num w:numId="5" w16cid:durableId="813254057">
    <w:abstractNumId w:val="3"/>
  </w:num>
  <w:num w:numId="6" w16cid:durableId="1062948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18"/>
    <w:rsid w:val="000048D6"/>
    <w:rsid w:val="00006BA1"/>
    <w:rsid w:val="000230EF"/>
    <w:rsid w:val="00023716"/>
    <w:rsid w:val="00040890"/>
    <w:rsid w:val="0004382A"/>
    <w:rsid w:val="00044EFC"/>
    <w:rsid w:val="000735A1"/>
    <w:rsid w:val="000768F3"/>
    <w:rsid w:val="00083738"/>
    <w:rsid w:val="00095B3A"/>
    <w:rsid w:val="0009642F"/>
    <w:rsid w:val="000B2808"/>
    <w:rsid w:val="000B36A7"/>
    <w:rsid w:val="000B4314"/>
    <w:rsid w:val="000B7E29"/>
    <w:rsid w:val="000D06D7"/>
    <w:rsid w:val="000D64BF"/>
    <w:rsid w:val="000E2FC9"/>
    <w:rsid w:val="000E59EA"/>
    <w:rsid w:val="001038CF"/>
    <w:rsid w:val="001125E8"/>
    <w:rsid w:val="00113381"/>
    <w:rsid w:val="00122E09"/>
    <w:rsid w:val="001244B5"/>
    <w:rsid w:val="0012651E"/>
    <w:rsid w:val="0013472A"/>
    <w:rsid w:val="00140B43"/>
    <w:rsid w:val="00141354"/>
    <w:rsid w:val="00147976"/>
    <w:rsid w:val="00156CE3"/>
    <w:rsid w:val="001610A1"/>
    <w:rsid w:val="001768F2"/>
    <w:rsid w:val="00177F69"/>
    <w:rsid w:val="00180861"/>
    <w:rsid w:val="0018590F"/>
    <w:rsid w:val="00186A4B"/>
    <w:rsid w:val="0019450A"/>
    <w:rsid w:val="001C33A6"/>
    <w:rsid w:val="001D0DC1"/>
    <w:rsid w:val="001E0A7B"/>
    <w:rsid w:val="001E302F"/>
    <w:rsid w:val="001E61A6"/>
    <w:rsid w:val="001E6A24"/>
    <w:rsid w:val="001F1D96"/>
    <w:rsid w:val="001F6305"/>
    <w:rsid w:val="002028C8"/>
    <w:rsid w:val="00202D1A"/>
    <w:rsid w:val="00211E10"/>
    <w:rsid w:val="00220875"/>
    <w:rsid w:val="00221C1D"/>
    <w:rsid w:val="00225E3B"/>
    <w:rsid w:val="00231852"/>
    <w:rsid w:val="00246A40"/>
    <w:rsid w:val="0026066E"/>
    <w:rsid w:val="002627F5"/>
    <w:rsid w:val="00276C0E"/>
    <w:rsid w:val="00281F89"/>
    <w:rsid w:val="00290188"/>
    <w:rsid w:val="002A43AE"/>
    <w:rsid w:val="002B5800"/>
    <w:rsid w:val="002C252A"/>
    <w:rsid w:val="002C2577"/>
    <w:rsid w:val="002C4861"/>
    <w:rsid w:val="002D0CCD"/>
    <w:rsid w:val="002D4F4F"/>
    <w:rsid w:val="002E07FB"/>
    <w:rsid w:val="002E1A07"/>
    <w:rsid w:val="002F0B28"/>
    <w:rsid w:val="0031461A"/>
    <w:rsid w:val="003167C5"/>
    <w:rsid w:val="00316EAD"/>
    <w:rsid w:val="003210DC"/>
    <w:rsid w:val="0033302D"/>
    <w:rsid w:val="00351671"/>
    <w:rsid w:val="00356A86"/>
    <w:rsid w:val="00364E44"/>
    <w:rsid w:val="00365777"/>
    <w:rsid w:val="003843BD"/>
    <w:rsid w:val="00385BF6"/>
    <w:rsid w:val="00391025"/>
    <w:rsid w:val="00395812"/>
    <w:rsid w:val="003A3457"/>
    <w:rsid w:val="003A4882"/>
    <w:rsid w:val="003B1C5A"/>
    <w:rsid w:val="003C210D"/>
    <w:rsid w:val="003C43A1"/>
    <w:rsid w:val="003E037C"/>
    <w:rsid w:val="003E45F9"/>
    <w:rsid w:val="003E5FEA"/>
    <w:rsid w:val="00403CED"/>
    <w:rsid w:val="004129DB"/>
    <w:rsid w:val="004352FB"/>
    <w:rsid w:val="00464959"/>
    <w:rsid w:val="00475638"/>
    <w:rsid w:val="00482D33"/>
    <w:rsid w:val="004B2C9F"/>
    <w:rsid w:val="004C188E"/>
    <w:rsid w:val="004C6988"/>
    <w:rsid w:val="004E5E9A"/>
    <w:rsid w:val="004F4CEA"/>
    <w:rsid w:val="0050058C"/>
    <w:rsid w:val="00502C81"/>
    <w:rsid w:val="00504F45"/>
    <w:rsid w:val="005067F0"/>
    <w:rsid w:val="00513AB2"/>
    <w:rsid w:val="0052318E"/>
    <w:rsid w:val="00533F09"/>
    <w:rsid w:val="005436E3"/>
    <w:rsid w:val="00543C97"/>
    <w:rsid w:val="00562A30"/>
    <w:rsid w:val="00584F5D"/>
    <w:rsid w:val="00587FCC"/>
    <w:rsid w:val="00590619"/>
    <w:rsid w:val="005B37F5"/>
    <w:rsid w:val="005B462A"/>
    <w:rsid w:val="005E4C16"/>
    <w:rsid w:val="005F3A64"/>
    <w:rsid w:val="005F5114"/>
    <w:rsid w:val="00601439"/>
    <w:rsid w:val="006105AA"/>
    <w:rsid w:val="00625948"/>
    <w:rsid w:val="00627C1E"/>
    <w:rsid w:val="00644145"/>
    <w:rsid w:val="00646E85"/>
    <w:rsid w:val="006471B5"/>
    <w:rsid w:val="00647FAD"/>
    <w:rsid w:val="00652249"/>
    <w:rsid w:val="00661B60"/>
    <w:rsid w:val="006721AB"/>
    <w:rsid w:val="00682193"/>
    <w:rsid w:val="006852D0"/>
    <w:rsid w:val="00687F6F"/>
    <w:rsid w:val="0069058E"/>
    <w:rsid w:val="00690C9F"/>
    <w:rsid w:val="0069434F"/>
    <w:rsid w:val="006B4EB8"/>
    <w:rsid w:val="006B64C8"/>
    <w:rsid w:val="006C2BC6"/>
    <w:rsid w:val="006C5A7C"/>
    <w:rsid w:val="006F3A24"/>
    <w:rsid w:val="00701653"/>
    <w:rsid w:val="007045E2"/>
    <w:rsid w:val="007101C1"/>
    <w:rsid w:val="00712030"/>
    <w:rsid w:val="00734164"/>
    <w:rsid w:val="00735748"/>
    <w:rsid w:val="007443D2"/>
    <w:rsid w:val="0075159F"/>
    <w:rsid w:val="007608C6"/>
    <w:rsid w:val="007712DC"/>
    <w:rsid w:val="00772334"/>
    <w:rsid w:val="00774064"/>
    <w:rsid w:val="00784D8A"/>
    <w:rsid w:val="0078718C"/>
    <w:rsid w:val="00794C85"/>
    <w:rsid w:val="007A1EC5"/>
    <w:rsid w:val="007D0F0C"/>
    <w:rsid w:val="007E22B5"/>
    <w:rsid w:val="007E27A0"/>
    <w:rsid w:val="007E2D74"/>
    <w:rsid w:val="007F2CA0"/>
    <w:rsid w:val="007F3677"/>
    <w:rsid w:val="00802BA7"/>
    <w:rsid w:val="008256DF"/>
    <w:rsid w:val="00832221"/>
    <w:rsid w:val="00836371"/>
    <w:rsid w:val="00844AC6"/>
    <w:rsid w:val="00845A8D"/>
    <w:rsid w:val="008512B4"/>
    <w:rsid w:val="00862572"/>
    <w:rsid w:val="00867DE2"/>
    <w:rsid w:val="008777FF"/>
    <w:rsid w:val="008911E7"/>
    <w:rsid w:val="00896F7D"/>
    <w:rsid w:val="008978D3"/>
    <w:rsid w:val="00897B4F"/>
    <w:rsid w:val="008A6145"/>
    <w:rsid w:val="008B4577"/>
    <w:rsid w:val="008B6613"/>
    <w:rsid w:val="008C13F5"/>
    <w:rsid w:val="008C6682"/>
    <w:rsid w:val="008E504A"/>
    <w:rsid w:val="008E75AB"/>
    <w:rsid w:val="00917FD9"/>
    <w:rsid w:val="00954AAB"/>
    <w:rsid w:val="009569C3"/>
    <w:rsid w:val="00974AA9"/>
    <w:rsid w:val="0098232E"/>
    <w:rsid w:val="009B030A"/>
    <w:rsid w:val="009C7070"/>
    <w:rsid w:val="009D4984"/>
    <w:rsid w:val="009F192E"/>
    <w:rsid w:val="00A002C0"/>
    <w:rsid w:val="00A04926"/>
    <w:rsid w:val="00A21A21"/>
    <w:rsid w:val="00A23577"/>
    <w:rsid w:val="00A33FBB"/>
    <w:rsid w:val="00A362BE"/>
    <w:rsid w:val="00A4444E"/>
    <w:rsid w:val="00A4517F"/>
    <w:rsid w:val="00A62ABE"/>
    <w:rsid w:val="00A70668"/>
    <w:rsid w:val="00A74946"/>
    <w:rsid w:val="00A81462"/>
    <w:rsid w:val="00A92F05"/>
    <w:rsid w:val="00AB4430"/>
    <w:rsid w:val="00AC3438"/>
    <w:rsid w:val="00AD117B"/>
    <w:rsid w:val="00AE5303"/>
    <w:rsid w:val="00AE783C"/>
    <w:rsid w:val="00AF0B54"/>
    <w:rsid w:val="00B05F3E"/>
    <w:rsid w:val="00B06701"/>
    <w:rsid w:val="00B20D25"/>
    <w:rsid w:val="00B23B39"/>
    <w:rsid w:val="00B24D09"/>
    <w:rsid w:val="00B331B4"/>
    <w:rsid w:val="00B35014"/>
    <w:rsid w:val="00B37083"/>
    <w:rsid w:val="00B42C19"/>
    <w:rsid w:val="00B51628"/>
    <w:rsid w:val="00B54ED8"/>
    <w:rsid w:val="00B61973"/>
    <w:rsid w:val="00B73F69"/>
    <w:rsid w:val="00B7452A"/>
    <w:rsid w:val="00B85846"/>
    <w:rsid w:val="00B95D10"/>
    <w:rsid w:val="00BB05B1"/>
    <w:rsid w:val="00BC077D"/>
    <w:rsid w:val="00BC4695"/>
    <w:rsid w:val="00BC769F"/>
    <w:rsid w:val="00BD49F5"/>
    <w:rsid w:val="00BE2A16"/>
    <w:rsid w:val="00BE3978"/>
    <w:rsid w:val="00BE7BD9"/>
    <w:rsid w:val="00C12F2B"/>
    <w:rsid w:val="00C203CE"/>
    <w:rsid w:val="00C361DC"/>
    <w:rsid w:val="00C42E38"/>
    <w:rsid w:val="00C454BB"/>
    <w:rsid w:val="00C5139F"/>
    <w:rsid w:val="00C746AF"/>
    <w:rsid w:val="00C93CE9"/>
    <w:rsid w:val="00C95930"/>
    <w:rsid w:val="00CA2E31"/>
    <w:rsid w:val="00CC7C08"/>
    <w:rsid w:val="00CD29A6"/>
    <w:rsid w:val="00CD4F52"/>
    <w:rsid w:val="00CE0EB5"/>
    <w:rsid w:val="00CE29D6"/>
    <w:rsid w:val="00CE3B88"/>
    <w:rsid w:val="00CE49E2"/>
    <w:rsid w:val="00CF644C"/>
    <w:rsid w:val="00CF7C19"/>
    <w:rsid w:val="00D12BFB"/>
    <w:rsid w:val="00D41089"/>
    <w:rsid w:val="00D52695"/>
    <w:rsid w:val="00D54B3D"/>
    <w:rsid w:val="00D615E5"/>
    <w:rsid w:val="00D667B7"/>
    <w:rsid w:val="00D76C4C"/>
    <w:rsid w:val="00D81073"/>
    <w:rsid w:val="00D84A3E"/>
    <w:rsid w:val="00D8658C"/>
    <w:rsid w:val="00D96B3F"/>
    <w:rsid w:val="00D97818"/>
    <w:rsid w:val="00DA578C"/>
    <w:rsid w:val="00DB37C3"/>
    <w:rsid w:val="00DC340F"/>
    <w:rsid w:val="00DC3C92"/>
    <w:rsid w:val="00DD1219"/>
    <w:rsid w:val="00DE22D2"/>
    <w:rsid w:val="00DE58A9"/>
    <w:rsid w:val="00E10D80"/>
    <w:rsid w:val="00E10E08"/>
    <w:rsid w:val="00E11E7F"/>
    <w:rsid w:val="00E13FED"/>
    <w:rsid w:val="00E21857"/>
    <w:rsid w:val="00E27436"/>
    <w:rsid w:val="00E32B1A"/>
    <w:rsid w:val="00E33F0D"/>
    <w:rsid w:val="00E34886"/>
    <w:rsid w:val="00E479E8"/>
    <w:rsid w:val="00E62C4E"/>
    <w:rsid w:val="00E65E52"/>
    <w:rsid w:val="00E7189C"/>
    <w:rsid w:val="00E953B8"/>
    <w:rsid w:val="00EC658B"/>
    <w:rsid w:val="00EC6D15"/>
    <w:rsid w:val="00ED4CFB"/>
    <w:rsid w:val="00EE104B"/>
    <w:rsid w:val="00EE1C24"/>
    <w:rsid w:val="00EE20BE"/>
    <w:rsid w:val="00EE5AB1"/>
    <w:rsid w:val="00F014E7"/>
    <w:rsid w:val="00F13641"/>
    <w:rsid w:val="00F21DB2"/>
    <w:rsid w:val="00F27CF6"/>
    <w:rsid w:val="00F408C1"/>
    <w:rsid w:val="00F534A2"/>
    <w:rsid w:val="00F55C75"/>
    <w:rsid w:val="00F61568"/>
    <w:rsid w:val="00F61F21"/>
    <w:rsid w:val="00F62750"/>
    <w:rsid w:val="00F64049"/>
    <w:rsid w:val="00F8174E"/>
    <w:rsid w:val="00F8259F"/>
    <w:rsid w:val="00FA3728"/>
    <w:rsid w:val="00FA7563"/>
    <w:rsid w:val="00FB321A"/>
    <w:rsid w:val="00FC5A66"/>
    <w:rsid w:val="00FE7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E4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97818"/>
    <w:pPr>
      <w:spacing w:after="0" w:line="240" w:lineRule="atLeast"/>
    </w:pPr>
    <w:rPr>
      <w:rFonts w:eastAsia="Times New Roman" w:cs="Times New Roman"/>
      <w:kern w:val="0"/>
      <w:szCs w:val="24"/>
      <w:lang w:val="nl-NL" w:eastAsia="nl-NL"/>
      <w14:ligatures w14:val="none"/>
    </w:rPr>
  </w:style>
  <w:style w:type="paragraph" w:styleId="Kop1">
    <w:name w:val="heading 1"/>
    <w:basedOn w:val="Standaard"/>
    <w:next w:val="Standaard"/>
    <w:link w:val="Kop1Char"/>
    <w:uiPriority w:val="9"/>
    <w:qFormat/>
    <w:rsid w:val="00D9781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uiPriority w:val="59"/>
    <w:rsid w:val="00D97818"/>
    <w:pPr>
      <w:autoSpaceDN w:val="0"/>
      <w:spacing w:after="0" w:line="240" w:lineRule="auto"/>
      <w:textAlignment w:val="baseline"/>
    </w:pPr>
    <w:rPr>
      <w:rFonts w:eastAsia="DejaVu Sans" w:cs="Lohit Hindi"/>
      <w:color w:val="000000"/>
      <w:kern w:val="0"/>
      <w:szCs w:val="18"/>
      <w:lang w:val="nl-NL"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broodtekst">
    <w:name w:val="broodtekst"/>
    <w:basedOn w:val="Standaard"/>
    <w:qFormat/>
    <w:rsid w:val="00D97818"/>
    <w:pPr>
      <w:autoSpaceDE w:val="0"/>
      <w:autoSpaceDN w:val="0"/>
      <w:adjustRightInd w:val="0"/>
    </w:pPr>
    <w:rPr>
      <w:szCs w:val="18"/>
    </w:rPr>
  </w:style>
  <w:style w:type="paragraph" w:styleId="Voetnoottekst">
    <w:name w:val="footnote text"/>
    <w:basedOn w:val="Standaard"/>
    <w:link w:val="VoetnoottekstChar"/>
    <w:uiPriority w:val="99"/>
    <w:rsid w:val="00D97818"/>
    <w:rPr>
      <w:sz w:val="16"/>
      <w:szCs w:val="20"/>
    </w:rPr>
  </w:style>
  <w:style w:type="character" w:customStyle="1" w:styleId="VoetnoottekstChar">
    <w:name w:val="Voetnoottekst Char"/>
    <w:basedOn w:val="Standaardalinea-lettertype"/>
    <w:link w:val="Voetnoottekst"/>
    <w:uiPriority w:val="99"/>
    <w:rsid w:val="00D97818"/>
    <w:rPr>
      <w:rFonts w:eastAsia="Times New Roman" w:cs="Times New Roman"/>
      <w:kern w:val="0"/>
      <w:sz w:val="16"/>
      <w:szCs w:val="20"/>
      <w:lang w:val="nl-NL" w:eastAsia="nl-NL"/>
      <w14:ligatures w14:val="none"/>
    </w:rPr>
  </w:style>
  <w:style w:type="character" w:styleId="Voetnootmarkering">
    <w:name w:val="footnote reference"/>
    <w:basedOn w:val="Standaardalinea-lettertype"/>
    <w:uiPriority w:val="99"/>
    <w:rsid w:val="00D97818"/>
    <w:rPr>
      <w:vertAlign w:val="superscript"/>
    </w:rPr>
  </w:style>
  <w:style w:type="character" w:styleId="Verwijzingopmerking">
    <w:name w:val="annotation reference"/>
    <w:basedOn w:val="Standaardalinea-lettertype"/>
    <w:uiPriority w:val="99"/>
    <w:semiHidden/>
    <w:unhideWhenUsed/>
    <w:rsid w:val="00D97818"/>
    <w:rPr>
      <w:sz w:val="16"/>
      <w:szCs w:val="16"/>
    </w:rPr>
  </w:style>
  <w:style w:type="paragraph" w:styleId="Tekstopmerking">
    <w:name w:val="annotation text"/>
    <w:basedOn w:val="Standaard"/>
    <w:link w:val="TekstopmerkingChar"/>
    <w:uiPriority w:val="99"/>
    <w:unhideWhenUsed/>
    <w:rsid w:val="00D97818"/>
    <w:pPr>
      <w:spacing w:line="240" w:lineRule="auto"/>
    </w:pPr>
    <w:rPr>
      <w:sz w:val="20"/>
      <w:szCs w:val="20"/>
    </w:rPr>
  </w:style>
  <w:style w:type="character" w:customStyle="1" w:styleId="TekstopmerkingChar">
    <w:name w:val="Tekst opmerking Char"/>
    <w:basedOn w:val="Standaardalinea-lettertype"/>
    <w:link w:val="Tekstopmerking"/>
    <w:uiPriority w:val="99"/>
    <w:rsid w:val="00D97818"/>
    <w:rPr>
      <w:rFonts w:eastAsia="Times New Roman" w:cs="Times New Roman"/>
      <w:kern w:val="0"/>
      <w:sz w:val="20"/>
      <w:szCs w:val="20"/>
      <w:lang w:val="nl-NL" w:eastAsia="nl-NL"/>
      <w14:ligatures w14:val="none"/>
    </w:rPr>
  </w:style>
  <w:style w:type="character" w:customStyle="1" w:styleId="Kop1Char">
    <w:name w:val="Kop 1 Char"/>
    <w:basedOn w:val="Standaardalinea-lettertype"/>
    <w:link w:val="Kop1"/>
    <w:uiPriority w:val="9"/>
    <w:rsid w:val="00D97818"/>
    <w:rPr>
      <w:rFonts w:asciiTheme="majorHAnsi" w:eastAsiaTheme="majorEastAsia" w:hAnsiTheme="majorHAnsi" w:cstheme="majorBidi"/>
      <w:color w:val="2E74B5" w:themeColor="accent1" w:themeShade="BF"/>
      <w:kern w:val="0"/>
      <w:sz w:val="32"/>
      <w:szCs w:val="32"/>
      <w:lang w:val="nl-NL" w:eastAsia="nl-NL"/>
      <w14:ligatures w14:val="none"/>
    </w:rPr>
  </w:style>
  <w:style w:type="paragraph" w:styleId="Revisie">
    <w:name w:val="Revision"/>
    <w:hidden/>
    <w:uiPriority w:val="99"/>
    <w:semiHidden/>
    <w:rsid w:val="005E4C16"/>
    <w:pPr>
      <w:spacing w:after="0" w:line="240" w:lineRule="auto"/>
    </w:pPr>
    <w:rPr>
      <w:rFonts w:eastAsia="Times New Roman" w:cs="Times New Roman"/>
      <w:kern w:val="0"/>
      <w:szCs w:val="24"/>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FC5A66"/>
    <w:rPr>
      <w:b/>
      <w:bCs/>
    </w:rPr>
  </w:style>
  <w:style w:type="character" w:customStyle="1" w:styleId="OnderwerpvanopmerkingChar">
    <w:name w:val="Onderwerp van opmerking Char"/>
    <w:basedOn w:val="TekstopmerkingChar"/>
    <w:link w:val="Onderwerpvanopmerking"/>
    <w:uiPriority w:val="99"/>
    <w:semiHidden/>
    <w:rsid w:val="00FC5A66"/>
    <w:rPr>
      <w:rFonts w:eastAsia="Times New Roman" w:cs="Times New Roman"/>
      <w:b/>
      <w:bCs/>
      <w:kern w:val="0"/>
      <w:sz w:val="20"/>
      <w:szCs w:val="20"/>
      <w:lang w:val="nl-NL" w:eastAsia="nl-NL"/>
      <w14:ligatures w14:val="none"/>
    </w:rPr>
  </w:style>
  <w:style w:type="paragraph" w:styleId="Koptekst">
    <w:name w:val="header"/>
    <w:basedOn w:val="Standaard"/>
    <w:link w:val="KoptekstChar"/>
    <w:uiPriority w:val="99"/>
    <w:unhideWhenUsed/>
    <w:rsid w:val="00276C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6C0E"/>
    <w:rPr>
      <w:rFonts w:eastAsia="Times New Roman" w:cs="Times New Roman"/>
      <w:kern w:val="0"/>
      <w:szCs w:val="24"/>
      <w:lang w:val="nl-NL" w:eastAsia="nl-NL"/>
      <w14:ligatures w14:val="none"/>
    </w:rPr>
  </w:style>
  <w:style w:type="paragraph" w:styleId="Voettekst">
    <w:name w:val="footer"/>
    <w:basedOn w:val="Standaard"/>
    <w:link w:val="VoettekstChar"/>
    <w:uiPriority w:val="99"/>
    <w:unhideWhenUsed/>
    <w:rsid w:val="00276C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76C0E"/>
    <w:rPr>
      <w:rFonts w:eastAsia="Times New Roman" w:cs="Times New Roman"/>
      <w:kern w:val="0"/>
      <w:szCs w:val="24"/>
      <w:lang w:val="nl-NL" w:eastAsia="nl-NL"/>
      <w14:ligatures w14:val="none"/>
    </w:rPr>
  </w:style>
  <w:style w:type="character" w:styleId="Hyperlink">
    <w:name w:val="Hyperlink"/>
    <w:basedOn w:val="Standaardalinea-lettertype"/>
    <w:uiPriority w:val="99"/>
    <w:unhideWhenUsed/>
    <w:rsid w:val="00281F89"/>
    <w:rPr>
      <w:color w:val="0563C1" w:themeColor="hyperlink"/>
      <w:u w:val="single"/>
    </w:rPr>
  </w:style>
  <w:style w:type="character" w:styleId="Onopgelostemelding">
    <w:name w:val="Unresolved Mention"/>
    <w:basedOn w:val="Standaardalinea-lettertype"/>
    <w:uiPriority w:val="99"/>
    <w:semiHidden/>
    <w:unhideWhenUsed/>
    <w:rsid w:val="00281F89"/>
    <w:rPr>
      <w:color w:val="605E5C"/>
      <w:shd w:val="clear" w:color="auto" w:fill="E1DFDD"/>
    </w:rPr>
  </w:style>
  <w:style w:type="paragraph" w:customStyle="1" w:styleId="Default">
    <w:name w:val="Default"/>
    <w:rsid w:val="00646E85"/>
    <w:pPr>
      <w:autoSpaceDE w:val="0"/>
      <w:autoSpaceDN w:val="0"/>
      <w:adjustRightInd w:val="0"/>
      <w:spacing w:after="0" w:line="240" w:lineRule="auto"/>
    </w:pPr>
    <w:rPr>
      <w:rFonts w:cs="Verdana"/>
      <w:color w:val="000000"/>
      <w:kern w:val="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429933">
      <w:bodyDiv w:val="1"/>
      <w:marLeft w:val="0"/>
      <w:marRight w:val="0"/>
      <w:marTop w:val="0"/>
      <w:marBottom w:val="0"/>
      <w:divBdr>
        <w:top w:val="none" w:sz="0" w:space="0" w:color="auto"/>
        <w:left w:val="none" w:sz="0" w:space="0" w:color="auto"/>
        <w:bottom w:val="none" w:sz="0" w:space="0" w:color="auto"/>
        <w:right w:val="none" w:sz="0" w:space="0" w:color="auto"/>
      </w:divBdr>
    </w:div>
    <w:div w:id="1171987159">
      <w:bodyDiv w:val="1"/>
      <w:marLeft w:val="0"/>
      <w:marRight w:val="0"/>
      <w:marTop w:val="0"/>
      <w:marBottom w:val="0"/>
      <w:divBdr>
        <w:top w:val="none" w:sz="0" w:space="0" w:color="auto"/>
        <w:left w:val="none" w:sz="0" w:space="0" w:color="auto"/>
        <w:bottom w:val="none" w:sz="0" w:space="0" w:color="auto"/>
        <w:right w:val="none" w:sz="0" w:space="0" w:color="auto"/>
      </w:divBdr>
    </w:div>
    <w:div w:id="162530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88173-tientallen-burgerdoden-gemeld-bij-inname-sudanese-stad-door-rebell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8643</ap:Words>
  <ap:Characters>47538</ap:Characters>
  <ap:DocSecurity>0</ap:DocSecurity>
  <ap:Lines>396</ap:Lines>
  <ap:Paragraphs>112</ap:Paragraphs>
  <ap:ScaleCrop>false</ap:ScaleCrop>
  <ap:LinksUpToDate>false</ap:LinksUpToDate>
  <ap:CharactersWithSpaces>56069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2026-03-02T16:10:00.0000000Z</dcterms:created>
  <dcterms:modified xsi:type="dcterms:W3CDTF">2026-03-02T16:11:00.0000000Z</dcterms:modified>
  <version/>
  <category/>
</coreProperties>
</file>