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7ECA" w:rsidR="001B7A5D" w:rsidP="001B7A5D" w:rsidRDefault="001B7A5D" w14:paraId="1BCC2539" w14:textId="77777777">
      <w:pPr>
        <w:pStyle w:val="Geenafstand"/>
        <w:rPr>
          <w:rFonts w:ascii="Verdana" w:hAnsi="Verdana"/>
          <w:b/>
          <w:bCs/>
          <w:sz w:val="18"/>
          <w:szCs w:val="18"/>
        </w:rPr>
      </w:pPr>
      <w:r w:rsidRPr="00C27ECA">
        <w:rPr>
          <w:rFonts w:ascii="Verdana" w:hAnsi="Verdana"/>
          <w:b/>
          <w:bCs/>
          <w:sz w:val="18"/>
          <w:szCs w:val="18"/>
        </w:rPr>
        <w:t>2026Z03092</w:t>
      </w:r>
    </w:p>
    <w:p w:rsidRPr="00C27ECA" w:rsidR="001B7A5D" w:rsidP="001B7A5D" w:rsidRDefault="001B7A5D" w14:paraId="01BCAA8B" w14:textId="77777777">
      <w:pPr>
        <w:pStyle w:val="Geenafstand"/>
        <w:rPr>
          <w:rFonts w:ascii="Verdana" w:hAnsi="Verdana"/>
          <w:sz w:val="18"/>
          <w:szCs w:val="18"/>
        </w:rPr>
      </w:pPr>
      <w:r w:rsidRPr="00C27ECA">
        <w:rPr>
          <w:rFonts w:ascii="Verdana" w:hAnsi="Verdana"/>
          <w:sz w:val="18"/>
          <w:szCs w:val="18"/>
        </w:rPr>
        <w:t>(ingezonden 12 februari 2026)</w:t>
      </w:r>
    </w:p>
    <w:p w:rsidRPr="00C27ECA" w:rsidR="001B7A5D" w:rsidP="001B7A5D" w:rsidRDefault="001B7A5D" w14:paraId="3DE74EC5" w14:textId="6F4AA252">
      <w:pPr>
        <w:pStyle w:val="Geenafstand"/>
        <w:rPr>
          <w:rFonts w:ascii="Verdana" w:hAnsi="Verdana"/>
          <w:sz w:val="18"/>
          <w:szCs w:val="18"/>
        </w:rPr>
      </w:pPr>
      <w:r w:rsidRPr="00C27ECA">
        <w:rPr>
          <w:rFonts w:ascii="Verdana" w:hAnsi="Verdana"/>
          <w:sz w:val="18"/>
          <w:szCs w:val="18"/>
        </w:rPr>
        <w:t>Vragen van lid Van Br</w:t>
      </w:r>
      <w:r w:rsidR="001C481B">
        <w:rPr>
          <w:rFonts w:ascii="Verdana" w:hAnsi="Verdana"/>
          <w:sz w:val="18"/>
          <w:szCs w:val="18"/>
        </w:rPr>
        <w:t>e</w:t>
      </w:r>
      <w:r w:rsidRPr="00C27ECA">
        <w:rPr>
          <w:rFonts w:ascii="Verdana" w:hAnsi="Verdana"/>
          <w:sz w:val="18"/>
          <w:szCs w:val="18"/>
        </w:rPr>
        <w:t>nk</w:t>
      </w:r>
      <w:r w:rsidR="001907EF">
        <w:rPr>
          <w:rFonts w:ascii="Verdana" w:hAnsi="Verdana"/>
          <w:sz w:val="18"/>
          <w:szCs w:val="18"/>
        </w:rPr>
        <w:t xml:space="preserve"> </w:t>
      </w:r>
      <w:r w:rsidRPr="00C27ECA">
        <w:rPr>
          <w:rFonts w:ascii="Verdana" w:hAnsi="Verdana"/>
          <w:sz w:val="18"/>
          <w:szCs w:val="18"/>
        </w:rPr>
        <w:t>(50PLUS) aan de minister van Sociale Zaken en Werkgelegenheid over de casus Pensioenfonds Johnson &amp; Johnson</w:t>
      </w:r>
      <w:r w:rsidRPr="00C27ECA">
        <w:rPr>
          <w:rFonts w:ascii="Verdana" w:hAnsi="Verdana"/>
          <w:sz w:val="18"/>
          <w:szCs w:val="18"/>
        </w:rPr>
        <w:br/>
      </w:r>
    </w:p>
    <w:p w:rsidRPr="00BC77AE" w:rsidR="001B7A5D" w:rsidP="001B7A5D" w:rsidRDefault="001B7A5D" w14:paraId="6DC59EDA" w14:textId="77777777">
      <w:pPr>
        <w:pStyle w:val="Geenafstand"/>
        <w:numPr>
          <w:ilvl w:val="0"/>
          <w:numId w:val="1"/>
        </w:numPr>
        <w:rPr>
          <w:rFonts w:ascii="Verdana" w:hAnsi="Verdana"/>
          <w:i/>
          <w:iCs/>
          <w:sz w:val="18"/>
          <w:szCs w:val="18"/>
        </w:rPr>
      </w:pPr>
      <w:r w:rsidRPr="00BC77AE">
        <w:rPr>
          <w:rFonts w:ascii="Verdana" w:hAnsi="Verdana"/>
          <w:i/>
          <w:iCs/>
          <w:sz w:val="18"/>
          <w:szCs w:val="18"/>
        </w:rPr>
        <w:t>Klopt het dat u tijdens het commissiedebat Pensioenonderwerpen van 29 januari 2026 heeft gezegd dat een transitie van een pensioenfonds naar het buitenland alleen mogelijk is met een tweederde meerderheid van de medewerkers? Hoe is het dan mogelijk dat bij Johnson &amp; Johnson een ‘negatief piepsysteem’ is gebruikt, namelijk wie zwijgt stemt toe? Is dit wenselijk volgens u en is dit in de toekomst te vermijden?</w:t>
      </w:r>
    </w:p>
    <w:p w:rsidRPr="00C27ECA" w:rsidR="00C27ECA" w:rsidP="00C27ECA" w:rsidRDefault="00C27ECA" w14:paraId="1061EB60" w14:textId="172E2DB5">
      <w:pPr>
        <w:pStyle w:val="Geenafstand"/>
        <w:rPr>
          <w:rFonts w:ascii="Verdana" w:hAnsi="Verdana"/>
          <w:sz w:val="18"/>
          <w:szCs w:val="18"/>
        </w:rPr>
      </w:pPr>
    </w:p>
    <w:p w:rsidRPr="00C27ECA" w:rsidR="001B7A5D" w:rsidP="001B7A5D" w:rsidRDefault="001B7A5D" w14:paraId="516C0662" w14:textId="7E79EDAC">
      <w:pPr>
        <w:pStyle w:val="Geenafstand"/>
        <w:rPr>
          <w:rFonts w:ascii="Verdana" w:hAnsi="Verdana"/>
          <w:sz w:val="18"/>
          <w:szCs w:val="18"/>
        </w:rPr>
      </w:pPr>
      <w:r w:rsidRPr="00C27ECA">
        <w:rPr>
          <w:rFonts w:ascii="Verdana" w:hAnsi="Verdana"/>
          <w:sz w:val="18"/>
          <w:szCs w:val="18"/>
        </w:rPr>
        <w:t xml:space="preserve">Tijdens het commissiedebat van 29 januari 2026 </w:t>
      </w:r>
      <w:r w:rsidR="00F21318">
        <w:rPr>
          <w:rFonts w:ascii="Verdana" w:hAnsi="Verdana"/>
          <w:sz w:val="18"/>
          <w:szCs w:val="18"/>
        </w:rPr>
        <w:t>is door mijn ambt</w:t>
      </w:r>
      <w:r w:rsidR="0043642E">
        <w:rPr>
          <w:rFonts w:ascii="Verdana" w:hAnsi="Verdana"/>
          <w:sz w:val="18"/>
          <w:szCs w:val="18"/>
        </w:rPr>
        <w:t>s</w:t>
      </w:r>
      <w:r w:rsidR="00F21318">
        <w:rPr>
          <w:rFonts w:ascii="Verdana" w:hAnsi="Verdana"/>
          <w:sz w:val="18"/>
          <w:szCs w:val="18"/>
        </w:rPr>
        <w:t>voorganger</w:t>
      </w:r>
      <w:r w:rsidRPr="00C27ECA">
        <w:rPr>
          <w:rFonts w:ascii="Verdana" w:hAnsi="Verdana"/>
          <w:sz w:val="18"/>
          <w:szCs w:val="18"/>
        </w:rPr>
        <w:t xml:space="preserve"> toegelicht dat grensoverschrijdende pensioenuitvoering binnen de Europese Unie mogelijk is, maar dat daaraan voorwaarden zijn verbonden. Daarbij is ook gesproken over instemmingseisen die in Nederland gelden bij een grensoverschrijdende overdracht. </w:t>
      </w:r>
    </w:p>
    <w:p w:rsidRPr="00C27ECA" w:rsidR="001B7A5D" w:rsidP="001B7A5D" w:rsidRDefault="001B7A5D" w14:paraId="383DBABD" w14:textId="77777777">
      <w:pPr>
        <w:pStyle w:val="Geenafstand"/>
        <w:rPr>
          <w:rFonts w:ascii="Verdana" w:hAnsi="Verdana"/>
          <w:sz w:val="18"/>
          <w:szCs w:val="18"/>
        </w:rPr>
      </w:pPr>
    </w:p>
    <w:p w:rsidRPr="00C27ECA" w:rsidR="001B7A5D" w:rsidP="001B7A5D" w:rsidRDefault="001B7A5D" w14:paraId="3331B609" w14:textId="24CCE953">
      <w:pPr>
        <w:pStyle w:val="Geenafstand"/>
        <w:rPr>
          <w:rFonts w:ascii="Verdana" w:hAnsi="Verdana"/>
          <w:sz w:val="18"/>
          <w:szCs w:val="18"/>
        </w:rPr>
      </w:pPr>
      <w:r w:rsidRPr="00C27ECA">
        <w:rPr>
          <w:rFonts w:ascii="Verdana" w:hAnsi="Verdana"/>
          <w:sz w:val="18"/>
          <w:szCs w:val="18"/>
        </w:rPr>
        <w:t xml:space="preserve">De Europese IORP II-richtlijn (IORP II) bevat regels voor grensoverschrijdende activiteiten van pensioeninstellingen en schrijft onder meer voor dat deelnemers en pensioengerechtigden tijdig moeten worden geïnformeerd en dat procedures zorgvuldig moeten worden doorlopen. Lidstaten kunnen vervolgens nadere eisen stellen, waaronder voorwaarden over de wijze waarop instemming wordt georganiseerd. Nederland heeft in dit kader bij de implementatie van IORP II </w:t>
      </w:r>
      <w:r w:rsidR="00F21318">
        <w:rPr>
          <w:rFonts w:ascii="Verdana" w:hAnsi="Verdana"/>
          <w:sz w:val="18"/>
          <w:szCs w:val="18"/>
        </w:rPr>
        <w:t xml:space="preserve">in </w:t>
      </w:r>
      <w:r w:rsidR="0043642E">
        <w:rPr>
          <w:rFonts w:ascii="Verdana" w:hAnsi="Verdana"/>
          <w:sz w:val="18"/>
          <w:szCs w:val="18"/>
        </w:rPr>
        <w:t>2019</w:t>
      </w:r>
      <w:r w:rsidR="00F21318">
        <w:rPr>
          <w:rFonts w:ascii="Verdana" w:hAnsi="Verdana"/>
          <w:sz w:val="18"/>
          <w:szCs w:val="18"/>
        </w:rPr>
        <w:t xml:space="preserve"> </w:t>
      </w:r>
      <w:r w:rsidRPr="00C27ECA">
        <w:rPr>
          <w:rFonts w:ascii="Verdana" w:hAnsi="Verdana"/>
          <w:sz w:val="18"/>
          <w:szCs w:val="18"/>
        </w:rPr>
        <w:t xml:space="preserve">gekozen </w:t>
      </w:r>
      <w:r w:rsidRPr="0043642E" w:rsidR="0043642E">
        <w:rPr>
          <w:rFonts w:ascii="Verdana" w:hAnsi="Verdana"/>
          <w:sz w:val="18"/>
          <w:szCs w:val="18"/>
        </w:rPr>
        <w:t>voor het vereiste dat bij een deelnemersraadpleging tenminste twee derde van de deelnemende deelnemers en gepensioneerden moeten instemmen.</w:t>
      </w:r>
    </w:p>
    <w:p w:rsidRPr="00C27ECA" w:rsidR="001B7A5D" w:rsidP="001B7A5D" w:rsidRDefault="001B7A5D" w14:paraId="152134CA" w14:textId="77777777">
      <w:pPr>
        <w:pStyle w:val="Geenafstand"/>
        <w:rPr>
          <w:rFonts w:ascii="Verdana" w:hAnsi="Verdana"/>
          <w:sz w:val="18"/>
          <w:szCs w:val="18"/>
        </w:rPr>
      </w:pPr>
    </w:p>
    <w:p w:rsidRPr="00C27ECA" w:rsidR="001B7A5D" w:rsidP="001B7A5D" w:rsidRDefault="001B7A5D" w14:paraId="41CA8D30" w14:textId="1D392BC6">
      <w:pPr>
        <w:pStyle w:val="Geenafstand"/>
        <w:rPr>
          <w:rFonts w:ascii="Verdana" w:hAnsi="Verdana"/>
          <w:sz w:val="18"/>
          <w:szCs w:val="18"/>
        </w:rPr>
      </w:pPr>
      <w:r w:rsidRPr="00C27ECA">
        <w:rPr>
          <w:rFonts w:ascii="Verdana" w:hAnsi="Verdana"/>
          <w:sz w:val="18"/>
          <w:szCs w:val="18"/>
        </w:rPr>
        <w:t>Voor de casus Johnson &amp; Johnson geldt echter dat de relevante besluitvorming rond de overgang naar België in een eerder tijdvak heeft plaatsgevonden (</w:t>
      </w:r>
      <w:r w:rsidRPr="00C27ECA" w:rsidR="0012277D">
        <w:rPr>
          <w:rFonts w:ascii="Verdana" w:hAnsi="Verdana"/>
          <w:sz w:val="18"/>
          <w:szCs w:val="18"/>
        </w:rPr>
        <w:t>in 2015</w:t>
      </w:r>
      <w:r w:rsidRPr="00C27ECA">
        <w:rPr>
          <w:rFonts w:ascii="Verdana" w:hAnsi="Verdana"/>
          <w:sz w:val="18"/>
          <w:szCs w:val="18"/>
        </w:rPr>
        <w:t>). In dat tijdvlak was de implementatie van IORP II nog niet van kracht</w:t>
      </w:r>
      <w:r w:rsidR="00BB608A">
        <w:rPr>
          <w:rFonts w:ascii="Verdana" w:hAnsi="Verdana"/>
          <w:sz w:val="18"/>
          <w:szCs w:val="18"/>
        </w:rPr>
        <w:t>. E</w:t>
      </w:r>
      <w:r w:rsidR="00CF535E">
        <w:rPr>
          <w:rFonts w:ascii="Verdana" w:hAnsi="Verdana"/>
          <w:sz w:val="18"/>
          <w:szCs w:val="18"/>
        </w:rPr>
        <w:t>en</w:t>
      </w:r>
      <w:r w:rsidRPr="00CF535E" w:rsidR="00CF535E">
        <w:rPr>
          <w:rFonts w:ascii="Verdana" w:hAnsi="Verdana"/>
          <w:sz w:val="18"/>
          <w:szCs w:val="18"/>
        </w:rPr>
        <w:t xml:space="preserve"> collectieve waardeoverdracht van een pensioenfonds in Nederland naar een pensioeninstelling uit een andere lidstaat</w:t>
      </w:r>
      <w:r w:rsidR="00BB608A">
        <w:rPr>
          <w:rFonts w:ascii="Verdana" w:hAnsi="Verdana"/>
          <w:sz w:val="18"/>
          <w:szCs w:val="18"/>
        </w:rPr>
        <w:t xml:space="preserve"> vond destijds </w:t>
      </w:r>
      <w:r w:rsidRPr="00CF535E" w:rsidR="00BB608A">
        <w:rPr>
          <w:rFonts w:ascii="Verdana" w:hAnsi="Verdana"/>
          <w:sz w:val="18"/>
          <w:szCs w:val="18"/>
        </w:rPr>
        <w:t>plaats</w:t>
      </w:r>
      <w:r w:rsidR="00BB608A">
        <w:rPr>
          <w:rFonts w:ascii="Verdana" w:hAnsi="Verdana"/>
          <w:sz w:val="18"/>
          <w:szCs w:val="18"/>
        </w:rPr>
        <w:t xml:space="preserve"> conform dezelfde procedure als een binnenlandse collectieve waardeoverdracht</w:t>
      </w:r>
      <w:r w:rsidR="00CF535E">
        <w:rPr>
          <w:rFonts w:ascii="Verdana" w:hAnsi="Verdana"/>
          <w:sz w:val="18"/>
          <w:szCs w:val="18"/>
        </w:rPr>
        <w:t xml:space="preserve"> </w:t>
      </w:r>
      <w:r w:rsidRPr="00CF535E" w:rsidR="00CF535E">
        <w:rPr>
          <w:rFonts w:ascii="Verdana" w:hAnsi="Verdana"/>
          <w:sz w:val="18"/>
          <w:szCs w:val="18"/>
        </w:rPr>
        <w:t>op basis van de artikelen 83, 84 en 90 van de Pensioenwet</w:t>
      </w:r>
      <w:r w:rsidRPr="00C27ECA">
        <w:rPr>
          <w:rFonts w:ascii="Verdana" w:hAnsi="Verdana"/>
          <w:sz w:val="18"/>
          <w:szCs w:val="18"/>
        </w:rPr>
        <w:t xml:space="preserve">. </w:t>
      </w:r>
      <w:r w:rsidR="0022749F">
        <w:rPr>
          <w:rFonts w:ascii="Verdana" w:hAnsi="Verdana"/>
          <w:sz w:val="18"/>
          <w:szCs w:val="18"/>
        </w:rPr>
        <w:t>D</w:t>
      </w:r>
      <w:r w:rsidRPr="00C27ECA">
        <w:rPr>
          <w:rFonts w:ascii="Verdana" w:hAnsi="Verdana"/>
          <w:sz w:val="18"/>
          <w:szCs w:val="18"/>
        </w:rPr>
        <w:t xml:space="preserve">e huidige Nederlandse instemmingssystematiek </w:t>
      </w:r>
      <w:r w:rsidR="00BB608A">
        <w:rPr>
          <w:rFonts w:ascii="Verdana" w:hAnsi="Verdana"/>
          <w:sz w:val="18"/>
          <w:szCs w:val="18"/>
        </w:rPr>
        <w:t xml:space="preserve">met een deelnemersraadpleging </w:t>
      </w:r>
      <w:r w:rsidR="0022749F">
        <w:rPr>
          <w:rFonts w:ascii="Verdana" w:hAnsi="Verdana"/>
          <w:sz w:val="18"/>
          <w:szCs w:val="18"/>
        </w:rPr>
        <w:t xml:space="preserve">was </w:t>
      </w:r>
      <w:r w:rsidRPr="00C27ECA">
        <w:rPr>
          <w:rFonts w:ascii="Verdana" w:hAnsi="Verdana"/>
          <w:sz w:val="18"/>
          <w:szCs w:val="18"/>
        </w:rPr>
        <w:t xml:space="preserve">nog niet van toepassing was op die overgang. </w:t>
      </w:r>
    </w:p>
    <w:p w:rsidRPr="00C27ECA" w:rsidR="001B7A5D" w:rsidP="001B7A5D" w:rsidRDefault="001B7A5D" w14:paraId="502BC913" w14:textId="77777777">
      <w:pPr>
        <w:pStyle w:val="Geenafstand"/>
        <w:rPr>
          <w:rFonts w:ascii="Verdana" w:hAnsi="Verdana"/>
          <w:sz w:val="18"/>
          <w:szCs w:val="18"/>
        </w:rPr>
      </w:pPr>
    </w:p>
    <w:p w:rsidRPr="00BC77AE" w:rsidR="001B7A5D" w:rsidP="00C27ECA" w:rsidRDefault="001B7A5D" w14:paraId="3ACDD14B" w14:textId="77777777">
      <w:pPr>
        <w:pStyle w:val="Geenafstand"/>
        <w:numPr>
          <w:ilvl w:val="0"/>
          <w:numId w:val="1"/>
        </w:numPr>
        <w:rPr>
          <w:rFonts w:ascii="Verdana" w:hAnsi="Verdana"/>
          <w:i/>
          <w:iCs/>
          <w:sz w:val="18"/>
          <w:szCs w:val="18"/>
        </w:rPr>
      </w:pPr>
      <w:r w:rsidRPr="00BC77AE">
        <w:rPr>
          <w:rFonts w:ascii="Verdana" w:hAnsi="Verdana"/>
          <w:i/>
          <w:iCs/>
          <w:sz w:val="18"/>
          <w:szCs w:val="18"/>
        </w:rPr>
        <w:t>Klopt het dat u tijdens het commissiedebat heeft gezegd dat de deelnemers van het pensioenfonds Johnson &amp; Johnson terecht kunnen bij een geschillencommissie? Als dat niet het geval blijkt te zijn, kunt u dan nog iets betekenen voor de deelnemers van Johnson &amp; Johnson?</w:t>
      </w:r>
    </w:p>
    <w:p w:rsidR="00C27ECA" w:rsidP="00C27ECA" w:rsidRDefault="00C27ECA" w14:paraId="3691B8B6" w14:textId="77777777">
      <w:pPr>
        <w:pStyle w:val="Geenafstand"/>
        <w:rPr>
          <w:rFonts w:ascii="Verdana" w:hAnsi="Verdana"/>
          <w:sz w:val="18"/>
          <w:szCs w:val="18"/>
        </w:rPr>
      </w:pPr>
    </w:p>
    <w:p w:rsidRPr="00C27ECA" w:rsidR="001B7A5D" w:rsidP="001B7A5D" w:rsidRDefault="001B7A5D" w14:paraId="04E2F999" w14:textId="6819757B">
      <w:pPr>
        <w:pStyle w:val="Geenafstand"/>
        <w:rPr>
          <w:rFonts w:ascii="Verdana" w:hAnsi="Verdana"/>
          <w:sz w:val="18"/>
          <w:szCs w:val="18"/>
        </w:rPr>
      </w:pPr>
      <w:r w:rsidRPr="00C27ECA">
        <w:rPr>
          <w:rFonts w:ascii="Verdana" w:hAnsi="Verdana"/>
          <w:sz w:val="18"/>
          <w:szCs w:val="18"/>
        </w:rPr>
        <w:t xml:space="preserve">Dat klopt. Deelnemers kunnen in Nederland terecht bij de Geschilleninstantie Pensioenfondsen (GIP) indien zij een geschil hebben met hun pensioenuitvoerder dat onder de reikwijdte van deze geschillenprocedure valt. Dit biedt deelnemers een laagdrempelige mogelijkheid om een geschil voor te leggen. De GIP is bedoeld voor individuele geschillen tussen deelnemer en pensioenuitvoerder. Voor kwesties die betrekking hebben op algemene besluiten over bijvoorbeeld toeslagverlening of indexatie geldt dat deze doorgaans niet via een individuele geschillenprocedure kunnen worden aangedaan. Het is aan de GIP om </w:t>
      </w:r>
      <w:r w:rsidR="004070AB">
        <w:rPr>
          <w:rFonts w:ascii="Verdana" w:hAnsi="Verdana"/>
          <w:sz w:val="18"/>
          <w:szCs w:val="18"/>
        </w:rPr>
        <w:t>d</w:t>
      </w:r>
      <w:r w:rsidRPr="00C27ECA">
        <w:rPr>
          <w:rFonts w:ascii="Verdana" w:hAnsi="Verdana"/>
          <w:sz w:val="18"/>
          <w:szCs w:val="18"/>
        </w:rPr>
        <w:t xml:space="preserve">e ontvankelijkheid in een concreet geval te beoordelen. </w:t>
      </w:r>
    </w:p>
    <w:p w:rsidRPr="00C27ECA" w:rsidR="001B7A5D" w:rsidP="001B7A5D" w:rsidRDefault="001B7A5D" w14:paraId="128E23C6" w14:textId="77777777">
      <w:pPr>
        <w:pStyle w:val="Geenafstand"/>
        <w:rPr>
          <w:rFonts w:ascii="Verdana" w:hAnsi="Verdana"/>
          <w:sz w:val="18"/>
          <w:szCs w:val="18"/>
        </w:rPr>
      </w:pPr>
    </w:p>
    <w:p w:rsidRPr="00C27ECA" w:rsidR="001B7A5D" w:rsidP="001B7A5D" w:rsidRDefault="001B7A5D" w14:paraId="71FF1774" w14:textId="5F55E2AC">
      <w:pPr>
        <w:pStyle w:val="Geenafstand"/>
        <w:rPr>
          <w:rFonts w:ascii="Verdana" w:hAnsi="Verdana"/>
          <w:sz w:val="18"/>
          <w:szCs w:val="18"/>
        </w:rPr>
      </w:pPr>
      <w:r w:rsidRPr="00C27ECA">
        <w:rPr>
          <w:rFonts w:ascii="Verdana" w:hAnsi="Verdana"/>
          <w:sz w:val="18"/>
          <w:szCs w:val="18"/>
        </w:rPr>
        <w:t>Bij grensoverschrijdende pensioenuitvoering kan de inrichting van de klachten- en geschillenprocedure mede afhankelijk zijn van de juridische positie van de pensioenuitvoerder en de lidstaat waar deze is gevestigd. Deelnemers kunnen zich in eerste instantie wenden tot de interne klachtenprocedure van de pensioenuitvoerder. Indien een buitengerechtelijke geschillenprocedure openstaat, kunnen deelnemers daarvan gebruikmaken</w:t>
      </w:r>
      <w:r w:rsidRPr="00C27ECA" w:rsidR="00AB3CE5">
        <w:rPr>
          <w:rFonts w:ascii="Verdana" w:hAnsi="Verdana"/>
          <w:sz w:val="18"/>
          <w:szCs w:val="18"/>
        </w:rPr>
        <w:t xml:space="preserve">. Voor deelnemers van Pensioenfonds Johnson &amp; Johnson is dat de GIP. </w:t>
      </w:r>
      <w:r w:rsidRPr="00C27ECA">
        <w:rPr>
          <w:rFonts w:ascii="Verdana" w:hAnsi="Verdana"/>
          <w:sz w:val="18"/>
          <w:szCs w:val="18"/>
        </w:rPr>
        <w:t>Daarnaast blijft het deelnemers vrijstaan om de civiele rechter te benaderen.</w:t>
      </w:r>
    </w:p>
    <w:p w:rsidRPr="00C27ECA" w:rsidR="001B7A5D" w:rsidP="001B7A5D" w:rsidRDefault="001B7A5D" w14:paraId="6233A3A4" w14:textId="77777777">
      <w:pPr>
        <w:pStyle w:val="Geenafstand"/>
        <w:rPr>
          <w:rFonts w:ascii="Verdana" w:hAnsi="Verdana"/>
          <w:sz w:val="18"/>
          <w:szCs w:val="18"/>
        </w:rPr>
      </w:pPr>
    </w:p>
    <w:p w:rsidR="00BE36D7" w:rsidP="001B7A5D" w:rsidRDefault="001B7A5D" w14:paraId="18C4DB1C" w14:textId="77777777">
      <w:pPr>
        <w:pStyle w:val="Geenafstand"/>
        <w:rPr>
          <w:rFonts w:ascii="Verdana" w:hAnsi="Verdana"/>
          <w:sz w:val="18"/>
          <w:szCs w:val="18"/>
        </w:rPr>
      </w:pPr>
      <w:r w:rsidRPr="00C27ECA">
        <w:rPr>
          <w:rFonts w:ascii="Verdana" w:hAnsi="Verdana"/>
          <w:sz w:val="18"/>
          <w:szCs w:val="18"/>
        </w:rPr>
        <w:t xml:space="preserve">Ik kan niet treden in individuele geschillen, maar ik vind het belangrijk dat deelnemers gebruik kunnen maken van bestaande klacht- en geschilprocedures. </w:t>
      </w:r>
    </w:p>
    <w:p w:rsidR="00BE36D7" w:rsidP="001B7A5D" w:rsidRDefault="00BE36D7" w14:paraId="203DCDB4" w14:textId="77777777">
      <w:pPr>
        <w:pStyle w:val="Geenafstand"/>
        <w:rPr>
          <w:rFonts w:ascii="Verdana" w:hAnsi="Verdana"/>
          <w:sz w:val="18"/>
          <w:szCs w:val="18"/>
        </w:rPr>
      </w:pPr>
    </w:p>
    <w:p w:rsidR="00BE36D7" w:rsidP="001B7A5D" w:rsidRDefault="00BE36D7" w14:paraId="40A53FD2" w14:textId="77777777">
      <w:pPr>
        <w:pStyle w:val="Geenafstand"/>
        <w:rPr>
          <w:rFonts w:ascii="Verdana" w:hAnsi="Verdana"/>
          <w:sz w:val="18"/>
          <w:szCs w:val="18"/>
        </w:rPr>
      </w:pPr>
    </w:p>
    <w:p w:rsidR="00BE36D7" w:rsidP="001B7A5D" w:rsidRDefault="00BE36D7" w14:paraId="4F3494B2" w14:textId="77777777">
      <w:pPr>
        <w:pStyle w:val="Geenafstand"/>
        <w:rPr>
          <w:rFonts w:ascii="Verdana" w:hAnsi="Verdana"/>
          <w:sz w:val="18"/>
          <w:szCs w:val="18"/>
        </w:rPr>
      </w:pPr>
    </w:p>
    <w:p w:rsidR="00BE36D7" w:rsidP="001B7A5D" w:rsidRDefault="00BE36D7" w14:paraId="45B2341A" w14:textId="77777777">
      <w:pPr>
        <w:pStyle w:val="Geenafstand"/>
        <w:rPr>
          <w:rFonts w:ascii="Verdana" w:hAnsi="Verdana"/>
          <w:sz w:val="18"/>
          <w:szCs w:val="18"/>
        </w:rPr>
      </w:pPr>
    </w:p>
    <w:p w:rsidR="00BE36D7" w:rsidP="001B7A5D" w:rsidRDefault="00BE36D7" w14:paraId="01ECF829" w14:textId="77777777">
      <w:pPr>
        <w:pStyle w:val="Geenafstand"/>
        <w:rPr>
          <w:rFonts w:ascii="Verdana" w:hAnsi="Verdana"/>
          <w:sz w:val="18"/>
          <w:szCs w:val="18"/>
        </w:rPr>
      </w:pPr>
    </w:p>
    <w:p w:rsidR="00BE36D7" w:rsidP="001B7A5D" w:rsidRDefault="00BE36D7" w14:paraId="3BE7F5A7" w14:textId="77777777">
      <w:pPr>
        <w:pStyle w:val="Geenafstand"/>
        <w:rPr>
          <w:rFonts w:ascii="Verdana" w:hAnsi="Verdana"/>
          <w:sz w:val="18"/>
          <w:szCs w:val="18"/>
        </w:rPr>
      </w:pPr>
    </w:p>
    <w:p w:rsidRPr="00C27ECA" w:rsidR="001B7A5D" w:rsidP="001B7A5D" w:rsidRDefault="001B7A5D" w14:paraId="7219B6FF" w14:textId="7AF8F550">
      <w:pPr>
        <w:pStyle w:val="Geenafstand"/>
        <w:rPr>
          <w:rFonts w:ascii="Verdana" w:hAnsi="Verdana"/>
          <w:sz w:val="18"/>
          <w:szCs w:val="18"/>
        </w:rPr>
      </w:pPr>
      <w:r w:rsidRPr="00C27ECA">
        <w:rPr>
          <w:rFonts w:ascii="Verdana" w:hAnsi="Verdana"/>
          <w:sz w:val="18"/>
          <w:szCs w:val="18"/>
        </w:rPr>
        <w:br/>
      </w:r>
    </w:p>
    <w:p w:rsidRPr="00BC77AE" w:rsidR="001B7A5D" w:rsidP="001B7A5D" w:rsidRDefault="001B7A5D" w14:paraId="5F8E4E78" w14:textId="77777777">
      <w:pPr>
        <w:pStyle w:val="Geenafstand"/>
        <w:numPr>
          <w:ilvl w:val="0"/>
          <w:numId w:val="1"/>
        </w:numPr>
        <w:rPr>
          <w:rFonts w:ascii="Verdana" w:hAnsi="Verdana"/>
          <w:i/>
          <w:iCs/>
          <w:sz w:val="18"/>
          <w:szCs w:val="18"/>
        </w:rPr>
      </w:pPr>
      <w:r w:rsidRPr="00BC77AE">
        <w:rPr>
          <w:rFonts w:ascii="Verdana" w:hAnsi="Verdana"/>
          <w:i/>
          <w:iCs/>
          <w:sz w:val="18"/>
          <w:szCs w:val="18"/>
        </w:rPr>
        <w:lastRenderedPageBreak/>
        <w:t>Is het gebruikelijk dat een Centrale Ondernemingsraad geheimhouding opgelegd krijgt ten aanzien van de invoering van de Wet toekomst pensioenen (Wtp)?</w:t>
      </w:r>
    </w:p>
    <w:p w:rsidR="00C27ECA" w:rsidP="00C27ECA" w:rsidRDefault="00C27ECA" w14:paraId="63382CD8" w14:textId="77777777">
      <w:pPr>
        <w:pStyle w:val="Geenafstand"/>
        <w:rPr>
          <w:rFonts w:ascii="Verdana" w:hAnsi="Verdana"/>
          <w:sz w:val="18"/>
          <w:szCs w:val="18"/>
        </w:rPr>
      </w:pPr>
    </w:p>
    <w:p w:rsidRPr="00C27ECA" w:rsidR="001B7A5D" w:rsidP="001B7A5D" w:rsidRDefault="001B7A5D" w14:paraId="716538EB" w14:textId="77777777">
      <w:pPr>
        <w:pStyle w:val="Geenafstand"/>
        <w:rPr>
          <w:rFonts w:ascii="Verdana" w:hAnsi="Verdana"/>
          <w:sz w:val="18"/>
          <w:szCs w:val="18"/>
        </w:rPr>
      </w:pPr>
      <w:r w:rsidRPr="00C27ECA">
        <w:rPr>
          <w:rFonts w:ascii="Verdana" w:hAnsi="Verdana"/>
          <w:sz w:val="18"/>
          <w:szCs w:val="18"/>
        </w:rPr>
        <w:t>Het kan voorkomen dat een (centrale) ondernemingsraad in het kader van overleg met de werkgever vertrouwelijke informatie ontvangt. In dat geval kan de ondernemer op grond van artikel 20 van de Wet op de ondernemingsraden (WOR) om geheimhouding vragen, indien sprake is van gewichtige redenen. Een dergelijke geheimhoudingsplicht dient gemotiveerd te worden opgelegd en ziet toe op specifieke informatie.</w:t>
      </w:r>
    </w:p>
    <w:p w:rsidRPr="00C27ECA" w:rsidR="001B7A5D" w:rsidP="001B7A5D" w:rsidRDefault="001B7A5D" w14:paraId="53457BB7" w14:textId="77777777">
      <w:pPr>
        <w:pStyle w:val="Geenafstand"/>
        <w:rPr>
          <w:rFonts w:ascii="Verdana" w:hAnsi="Verdana"/>
          <w:sz w:val="18"/>
          <w:szCs w:val="18"/>
        </w:rPr>
      </w:pPr>
    </w:p>
    <w:p w:rsidRPr="00C27ECA" w:rsidR="001B7A5D" w:rsidP="001B7A5D" w:rsidRDefault="001B7A5D" w14:paraId="2BA80E7F" w14:textId="77777777">
      <w:pPr>
        <w:pStyle w:val="Geenafstand"/>
        <w:rPr>
          <w:rFonts w:ascii="Verdana" w:hAnsi="Verdana"/>
          <w:sz w:val="18"/>
          <w:szCs w:val="18"/>
        </w:rPr>
      </w:pPr>
      <w:r w:rsidRPr="00C27ECA">
        <w:rPr>
          <w:rFonts w:ascii="Verdana" w:hAnsi="Verdana"/>
          <w:sz w:val="18"/>
          <w:szCs w:val="18"/>
        </w:rPr>
        <w:t xml:space="preserve">De Wet toekomst pensioenen (Wtp) bevat geen afzonderlijke geheimhoudingsplicht voor ondernemingsraden. </w:t>
      </w:r>
    </w:p>
    <w:p w:rsidRPr="00C27ECA" w:rsidR="001B7A5D" w:rsidP="001B7A5D" w:rsidRDefault="001B7A5D" w14:paraId="6940F101" w14:textId="77777777">
      <w:pPr>
        <w:pStyle w:val="Geenafstand"/>
        <w:rPr>
          <w:rFonts w:ascii="Verdana" w:hAnsi="Verdana"/>
          <w:sz w:val="18"/>
          <w:szCs w:val="18"/>
        </w:rPr>
      </w:pPr>
    </w:p>
    <w:p w:rsidRPr="00C27ECA" w:rsidR="001B7A5D" w:rsidP="001B7A5D" w:rsidRDefault="001B7A5D" w14:paraId="7B6AAF84" w14:textId="048C4E30">
      <w:pPr>
        <w:pStyle w:val="Geenafstand"/>
        <w:rPr>
          <w:rFonts w:ascii="Verdana" w:hAnsi="Verdana"/>
          <w:sz w:val="18"/>
          <w:szCs w:val="18"/>
        </w:rPr>
      </w:pPr>
      <w:r w:rsidRPr="00C27ECA">
        <w:rPr>
          <w:rFonts w:ascii="Verdana" w:hAnsi="Verdana"/>
          <w:sz w:val="18"/>
          <w:szCs w:val="18"/>
        </w:rPr>
        <w:t>Ik vind het van belang dat medezeggenschapsorganen hun rol goed kunnen vervullen en dat transparantie richting werknemers en andere betrokkenen waar mogelijk wordt bevorderd, met inachtneming van situaties waarin vertrouwelijkheid noodzakelijk zijn.</w:t>
      </w:r>
      <w:r w:rsidRPr="00C27ECA">
        <w:rPr>
          <w:rFonts w:ascii="Verdana" w:hAnsi="Verdana"/>
          <w:sz w:val="18"/>
          <w:szCs w:val="18"/>
        </w:rPr>
        <w:br/>
      </w:r>
    </w:p>
    <w:p w:rsidRPr="00BC77AE" w:rsidR="001B7A5D" w:rsidP="001B7A5D" w:rsidRDefault="001B7A5D" w14:paraId="46DC5A55" w14:textId="77777777">
      <w:pPr>
        <w:pStyle w:val="Geenafstand"/>
        <w:numPr>
          <w:ilvl w:val="0"/>
          <w:numId w:val="1"/>
        </w:numPr>
        <w:rPr>
          <w:rFonts w:ascii="Verdana" w:hAnsi="Verdana"/>
          <w:i/>
          <w:iCs/>
          <w:sz w:val="18"/>
          <w:szCs w:val="18"/>
        </w:rPr>
      </w:pPr>
      <w:r w:rsidRPr="00BC77AE">
        <w:rPr>
          <w:rFonts w:ascii="Verdana" w:hAnsi="Verdana"/>
          <w:i/>
          <w:iCs/>
          <w:sz w:val="18"/>
          <w:szCs w:val="18"/>
        </w:rPr>
        <w:t>Wat vindt u van het feit dat de Centrale Ondernemingsraad van Johnson &amp; Johnson, bestaande uit drie a vier actieve medewerkers, als sociale partner een besluit neemt over de invoering van de Wtp voor 10.000 deelnemers, zonder dat zij mogelijkheden hebben voor ruggespraak en/of overleg met hun achterban. Is hier enig toezicht op?</w:t>
      </w:r>
    </w:p>
    <w:p w:rsidR="00C27ECA" w:rsidP="00C27ECA" w:rsidRDefault="00C27ECA" w14:paraId="213F975D" w14:textId="77777777">
      <w:pPr>
        <w:pStyle w:val="Geenafstand"/>
        <w:rPr>
          <w:rFonts w:ascii="Verdana" w:hAnsi="Verdana"/>
          <w:sz w:val="18"/>
          <w:szCs w:val="18"/>
        </w:rPr>
      </w:pPr>
    </w:p>
    <w:p w:rsidRPr="00C27ECA" w:rsidR="001B7A5D" w:rsidP="001B7A5D" w:rsidRDefault="001B7A5D" w14:paraId="0E8240A1" w14:textId="77777777">
      <w:pPr>
        <w:pStyle w:val="Geenafstand"/>
        <w:rPr>
          <w:rFonts w:ascii="Verdana" w:hAnsi="Verdana"/>
          <w:sz w:val="18"/>
          <w:szCs w:val="18"/>
        </w:rPr>
      </w:pPr>
      <w:r w:rsidRPr="00C27ECA">
        <w:rPr>
          <w:rFonts w:ascii="Verdana" w:hAnsi="Verdana"/>
          <w:sz w:val="18"/>
          <w:szCs w:val="18"/>
        </w:rPr>
        <w:t xml:space="preserve">De transitie naar het nieuwe pensioenstelsel is in belangrijke mate een arbeidsvoorwaardelijk traject. Afhankelijk van de situatie worden afspraken over de pensioenregeling gemaakt tussen werkgever en werknemersvertegenwoordiging door bijvoorbeeld de (centrale) ondernemingsraad. </w:t>
      </w:r>
    </w:p>
    <w:p w:rsidRPr="00C27ECA" w:rsidR="001B7A5D" w:rsidP="001B7A5D" w:rsidRDefault="001B7A5D" w14:paraId="35F61A7C" w14:textId="77777777">
      <w:pPr>
        <w:pStyle w:val="Geenafstand"/>
        <w:rPr>
          <w:rFonts w:ascii="Verdana" w:hAnsi="Verdana"/>
          <w:sz w:val="18"/>
          <w:szCs w:val="18"/>
        </w:rPr>
      </w:pPr>
    </w:p>
    <w:p w:rsidRPr="00C27ECA" w:rsidR="001B7A5D" w:rsidP="001B7A5D" w:rsidRDefault="001B7A5D" w14:paraId="3D62D127" w14:textId="77777777">
      <w:pPr>
        <w:pStyle w:val="Geenafstand"/>
        <w:rPr>
          <w:rFonts w:ascii="Verdana" w:hAnsi="Verdana"/>
          <w:sz w:val="18"/>
          <w:szCs w:val="18"/>
        </w:rPr>
      </w:pPr>
      <w:r w:rsidRPr="00C27ECA">
        <w:rPr>
          <w:rFonts w:ascii="Verdana" w:hAnsi="Verdana"/>
          <w:sz w:val="18"/>
          <w:szCs w:val="18"/>
        </w:rPr>
        <w:t>De (centrale) ondernemingsraad is een wettelijk medezeggenschap op grond van de WOR. De WOR regelt de bevoegdheden van de ondernemingsraad en de wijze waarop deze wordt samengesteld. De wijze waarop de ondernemingsraad zijn achterban betrekt, is in beginsel een interne aangelegenheid en kan per organisatie verschillen.</w:t>
      </w:r>
    </w:p>
    <w:p w:rsidRPr="00C27ECA" w:rsidR="001B7A5D" w:rsidP="001B7A5D" w:rsidRDefault="001B7A5D" w14:paraId="12FE914C" w14:textId="77777777">
      <w:pPr>
        <w:pStyle w:val="Geenafstand"/>
        <w:rPr>
          <w:rFonts w:ascii="Verdana" w:hAnsi="Verdana"/>
          <w:sz w:val="18"/>
          <w:szCs w:val="18"/>
        </w:rPr>
      </w:pPr>
    </w:p>
    <w:p w:rsidRPr="00C27ECA" w:rsidR="001B7A5D" w:rsidP="001B7A5D" w:rsidRDefault="001B7A5D" w14:paraId="4B18D911" w14:textId="77777777">
      <w:pPr>
        <w:pStyle w:val="Geenafstand"/>
        <w:rPr>
          <w:rFonts w:ascii="Verdana" w:hAnsi="Verdana"/>
          <w:sz w:val="18"/>
          <w:szCs w:val="18"/>
        </w:rPr>
      </w:pPr>
      <w:r w:rsidRPr="00C27ECA">
        <w:rPr>
          <w:rFonts w:ascii="Verdana" w:hAnsi="Verdana"/>
          <w:sz w:val="18"/>
          <w:szCs w:val="18"/>
        </w:rPr>
        <w:t xml:space="preserve">De Wtp stelt daarnaast eisen aan het transitieproces, waaronder het opstellen van een transitieplan en communicatieplan richting deelnemers. Pensioenuitvoerders staan bij de uitvoering van hun wettelijke verplichtingen onder toezicht van DNB en AFM. </w:t>
      </w:r>
    </w:p>
    <w:p w:rsidRPr="00C27ECA" w:rsidR="001B7A5D" w:rsidP="001B7A5D" w:rsidRDefault="001B7A5D" w14:paraId="134C2D75" w14:textId="77777777">
      <w:pPr>
        <w:pStyle w:val="Geenafstand"/>
        <w:rPr>
          <w:rFonts w:ascii="Verdana" w:hAnsi="Verdana"/>
          <w:sz w:val="18"/>
          <w:szCs w:val="18"/>
        </w:rPr>
      </w:pPr>
    </w:p>
    <w:p w:rsidRPr="00C27ECA" w:rsidR="001B7A5D" w:rsidP="001B7A5D" w:rsidRDefault="001B7A5D" w14:paraId="6C789188" w14:textId="77777777">
      <w:pPr>
        <w:pStyle w:val="Geenafstand"/>
        <w:rPr>
          <w:rFonts w:ascii="Verdana" w:hAnsi="Verdana"/>
          <w:sz w:val="18"/>
          <w:szCs w:val="18"/>
        </w:rPr>
      </w:pPr>
      <w:r w:rsidRPr="00C27ECA">
        <w:rPr>
          <w:rFonts w:ascii="Verdana" w:hAnsi="Verdana"/>
          <w:sz w:val="18"/>
          <w:szCs w:val="18"/>
        </w:rPr>
        <w:t xml:space="preserve">Toezicht op de naleving van de WOR in individuele gevallen ligt niet bij mijn ministerie. Indien partijen van mening zijn dat de WOR niet correct wordt toegepast, kunnen zij dit aan de orde stellen via de daarvoor bestemde juridische route, waaronder de Ondernemingskamer.  </w:t>
      </w:r>
      <w:r w:rsidRPr="00C27ECA">
        <w:rPr>
          <w:rFonts w:ascii="Verdana" w:hAnsi="Verdana"/>
          <w:sz w:val="18"/>
          <w:szCs w:val="18"/>
        </w:rPr>
        <w:br/>
      </w:r>
    </w:p>
    <w:p w:rsidRPr="00BC77AE" w:rsidR="001B7A5D" w:rsidP="001B7A5D" w:rsidRDefault="001B7A5D" w14:paraId="6873F8CD" w14:textId="77777777">
      <w:pPr>
        <w:pStyle w:val="Geenafstand"/>
        <w:numPr>
          <w:ilvl w:val="0"/>
          <w:numId w:val="1"/>
        </w:numPr>
        <w:rPr>
          <w:rFonts w:ascii="Verdana" w:hAnsi="Verdana"/>
          <w:i/>
          <w:iCs/>
          <w:sz w:val="18"/>
          <w:szCs w:val="18"/>
        </w:rPr>
      </w:pPr>
      <w:r w:rsidRPr="00BC77AE">
        <w:rPr>
          <w:rFonts w:ascii="Verdana" w:hAnsi="Verdana"/>
          <w:i/>
          <w:iCs/>
          <w:sz w:val="18"/>
          <w:szCs w:val="18"/>
        </w:rPr>
        <w:t>Bent u ermee bekend dat Johnson &amp; Johnson opnieuw voornemens is om het pensioenfonds te vestigen in België, ondanks het feit dat er grote verschillen bestaan op het gebied van evenwichtigheid, premiebeleid, medezeggenschap, governance en beleggingsbeleid? Geven deze verschillen niet een onevenwichtige uitvoering en uitkomst van pensioenregelingen?</w:t>
      </w:r>
    </w:p>
    <w:p w:rsidRPr="00C27ECA" w:rsidR="00C27ECA" w:rsidP="00C27ECA" w:rsidRDefault="00C27ECA" w14:paraId="7003EB05" w14:textId="6132A201">
      <w:pPr>
        <w:pStyle w:val="Geenafstand"/>
        <w:rPr>
          <w:rFonts w:ascii="Verdana" w:hAnsi="Verdana"/>
          <w:sz w:val="18"/>
          <w:szCs w:val="18"/>
        </w:rPr>
      </w:pPr>
    </w:p>
    <w:p w:rsidRPr="00C27ECA" w:rsidR="001B7A5D" w:rsidP="001B7A5D" w:rsidRDefault="001B7A5D" w14:paraId="441CCDFA" w14:textId="3E125F6A">
      <w:pPr>
        <w:pStyle w:val="Geenafstand"/>
        <w:rPr>
          <w:rFonts w:ascii="Verdana" w:hAnsi="Verdana"/>
          <w:sz w:val="18"/>
          <w:szCs w:val="18"/>
        </w:rPr>
      </w:pPr>
      <w:r w:rsidRPr="00C27ECA">
        <w:rPr>
          <w:rFonts w:ascii="Verdana" w:hAnsi="Verdana"/>
          <w:sz w:val="18"/>
          <w:szCs w:val="18"/>
        </w:rPr>
        <w:t>Ik heb kennis genomen van de signalen dat Johnson &amp; Johnson voornemens is de pensioenuitvoering (grensoverschrijdend) te</w:t>
      </w:r>
      <w:r w:rsidR="003500F1">
        <w:rPr>
          <w:rFonts w:ascii="Verdana" w:hAnsi="Verdana"/>
          <w:sz w:val="18"/>
          <w:szCs w:val="18"/>
        </w:rPr>
        <w:t xml:space="preserve"> blijven</w:t>
      </w:r>
      <w:r w:rsidRPr="00C27ECA">
        <w:rPr>
          <w:rFonts w:ascii="Verdana" w:hAnsi="Verdana"/>
          <w:sz w:val="18"/>
          <w:szCs w:val="18"/>
        </w:rPr>
        <w:t xml:space="preserve"> organiseren via België. Grensoverschrijdende uitvoering van pensioenregelingen binnen de Europese Unie is onder voorwaarden mogelijk op basis van IORP II. IORP II stelt minimumeisen aan onder meer governance, risicobeheer, informatieverstrekking en prudentieel toezicht. Daarmee wordt beoogd dat ook bij de grensoverschrijdende uitvoering een passend niveau van deelnemersbescherming wordt geborgd. </w:t>
      </w:r>
    </w:p>
    <w:p w:rsidRPr="00C27ECA" w:rsidR="001B7A5D" w:rsidP="001B7A5D" w:rsidRDefault="001B7A5D" w14:paraId="2016D32D" w14:textId="77777777">
      <w:pPr>
        <w:pStyle w:val="Geenafstand"/>
        <w:rPr>
          <w:rFonts w:ascii="Verdana" w:hAnsi="Verdana"/>
          <w:sz w:val="18"/>
          <w:szCs w:val="18"/>
        </w:rPr>
      </w:pPr>
    </w:p>
    <w:p w:rsidRPr="00C27ECA" w:rsidR="001B7A5D" w:rsidP="001B7A5D" w:rsidRDefault="001B7A5D" w14:paraId="26B039A5" w14:textId="77777777">
      <w:pPr>
        <w:pStyle w:val="Geenafstand"/>
        <w:rPr>
          <w:rFonts w:ascii="Verdana" w:hAnsi="Verdana"/>
          <w:sz w:val="18"/>
          <w:szCs w:val="18"/>
        </w:rPr>
      </w:pPr>
      <w:r w:rsidRPr="00C27ECA">
        <w:rPr>
          <w:rFonts w:ascii="Verdana" w:hAnsi="Verdana"/>
          <w:sz w:val="18"/>
          <w:szCs w:val="18"/>
        </w:rPr>
        <w:t xml:space="preserve">Tegelijkertijd geldt dat de inhoud van de pensioenregeling in belangrijke mate arbeidsvoorwaardelijk is en tot stand komt tussen werkgever en werknemersvertegenwoordiging. Verschillen tussen nationale stelsels kunnen bestaan, onder meer in governance en toezichtpraktijk. Dat die verschillen er zijn, betekent echter niet dat sprake is van een onevenwichtige uitvoering of uitkomst. </w:t>
      </w:r>
    </w:p>
    <w:p w:rsidRPr="00C27ECA" w:rsidR="001B7A5D" w:rsidP="001B7A5D" w:rsidRDefault="001B7A5D" w14:paraId="51A02FAE" w14:textId="77777777">
      <w:pPr>
        <w:pStyle w:val="Geenafstand"/>
        <w:rPr>
          <w:rFonts w:ascii="Verdana" w:hAnsi="Verdana"/>
          <w:sz w:val="18"/>
          <w:szCs w:val="18"/>
        </w:rPr>
      </w:pPr>
    </w:p>
    <w:p w:rsidRPr="00C27ECA" w:rsidR="001B7A5D" w:rsidP="001B7A5D" w:rsidRDefault="001B7A5D" w14:paraId="0951FDA8" w14:textId="77777777">
      <w:pPr>
        <w:pStyle w:val="Geenafstand"/>
        <w:rPr>
          <w:rFonts w:ascii="Verdana" w:hAnsi="Verdana"/>
          <w:sz w:val="18"/>
          <w:szCs w:val="18"/>
        </w:rPr>
      </w:pPr>
      <w:r w:rsidRPr="00C27ECA">
        <w:rPr>
          <w:rFonts w:ascii="Verdana" w:hAnsi="Verdana"/>
          <w:sz w:val="18"/>
          <w:szCs w:val="18"/>
        </w:rPr>
        <w:t>De Wet toekomst pensioenen stelt bovendien eisen aan het transitieproces, waaronder het opstellen van een transitieplan en het uitvoeren van een evenwichtige belangenafweging. Pensioenuitvoerders dienen bij de uitvoering van hun taken aan de wettelijke eisen te voldoen en staan daarbij onder toezicht van de aangewezen toezichthouders.</w:t>
      </w:r>
    </w:p>
    <w:p w:rsidRPr="00C27ECA" w:rsidR="001B7A5D" w:rsidP="001B7A5D" w:rsidRDefault="001B7A5D" w14:paraId="297CC889" w14:textId="77777777">
      <w:pPr>
        <w:pStyle w:val="Geenafstand"/>
        <w:rPr>
          <w:rFonts w:ascii="Verdana" w:hAnsi="Verdana"/>
          <w:sz w:val="18"/>
          <w:szCs w:val="18"/>
        </w:rPr>
      </w:pPr>
    </w:p>
    <w:p w:rsidRPr="00C27ECA" w:rsidR="001B7A5D" w:rsidP="001B7A5D" w:rsidRDefault="001B7A5D" w14:paraId="3325F395" w14:textId="77777777">
      <w:pPr>
        <w:pStyle w:val="Geenafstand"/>
        <w:rPr>
          <w:rFonts w:ascii="Verdana" w:hAnsi="Verdana"/>
          <w:sz w:val="18"/>
          <w:szCs w:val="18"/>
        </w:rPr>
      </w:pPr>
      <w:r w:rsidRPr="00C27ECA">
        <w:rPr>
          <w:rFonts w:ascii="Verdana" w:hAnsi="Verdana"/>
          <w:sz w:val="18"/>
          <w:szCs w:val="18"/>
        </w:rPr>
        <w:t>Ik kan niet treden in de besluitvorming van individuele gevallen.</w:t>
      </w:r>
    </w:p>
    <w:p w:rsidRPr="00C27ECA" w:rsidR="001B7A5D" w:rsidP="001B7A5D" w:rsidRDefault="001B7A5D" w14:paraId="51FE5D5D" w14:textId="77777777">
      <w:pPr>
        <w:pStyle w:val="Geenafstand"/>
        <w:rPr>
          <w:rFonts w:ascii="Verdana" w:hAnsi="Verdana"/>
          <w:sz w:val="18"/>
          <w:szCs w:val="18"/>
        </w:rPr>
      </w:pPr>
    </w:p>
    <w:p w:rsidRPr="00BC77AE" w:rsidR="001B7A5D" w:rsidP="001B7A5D" w:rsidRDefault="001B7A5D" w14:paraId="2650A881" w14:textId="09EA4DD6">
      <w:pPr>
        <w:pStyle w:val="Geenafstand"/>
        <w:numPr>
          <w:ilvl w:val="0"/>
          <w:numId w:val="1"/>
        </w:numPr>
        <w:rPr>
          <w:rFonts w:ascii="Verdana" w:hAnsi="Verdana"/>
          <w:i/>
          <w:iCs/>
          <w:sz w:val="18"/>
          <w:szCs w:val="18"/>
        </w:rPr>
      </w:pPr>
      <w:r w:rsidRPr="00BC77AE">
        <w:rPr>
          <w:rFonts w:ascii="Verdana" w:hAnsi="Verdana"/>
          <w:i/>
          <w:iCs/>
          <w:sz w:val="18"/>
          <w:szCs w:val="18"/>
        </w:rPr>
        <w:lastRenderedPageBreak/>
        <w:t>Bent u op de hoogte van de United States Generally Accepted Accounting Principles-boekhoudregels( US Gaap-boekhoudregels) van Amerikaanse bedrijven met betrekking tot het opgebouwde pensioenvermogen? Wat vindt u ervan, dat het pensioenvermogen op de balans van Amerikaanse bedrijven, een dusdanig belangrijk financieel voordeel blijkt te geven, dat elke indexatie ten gunste van de deelnemers, wordt gezien als kapitaalvermindering en een slechtere balanspositie</w:t>
      </w:r>
      <w:r w:rsidRPr="00BC77AE" w:rsidR="00C27ECA">
        <w:rPr>
          <w:rFonts w:ascii="Verdana" w:hAnsi="Verdana"/>
          <w:i/>
          <w:iCs/>
          <w:sz w:val="18"/>
          <w:szCs w:val="18"/>
        </w:rPr>
        <w:t>?</w:t>
      </w:r>
    </w:p>
    <w:p w:rsidR="00C27ECA" w:rsidP="00C27ECA" w:rsidRDefault="00C27ECA" w14:paraId="582F4774" w14:textId="77777777">
      <w:pPr>
        <w:pStyle w:val="Geenafstand"/>
        <w:rPr>
          <w:rFonts w:ascii="Verdana" w:hAnsi="Verdana"/>
          <w:sz w:val="18"/>
          <w:szCs w:val="18"/>
        </w:rPr>
      </w:pPr>
    </w:p>
    <w:p w:rsidRPr="00C27ECA" w:rsidR="001B7A5D" w:rsidP="001B7A5D" w:rsidRDefault="001B7A5D" w14:paraId="7F5D3008" w14:textId="77777777">
      <w:pPr>
        <w:pStyle w:val="Geenafstand"/>
        <w:rPr>
          <w:rFonts w:ascii="Verdana" w:hAnsi="Verdana"/>
          <w:sz w:val="18"/>
          <w:szCs w:val="18"/>
        </w:rPr>
      </w:pPr>
      <w:r w:rsidRPr="00C27ECA">
        <w:rPr>
          <w:rFonts w:ascii="Verdana" w:hAnsi="Verdana"/>
          <w:sz w:val="18"/>
          <w:szCs w:val="18"/>
        </w:rPr>
        <w:t>Ik ben ermee bekend dat internationale verslagleggingsregels, waaronder US GAAP, eisen stellen aan de verwerking van pensioenverplichtingen en pensioenvermogen op de balans van ondernemingen. Deze wijze waarop pensioenverplichtingen boekhoudkundig worden verwerkt, kan gevolgen hebben voor de financiële verslaglegging van ondernemingen.</w:t>
      </w:r>
    </w:p>
    <w:p w:rsidRPr="00C27ECA" w:rsidR="001B7A5D" w:rsidP="001B7A5D" w:rsidRDefault="001B7A5D" w14:paraId="35089493" w14:textId="77777777">
      <w:pPr>
        <w:pStyle w:val="Geenafstand"/>
        <w:rPr>
          <w:rFonts w:ascii="Verdana" w:hAnsi="Verdana"/>
          <w:sz w:val="18"/>
          <w:szCs w:val="18"/>
        </w:rPr>
      </w:pPr>
    </w:p>
    <w:p w:rsidRPr="00C27ECA" w:rsidR="001B7A5D" w:rsidP="001B7A5D" w:rsidRDefault="001B7A5D" w14:paraId="25389403" w14:textId="55E15939">
      <w:pPr>
        <w:pStyle w:val="Geenafstand"/>
        <w:rPr>
          <w:rFonts w:ascii="Verdana" w:hAnsi="Verdana"/>
          <w:sz w:val="18"/>
          <w:szCs w:val="18"/>
        </w:rPr>
      </w:pPr>
      <w:r w:rsidRPr="00C27ECA">
        <w:rPr>
          <w:rFonts w:ascii="Verdana" w:hAnsi="Verdana"/>
          <w:sz w:val="18"/>
          <w:szCs w:val="18"/>
        </w:rPr>
        <w:t xml:space="preserve">De vraag of en in hoeverre toeslagverlening (indexatie) plaatsvindt, volgt uit de afspraken in de pensioenregeling en de wijze waarop de regeling is vormgegeven. </w:t>
      </w:r>
      <w:r w:rsidRPr="00C27ECA" w:rsidR="00005C0A">
        <w:rPr>
          <w:rFonts w:ascii="Verdana" w:hAnsi="Verdana"/>
          <w:sz w:val="18"/>
          <w:szCs w:val="18"/>
        </w:rPr>
        <w:t>Ik vind het daarbij</w:t>
      </w:r>
      <w:r w:rsidRPr="00C27ECA">
        <w:rPr>
          <w:rFonts w:ascii="Verdana" w:hAnsi="Verdana"/>
          <w:sz w:val="18"/>
          <w:szCs w:val="18"/>
        </w:rPr>
        <w:t xml:space="preserve"> van belang dat deelnemers helder en tijdig worden geïnformeerd over de aard van hun pensioen en de voorwaarden waaronder toeslagen kunnen worden verleend.</w:t>
      </w:r>
    </w:p>
    <w:p w:rsidRPr="00C27ECA" w:rsidR="001B7A5D" w:rsidP="001B7A5D" w:rsidRDefault="001B7A5D" w14:paraId="0692EAF2" w14:textId="77777777">
      <w:pPr>
        <w:pStyle w:val="Geenafstand"/>
        <w:rPr>
          <w:rFonts w:ascii="Verdana" w:hAnsi="Verdana"/>
          <w:sz w:val="18"/>
          <w:szCs w:val="18"/>
        </w:rPr>
      </w:pPr>
    </w:p>
    <w:p w:rsidRPr="00BC77AE" w:rsidR="001B7A5D" w:rsidP="001B7A5D" w:rsidRDefault="001B7A5D" w14:paraId="4D4BEDB3" w14:textId="77777777">
      <w:pPr>
        <w:pStyle w:val="Geenafstand"/>
        <w:numPr>
          <w:ilvl w:val="0"/>
          <w:numId w:val="1"/>
        </w:numPr>
        <w:rPr>
          <w:rFonts w:ascii="Verdana" w:hAnsi="Verdana"/>
          <w:i/>
          <w:iCs/>
          <w:sz w:val="18"/>
          <w:szCs w:val="18"/>
        </w:rPr>
      </w:pPr>
      <w:r w:rsidRPr="00BC77AE">
        <w:rPr>
          <w:rFonts w:ascii="Verdana" w:hAnsi="Verdana"/>
          <w:i/>
          <w:iCs/>
          <w:sz w:val="18"/>
          <w:szCs w:val="18"/>
        </w:rPr>
        <w:t>Kan Johnson &amp; Johnson eigenstandig beslissen om wel of niet in te varen? Hebben deelnemers hier nog inspraak in?</w:t>
      </w:r>
    </w:p>
    <w:p w:rsidR="00C27ECA" w:rsidP="00C27ECA" w:rsidRDefault="00C27ECA" w14:paraId="79C45F17" w14:textId="77777777">
      <w:pPr>
        <w:pStyle w:val="Geenafstand"/>
        <w:rPr>
          <w:rFonts w:ascii="Verdana" w:hAnsi="Verdana"/>
          <w:sz w:val="18"/>
          <w:szCs w:val="18"/>
        </w:rPr>
      </w:pPr>
    </w:p>
    <w:p w:rsidRPr="00C27ECA" w:rsidR="001B7A5D" w:rsidP="001B7A5D" w:rsidRDefault="001B7A5D" w14:paraId="74EAD72C" w14:textId="77777777">
      <w:pPr>
        <w:pStyle w:val="Geenafstand"/>
        <w:rPr>
          <w:rFonts w:ascii="Verdana" w:hAnsi="Verdana"/>
          <w:sz w:val="18"/>
          <w:szCs w:val="18"/>
        </w:rPr>
      </w:pPr>
      <w:r w:rsidRPr="00C27ECA">
        <w:rPr>
          <w:rFonts w:ascii="Verdana" w:hAnsi="Verdana"/>
          <w:sz w:val="18"/>
          <w:szCs w:val="18"/>
        </w:rPr>
        <w:t>De keuze om al dan niet in te varen maakt onderdeel uit van de transitie naar het nieuwe pensioenstelsel. Deze keuze is in belangrijke mate arbeidsvoorwaardelijk van aard en wordt in Nederland gemaakt door de werkgever en werknemersvertegenwoordiging, afhankelijk van de toepasselijke afspraken en medezeggenschapsrechten.</w:t>
      </w:r>
    </w:p>
    <w:p w:rsidRPr="00C27ECA" w:rsidR="001B7A5D" w:rsidP="001B7A5D" w:rsidRDefault="001B7A5D" w14:paraId="704DA972" w14:textId="77777777">
      <w:pPr>
        <w:pStyle w:val="Geenafstand"/>
        <w:rPr>
          <w:rFonts w:ascii="Verdana" w:hAnsi="Verdana"/>
          <w:sz w:val="18"/>
          <w:szCs w:val="18"/>
        </w:rPr>
      </w:pPr>
    </w:p>
    <w:p w:rsidRPr="00C27ECA" w:rsidR="001B7A5D" w:rsidP="001B7A5D" w:rsidRDefault="001B7A5D" w14:paraId="6E6A5AFE" w14:textId="65753157">
      <w:pPr>
        <w:pStyle w:val="Geenafstand"/>
        <w:rPr>
          <w:rFonts w:ascii="Verdana" w:hAnsi="Verdana"/>
          <w:sz w:val="18"/>
          <w:szCs w:val="18"/>
        </w:rPr>
      </w:pPr>
      <w:r w:rsidRPr="00C27ECA">
        <w:rPr>
          <w:rFonts w:ascii="Verdana" w:hAnsi="Verdana"/>
          <w:sz w:val="18"/>
          <w:szCs w:val="18"/>
        </w:rPr>
        <w:t>De pensioenuitvoerder heeft daarbij een eigen verantwoordelijkheid voor de uitvoerbaarheid van de regeling en moet voldoen aan de wettelijke eisen die gelden voor het transitieproces, waaronder de vereiste evenwichtige belangenafweging.</w:t>
      </w:r>
      <w:r w:rsidR="00FB51A9">
        <w:rPr>
          <w:rFonts w:ascii="Verdana" w:hAnsi="Verdana"/>
          <w:sz w:val="18"/>
          <w:szCs w:val="18"/>
        </w:rPr>
        <w:t xml:space="preserve"> DNB ziet hier op toe.</w:t>
      </w:r>
    </w:p>
    <w:p w:rsidRPr="00C27ECA" w:rsidR="001B7A5D" w:rsidP="001B7A5D" w:rsidRDefault="001B7A5D" w14:paraId="0131C7BA" w14:textId="77777777">
      <w:pPr>
        <w:pStyle w:val="Geenafstand"/>
        <w:rPr>
          <w:rFonts w:ascii="Verdana" w:hAnsi="Verdana"/>
          <w:sz w:val="18"/>
          <w:szCs w:val="18"/>
        </w:rPr>
      </w:pPr>
    </w:p>
    <w:p w:rsidRPr="00C27ECA" w:rsidR="001B7A5D" w:rsidP="001B7A5D" w:rsidRDefault="001B7A5D" w14:paraId="6DC7CB03" w14:textId="77777777">
      <w:pPr>
        <w:pStyle w:val="Geenafstand"/>
        <w:rPr>
          <w:rFonts w:ascii="Verdana" w:hAnsi="Verdana"/>
          <w:sz w:val="18"/>
          <w:szCs w:val="18"/>
        </w:rPr>
      </w:pPr>
      <w:r w:rsidRPr="00C27ECA">
        <w:rPr>
          <w:rFonts w:ascii="Verdana" w:hAnsi="Verdana"/>
          <w:sz w:val="18"/>
          <w:szCs w:val="18"/>
        </w:rPr>
        <w:t>De Wet toekomst pensioenen stelt eisen aan het transitieproces, waaronder het opstellen van een transitieplan en communicatie richting deelnemers. Deelnemers hebben daarbij geen individueel bezwaarrecht ten aanzien van de keuze om wel of niet in te varen, maar moeten wel tijdig én zorgvuldig te worden geïnformeerd. Indien deelnemers menen dat procedures niet zorgvuldig zijn gevolgd of dat sprake is van onjuiste informatieverstrekking, kunnen zij gebruikmaken van de bestaande klachten- en geschilprocedures.</w:t>
      </w:r>
      <w:r w:rsidRPr="00C27ECA">
        <w:rPr>
          <w:rFonts w:ascii="Verdana" w:hAnsi="Verdana"/>
          <w:sz w:val="18"/>
          <w:szCs w:val="18"/>
        </w:rPr>
        <w:br/>
      </w:r>
    </w:p>
    <w:p w:rsidRPr="00BC77AE" w:rsidR="001B7A5D" w:rsidP="001B7A5D" w:rsidRDefault="001B7A5D" w14:paraId="24C424E2" w14:textId="77777777">
      <w:pPr>
        <w:pStyle w:val="Geenafstand"/>
        <w:numPr>
          <w:ilvl w:val="0"/>
          <w:numId w:val="1"/>
        </w:numPr>
        <w:rPr>
          <w:rFonts w:ascii="Verdana" w:hAnsi="Verdana"/>
          <w:i/>
          <w:iCs/>
          <w:sz w:val="18"/>
          <w:szCs w:val="18"/>
        </w:rPr>
      </w:pPr>
      <w:r w:rsidRPr="00BC77AE">
        <w:rPr>
          <w:rFonts w:ascii="Verdana" w:hAnsi="Verdana"/>
          <w:i/>
          <w:iCs/>
          <w:sz w:val="18"/>
          <w:szCs w:val="18"/>
        </w:rPr>
        <w:t>In hoeverre is het wenselijk dat er extra toezicht of een vorm van nazorg komt van De Nederlandsche Bank, op of jegens pensioenfondsen die “verdwijnen” naar België? Wat is uw visie hierop?</w:t>
      </w:r>
    </w:p>
    <w:p w:rsidR="00C27ECA" w:rsidP="00C27ECA" w:rsidRDefault="00C27ECA" w14:paraId="36220787" w14:textId="77777777">
      <w:pPr>
        <w:pStyle w:val="Geenafstand"/>
        <w:rPr>
          <w:rFonts w:ascii="Verdana" w:hAnsi="Verdana"/>
          <w:sz w:val="18"/>
          <w:szCs w:val="18"/>
        </w:rPr>
      </w:pPr>
    </w:p>
    <w:p w:rsidRPr="00C27ECA" w:rsidR="001B7A5D" w:rsidP="001B7A5D" w:rsidRDefault="001B7A5D" w14:paraId="13C7BB9C" w14:textId="77777777">
      <w:pPr>
        <w:pStyle w:val="Geenafstand"/>
        <w:rPr>
          <w:rFonts w:ascii="Verdana" w:hAnsi="Verdana"/>
          <w:sz w:val="18"/>
          <w:szCs w:val="18"/>
        </w:rPr>
      </w:pPr>
      <w:r w:rsidRPr="00C27ECA">
        <w:rPr>
          <w:rFonts w:ascii="Verdana" w:hAnsi="Verdana"/>
          <w:sz w:val="18"/>
          <w:szCs w:val="18"/>
        </w:rPr>
        <w:t xml:space="preserve">Het vrije verkeer van diensten binnen de Europese Unie brengt met zich mee dat grensoverschrijdende pensioenuitvoering onder voorwaarden mogelijk is. Daarbij geldt dat deelnemers en pensioengerechtigden moeten kunnen rekenen op adequate bescherming. </w:t>
      </w:r>
    </w:p>
    <w:p w:rsidRPr="00C27ECA" w:rsidR="001B7A5D" w:rsidP="001B7A5D" w:rsidRDefault="001B7A5D" w14:paraId="70750A6A" w14:textId="77777777">
      <w:pPr>
        <w:pStyle w:val="Geenafstand"/>
        <w:rPr>
          <w:rFonts w:ascii="Verdana" w:hAnsi="Verdana"/>
          <w:sz w:val="18"/>
          <w:szCs w:val="18"/>
        </w:rPr>
      </w:pPr>
    </w:p>
    <w:p w:rsidRPr="00C27ECA" w:rsidR="001B7A5D" w:rsidP="001B7A5D" w:rsidRDefault="001B7A5D" w14:paraId="650F332D" w14:textId="41D626F6">
      <w:pPr>
        <w:pStyle w:val="Geenafstand"/>
        <w:rPr>
          <w:rFonts w:ascii="Verdana" w:hAnsi="Verdana"/>
          <w:sz w:val="18"/>
          <w:szCs w:val="18"/>
        </w:rPr>
      </w:pPr>
      <w:r w:rsidRPr="00C27ECA">
        <w:rPr>
          <w:rFonts w:ascii="Verdana" w:hAnsi="Verdana"/>
          <w:sz w:val="18"/>
          <w:szCs w:val="18"/>
        </w:rPr>
        <w:t xml:space="preserve">Binnen het Europese kader geldt dat het prudentieel toezicht op een pensioeninstelling primair wordt uitgeoefend door de toezichthouder van de lidstaat waar de instelling is gevestigd. Bij grensoverschrijdende activiteiten is samenwerking en informatie-uitwisseling tussen toezichthouders op grond van </w:t>
      </w:r>
      <w:r w:rsidR="0026173D">
        <w:rPr>
          <w:rFonts w:ascii="Verdana" w:hAnsi="Verdana"/>
          <w:sz w:val="18"/>
          <w:szCs w:val="18"/>
        </w:rPr>
        <w:t xml:space="preserve">de Europese Richtlijn </w:t>
      </w:r>
      <w:r w:rsidRPr="00C27ECA">
        <w:rPr>
          <w:rFonts w:ascii="Verdana" w:hAnsi="Verdana"/>
          <w:sz w:val="18"/>
          <w:szCs w:val="18"/>
        </w:rPr>
        <w:t xml:space="preserve">IORP II </w:t>
      </w:r>
      <w:r w:rsidRPr="0026173D" w:rsidR="0026173D">
        <w:rPr>
          <w:rFonts w:ascii="Verdana" w:hAnsi="Verdana"/>
          <w:i/>
          <w:iCs/>
          <w:sz w:val="18"/>
          <w:szCs w:val="18"/>
        </w:rPr>
        <w:t>(Institution for Occupational Retirement Provision)</w:t>
      </w:r>
      <w:r w:rsidRPr="0026173D" w:rsidR="0026173D">
        <w:rPr>
          <w:rFonts w:ascii="Verdana" w:hAnsi="Verdana"/>
          <w:sz w:val="18"/>
          <w:szCs w:val="18"/>
        </w:rPr>
        <w:t xml:space="preserve"> </w:t>
      </w:r>
      <w:r w:rsidRPr="00C27ECA">
        <w:rPr>
          <w:rFonts w:ascii="Verdana" w:hAnsi="Verdana"/>
          <w:sz w:val="18"/>
          <w:szCs w:val="18"/>
        </w:rPr>
        <w:t>verplicht.</w:t>
      </w:r>
    </w:p>
    <w:p w:rsidRPr="00C27ECA" w:rsidR="001B7A5D" w:rsidP="001B7A5D" w:rsidRDefault="001B7A5D" w14:paraId="7D182F67" w14:textId="77777777">
      <w:pPr>
        <w:pStyle w:val="Geenafstand"/>
        <w:rPr>
          <w:rFonts w:ascii="Verdana" w:hAnsi="Verdana"/>
          <w:sz w:val="18"/>
          <w:szCs w:val="18"/>
        </w:rPr>
      </w:pPr>
    </w:p>
    <w:p w:rsidRPr="00C27ECA" w:rsidR="001B7A5D" w:rsidP="001B7A5D" w:rsidRDefault="001B7A5D" w14:paraId="23DF7150" w14:textId="6AB36C69">
      <w:pPr>
        <w:pStyle w:val="Geenafstand"/>
        <w:rPr>
          <w:rFonts w:ascii="Verdana" w:hAnsi="Verdana"/>
          <w:sz w:val="18"/>
          <w:szCs w:val="18"/>
        </w:rPr>
      </w:pPr>
      <w:r w:rsidRPr="00C27ECA">
        <w:rPr>
          <w:rFonts w:ascii="Verdana" w:hAnsi="Verdana"/>
          <w:sz w:val="18"/>
          <w:szCs w:val="18"/>
        </w:rPr>
        <w:t xml:space="preserve">Ik acht het wenselijk dat toezichthouders in Nederland en in andere lidstaten effectief </w:t>
      </w:r>
      <w:r w:rsidR="00871A0B">
        <w:rPr>
          <w:rFonts w:ascii="Verdana" w:hAnsi="Verdana"/>
          <w:sz w:val="18"/>
          <w:szCs w:val="18"/>
        </w:rPr>
        <w:t xml:space="preserve">kunnen </w:t>
      </w:r>
      <w:r w:rsidRPr="00C27ECA">
        <w:rPr>
          <w:rFonts w:ascii="Verdana" w:hAnsi="Verdana"/>
          <w:sz w:val="18"/>
          <w:szCs w:val="18"/>
        </w:rPr>
        <w:t>samenwerken en dat de rol van de toezichthouder in de lidstaat waar deelnemers wonen voldoende is geborgd. Ik blijf mij hiervoor inzetten in de Europese onderhandelingen</w:t>
      </w:r>
      <w:r w:rsidR="00871A0B">
        <w:rPr>
          <w:rFonts w:ascii="Verdana" w:hAnsi="Verdana"/>
          <w:sz w:val="18"/>
          <w:szCs w:val="18"/>
        </w:rPr>
        <w:t xml:space="preserve"> </w:t>
      </w:r>
      <w:r w:rsidRPr="00C27ECA" w:rsidR="00871A0B">
        <w:rPr>
          <w:rFonts w:ascii="Verdana" w:hAnsi="Verdana"/>
          <w:sz w:val="18"/>
          <w:szCs w:val="18"/>
        </w:rPr>
        <w:t>zoals</w:t>
      </w:r>
      <w:r w:rsidR="00871A0B">
        <w:rPr>
          <w:rFonts w:ascii="Verdana" w:hAnsi="Verdana"/>
          <w:sz w:val="18"/>
          <w:szCs w:val="18"/>
        </w:rPr>
        <w:t xml:space="preserve"> dit ook </w:t>
      </w:r>
      <w:r w:rsidR="0026173D">
        <w:rPr>
          <w:rFonts w:ascii="Verdana" w:hAnsi="Verdana"/>
          <w:sz w:val="18"/>
          <w:szCs w:val="18"/>
        </w:rPr>
        <w:t>is</w:t>
      </w:r>
      <w:r w:rsidRPr="00C27ECA" w:rsidR="00871A0B">
        <w:rPr>
          <w:rFonts w:ascii="Verdana" w:hAnsi="Verdana"/>
          <w:sz w:val="18"/>
          <w:szCs w:val="18"/>
        </w:rPr>
        <w:t xml:space="preserve"> verwoord in het BNC-fiche over het Europees Pensioenpakket</w:t>
      </w:r>
      <w:r w:rsidR="0026173D">
        <w:rPr>
          <w:rFonts w:ascii="Verdana" w:hAnsi="Verdana"/>
          <w:sz w:val="18"/>
          <w:szCs w:val="18"/>
        </w:rPr>
        <w:t xml:space="preserve"> dat op 16 januari naar uw Kamer is gezonden</w:t>
      </w:r>
      <w:r w:rsidRPr="00C27ECA" w:rsidR="00871A0B">
        <w:rPr>
          <w:rFonts w:ascii="Verdana" w:hAnsi="Verdana"/>
          <w:sz w:val="18"/>
          <w:szCs w:val="18"/>
        </w:rPr>
        <w:t>.</w:t>
      </w:r>
      <w:r w:rsidRPr="00C27ECA">
        <w:rPr>
          <w:rFonts w:ascii="Verdana" w:hAnsi="Verdana"/>
          <w:sz w:val="18"/>
          <w:szCs w:val="18"/>
        </w:rPr>
        <w:t xml:space="preserve"> </w:t>
      </w:r>
    </w:p>
    <w:p w:rsidRPr="00C27ECA" w:rsidR="00754D1A" w:rsidP="003831A3" w:rsidRDefault="00754D1A" w14:paraId="79914C9E" w14:textId="031A1CB6">
      <w:pPr>
        <w:pStyle w:val="Geenafstand"/>
        <w:rPr>
          <w:rFonts w:ascii="Verdana" w:hAnsi="Verdana"/>
          <w:sz w:val="18"/>
          <w:szCs w:val="18"/>
        </w:rPr>
      </w:pPr>
      <w:r w:rsidRPr="00C27ECA">
        <w:rPr>
          <w:rFonts w:ascii="Verdana" w:hAnsi="Verdana"/>
          <w:sz w:val="18"/>
          <w:szCs w:val="18"/>
        </w:rPr>
        <w:t xml:space="preserve"> </w:t>
      </w:r>
    </w:p>
    <w:sectPr w:rsidRPr="00C27ECA" w:rsidR="00754D1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CBC6" w14:textId="77777777" w:rsidR="00754D1A" w:rsidRDefault="00754D1A" w:rsidP="00754D1A">
      <w:pPr>
        <w:spacing w:after="0" w:line="240" w:lineRule="auto"/>
      </w:pPr>
      <w:r>
        <w:separator/>
      </w:r>
    </w:p>
  </w:endnote>
  <w:endnote w:type="continuationSeparator" w:id="0">
    <w:p w14:paraId="4E3329C8" w14:textId="77777777" w:rsidR="00754D1A" w:rsidRDefault="00754D1A" w:rsidP="0075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384B" w14:textId="77777777" w:rsidR="00235B2F" w:rsidRDefault="00235B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466"/>
      <w:docPartObj>
        <w:docPartGallery w:val="Page Numbers (Bottom of Page)"/>
        <w:docPartUnique/>
      </w:docPartObj>
    </w:sdtPr>
    <w:sdtEndPr/>
    <w:sdtContent>
      <w:p w14:paraId="06A247CC" w14:textId="7725CB81" w:rsidR="00420EA4" w:rsidRDefault="00420EA4">
        <w:pPr>
          <w:pStyle w:val="Voettekst"/>
          <w:jc w:val="right"/>
        </w:pPr>
        <w:r>
          <w:fldChar w:fldCharType="begin"/>
        </w:r>
        <w:r>
          <w:instrText>PAGE   \* MERGEFORMAT</w:instrText>
        </w:r>
        <w:r>
          <w:fldChar w:fldCharType="separate"/>
        </w:r>
        <w:r>
          <w:t>2</w:t>
        </w:r>
        <w:r>
          <w:fldChar w:fldCharType="end"/>
        </w:r>
      </w:p>
    </w:sdtContent>
  </w:sdt>
  <w:p w14:paraId="666C156A" w14:textId="77777777" w:rsidR="00420EA4" w:rsidRDefault="00420E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0449" w14:textId="77777777" w:rsidR="00235B2F" w:rsidRDefault="00235B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E5D6" w14:textId="77777777" w:rsidR="00754D1A" w:rsidRDefault="00754D1A" w:rsidP="00754D1A">
      <w:pPr>
        <w:spacing w:after="0" w:line="240" w:lineRule="auto"/>
      </w:pPr>
      <w:r>
        <w:separator/>
      </w:r>
    </w:p>
  </w:footnote>
  <w:footnote w:type="continuationSeparator" w:id="0">
    <w:p w14:paraId="5F733A95" w14:textId="77777777" w:rsidR="00754D1A" w:rsidRDefault="00754D1A" w:rsidP="00754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B851" w14:textId="77777777" w:rsidR="00235B2F" w:rsidRDefault="00235B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434D" w14:textId="77777777" w:rsidR="00235B2F" w:rsidRDefault="00235B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8FA6" w14:textId="77777777" w:rsidR="00235B2F" w:rsidRDefault="00235B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A4642"/>
    <w:multiLevelType w:val="hybridMultilevel"/>
    <w:tmpl w:val="0518A6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0193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E4"/>
    <w:rsid w:val="00005C0A"/>
    <w:rsid w:val="00017806"/>
    <w:rsid w:val="00030C52"/>
    <w:rsid w:val="000A4B02"/>
    <w:rsid w:val="000C2008"/>
    <w:rsid w:val="001175EB"/>
    <w:rsid w:val="0012277D"/>
    <w:rsid w:val="001907EF"/>
    <w:rsid w:val="001B7A5D"/>
    <w:rsid w:val="001C481B"/>
    <w:rsid w:val="001E279F"/>
    <w:rsid w:val="001F3420"/>
    <w:rsid w:val="0022749F"/>
    <w:rsid w:val="00235B2F"/>
    <w:rsid w:val="002375AD"/>
    <w:rsid w:val="0026173D"/>
    <w:rsid w:val="003451A0"/>
    <w:rsid w:val="003500F1"/>
    <w:rsid w:val="00370F24"/>
    <w:rsid w:val="003831A3"/>
    <w:rsid w:val="003D6922"/>
    <w:rsid w:val="004070AB"/>
    <w:rsid w:val="00420EA4"/>
    <w:rsid w:val="0043642E"/>
    <w:rsid w:val="00436A55"/>
    <w:rsid w:val="00475218"/>
    <w:rsid w:val="00485DEE"/>
    <w:rsid w:val="004B5C29"/>
    <w:rsid w:val="00505F88"/>
    <w:rsid w:val="006452A4"/>
    <w:rsid w:val="00694DDD"/>
    <w:rsid w:val="00754D1A"/>
    <w:rsid w:val="007A01B0"/>
    <w:rsid w:val="007A77FB"/>
    <w:rsid w:val="007D1B0E"/>
    <w:rsid w:val="007D600A"/>
    <w:rsid w:val="00871A0B"/>
    <w:rsid w:val="008B2FAD"/>
    <w:rsid w:val="009B0C41"/>
    <w:rsid w:val="009B58A4"/>
    <w:rsid w:val="009B6B88"/>
    <w:rsid w:val="00A178B1"/>
    <w:rsid w:val="00AB3CE5"/>
    <w:rsid w:val="00AE098C"/>
    <w:rsid w:val="00AF6892"/>
    <w:rsid w:val="00B40F36"/>
    <w:rsid w:val="00BB608A"/>
    <w:rsid w:val="00BC77AE"/>
    <w:rsid w:val="00BE36D7"/>
    <w:rsid w:val="00C27ECA"/>
    <w:rsid w:val="00C40157"/>
    <w:rsid w:val="00C66F5B"/>
    <w:rsid w:val="00C8356E"/>
    <w:rsid w:val="00CF535E"/>
    <w:rsid w:val="00D1571F"/>
    <w:rsid w:val="00D30C2A"/>
    <w:rsid w:val="00D46A3B"/>
    <w:rsid w:val="00D737E4"/>
    <w:rsid w:val="00DA571D"/>
    <w:rsid w:val="00DC4F94"/>
    <w:rsid w:val="00E80670"/>
    <w:rsid w:val="00E94C7B"/>
    <w:rsid w:val="00EC13B9"/>
    <w:rsid w:val="00F21318"/>
    <w:rsid w:val="00F446DC"/>
    <w:rsid w:val="00FB51A9"/>
    <w:rsid w:val="00FD7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B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3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3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37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37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37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37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37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37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37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7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37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37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37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37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37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37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37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37E4"/>
    <w:rPr>
      <w:rFonts w:eastAsiaTheme="majorEastAsia" w:cstheme="majorBidi"/>
      <w:color w:val="272727" w:themeColor="text1" w:themeTint="D8"/>
    </w:rPr>
  </w:style>
  <w:style w:type="paragraph" w:styleId="Titel">
    <w:name w:val="Title"/>
    <w:basedOn w:val="Standaard"/>
    <w:next w:val="Standaard"/>
    <w:link w:val="TitelChar"/>
    <w:uiPriority w:val="10"/>
    <w:qFormat/>
    <w:rsid w:val="00D73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37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37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37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37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37E4"/>
    <w:rPr>
      <w:i/>
      <w:iCs/>
      <w:color w:val="404040" w:themeColor="text1" w:themeTint="BF"/>
    </w:rPr>
  </w:style>
  <w:style w:type="paragraph" w:styleId="Lijstalinea">
    <w:name w:val="List Paragraph"/>
    <w:basedOn w:val="Standaard"/>
    <w:uiPriority w:val="34"/>
    <w:qFormat/>
    <w:rsid w:val="00D737E4"/>
    <w:pPr>
      <w:ind w:left="720"/>
      <w:contextualSpacing/>
    </w:pPr>
  </w:style>
  <w:style w:type="character" w:styleId="Intensievebenadrukking">
    <w:name w:val="Intense Emphasis"/>
    <w:basedOn w:val="Standaardalinea-lettertype"/>
    <w:uiPriority w:val="21"/>
    <w:qFormat/>
    <w:rsid w:val="00D737E4"/>
    <w:rPr>
      <w:i/>
      <w:iCs/>
      <w:color w:val="0F4761" w:themeColor="accent1" w:themeShade="BF"/>
    </w:rPr>
  </w:style>
  <w:style w:type="paragraph" w:styleId="Duidelijkcitaat">
    <w:name w:val="Intense Quote"/>
    <w:basedOn w:val="Standaard"/>
    <w:next w:val="Standaard"/>
    <w:link w:val="DuidelijkcitaatChar"/>
    <w:uiPriority w:val="30"/>
    <w:qFormat/>
    <w:rsid w:val="00D73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37E4"/>
    <w:rPr>
      <w:i/>
      <w:iCs/>
      <w:color w:val="0F4761" w:themeColor="accent1" w:themeShade="BF"/>
    </w:rPr>
  </w:style>
  <w:style w:type="character" w:styleId="Intensieveverwijzing">
    <w:name w:val="Intense Reference"/>
    <w:basedOn w:val="Standaardalinea-lettertype"/>
    <w:uiPriority w:val="32"/>
    <w:qFormat/>
    <w:rsid w:val="00D737E4"/>
    <w:rPr>
      <w:b/>
      <w:bCs/>
      <w:smallCaps/>
      <w:color w:val="0F4761" w:themeColor="accent1" w:themeShade="BF"/>
      <w:spacing w:val="5"/>
    </w:rPr>
  </w:style>
  <w:style w:type="paragraph" w:styleId="Geenafstand">
    <w:name w:val="No Spacing"/>
    <w:uiPriority w:val="1"/>
    <w:qFormat/>
    <w:rsid w:val="00D737E4"/>
    <w:pPr>
      <w:spacing w:after="0" w:line="240" w:lineRule="auto"/>
    </w:pPr>
  </w:style>
  <w:style w:type="paragraph" w:styleId="Voetnoottekst">
    <w:name w:val="footnote text"/>
    <w:basedOn w:val="Standaard"/>
    <w:link w:val="VoetnoottekstChar"/>
    <w:uiPriority w:val="99"/>
    <w:semiHidden/>
    <w:unhideWhenUsed/>
    <w:rsid w:val="00754D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54D1A"/>
    <w:rPr>
      <w:sz w:val="20"/>
      <w:szCs w:val="20"/>
    </w:rPr>
  </w:style>
  <w:style w:type="character" w:styleId="Voetnootmarkering">
    <w:name w:val="footnote reference"/>
    <w:basedOn w:val="Standaardalinea-lettertype"/>
    <w:uiPriority w:val="99"/>
    <w:semiHidden/>
    <w:unhideWhenUsed/>
    <w:rsid w:val="00754D1A"/>
    <w:rPr>
      <w:vertAlign w:val="superscript"/>
    </w:rPr>
  </w:style>
  <w:style w:type="paragraph" w:styleId="Revisie">
    <w:name w:val="Revision"/>
    <w:hidden/>
    <w:uiPriority w:val="99"/>
    <w:semiHidden/>
    <w:rsid w:val="00F21318"/>
    <w:pPr>
      <w:spacing w:after="0" w:line="240" w:lineRule="auto"/>
    </w:pPr>
  </w:style>
  <w:style w:type="character" w:styleId="Verwijzingopmerking">
    <w:name w:val="annotation reference"/>
    <w:basedOn w:val="Standaardalinea-lettertype"/>
    <w:uiPriority w:val="99"/>
    <w:semiHidden/>
    <w:unhideWhenUsed/>
    <w:rsid w:val="00F21318"/>
    <w:rPr>
      <w:sz w:val="16"/>
      <w:szCs w:val="16"/>
    </w:rPr>
  </w:style>
  <w:style w:type="paragraph" w:styleId="Tekstopmerking">
    <w:name w:val="annotation text"/>
    <w:basedOn w:val="Standaard"/>
    <w:link w:val="TekstopmerkingChar"/>
    <w:uiPriority w:val="99"/>
    <w:unhideWhenUsed/>
    <w:rsid w:val="00F21318"/>
    <w:pPr>
      <w:spacing w:line="240" w:lineRule="auto"/>
    </w:pPr>
    <w:rPr>
      <w:sz w:val="20"/>
      <w:szCs w:val="20"/>
    </w:rPr>
  </w:style>
  <w:style w:type="character" w:customStyle="1" w:styleId="TekstopmerkingChar">
    <w:name w:val="Tekst opmerking Char"/>
    <w:basedOn w:val="Standaardalinea-lettertype"/>
    <w:link w:val="Tekstopmerking"/>
    <w:uiPriority w:val="99"/>
    <w:rsid w:val="00F21318"/>
    <w:rPr>
      <w:sz w:val="20"/>
      <w:szCs w:val="20"/>
    </w:rPr>
  </w:style>
  <w:style w:type="paragraph" w:styleId="Onderwerpvanopmerking">
    <w:name w:val="annotation subject"/>
    <w:basedOn w:val="Tekstopmerking"/>
    <w:next w:val="Tekstopmerking"/>
    <w:link w:val="OnderwerpvanopmerkingChar"/>
    <w:uiPriority w:val="99"/>
    <w:semiHidden/>
    <w:unhideWhenUsed/>
    <w:rsid w:val="00F21318"/>
    <w:rPr>
      <w:b/>
      <w:bCs/>
    </w:rPr>
  </w:style>
  <w:style w:type="character" w:customStyle="1" w:styleId="OnderwerpvanopmerkingChar">
    <w:name w:val="Onderwerp van opmerking Char"/>
    <w:basedOn w:val="TekstopmerkingChar"/>
    <w:link w:val="Onderwerpvanopmerking"/>
    <w:uiPriority w:val="99"/>
    <w:semiHidden/>
    <w:rsid w:val="00F21318"/>
    <w:rPr>
      <w:b/>
      <w:bCs/>
      <w:sz w:val="20"/>
      <w:szCs w:val="20"/>
    </w:rPr>
  </w:style>
  <w:style w:type="paragraph" w:styleId="Koptekst">
    <w:name w:val="header"/>
    <w:basedOn w:val="Standaard"/>
    <w:link w:val="KoptekstChar"/>
    <w:uiPriority w:val="99"/>
    <w:unhideWhenUsed/>
    <w:rsid w:val="00420E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0EA4"/>
  </w:style>
  <w:style w:type="paragraph" w:styleId="Voettekst">
    <w:name w:val="footer"/>
    <w:basedOn w:val="Standaard"/>
    <w:link w:val="VoettekstChar"/>
    <w:uiPriority w:val="99"/>
    <w:unhideWhenUsed/>
    <w:rsid w:val="00420E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1764</ap:Words>
  <ap:Characters>9702</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2026-02-12T13:17:00.0000000Z</dcterms:created>
  <dcterms:modified xsi:type="dcterms:W3CDTF">2026-03-03T08:32:00.0000000Z</dcterms:modified>
  <version/>
  <category/>
</coreProperties>
</file>