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2026Z04105</w:t>
        <w:br/>
      </w:r>
      <w:proofErr w:type="spellEnd"/>
    </w:p>
    <w:p>
      <w:pPr>
        <w:pStyle w:val="Normal"/>
        <w:rPr>
          <w:b w:val="1"/>
          <w:bCs w:val="1"/>
        </w:rPr>
      </w:pPr>
      <w:r w:rsidR="250AE766">
        <w:rPr>
          <w:b w:val="0"/>
          <w:bCs w:val="0"/>
        </w:rPr>
        <w:t>(ingezonden 3 maart 2026)</w:t>
        <w:br/>
      </w:r>
    </w:p>
    <w:p>
      <w:r>
        <w:t xml:space="preserve">Vragen van het lid Diederik van Dijk (SGP) aan de minister van Justitie en Veiligheid over het bestraffen van frequente verkeersovertreders bij het veroorzaken van ernstige ongelukken</w:t>
      </w:r>
      <w:r>
        <w:br/>
      </w:r>
    </w:p>
    <w:p>
      <w:r>
        <w:t xml:space="preserve"> </w:t>
      </w:r>
      <w:r>
        <w:br/>
      </w:r>
    </w:p>
    <w:p>
      <w:pPr>
        <w:pStyle w:val="ListParagraph"/>
        <w:numPr>
          <w:ilvl w:val="0"/>
          <w:numId w:val="100498830"/>
        </w:numPr>
        <w:ind w:left="360"/>
      </w:pPr>
      <w:r>
        <w:t xml:space="preserve">Bent u bekend met het bericht ‘Abdalla valt in slaap en rijdt voetganger dood, rechter geeft hem celstraf’? 1)</w:t>
      </w:r>
      <w:r>
        <w:br/>
      </w:r>
    </w:p>
    <w:p>
      <w:pPr>
        <w:pStyle w:val="ListParagraph"/>
        <w:numPr>
          <w:ilvl w:val="0"/>
          <w:numId w:val="100498830"/>
        </w:numPr>
        <w:ind w:left="360"/>
      </w:pPr>
      <w:r>
        <w:t xml:space="preserve">Hoe wordt op dit moment in de vervolging en berechting rekening gehouden met de persoonlijke geschiedenis van het aantal en type verkeersovertredingen van de verdachte? Is deze praktijk volgens u toereikend?</w:t>
      </w:r>
      <w:r>
        <w:br/>
      </w:r>
    </w:p>
    <w:p>
      <w:pPr>
        <w:pStyle w:val="ListParagraph"/>
        <w:numPr>
          <w:ilvl w:val="0"/>
          <w:numId w:val="100498830"/>
        </w:numPr>
        <w:ind w:left="360"/>
      </w:pPr>
      <w:r>
        <w:t xml:space="preserve">Kunt u toelichten waarop in de huidige praktijk de gedachte berust dat een gevangenisstraf en rij-ontzegging van één of enkele jaren voldoende is om recht te doen aan verkeerssituaties met dodelijke afloop waarin verdachten reeds herhaaldelijk gevaarzettend gedrag hebben vertoond in het verkeer?</w:t>
      </w:r>
      <w:r>
        <w:br/>
      </w:r>
    </w:p>
    <w:p>
      <w:pPr>
        <w:pStyle w:val="ListParagraph"/>
        <w:numPr>
          <w:ilvl w:val="0"/>
          <w:numId w:val="100498830"/>
        </w:numPr>
        <w:ind w:left="360"/>
      </w:pPr>
      <w:r>
        <w:t xml:space="preserve">Vindt u dat sommige bestuurders definitief de rijbevoegdheid moet kunnen worden ontzegd? In hoeverre wordt die mogelijkheid nu geboden en gebruikt?</w:t>
      </w:r>
      <w:r>
        <w:br/>
      </w:r>
    </w:p>
    <w:p>
      <w:pPr>
        <w:pStyle w:val="ListParagraph"/>
        <w:numPr>
          <w:ilvl w:val="0"/>
          <w:numId w:val="100498830"/>
        </w:numPr>
        <w:ind w:left="360"/>
      </w:pPr>
      <w:r>
        <w:t xml:space="preserve">Op welke wijze wordt toegezien of een veroordeelde zich houdt aan de rij-ontzegging? Hoeveel personen zijn in de afgelopen jaren aangetroffen als bestuurder terwijl sprake was van een rij-ontzegging?</w:t>
      </w:r>
      <w:r>
        <w:br/>
      </w:r>
    </w:p>
    <w:p>
      <w:pPr>
        <w:pStyle w:val="ListParagraph"/>
        <w:numPr>
          <w:ilvl w:val="0"/>
          <w:numId w:val="100498830"/>
        </w:numPr>
        <w:ind w:left="360"/>
      </w:pPr>
      <w:r>
        <w:t xml:space="preserve">Vindt u het passen bij de ernst van de veroordeling tot rij-ontzegging na ernstige of zelfs dodelijke ongelukken dat volgens de richtlijn van het Openbaar Ministerie enkele weken gevangenisstraf wordt gevorderd bij niet-naleving? 2) Waarop berusten de gekozen normen in de richtlijn?</w:t>
      </w:r>
      <w:r>
        <w:br/>
      </w:r>
    </w:p>
    <w:p>
      <w:pPr>
        <w:pStyle w:val="ListParagraph"/>
        <w:numPr>
          <w:ilvl w:val="0"/>
          <w:numId w:val="100498830"/>
        </w:numPr>
        <w:ind w:left="360"/>
      </w:pPr>
      <w:r>
        <w:t xml:space="preserve">Bent u bereid te verkennen of en hoe aanscherping van bestraffing nodig is bij ernstige verkeersongevallen door personen met gebleken risicovol gedrag in het verkeer, waaronder in ieder geval begrepen de bestraffing van het niet naleven van de rij-ontzegging?</w:t>
      </w:r>
      <w:r>
        <w:br/>
      </w:r>
    </w:p>
    <w:p>
      <w:r>
        <w:t xml:space="preserve"> </w:t>
      </w:r>
      <w:r>
        <w:br/>
      </w:r>
    </w:p>
    <w:p>
      <w:r>
        <w:t xml:space="preserve">1) Rijnmond, 27 februari 2026, Abdalla valt in slaap en rijdt voetganger dood, rechter geeft hem celstraf (https://www.rijnmond.nl/nieuws/2158628/abdalla-valt-in-slaap-en-rijdt-voetganger-dood-rechter-geeft-hem-celstraf).</w:t>
      </w:r>
      <w:r>
        <w:br/>
      </w:r>
    </w:p>
    <w:p>
      <w:r>
        <w:t xml:space="preserve">2) Openbaar Ministerie, Richtlijn voor strafvordering motorrijtuig (doen) besturen tijdens ontzegging e.d. (2019R015)(https://www.om.nl/onderwerpen/b/beleidsregels/richtlijnen-voor-strafvordering-resultaten/richtlijn-voor-strafvordering-motorrijtuig-doen-besturen-tijdens-ontzegging-e.d.-2019r015).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830">
    <w:abstractNumId w:val="100498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