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2026Z04110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maart 2026)</w:t>
        <w:br/>
      </w:r>
    </w:p>
    <w:p>
      <w:r>
        <w:t xml:space="preserve">Vragen van de leden Schilder en Moinat (beiden Groep Markuszower) aan de ministers van Justitie en Veiligheid en van Sociale Zaken en Werkgelegenheid over het bericht ‘</w:t>
      </w:r>
      <w:r>
        <w:rPr>
          <w:i w:val="1"/>
          <w:iCs w:val="1"/>
        </w:rPr>
        <w:t xml:space="preserve">Leeuwarden kampt met drugsoverlast en dakloosheid. ‘We kunnen dit niet accepteren’’</w:t>
      </w:r>
      <w:r>
        <w:rPr/>
        <w:t xml:space="preserve">.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Bent u bekend met het bericht ‘Drugsoverlast en dakloosheid in Leeuwarden. “We kunnen dit niet accepteren”’[1] in het Nederlands Dagblad van 2 maart 2026?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Hoe verklaart u de toename van het drugsgebruik, specifiek in Leeuwarden? Valt deze toename te koppelen aan het niet effectief opsporen en invorderen van cocaïne in onze havens? Zo nee, waarom niet?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Welke toename en trends ziet u in het gebruik van legale structuren door ondermijnende bendes, specifiek ingezet voor de drugshandel? Kunt u specifiek per onderdeel aangeven waarop deze vermoedens gebaseerd zijn en welke middelen daartegen momenteel ingezet worden?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Welke extra landelijke middelen worden ter ondersteuning aangeboden aan gemeentes als Leeuwarden?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Bent u het met de leden eens dat er een direct verband bestaat tussen normalisatie van softdrugs en de toename van het gebruik en de normalisatie van harddrugs?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Bent u het met de leden eens dat de normalisatie van harddrugs onwenselijk is en zeer schadelijke maatschappelijke gevolgen met zich meebrengt, in het bijzonder voor jongeren? Zo nee, waarom niet?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Welke concrete stappen gaat u ondernemen om drugshandel van/door minderjarigen te bestrijden. Welke digitale opsporingsmiddelen is de Minister bereid daarvoor in te zetten?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Kunt u aangeven hoe u uitvoering geeft aan de eerdere landelijke ambitie om dakloosheid uiterlijk in 2030 sterk terug te dringen, en of deze doelstelling nog steeds geldt?</w:t>
      </w:r>
      <w:r>
        <w:br/>
      </w:r>
    </w:p>
    <w:p>
      <w:pPr>
        <w:pStyle w:val="ListParagraph"/>
        <w:numPr>
          <w:ilvl w:val="0"/>
          <w:numId w:val="100498940"/>
        </w:numPr>
        <w:ind w:left="360"/>
      </w:pPr>
      <w:r>
        <w:t xml:space="preserve">Wilt u deze vragen uiterlijk vrijdag 13 maart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Nederlands Dagbad, 2 maart 2026, Leeuwarden kampt met drugsoverlast en dakloosheid. ‘We kunnen dit niet accepteren’(https://www.nd.nl/nieuws/nederland/1307436/leeuwarden-kampt-met-drugsoverlast-en-dakloosheid-we-kunnen-d#closemodal).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830">
    <w:abstractNumId w:val="100498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