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3218" w:rsidRDefault="002C53A7" w14:paraId="0C3DC1EC" w14:textId="77777777">
      <w:pPr>
        <w:pStyle w:val="StandaardAanhef"/>
      </w:pPr>
      <w:r>
        <w:t>Geachte voorzitter,</w:t>
      </w:r>
    </w:p>
    <w:p w:rsidR="00AB4279" w:rsidP="00AB4279" w:rsidRDefault="000A78ED" w14:paraId="38452A2A" w14:textId="77777777">
      <w:pPr>
        <w:tabs>
          <w:tab w:val="left" w:pos="621"/>
        </w:tabs>
        <w:spacing w:line="271" w:lineRule="auto"/>
      </w:pPr>
      <w:r>
        <w:t xml:space="preserve">Op 15 mei 2025 is het rapport </w:t>
      </w:r>
      <w:r w:rsidR="00A60E3F">
        <w:t>over</w:t>
      </w:r>
      <w:r>
        <w:t xml:space="preserve"> de evaluatie van de </w:t>
      </w:r>
      <w:proofErr w:type="spellStart"/>
      <w:r>
        <w:t>gebruikelijkloonregeling</w:t>
      </w:r>
      <w:proofErr w:type="spellEnd"/>
      <w:r>
        <w:t xml:space="preserve"> naar uw Kamer gestuurd</w:t>
      </w:r>
      <w:r w:rsidR="00BC4161">
        <w:t>,</w:t>
      </w:r>
      <w:r w:rsidRPr="00AB4279" w:rsidR="00AB4279">
        <w:t xml:space="preserve"> waarbij is aangegeven dat het kabinet op een later moment met een inhoudelijke reactie op dit rapport</w:t>
      </w:r>
      <w:r w:rsidR="003B1E73">
        <w:t xml:space="preserve"> komt</w:t>
      </w:r>
      <w:r>
        <w:t xml:space="preserve">. De evaluatie is uitgevoerd door het onderzoeksbureau SEO Economisch Onderzoek </w:t>
      </w:r>
      <w:r w:rsidR="00A60E3F">
        <w:t xml:space="preserve">(hierna: SEO) </w:t>
      </w:r>
      <w:r>
        <w:t xml:space="preserve">in opdracht van het ministerie van Financiën. </w:t>
      </w:r>
      <w:r w:rsidRPr="00AB4279" w:rsidR="00AB4279">
        <w:t xml:space="preserve">De </w:t>
      </w:r>
      <w:proofErr w:type="spellStart"/>
      <w:r w:rsidRPr="00AB4279" w:rsidR="00AB4279">
        <w:t>gebruikelijkloonregeling</w:t>
      </w:r>
      <w:proofErr w:type="spellEnd"/>
      <w:r w:rsidRPr="00AB4279" w:rsidR="00AB4279">
        <w:t xml:space="preserve"> </w:t>
      </w:r>
      <w:r w:rsidR="000A7143">
        <w:t>betreft</w:t>
      </w:r>
      <w:r w:rsidRPr="00AB4279" w:rsidR="000A7143">
        <w:t xml:space="preserve"> </w:t>
      </w:r>
      <w:r w:rsidRPr="00AB4279" w:rsidR="00AB4279">
        <w:t>een bepaling</w:t>
      </w:r>
      <w:r w:rsidR="00EA5FD2">
        <w:t xml:space="preserve"> </w:t>
      </w:r>
      <w:r w:rsidR="00CC6412">
        <w:t>uit de Wet op de loonbelasting 1964</w:t>
      </w:r>
      <w:r w:rsidR="00C368FD">
        <w:t xml:space="preserve"> (verder Wet LB 1964)</w:t>
      </w:r>
      <w:r w:rsidR="00CC6412">
        <w:t xml:space="preserve"> d</w:t>
      </w:r>
      <w:r w:rsidRPr="00AB4279" w:rsidR="00AB4279">
        <w:t>ie in 1997 is ingevoerd</w:t>
      </w:r>
      <w:r w:rsidR="00AB4279">
        <w:t xml:space="preserve">. </w:t>
      </w:r>
      <w:r w:rsidR="008B2C37">
        <w:t xml:space="preserve">De </w:t>
      </w:r>
      <w:r w:rsidR="008B2C37">
        <w:rPr>
          <w:color w:val="161616"/>
          <w:w w:val="105"/>
        </w:rPr>
        <w:t xml:space="preserve">regeling is in de evaluatie als doelmatig beoordeeld </w:t>
      </w:r>
      <w:r w:rsidRPr="00974B13" w:rsidR="008B2C37">
        <w:t xml:space="preserve">omdat er geen beleidsalternatieven zijn gevonden die potentieel doelmatiger zijn dan de </w:t>
      </w:r>
      <w:proofErr w:type="spellStart"/>
      <w:r w:rsidRPr="00974B13" w:rsidR="008B2C37">
        <w:t>gebruikelijkloonregeling</w:t>
      </w:r>
      <w:proofErr w:type="spellEnd"/>
      <w:r w:rsidRPr="00974B13" w:rsidR="008B2C37">
        <w:t xml:space="preserve">. </w:t>
      </w:r>
      <w:r w:rsidR="008B2C37">
        <w:t xml:space="preserve">De regeling is daarnaast als </w:t>
      </w:r>
      <w:r w:rsidR="008B2C37">
        <w:rPr>
          <w:color w:val="161616"/>
          <w:w w:val="105"/>
        </w:rPr>
        <w:t xml:space="preserve">deels doeltreffend beoordeeld. </w:t>
      </w:r>
      <w:r w:rsidR="00AB4279">
        <w:rPr>
          <w:color w:val="161616"/>
          <w:w w:val="105"/>
        </w:rPr>
        <w:t xml:space="preserve">Mijn ambtsvoorganger </w:t>
      </w:r>
      <w:r w:rsidRPr="00AB4279" w:rsidR="00AB4279">
        <w:t xml:space="preserve">heeft zowel in </w:t>
      </w:r>
      <w:r w:rsidR="00AB4279">
        <w:t xml:space="preserve">antwoord op </w:t>
      </w:r>
      <w:r w:rsidRPr="00AB4279" w:rsidR="00AB4279">
        <w:t xml:space="preserve">schriftelijke Kamervragen naar aanleiding van </w:t>
      </w:r>
      <w:r w:rsidR="001614EF">
        <w:t xml:space="preserve">de </w:t>
      </w:r>
      <w:r w:rsidRPr="00AB4279" w:rsidR="00AB4279">
        <w:t xml:space="preserve">evaluatie als tijdens het Commissiedebat Nationale Fiscaliteit op 2 juli </w:t>
      </w:r>
      <w:r w:rsidR="00AE6531">
        <w:t>2025</w:t>
      </w:r>
      <w:r w:rsidRPr="00AB4279" w:rsidR="00AB4279">
        <w:t xml:space="preserve"> een vervolgonderzoek toegezegd.</w:t>
      </w:r>
      <w:r w:rsidR="000A7143">
        <w:t xml:space="preserve"> </w:t>
      </w:r>
    </w:p>
    <w:p w:rsidR="00AB4279" w:rsidP="00AB4279" w:rsidRDefault="00AB4279" w14:paraId="506F6646" w14:textId="77777777">
      <w:pPr>
        <w:tabs>
          <w:tab w:val="left" w:pos="621"/>
        </w:tabs>
        <w:spacing w:line="271" w:lineRule="auto"/>
      </w:pPr>
    </w:p>
    <w:p w:rsidRPr="00AB4279" w:rsidR="006912A4" w:rsidP="00AB4279" w:rsidRDefault="00AB4279" w14:paraId="5CB35D2D" w14:textId="77777777">
      <w:pPr>
        <w:tabs>
          <w:tab w:val="left" w:pos="621"/>
        </w:tabs>
        <w:spacing w:line="271" w:lineRule="auto"/>
      </w:pPr>
      <w:r w:rsidRPr="00AB4279">
        <w:t xml:space="preserve">In </w:t>
      </w:r>
      <w:r>
        <w:t>het</w:t>
      </w:r>
      <w:r w:rsidRPr="00AB4279">
        <w:t xml:space="preserve"> vervolgonderzoek</w:t>
      </w:r>
      <w:r w:rsidR="00724758">
        <w:t xml:space="preserve"> </w:t>
      </w:r>
      <w:r>
        <w:t xml:space="preserve">is </w:t>
      </w:r>
      <w:r w:rsidR="00AE6531">
        <w:t xml:space="preserve">gekeken </w:t>
      </w:r>
      <w:r>
        <w:t xml:space="preserve">naar </w:t>
      </w:r>
      <w:r w:rsidRPr="00AB4279">
        <w:t xml:space="preserve">de mogelijkheden </w:t>
      </w:r>
      <w:r>
        <w:t xml:space="preserve">om </w:t>
      </w:r>
      <w:r w:rsidRPr="00AB4279">
        <w:t xml:space="preserve">de </w:t>
      </w:r>
      <w:proofErr w:type="spellStart"/>
      <w:r w:rsidRPr="00AB4279">
        <w:t>gebruikelijkloonregeling</w:t>
      </w:r>
      <w:proofErr w:type="spellEnd"/>
      <w:r w:rsidRPr="00AB4279">
        <w:t xml:space="preserve"> doeltreffender te maken</w:t>
      </w:r>
      <w:r w:rsidR="00AE6531">
        <w:t xml:space="preserve"> en de beleidsopties die daartoe zijn voorgesteld in de evaluatie</w:t>
      </w:r>
      <w:r w:rsidRPr="00AB4279">
        <w:t xml:space="preserve">. </w:t>
      </w:r>
      <w:r w:rsidRPr="00AB4279" w:rsidR="006912A4">
        <w:t xml:space="preserve">Een van de uitkomsten van het </w:t>
      </w:r>
      <w:r w:rsidRPr="00AB4279" w:rsidR="00075A0B">
        <w:t>vervolg</w:t>
      </w:r>
      <w:r w:rsidRPr="00AB4279" w:rsidR="006912A4">
        <w:t>onderzoek is dat de</w:t>
      </w:r>
      <w:r w:rsidR="00812B07">
        <w:t xml:space="preserve"> </w:t>
      </w:r>
      <w:r w:rsidR="00EA5FD2">
        <w:t xml:space="preserve">dienstverlening </w:t>
      </w:r>
      <w:r w:rsidRPr="00AB4279" w:rsidR="006912A4">
        <w:t xml:space="preserve">van de Belastingdienst mogelijk </w:t>
      </w:r>
      <w:r>
        <w:t xml:space="preserve">kan </w:t>
      </w:r>
      <w:r w:rsidRPr="00AB4279" w:rsidR="006912A4">
        <w:t xml:space="preserve">worden verbeterd </w:t>
      </w:r>
      <w:r w:rsidRPr="00AB4279" w:rsidR="00075A0B">
        <w:t xml:space="preserve">door </w:t>
      </w:r>
      <w:r w:rsidRPr="00AB4279" w:rsidR="00DD6885">
        <w:t xml:space="preserve">het ontwikkelen van een eenduidige </w:t>
      </w:r>
      <w:r w:rsidR="001614EF">
        <w:t xml:space="preserve">generieke </w:t>
      </w:r>
      <w:r w:rsidRPr="00AB4279" w:rsidR="00DD6885">
        <w:t>waarderingsmethode</w:t>
      </w:r>
      <w:r w:rsidRPr="00AB4279" w:rsidR="006912A4">
        <w:t xml:space="preserve">. </w:t>
      </w:r>
      <w:r w:rsidR="001614EF">
        <w:t>Hiermee</w:t>
      </w:r>
      <w:r w:rsidR="00075A0B">
        <w:rPr>
          <w:color w:val="161616"/>
        </w:rPr>
        <w:t xml:space="preserve"> wordt zowel de </w:t>
      </w:r>
      <w:r w:rsidR="00812B07">
        <w:rPr>
          <w:color w:val="161616"/>
        </w:rPr>
        <w:t xml:space="preserve">inhoudingsplichtige </w:t>
      </w:r>
      <w:r w:rsidR="00075A0B">
        <w:rPr>
          <w:color w:val="161616"/>
        </w:rPr>
        <w:t>als de Belastingdienst beter in staat gesteld om het gebruikelijk</w:t>
      </w:r>
      <w:r w:rsidR="00E30F49">
        <w:rPr>
          <w:color w:val="161616"/>
        </w:rPr>
        <w:t xml:space="preserve"> </w:t>
      </w:r>
      <w:r w:rsidR="00075A0B">
        <w:rPr>
          <w:color w:val="161616"/>
        </w:rPr>
        <w:t xml:space="preserve">loon op basis van de meest vergelijkbare dienstbetrekking </w:t>
      </w:r>
      <w:r w:rsidR="004F2A05">
        <w:rPr>
          <w:color w:val="161616"/>
        </w:rPr>
        <w:t>vast</w:t>
      </w:r>
      <w:r w:rsidR="00075A0B">
        <w:rPr>
          <w:color w:val="161616"/>
        </w:rPr>
        <w:t xml:space="preserve"> te stellen.</w:t>
      </w:r>
      <w:r w:rsidRPr="00F14196" w:rsidR="00075A0B">
        <w:rPr>
          <w:color w:val="161616"/>
        </w:rPr>
        <w:t xml:space="preserve"> </w:t>
      </w:r>
      <w:r w:rsidR="00E269BD">
        <w:rPr>
          <w:color w:val="161616"/>
        </w:rPr>
        <w:t>Er</w:t>
      </w:r>
      <w:r w:rsidR="006912A4">
        <w:rPr>
          <w:color w:val="161616"/>
        </w:rPr>
        <w:t xml:space="preserve"> zal </w:t>
      </w:r>
      <w:r w:rsidR="00075A0B">
        <w:rPr>
          <w:color w:val="161616"/>
        </w:rPr>
        <w:t xml:space="preserve">daarom </w:t>
      </w:r>
      <w:r>
        <w:rPr>
          <w:color w:val="161616"/>
        </w:rPr>
        <w:t>een haalbaarheids</w:t>
      </w:r>
      <w:r w:rsidRPr="00F14196" w:rsidR="006912A4">
        <w:rPr>
          <w:color w:val="161616"/>
        </w:rPr>
        <w:t xml:space="preserve">onderzoek </w:t>
      </w:r>
      <w:r w:rsidR="00AE6531">
        <w:rPr>
          <w:color w:val="161616"/>
        </w:rPr>
        <w:t>worden uitgevoerd</w:t>
      </w:r>
      <w:r w:rsidRPr="00F14196" w:rsidR="006912A4">
        <w:rPr>
          <w:color w:val="161616"/>
        </w:rPr>
        <w:t xml:space="preserve"> naar de </w:t>
      </w:r>
      <w:r w:rsidR="001614EF">
        <w:rPr>
          <w:color w:val="161616"/>
        </w:rPr>
        <w:t>ontwikkeling van</w:t>
      </w:r>
      <w:r w:rsidRPr="00F14196" w:rsidR="001614EF">
        <w:rPr>
          <w:color w:val="161616"/>
        </w:rPr>
        <w:t xml:space="preserve"> </w:t>
      </w:r>
      <w:r w:rsidRPr="00F14196" w:rsidR="006912A4">
        <w:rPr>
          <w:color w:val="161616"/>
        </w:rPr>
        <w:t xml:space="preserve">een </w:t>
      </w:r>
      <w:r w:rsidR="005A536A">
        <w:rPr>
          <w:color w:val="161616"/>
        </w:rPr>
        <w:t>eenduidige</w:t>
      </w:r>
      <w:r w:rsidR="00812B07">
        <w:rPr>
          <w:color w:val="161616"/>
        </w:rPr>
        <w:t>,</w:t>
      </w:r>
      <w:r w:rsidR="008F3BEB">
        <w:rPr>
          <w:color w:val="161616"/>
        </w:rPr>
        <w:t xml:space="preserve"> </w:t>
      </w:r>
      <w:r w:rsidR="005A536A">
        <w:rPr>
          <w:color w:val="161616"/>
        </w:rPr>
        <w:t>generieke</w:t>
      </w:r>
      <w:r w:rsidR="006912A4">
        <w:rPr>
          <w:color w:val="161616"/>
        </w:rPr>
        <w:t xml:space="preserve"> </w:t>
      </w:r>
      <w:r w:rsidRPr="00F14196" w:rsidR="006912A4">
        <w:rPr>
          <w:color w:val="161616"/>
        </w:rPr>
        <w:t xml:space="preserve">waarderingsmethode. </w:t>
      </w:r>
      <w:r w:rsidRPr="00217478" w:rsidR="00217478">
        <w:rPr>
          <w:color w:val="161616"/>
        </w:rPr>
        <w:t xml:space="preserve">Daarnaast start de Belastingdienst met een analyse van de beschikbare data. Deze analyse is gericht op het verkrijgen van meer inzicht in de mate waarin de </w:t>
      </w:r>
      <w:proofErr w:type="spellStart"/>
      <w:r w:rsidRPr="00217478" w:rsidR="00217478">
        <w:rPr>
          <w:color w:val="161616"/>
        </w:rPr>
        <w:t>gebruikelijkloonregeling</w:t>
      </w:r>
      <w:proofErr w:type="spellEnd"/>
      <w:r w:rsidRPr="00217478" w:rsidR="00217478">
        <w:rPr>
          <w:color w:val="161616"/>
        </w:rPr>
        <w:t xml:space="preserve"> correct wordt toegepast.</w:t>
      </w:r>
      <w:r w:rsidR="00217478">
        <w:rPr>
          <w:color w:val="161616"/>
        </w:rPr>
        <w:t xml:space="preserve"> </w:t>
      </w:r>
      <w:r w:rsidRPr="005911EB" w:rsidR="005911EB">
        <w:t>De inzichten uit deze analyse kunnen worden gebruikt bij het maken van zorgvuldige keuzes over de verdere handhavingsstrategie.</w:t>
      </w:r>
      <w:r w:rsidR="005911EB">
        <w:t xml:space="preserve"> </w:t>
      </w:r>
      <w:r w:rsidR="001614EF">
        <w:rPr>
          <w:color w:val="161616"/>
        </w:rPr>
        <w:t>Verder zijn i</w:t>
      </w:r>
      <w:r w:rsidR="00A11600">
        <w:rPr>
          <w:color w:val="161616"/>
        </w:rPr>
        <w:t xml:space="preserve">n het vervolgonderzoek ook de beleidsopties van SEO met betrekking tot het normbedrag </w:t>
      </w:r>
      <w:bookmarkStart w:name="_Hlk216097082" w:id="0"/>
      <w:r w:rsidRPr="00A812AB" w:rsidR="00A11600">
        <w:t>voor het minimaal in aanmerking te nemen loon</w:t>
      </w:r>
      <w:bookmarkEnd w:id="0"/>
      <w:r w:rsidR="00A11600">
        <w:t xml:space="preserve"> (€</w:t>
      </w:r>
      <w:r w:rsidR="00AE6531">
        <w:t xml:space="preserve"> </w:t>
      </w:r>
      <w:r w:rsidR="00875E2A">
        <w:t>58</w:t>
      </w:r>
      <w:r w:rsidR="00A11600">
        <w:t xml:space="preserve">.000 in 2026) bekeken. </w:t>
      </w:r>
      <w:r w:rsidR="00DD6885">
        <w:t xml:space="preserve">De conclusie is dat er op dit moment weinig aanknopingspunten zijn voor een onderbouwde generieke verhoging van het normbedrag. Wat betreft de beleidsoptie om het normbedrag te differentiëren naar de hoogte van de loonsom is de conclusie dat dit </w:t>
      </w:r>
      <w:r w:rsidR="004F2A05">
        <w:t xml:space="preserve">hooguit </w:t>
      </w:r>
      <w:r w:rsidR="00DD6885">
        <w:t xml:space="preserve">een kleine verbetering </w:t>
      </w:r>
      <w:r w:rsidR="004F2A05">
        <w:t xml:space="preserve">van het gebruikelijk loon </w:t>
      </w:r>
      <w:r w:rsidR="00DD6885">
        <w:t xml:space="preserve">voor een relatief beperkte groep </w:t>
      </w:r>
      <w:proofErr w:type="gramStart"/>
      <w:r w:rsidR="00B5274B">
        <w:lastRenderedPageBreak/>
        <w:t>directeur</w:t>
      </w:r>
      <w:r w:rsidR="00A60E3F">
        <w:t>en</w:t>
      </w:r>
      <w:proofErr w:type="gramEnd"/>
      <w:r w:rsidR="00B5274B">
        <w:t>-grootaandeelhouders (</w:t>
      </w:r>
      <w:proofErr w:type="spellStart"/>
      <w:r w:rsidR="004F2A05">
        <w:t>dga’s</w:t>
      </w:r>
      <w:proofErr w:type="spellEnd"/>
      <w:r w:rsidR="00B5274B">
        <w:t>)</w:t>
      </w:r>
      <w:r w:rsidR="004F2A05">
        <w:t xml:space="preserve"> </w:t>
      </w:r>
      <w:r w:rsidR="00DD6885">
        <w:t>kan betekenen</w:t>
      </w:r>
      <w:r w:rsidR="004F2A05">
        <w:t xml:space="preserve"> </w:t>
      </w:r>
      <w:r w:rsidR="0003571A">
        <w:t>en dat dit</w:t>
      </w:r>
      <w:r w:rsidR="004F2A05">
        <w:t xml:space="preserve"> </w:t>
      </w:r>
      <w:r>
        <w:t xml:space="preserve">wel in belangrijke mate </w:t>
      </w:r>
      <w:r w:rsidR="004F2A05">
        <w:t>t</w:t>
      </w:r>
      <w:r w:rsidR="00DD6885">
        <w:t xml:space="preserve">en koste </w:t>
      </w:r>
      <w:r>
        <w:t xml:space="preserve">kan gaan </w:t>
      </w:r>
      <w:r w:rsidR="00DD6885">
        <w:t>van de doelmatigheid.</w:t>
      </w:r>
    </w:p>
    <w:p w:rsidR="006912A4" w:rsidP="00210656" w:rsidRDefault="006912A4" w14:paraId="680A67B4" w14:textId="77777777">
      <w:pPr>
        <w:tabs>
          <w:tab w:val="left" w:pos="621"/>
        </w:tabs>
        <w:spacing w:line="271" w:lineRule="auto"/>
        <w:rPr>
          <w:color w:val="161616"/>
          <w:w w:val="105"/>
        </w:rPr>
      </w:pPr>
    </w:p>
    <w:p w:rsidR="0003571A" w:rsidP="00210656" w:rsidRDefault="0003571A" w14:paraId="723954DB" w14:textId="77777777">
      <w:pPr>
        <w:tabs>
          <w:tab w:val="left" w:pos="621"/>
        </w:tabs>
        <w:spacing w:line="271" w:lineRule="auto"/>
      </w:pPr>
      <w:r>
        <w:t xml:space="preserve">Bovenstaande </w:t>
      </w:r>
      <w:r w:rsidR="00B5274B">
        <w:t xml:space="preserve">conclusies </w:t>
      </w:r>
      <w:r>
        <w:t>word</w:t>
      </w:r>
      <w:r w:rsidR="00B5274B">
        <w:t>en</w:t>
      </w:r>
      <w:r>
        <w:t xml:space="preserve"> in deze brief </w:t>
      </w:r>
      <w:r w:rsidR="00B5274B">
        <w:t>nader</w:t>
      </w:r>
      <w:r>
        <w:t xml:space="preserve"> toegelicht. </w:t>
      </w:r>
      <w:r w:rsidR="004018D9">
        <w:t>Achtereenvolgens word</w:t>
      </w:r>
      <w:r w:rsidR="00885BDD">
        <w:t xml:space="preserve">en </w:t>
      </w:r>
      <w:r w:rsidR="004018D9">
        <w:t xml:space="preserve">het doel van de </w:t>
      </w:r>
      <w:proofErr w:type="spellStart"/>
      <w:r w:rsidR="004018D9">
        <w:t>gebruikelijkloonregeling</w:t>
      </w:r>
      <w:proofErr w:type="spellEnd"/>
      <w:r w:rsidR="004018D9">
        <w:t>, de belangrijkste bevindingen van de evaluatie</w:t>
      </w:r>
      <w:r w:rsidR="002C53A7">
        <w:t xml:space="preserve"> en</w:t>
      </w:r>
      <w:r w:rsidR="004018D9">
        <w:t xml:space="preserve"> de handhavingsstrategie van de Belastingdienst </w:t>
      </w:r>
      <w:proofErr w:type="gramStart"/>
      <w:r w:rsidR="004018D9">
        <w:t>inzake</w:t>
      </w:r>
      <w:proofErr w:type="gramEnd"/>
      <w:r w:rsidR="004018D9">
        <w:t xml:space="preserve"> de </w:t>
      </w:r>
      <w:proofErr w:type="spellStart"/>
      <w:r w:rsidR="004018D9">
        <w:t>gebruikelijkloonregeling</w:t>
      </w:r>
      <w:proofErr w:type="spellEnd"/>
      <w:r w:rsidR="00C748F0">
        <w:t xml:space="preserve"> toegelicht</w:t>
      </w:r>
      <w:r w:rsidR="00885BDD">
        <w:t xml:space="preserve">. Daarna volgt een </w:t>
      </w:r>
      <w:r w:rsidR="00AB4279">
        <w:t>bespreking en appreciatie</w:t>
      </w:r>
      <w:r w:rsidR="00885BDD">
        <w:t xml:space="preserve"> van de beleidsopties</w:t>
      </w:r>
      <w:r w:rsidR="002C53A7">
        <w:t xml:space="preserve"> die in de evaluatie zijn voorgesteld</w:t>
      </w:r>
      <w:r w:rsidR="00C748F0">
        <w:t>.</w:t>
      </w:r>
      <w:r w:rsidR="00885BDD">
        <w:t xml:space="preserve"> </w:t>
      </w:r>
      <w:r w:rsidR="00C748F0">
        <w:t>T</w:t>
      </w:r>
      <w:r w:rsidR="00885BDD">
        <w:t>en slotte wordt</w:t>
      </w:r>
      <w:r>
        <w:t xml:space="preserve"> </w:t>
      </w:r>
      <w:r w:rsidR="001648C7">
        <w:t>i</w:t>
      </w:r>
      <w:r>
        <w:t xml:space="preserve">ngegaan op de </w:t>
      </w:r>
      <w:r w:rsidR="00885BDD">
        <w:t xml:space="preserve">uitkomst van de evaluatie </w:t>
      </w:r>
      <w:r>
        <w:t>dat opeenvolgende maatregelen met betrekking tot de doelmatigheidsmarge</w:t>
      </w:r>
      <w:r w:rsidR="00C748F0">
        <w:t xml:space="preserve"> </w:t>
      </w:r>
      <w:r>
        <w:t xml:space="preserve">nauwelijks </w:t>
      </w:r>
      <w:r w:rsidR="001648C7">
        <w:t xml:space="preserve">hebben </w:t>
      </w:r>
      <w:r>
        <w:t>geleid tot loonsti</w:t>
      </w:r>
      <w:r w:rsidR="001648C7">
        <w:t>j</w:t>
      </w:r>
      <w:r>
        <w:t xml:space="preserve">gingen </w:t>
      </w:r>
      <w:r w:rsidR="001648C7">
        <w:t xml:space="preserve">bij </w:t>
      </w:r>
      <w:proofErr w:type="spellStart"/>
      <w:r w:rsidR="001648C7">
        <w:t>dga’s</w:t>
      </w:r>
      <w:proofErr w:type="spellEnd"/>
      <w:r w:rsidR="00724758">
        <w:t>.</w:t>
      </w:r>
      <w:r w:rsidR="00B5274B">
        <w:t xml:space="preserve"> </w:t>
      </w:r>
      <w:r w:rsidR="009C3E7F">
        <w:t>En dat daarmee de ingeboekte belastingopbrengst niet gerealiseerd is.</w:t>
      </w:r>
    </w:p>
    <w:p w:rsidR="0003571A" w:rsidP="00210656" w:rsidRDefault="0003571A" w14:paraId="1C79480D" w14:textId="77777777">
      <w:pPr>
        <w:tabs>
          <w:tab w:val="left" w:pos="621"/>
        </w:tabs>
        <w:spacing w:line="271" w:lineRule="auto"/>
      </w:pPr>
    </w:p>
    <w:p w:rsidR="00B5274B" w:rsidP="002C53A7" w:rsidRDefault="00B5274B" w14:paraId="73CDE32D" w14:textId="77777777">
      <w:pPr>
        <w:pStyle w:val="Geenafstand"/>
        <w:numPr>
          <w:ilvl w:val="0"/>
          <w:numId w:val="17"/>
        </w:numPr>
        <w:spacing w:line="271" w:lineRule="auto"/>
        <w:ind w:left="357" w:hanging="357"/>
        <w:rPr>
          <w:rFonts w:ascii="Verdana" w:hAnsi="Verdana"/>
          <w:b/>
          <w:bCs/>
          <w:color w:val="161616"/>
          <w:w w:val="105"/>
          <w:sz w:val="18"/>
          <w:szCs w:val="18"/>
        </w:rPr>
      </w:pPr>
      <w:r>
        <w:rPr>
          <w:rFonts w:ascii="Verdana" w:hAnsi="Verdana"/>
          <w:b/>
          <w:bCs/>
          <w:color w:val="161616"/>
          <w:w w:val="105"/>
          <w:sz w:val="18"/>
          <w:szCs w:val="18"/>
        </w:rPr>
        <w:t xml:space="preserve">Wat is het doel van de </w:t>
      </w:r>
      <w:proofErr w:type="spellStart"/>
      <w:r>
        <w:rPr>
          <w:rFonts w:ascii="Verdana" w:hAnsi="Verdana"/>
          <w:b/>
          <w:bCs/>
          <w:color w:val="161616"/>
          <w:w w:val="105"/>
          <w:sz w:val="18"/>
          <w:szCs w:val="18"/>
        </w:rPr>
        <w:t>gebruikelijkloonregeling</w:t>
      </w:r>
      <w:proofErr w:type="spellEnd"/>
      <w:r>
        <w:rPr>
          <w:rFonts w:ascii="Verdana" w:hAnsi="Verdana"/>
          <w:b/>
          <w:bCs/>
          <w:color w:val="161616"/>
          <w:w w:val="105"/>
          <w:sz w:val="18"/>
          <w:szCs w:val="18"/>
        </w:rPr>
        <w:t>?</w:t>
      </w:r>
    </w:p>
    <w:p w:rsidR="008B2C37" w:rsidP="008B2C37" w:rsidRDefault="008B2C37" w14:paraId="3C9127FD" w14:textId="77777777">
      <w:pPr>
        <w:tabs>
          <w:tab w:val="left" w:pos="621"/>
        </w:tabs>
        <w:spacing w:line="271" w:lineRule="auto"/>
      </w:pPr>
      <w:r w:rsidRPr="00974B13">
        <w:t xml:space="preserve">De </w:t>
      </w:r>
      <w:proofErr w:type="spellStart"/>
      <w:r w:rsidRPr="00974B13">
        <w:t>gebruikelijkloonregeling</w:t>
      </w:r>
      <w:proofErr w:type="spellEnd"/>
      <w:r w:rsidRPr="00974B13">
        <w:t xml:space="preserve"> is in 1997 ingevoerd </w:t>
      </w:r>
      <w:r>
        <w:t>met als doel d</w:t>
      </w:r>
      <w:r w:rsidRPr="00157EA4">
        <w:t xml:space="preserve">at </w:t>
      </w:r>
      <w:r w:rsidR="00B5274B">
        <w:t>e</w:t>
      </w:r>
      <w:r w:rsidRPr="00736EFA" w:rsidR="00B5274B">
        <w:rPr>
          <w:color w:val="161616"/>
          <w:w w:val="105"/>
        </w:rPr>
        <w:t>en aanmerkelijkbelanghouder die arbeid verricht ten behoeve van een lichaam</w:t>
      </w:r>
      <w:r w:rsidR="00B5274B">
        <w:rPr>
          <w:rStyle w:val="Voetnootmarkering"/>
          <w:color w:val="161616"/>
          <w:w w:val="105"/>
        </w:rPr>
        <w:footnoteReference w:id="2"/>
      </w:r>
      <w:r w:rsidRPr="00763942" w:rsidR="00B5274B">
        <w:rPr>
          <w:color w:val="161616"/>
          <w:w w:val="105"/>
          <w:vertAlign w:val="superscript"/>
        </w:rPr>
        <w:t xml:space="preserve"> </w:t>
      </w:r>
      <w:r w:rsidRPr="00736EFA" w:rsidR="00B5274B">
        <w:rPr>
          <w:color w:val="161616"/>
          <w:w w:val="105"/>
        </w:rPr>
        <w:t>(hierna spreken we gemakshalve over een bv) waarin het aanmerkelijk belang wordt gehouden (</w:t>
      </w:r>
      <w:r w:rsidR="00B5274B">
        <w:rPr>
          <w:color w:val="161616"/>
          <w:w w:val="105"/>
        </w:rPr>
        <w:t xml:space="preserve">hierna: de </w:t>
      </w:r>
      <w:proofErr w:type="spellStart"/>
      <w:r w:rsidRPr="00736EFA" w:rsidR="00B5274B">
        <w:rPr>
          <w:color w:val="161616"/>
          <w:w w:val="105"/>
        </w:rPr>
        <w:t>dga</w:t>
      </w:r>
      <w:proofErr w:type="spellEnd"/>
      <w:r w:rsidRPr="00736EFA" w:rsidR="00B5274B">
        <w:rPr>
          <w:color w:val="161616"/>
          <w:w w:val="105"/>
        </w:rPr>
        <w:t xml:space="preserve">) </w:t>
      </w:r>
      <w:r>
        <w:t xml:space="preserve">een </w:t>
      </w:r>
      <w:r w:rsidR="000A7143">
        <w:t xml:space="preserve">zakelijk </w:t>
      </w:r>
      <w:r>
        <w:t xml:space="preserve">arbeidsinkomen in acht neemt en </w:t>
      </w:r>
      <w:r w:rsidRPr="00157EA4">
        <w:t xml:space="preserve">daarover </w:t>
      </w:r>
      <w:r w:rsidR="00BB7FCC">
        <w:t xml:space="preserve">via de loonheffingen </w:t>
      </w:r>
      <w:r>
        <w:t xml:space="preserve">belasting in box 1 van de inkomstenbelasting en premies volksverzekeringen </w:t>
      </w:r>
      <w:r w:rsidRPr="00157EA4">
        <w:t>betaalt</w:t>
      </w:r>
      <w:r>
        <w:t xml:space="preserve"> en op deze manier geen </w:t>
      </w:r>
      <w:r w:rsidRPr="00157EA4">
        <w:t xml:space="preserve">oneigenlijk gebruik </w:t>
      </w:r>
      <w:r w:rsidR="00B5274B">
        <w:t xml:space="preserve">kan maken </w:t>
      </w:r>
      <w:r w:rsidRPr="00157EA4">
        <w:t>van inkomensafhankelijke regelingen</w:t>
      </w:r>
      <w:r w:rsidRPr="00BC76C9">
        <w:t xml:space="preserve">. </w:t>
      </w:r>
      <w:proofErr w:type="gramStart"/>
      <w:r>
        <w:t>Tevens</w:t>
      </w:r>
      <w:proofErr w:type="gramEnd"/>
      <w:r>
        <w:t xml:space="preserve"> dient </w:t>
      </w:r>
      <w:r w:rsidRPr="00BC76C9">
        <w:t>de</w:t>
      </w:r>
      <w:r>
        <w:t>ze</w:t>
      </w:r>
      <w:r w:rsidRPr="00BC76C9">
        <w:t xml:space="preserve"> regeling </w:t>
      </w:r>
      <w:r>
        <w:t>a</w:t>
      </w:r>
      <w:r w:rsidRPr="006A180C">
        <w:t xml:space="preserve">ls maatregel tegen de fiscale prikkel </w:t>
      </w:r>
      <w:r w:rsidR="004018D9">
        <w:t xml:space="preserve">voor </w:t>
      </w:r>
      <w:proofErr w:type="spellStart"/>
      <w:r w:rsidR="004018D9">
        <w:t>dga’s</w:t>
      </w:r>
      <w:proofErr w:type="spellEnd"/>
      <w:r w:rsidR="004018D9">
        <w:t xml:space="preserve"> </w:t>
      </w:r>
      <w:r w:rsidRPr="006A180C">
        <w:t xml:space="preserve">om belastingbetaling </w:t>
      </w:r>
      <w:r w:rsidR="00D05EAD">
        <w:t xml:space="preserve">uit </w:t>
      </w:r>
      <w:r w:rsidRPr="006A180C">
        <w:t xml:space="preserve">te stellen. </w:t>
      </w:r>
      <w:r w:rsidRPr="00736EFA" w:rsidR="00B5274B">
        <w:rPr>
          <w:color w:val="161616"/>
          <w:w w:val="105"/>
        </w:rPr>
        <w:t xml:space="preserve">De arbeidsverhouding die de </w:t>
      </w:r>
      <w:proofErr w:type="spellStart"/>
      <w:r w:rsidRPr="00736EFA" w:rsidR="00B5274B">
        <w:rPr>
          <w:color w:val="161616"/>
          <w:w w:val="105"/>
        </w:rPr>
        <w:t>dga</w:t>
      </w:r>
      <w:proofErr w:type="spellEnd"/>
      <w:r w:rsidRPr="00736EFA" w:rsidR="00B5274B">
        <w:rPr>
          <w:color w:val="161616"/>
          <w:w w:val="105"/>
        </w:rPr>
        <w:t xml:space="preserve"> met de bv heeft, wordt fiscaal als een </w:t>
      </w:r>
      <w:r w:rsidR="0011137D">
        <w:rPr>
          <w:color w:val="161616"/>
          <w:w w:val="105"/>
        </w:rPr>
        <w:t xml:space="preserve">fictieve </w:t>
      </w:r>
      <w:r w:rsidRPr="00736EFA" w:rsidR="00B5274B">
        <w:rPr>
          <w:color w:val="161616"/>
          <w:w w:val="105"/>
        </w:rPr>
        <w:t xml:space="preserve">dienstbetrekking </w:t>
      </w:r>
      <w:r w:rsidR="006665E3">
        <w:rPr>
          <w:color w:val="161616"/>
          <w:w w:val="105"/>
        </w:rPr>
        <w:t>aangemerkt</w:t>
      </w:r>
      <w:r w:rsidRPr="00736EFA" w:rsidR="00B5274B">
        <w:rPr>
          <w:color w:val="161616"/>
          <w:w w:val="105"/>
        </w:rPr>
        <w:t>.</w:t>
      </w:r>
      <w:r w:rsidR="00FC0A0B">
        <w:rPr>
          <w:rStyle w:val="Voetnootmarkering"/>
          <w:color w:val="161616"/>
          <w:w w:val="105"/>
        </w:rPr>
        <w:footnoteReference w:id="3"/>
      </w:r>
      <w:r w:rsidRPr="00736EFA" w:rsidR="00B5274B">
        <w:rPr>
          <w:color w:val="161616"/>
          <w:w w:val="105"/>
        </w:rPr>
        <w:t xml:space="preserve"> Een gepast arbeidsinkomen voor deze dienstbetrekking is een loon dat in het economische verkeer gebruikelijk is voor vergelijkbare dienstbetrekkingen.</w:t>
      </w:r>
    </w:p>
    <w:p w:rsidR="00B24947" w:rsidP="000A78ED" w:rsidRDefault="00B24947" w14:paraId="27B7EB74" w14:textId="77777777">
      <w:pPr>
        <w:tabs>
          <w:tab w:val="left" w:pos="621"/>
        </w:tabs>
        <w:spacing w:line="271" w:lineRule="auto"/>
        <w:rPr>
          <w:color w:val="161616"/>
          <w:w w:val="105"/>
        </w:rPr>
      </w:pPr>
    </w:p>
    <w:p w:rsidR="004018D9" w:rsidP="004018D9" w:rsidRDefault="004018D9" w14:paraId="55D0931C" w14:textId="77777777">
      <w:pPr>
        <w:pStyle w:val="Geenafstand"/>
        <w:spacing w:line="271" w:lineRule="auto"/>
        <w:rPr>
          <w:rFonts w:ascii="Verdana" w:hAnsi="Verdana"/>
          <w:sz w:val="18"/>
          <w:szCs w:val="18"/>
        </w:rPr>
      </w:pPr>
      <w:r>
        <w:rPr>
          <w:rFonts w:ascii="Verdana" w:hAnsi="Verdana"/>
          <w:sz w:val="18"/>
          <w:szCs w:val="18"/>
        </w:rPr>
        <w:t xml:space="preserve">De bv waarin de </w:t>
      </w:r>
      <w:proofErr w:type="spellStart"/>
      <w:r>
        <w:rPr>
          <w:rFonts w:ascii="Verdana" w:hAnsi="Verdana"/>
          <w:sz w:val="18"/>
          <w:szCs w:val="18"/>
        </w:rPr>
        <w:t>dga</w:t>
      </w:r>
      <w:proofErr w:type="spellEnd"/>
      <w:r>
        <w:rPr>
          <w:rFonts w:ascii="Verdana" w:hAnsi="Verdana"/>
          <w:sz w:val="18"/>
          <w:szCs w:val="18"/>
        </w:rPr>
        <w:t xml:space="preserve"> werkzaam is, is de inhoudingsplichtige voor de loonheffing.</w:t>
      </w:r>
      <w:r w:rsidR="00FC0A0B">
        <w:rPr>
          <w:rStyle w:val="Voetnootmarkering"/>
          <w:rFonts w:ascii="Verdana" w:hAnsi="Verdana"/>
          <w:sz w:val="18"/>
          <w:szCs w:val="18"/>
        </w:rPr>
        <w:footnoteReference w:id="4"/>
      </w:r>
      <w:r>
        <w:rPr>
          <w:rFonts w:ascii="Verdana" w:hAnsi="Verdana"/>
          <w:sz w:val="18"/>
          <w:szCs w:val="18"/>
        </w:rPr>
        <w:t xml:space="preserve"> Dat wil zeggen dat de bv op basis van de </w:t>
      </w:r>
      <w:proofErr w:type="spellStart"/>
      <w:r>
        <w:rPr>
          <w:rFonts w:ascii="Verdana" w:hAnsi="Verdana"/>
          <w:sz w:val="18"/>
          <w:szCs w:val="18"/>
        </w:rPr>
        <w:t>gebruikelijkloonregeling</w:t>
      </w:r>
      <w:proofErr w:type="spellEnd"/>
      <w:r>
        <w:rPr>
          <w:rFonts w:ascii="Verdana" w:hAnsi="Verdana"/>
          <w:sz w:val="18"/>
          <w:szCs w:val="18"/>
        </w:rPr>
        <w:t xml:space="preserve"> gehouden is om over het gebruikelijk loon loonbelasting en premies volksverzekeringen in te houden en af te dragen aan de Belastingdienst. Het doet er daarbij niet toe of het gebruikelijk loon ook daadwerkelijk wordt uitgekeerd aan de </w:t>
      </w:r>
      <w:proofErr w:type="spellStart"/>
      <w:r>
        <w:rPr>
          <w:rFonts w:ascii="Verdana" w:hAnsi="Verdana"/>
          <w:sz w:val="18"/>
          <w:szCs w:val="18"/>
        </w:rPr>
        <w:t>dga</w:t>
      </w:r>
      <w:proofErr w:type="spellEnd"/>
      <w:r w:rsidR="00AF7269">
        <w:rPr>
          <w:rFonts w:ascii="Verdana" w:hAnsi="Verdana"/>
          <w:sz w:val="18"/>
          <w:szCs w:val="18"/>
        </w:rPr>
        <w:t>.</w:t>
      </w:r>
      <w:r>
        <w:rPr>
          <w:rFonts w:ascii="Verdana" w:hAnsi="Verdana"/>
          <w:sz w:val="18"/>
          <w:szCs w:val="18"/>
        </w:rPr>
        <w:t xml:space="preserve"> </w:t>
      </w:r>
      <w:r w:rsidR="00FC0A0B">
        <w:rPr>
          <w:rFonts w:ascii="Verdana" w:hAnsi="Verdana"/>
          <w:sz w:val="18"/>
          <w:szCs w:val="18"/>
        </w:rPr>
        <w:t>A</w:t>
      </w:r>
      <w:r>
        <w:rPr>
          <w:rFonts w:ascii="Verdana" w:hAnsi="Verdana"/>
          <w:sz w:val="18"/>
          <w:szCs w:val="18"/>
        </w:rPr>
        <w:t xml:space="preserve">rtikel 12a, </w:t>
      </w:r>
      <w:r w:rsidR="00FC0A0B">
        <w:rPr>
          <w:rFonts w:ascii="Verdana" w:hAnsi="Verdana"/>
          <w:sz w:val="18"/>
          <w:szCs w:val="18"/>
        </w:rPr>
        <w:t>eerste lid</w:t>
      </w:r>
      <w:r w:rsidR="00AF7269">
        <w:rPr>
          <w:rFonts w:ascii="Verdana" w:hAnsi="Verdana"/>
          <w:sz w:val="18"/>
          <w:szCs w:val="18"/>
        </w:rPr>
        <w:t>,</w:t>
      </w:r>
      <w:r w:rsidR="00FC0A0B">
        <w:rPr>
          <w:rFonts w:ascii="Verdana" w:hAnsi="Verdana"/>
          <w:sz w:val="18"/>
          <w:szCs w:val="18"/>
        </w:rPr>
        <w:t xml:space="preserve"> </w:t>
      </w:r>
      <w:r>
        <w:rPr>
          <w:rFonts w:ascii="Verdana" w:hAnsi="Verdana"/>
          <w:sz w:val="18"/>
          <w:szCs w:val="18"/>
        </w:rPr>
        <w:t>van de W</w:t>
      </w:r>
      <w:r w:rsidR="00C368FD">
        <w:rPr>
          <w:rFonts w:ascii="Verdana" w:hAnsi="Verdana"/>
          <w:sz w:val="18"/>
          <w:szCs w:val="18"/>
        </w:rPr>
        <w:t>et LB</w:t>
      </w:r>
      <w:r>
        <w:rPr>
          <w:rFonts w:ascii="Verdana" w:hAnsi="Verdana"/>
          <w:sz w:val="18"/>
          <w:szCs w:val="18"/>
        </w:rPr>
        <w:t xml:space="preserve"> 1964</w:t>
      </w:r>
      <w:r w:rsidR="00C368FD">
        <w:rPr>
          <w:rFonts w:ascii="Verdana" w:hAnsi="Verdana"/>
          <w:sz w:val="18"/>
          <w:szCs w:val="18"/>
        </w:rPr>
        <w:t xml:space="preserve"> </w:t>
      </w:r>
      <w:r w:rsidR="00FC0A0B">
        <w:rPr>
          <w:rFonts w:ascii="Verdana" w:hAnsi="Verdana"/>
          <w:sz w:val="18"/>
          <w:szCs w:val="18"/>
        </w:rPr>
        <w:t xml:space="preserve">bepaalt </w:t>
      </w:r>
      <w:r>
        <w:rPr>
          <w:rFonts w:ascii="Verdana" w:hAnsi="Verdana"/>
          <w:sz w:val="18"/>
          <w:szCs w:val="18"/>
        </w:rPr>
        <w:t>dat het gebruikelijk loon dat in acht moet worden genomen het hoogste bedrag bedraagt van:</w:t>
      </w:r>
    </w:p>
    <w:p w:rsidRPr="001A7BAF" w:rsidR="004018D9" w:rsidP="004018D9" w:rsidRDefault="004018D9" w14:paraId="3DA88E6F" w14:textId="77777777">
      <w:pPr>
        <w:pStyle w:val="Geenafstand"/>
        <w:numPr>
          <w:ilvl w:val="0"/>
          <w:numId w:val="7"/>
        </w:numPr>
        <w:spacing w:line="271" w:lineRule="auto"/>
        <w:ind w:left="357" w:hanging="357"/>
        <w:rPr>
          <w:rFonts w:ascii="Verdana" w:hAnsi="Verdana"/>
          <w:sz w:val="18"/>
          <w:szCs w:val="18"/>
        </w:rPr>
      </w:pPr>
      <w:r w:rsidRPr="001A7BAF">
        <w:rPr>
          <w:rFonts w:ascii="Verdana" w:hAnsi="Verdana"/>
          <w:sz w:val="18"/>
          <w:szCs w:val="18"/>
        </w:rPr>
        <w:t>Het loon uit de meest vergelijkbare dienstbetrekking</w:t>
      </w:r>
      <w:r>
        <w:rPr>
          <w:rFonts w:ascii="Verdana" w:hAnsi="Verdana"/>
          <w:sz w:val="18"/>
          <w:szCs w:val="18"/>
        </w:rPr>
        <w:t>.</w:t>
      </w:r>
    </w:p>
    <w:p w:rsidR="004018D9" w:rsidP="004018D9" w:rsidRDefault="004018D9" w14:paraId="066D1C6F" w14:textId="77777777">
      <w:pPr>
        <w:pStyle w:val="Geenafstand"/>
        <w:numPr>
          <w:ilvl w:val="0"/>
          <w:numId w:val="7"/>
        </w:numPr>
        <w:spacing w:line="271" w:lineRule="auto"/>
        <w:ind w:left="357" w:hanging="357"/>
        <w:rPr>
          <w:rFonts w:ascii="Verdana" w:hAnsi="Verdana"/>
          <w:sz w:val="18"/>
          <w:szCs w:val="18"/>
        </w:rPr>
      </w:pPr>
      <w:r w:rsidRPr="004A2267">
        <w:rPr>
          <w:rFonts w:ascii="Verdana" w:hAnsi="Verdana"/>
          <w:sz w:val="18"/>
          <w:szCs w:val="18"/>
        </w:rPr>
        <w:t>Het hoogste loon van de werknemers die in dienst zijn van het lichaam</w:t>
      </w:r>
      <w:r w:rsidR="00FC0A0B">
        <w:rPr>
          <w:rFonts w:ascii="Verdana" w:hAnsi="Verdana"/>
          <w:sz w:val="18"/>
          <w:szCs w:val="18"/>
        </w:rPr>
        <w:t xml:space="preserve"> of met het lichaam verbonden lichamen</w:t>
      </w:r>
      <w:r>
        <w:rPr>
          <w:rFonts w:ascii="Verdana" w:hAnsi="Verdana"/>
          <w:sz w:val="18"/>
          <w:szCs w:val="18"/>
        </w:rPr>
        <w:t>.</w:t>
      </w:r>
    </w:p>
    <w:p w:rsidR="004018D9" w:rsidP="004018D9" w:rsidRDefault="004018D9" w14:paraId="22E87537" w14:textId="77777777">
      <w:pPr>
        <w:pStyle w:val="Geenafstand"/>
        <w:numPr>
          <w:ilvl w:val="0"/>
          <w:numId w:val="7"/>
        </w:numPr>
        <w:spacing w:line="271" w:lineRule="auto"/>
        <w:ind w:left="357" w:hanging="357"/>
        <w:rPr>
          <w:rFonts w:ascii="Verdana" w:hAnsi="Verdana"/>
          <w:sz w:val="18"/>
          <w:szCs w:val="18"/>
        </w:rPr>
      </w:pPr>
      <w:r>
        <w:rPr>
          <w:rFonts w:ascii="Verdana" w:hAnsi="Verdana"/>
          <w:sz w:val="18"/>
          <w:szCs w:val="18"/>
        </w:rPr>
        <w:t xml:space="preserve">Het normbedrag: </w:t>
      </w:r>
      <w:r w:rsidR="001F5C16">
        <w:rPr>
          <w:rFonts w:ascii="Verdana" w:hAnsi="Verdana"/>
          <w:sz w:val="18"/>
          <w:szCs w:val="18"/>
        </w:rPr>
        <w:t xml:space="preserve">€ </w:t>
      </w:r>
      <w:r w:rsidR="00875E2A">
        <w:rPr>
          <w:rFonts w:ascii="Verdana" w:hAnsi="Verdana"/>
          <w:sz w:val="18"/>
          <w:szCs w:val="18"/>
        </w:rPr>
        <w:t>58</w:t>
      </w:r>
      <w:r w:rsidRPr="004A2267">
        <w:rPr>
          <w:rFonts w:ascii="Verdana" w:hAnsi="Verdana"/>
          <w:sz w:val="18"/>
          <w:szCs w:val="18"/>
        </w:rPr>
        <w:t>.000</w:t>
      </w:r>
      <w:r w:rsidR="00BC4161">
        <w:rPr>
          <w:rFonts w:ascii="Verdana" w:hAnsi="Verdana"/>
          <w:sz w:val="18"/>
          <w:szCs w:val="18"/>
        </w:rPr>
        <w:t xml:space="preserve"> </w:t>
      </w:r>
      <w:r w:rsidR="0045345E">
        <w:rPr>
          <w:rFonts w:ascii="Verdana" w:hAnsi="Verdana"/>
          <w:sz w:val="18"/>
          <w:szCs w:val="18"/>
        </w:rPr>
        <w:t>(in 2026)</w:t>
      </w:r>
      <w:r w:rsidRPr="004A2267">
        <w:rPr>
          <w:rFonts w:ascii="Verdana" w:hAnsi="Verdana"/>
          <w:sz w:val="18"/>
          <w:szCs w:val="18"/>
        </w:rPr>
        <w:t>.</w:t>
      </w:r>
    </w:p>
    <w:p w:rsidR="004018D9" w:rsidP="004018D9" w:rsidRDefault="00FC0A0B" w14:paraId="4AE57CDF" w14:textId="77777777">
      <w:pPr>
        <w:pStyle w:val="Geenafstand"/>
        <w:spacing w:line="271" w:lineRule="auto"/>
        <w:rPr>
          <w:rFonts w:ascii="Verdana" w:hAnsi="Verdana"/>
          <w:sz w:val="18"/>
          <w:szCs w:val="18"/>
        </w:rPr>
      </w:pPr>
      <w:r>
        <w:rPr>
          <w:rFonts w:ascii="Verdana" w:hAnsi="Verdana"/>
          <w:sz w:val="18"/>
          <w:szCs w:val="18"/>
        </w:rPr>
        <w:t>A</w:t>
      </w:r>
      <w:r w:rsidR="004018D9">
        <w:rPr>
          <w:rFonts w:ascii="Verdana" w:hAnsi="Verdana"/>
          <w:sz w:val="18"/>
          <w:szCs w:val="18"/>
        </w:rPr>
        <w:t xml:space="preserve">rtikel 12a, </w:t>
      </w:r>
      <w:r w:rsidR="00C368FD">
        <w:rPr>
          <w:rFonts w:ascii="Verdana" w:hAnsi="Verdana"/>
          <w:sz w:val="18"/>
          <w:szCs w:val="18"/>
        </w:rPr>
        <w:t xml:space="preserve">tweede </w:t>
      </w:r>
      <w:r w:rsidR="004018D9">
        <w:rPr>
          <w:rFonts w:ascii="Verdana" w:hAnsi="Verdana"/>
          <w:sz w:val="18"/>
          <w:szCs w:val="18"/>
        </w:rPr>
        <w:t>lid</w:t>
      </w:r>
      <w:r w:rsidR="00C368FD">
        <w:rPr>
          <w:rFonts w:ascii="Verdana" w:hAnsi="Verdana"/>
          <w:sz w:val="18"/>
          <w:szCs w:val="18"/>
        </w:rPr>
        <w:t xml:space="preserve">, </w:t>
      </w:r>
      <w:r w:rsidR="001F5C16">
        <w:rPr>
          <w:rFonts w:ascii="Verdana" w:hAnsi="Verdana"/>
          <w:sz w:val="18"/>
          <w:szCs w:val="18"/>
        </w:rPr>
        <w:t xml:space="preserve">van de </w:t>
      </w:r>
      <w:r w:rsidR="00C368FD">
        <w:rPr>
          <w:rFonts w:ascii="Verdana" w:hAnsi="Verdana"/>
          <w:sz w:val="18"/>
          <w:szCs w:val="18"/>
        </w:rPr>
        <w:t>Wet LB 1964</w:t>
      </w:r>
      <w:r w:rsidR="004018D9">
        <w:rPr>
          <w:rFonts w:ascii="Verdana" w:hAnsi="Verdana"/>
          <w:sz w:val="18"/>
          <w:szCs w:val="18"/>
        </w:rPr>
        <w:t xml:space="preserve"> </w:t>
      </w:r>
      <w:r>
        <w:rPr>
          <w:rFonts w:ascii="Verdana" w:hAnsi="Verdana"/>
          <w:sz w:val="18"/>
          <w:szCs w:val="18"/>
        </w:rPr>
        <w:t xml:space="preserve">bepaalt </w:t>
      </w:r>
      <w:r w:rsidR="004018D9">
        <w:rPr>
          <w:rFonts w:ascii="Verdana" w:hAnsi="Verdana"/>
          <w:sz w:val="18"/>
          <w:szCs w:val="18"/>
        </w:rPr>
        <w:t xml:space="preserve">vervolgens dat als </w:t>
      </w:r>
      <w:r>
        <w:rPr>
          <w:rFonts w:ascii="Verdana" w:hAnsi="Verdana"/>
          <w:sz w:val="18"/>
          <w:szCs w:val="18"/>
        </w:rPr>
        <w:t xml:space="preserve">de </w:t>
      </w:r>
      <w:r w:rsidR="004018D9">
        <w:rPr>
          <w:rFonts w:ascii="Verdana" w:hAnsi="Verdana"/>
          <w:sz w:val="18"/>
          <w:szCs w:val="18"/>
        </w:rPr>
        <w:t xml:space="preserve">inhoudingsplichtige aannemelijk kan maken dat het loon uit de meest vergelijkbare dienstbetrekking lager is dan het hoogste bedrag dat uit het voorgaande volgt, het loon dan </w:t>
      </w:r>
      <w:proofErr w:type="gramStart"/>
      <w:r w:rsidR="004018D9">
        <w:rPr>
          <w:rFonts w:ascii="Verdana" w:hAnsi="Verdana"/>
          <w:sz w:val="18"/>
          <w:szCs w:val="18"/>
        </w:rPr>
        <w:t>gelijk gesteld</w:t>
      </w:r>
      <w:proofErr w:type="gramEnd"/>
      <w:r w:rsidR="004018D9">
        <w:rPr>
          <w:rFonts w:ascii="Verdana" w:hAnsi="Verdana"/>
          <w:sz w:val="18"/>
          <w:szCs w:val="18"/>
        </w:rPr>
        <w:t xml:space="preserve"> wordt aan het loon uit de meest vergelijkbare dienstbetrekking. In feite </w:t>
      </w:r>
      <w:r w:rsidR="00D64F98">
        <w:rPr>
          <w:rFonts w:ascii="Verdana" w:hAnsi="Verdana"/>
          <w:sz w:val="18"/>
          <w:szCs w:val="18"/>
        </w:rPr>
        <w:t>betreft dit een</w:t>
      </w:r>
      <w:r w:rsidR="004018D9">
        <w:rPr>
          <w:rFonts w:ascii="Verdana" w:hAnsi="Verdana"/>
          <w:sz w:val="18"/>
          <w:szCs w:val="18"/>
        </w:rPr>
        <w:t xml:space="preserve"> correctie op</w:t>
      </w:r>
      <w:r w:rsidR="00D64F98">
        <w:rPr>
          <w:rFonts w:ascii="Verdana" w:hAnsi="Verdana"/>
          <w:sz w:val="18"/>
          <w:szCs w:val="18"/>
        </w:rPr>
        <w:t xml:space="preserve"> het</w:t>
      </w:r>
      <w:r w:rsidR="004018D9">
        <w:rPr>
          <w:rFonts w:ascii="Verdana" w:hAnsi="Verdana"/>
          <w:sz w:val="18"/>
          <w:szCs w:val="18"/>
        </w:rPr>
        <w:t xml:space="preserve"> </w:t>
      </w:r>
      <w:r w:rsidR="00D64F98">
        <w:rPr>
          <w:rFonts w:ascii="Verdana" w:hAnsi="Verdana"/>
          <w:sz w:val="18"/>
          <w:szCs w:val="18"/>
        </w:rPr>
        <w:t>eerste lid</w:t>
      </w:r>
      <w:r w:rsidR="004018D9">
        <w:rPr>
          <w:rFonts w:ascii="Verdana" w:hAnsi="Verdana"/>
          <w:sz w:val="18"/>
          <w:szCs w:val="18"/>
        </w:rPr>
        <w:t xml:space="preserve">. </w:t>
      </w:r>
      <w:r w:rsidR="00D64F98">
        <w:rPr>
          <w:rFonts w:ascii="Verdana" w:hAnsi="Verdana"/>
          <w:sz w:val="18"/>
          <w:szCs w:val="18"/>
        </w:rPr>
        <w:t>Het</w:t>
      </w:r>
      <w:r>
        <w:rPr>
          <w:rFonts w:ascii="Verdana" w:hAnsi="Verdana"/>
          <w:sz w:val="18"/>
          <w:szCs w:val="18"/>
        </w:rPr>
        <w:t xml:space="preserve"> </w:t>
      </w:r>
      <w:r w:rsidR="00D64F98">
        <w:rPr>
          <w:rFonts w:ascii="Verdana" w:hAnsi="Verdana"/>
          <w:sz w:val="18"/>
          <w:szCs w:val="18"/>
        </w:rPr>
        <w:t xml:space="preserve">eerste en tweede lid </w:t>
      </w:r>
      <w:r w:rsidRPr="00323C69" w:rsidR="004018D9">
        <w:rPr>
          <w:rFonts w:ascii="Verdana" w:hAnsi="Verdana"/>
          <w:sz w:val="18"/>
          <w:szCs w:val="18"/>
        </w:rPr>
        <w:t xml:space="preserve">samengenomen </w:t>
      </w:r>
      <w:r w:rsidR="00D64F98">
        <w:rPr>
          <w:rFonts w:ascii="Verdana" w:hAnsi="Verdana"/>
          <w:sz w:val="18"/>
          <w:szCs w:val="18"/>
        </w:rPr>
        <w:t>bepalen de facto dat</w:t>
      </w:r>
      <w:r w:rsidRPr="00323C69" w:rsidR="00D64F98">
        <w:rPr>
          <w:rFonts w:ascii="Verdana" w:hAnsi="Verdana"/>
          <w:sz w:val="18"/>
          <w:szCs w:val="18"/>
        </w:rPr>
        <w:t xml:space="preserve"> </w:t>
      </w:r>
      <w:r w:rsidRPr="00323C69" w:rsidR="004018D9">
        <w:rPr>
          <w:rFonts w:ascii="Verdana" w:hAnsi="Verdana"/>
          <w:sz w:val="18"/>
          <w:szCs w:val="18"/>
        </w:rPr>
        <w:t>het loon uit de meest vergelijkbare dienstbetrekking in acht moet worden genomen</w:t>
      </w:r>
      <w:r w:rsidR="00BC4161">
        <w:rPr>
          <w:rFonts w:ascii="Verdana" w:hAnsi="Verdana"/>
          <w:sz w:val="18"/>
          <w:szCs w:val="18"/>
        </w:rPr>
        <w:t>,</w:t>
      </w:r>
      <w:r w:rsidRPr="00323C69" w:rsidR="004018D9">
        <w:rPr>
          <w:rFonts w:ascii="Verdana" w:hAnsi="Verdana"/>
          <w:sz w:val="18"/>
          <w:szCs w:val="18"/>
        </w:rPr>
        <w:t xml:space="preserve"> ook als dat niet het hoogste bedrag betreft.</w:t>
      </w:r>
      <w:r w:rsidR="00D64F98">
        <w:rPr>
          <w:rFonts w:ascii="Verdana" w:hAnsi="Verdana"/>
          <w:sz w:val="18"/>
          <w:szCs w:val="18"/>
        </w:rPr>
        <w:t xml:space="preserve"> De bewijslast ligt dan wel bij de inhoudingsplichtige. </w:t>
      </w:r>
    </w:p>
    <w:p w:rsidR="00AF7269" w:rsidP="004018D9" w:rsidRDefault="00AF7269" w14:paraId="60F45233" w14:textId="77777777">
      <w:pPr>
        <w:pStyle w:val="Geenafstand"/>
        <w:spacing w:line="271" w:lineRule="auto"/>
        <w:rPr>
          <w:rFonts w:ascii="Verdana" w:hAnsi="Verdana"/>
          <w:sz w:val="18"/>
          <w:szCs w:val="18"/>
        </w:rPr>
      </w:pPr>
    </w:p>
    <w:p w:rsidR="00AF7269" w:rsidP="004018D9" w:rsidRDefault="00AF7269" w14:paraId="18024A8B" w14:textId="77777777">
      <w:pPr>
        <w:pStyle w:val="Geenafstand"/>
        <w:spacing w:line="271" w:lineRule="auto"/>
        <w:rPr>
          <w:rFonts w:ascii="Verdana" w:hAnsi="Verdana"/>
          <w:sz w:val="18"/>
          <w:szCs w:val="18"/>
        </w:rPr>
      </w:pPr>
    </w:p>
    <w:p w:rsidRPr="002F500A" w:rsidR="004018D9" w:rsidP="002C53A7" w:rsidRDefault="004018D9" w14:paraId="2AF26C12" w14:textId="77777777">
      <w:pPr>
        <w:pStyle w:val="Geenafstand"/>
        <w:numPr>
          <w:ilvl w:val="0"/>
          <w:numId w:val="17"/>
        </w:numPr>
        <w:spacing w:line="271" w:lineRule="auto"/>
        <w:ind w:left="357" w:hanging="357"/>
        <w:rPr>
          <w:rFonts w:ascii="Verdana" w:hAnsi="Verdana"/>
          <w:b/>
          <w:bCs/>
          <w:color w:val="161616"/>
          <w:w w:val="105"/>
          <w:sz w:val="18"/>
          <w:szCs w:val="18"/>
        </w:rPr>
      </w:pPr>
      <w:r>
        <w:rPr>
          <w:rFonts w:ascii="Verdana" w:hAnsi="Verdana"/>
          <w:b/>
          <w:bCs/>
          <w:color w:val="161616"/>
          <w:w w:val="105"/>
          <w:sz w:val="18"/>
          <w:szCs w:val="18"/>
        </w:rPr>
        <w:t xml:space="preserve">Uitkomsten van de evaluatie van de </w:t>
      </w:r>
      <w:proofErr w:type="spellStart"/>
      <w:r>
        <w:rPr>
          <w:rFonts w:ascii="Verdana" w:hAnsi="Verdana"/>
          <w:b/>
          <w:bCs/>
          <w:color w:val="161616"/>
          <w:w w:val="105"/>
          <w:sz w:val="18"/>
          <w:szCs w:val="18"/>
        </w:rPr>
        <w:t>gebruikelijkloonregeling</w:t>
      </w:r>
      <w:proofErr w:type="spellEnd"/>
    </w:p>
    <w:p w:rsidR="004018D9" w:rsidP="004018D9" w:rsidRDefault="00C748F0" w14:paraId="3128C382" w14:textId="77777777">
      <w:pPr>
        <w:autoSpaceDE w:val="0"/>
        <w:adjustRightInd w:val="0"/>
        <w:spacing w:line="271" w:lineRule="auto"/>
        <w:rPr>
          <w:rFonts w:cs="Avenir Next LT Pro"/>
        </w:rPr>
      </w:pPr>
      <w:r>
        <w:rPr>
          <w:rFonts w:cs="Verdana"/>
          <w:color w:val="161616"/>
        </w:rPr>
        <w:t>SEO heeft g</w:t>
      </w:r>
      <w:r w:rsidRPr="002C03FD">
        <w:rPr>
          <w:rFonts w:cs="Verdana"/>
          <w:color w:val="161616"/>
        </w:rPr>
        <w:t xml:space="preserve">econcludeerd dat de </w:t>
      </w:r>
      <w:proofErr w:type="spellStart"/>
      <w:r w:rsidRPr="002C03FD">
        <w:rPr>
          <w:rFonts w:cs="Verdana"/>
          <w:color w:val="161616"/>
        </w:rPr>
        <w:t>gebruikelijkloonregeling</w:t>
      </w:r>
      <w:proofErr w:type="spellEnd"/>
      <w:r w:rsidRPr="002C03FD">
        <w:rPr>
          <w:rFonts w:cs="Verdana"/>
          <w:color w:val="161616"/>
        </w:rPr>
        <w:t xml:space="preserve"> doelmatig is omdat </w:t>
      </w:r>
      <w:r>
        <w:rPr>
          <w:rFonts w:cs="Verdana"/>
          <w:color w:val="161616"/>
        </w:rPr>
        <w:t xml:space="preserve">ten eerste </w:t>
      </w:r>
      <w:r w:rsidRPr="009E4F71">
        <w:rPr>
          <w:rFonts w:cs="Avenir Next LT Pro"/>
        </w:rPr>
        <w:t xml:space="preserve">de opbrengsten de kosten </w:t>
      </w:r>
      <w:r>
        <w:rPr>
          <w:rFonts w:cs="Avenir Next LT Pro"/>
        </w:rPr>
        <w:t xml:space="preserve">van de regeling </w:t>
      </w:r>
      <w:r w:rsidRPr="009E4F71">
        <w:rPr>
          <w:rFonts w:cs="Avenir Next LT Pro"/>
        </w:rPr>
        <w:t>ruimschoots overstijgen</w:t>
      </w:r>
      <w:r>
        <w:rPr>
          <w:rFonts w:cs="Avenir Next LT Pro"/>
        </w:rPr>
        <w:t xml:space="preserve"> en ten tweede omdat </w:t>
      </w:r>
      <w:r w:rsidRPr="002C03FD">
        <w:rPr>
          <w:rFonts w:cs="Verdana"/>
          <w:color w:val="161616"/>
        </w:rPr>
        <w:t xml:space="preserve">er geen beleidsalternatieven zijn gevonden die potentieel doelmatiger zijn dan de </w:t>
      </w:r>
      <w:proofErr w:type="spellStart"/>
      <w:r w:rsidRPr="002C03FD">
        <w:rPr>
          <w:rFonts w:cs="Verdana"/>
          <w:color w:val="161616"/>
        </w:rPr>
        <w:t>gebruikelijkloonregeling</w:t>
      </w:r>
      <w:proofErr w:type="spellEnd"/>
      <w:r w:rsidRPr="002C03FD">
        <w:rPr>
          <w:rFonts w:cs="Verdana"/>
          <w:color w:val="161616"/>
        </w:rPr>
        <w:t xml:space="preserve">. </w:t>
      </w:r>
      <w:r>
        <w:rPr>
          <w:rFonts w:cs="Verdana"/>
          <w:color w:val="161616"/>
        </w:rPr>
        <w:t xml:space="preserve">Dat is een belangrijke constatering. </w:t>
      </w:r>
      <w:r w:rsidRPr="000E79D5" w:rsidR="004018D9">
        <w:rPr>
          <w:rFonts w:cs="Avenir Next LT Pro"/>
        </w:rPr>
        <w:t xml:space="preserve">De </w:t>
      </w:r>
      <w:r w:rsidR="004018D9">
        <w:rPr>
          <w:rFonts w:cs="Avenir Next LT Pro"/>
        </w:rPr>
        <w:t xml:space="preserve">mate van doeltreffendheid van de </w:t>
      </w:r>
      <w:proofErr w:type="spellStart"/>
      <w:r w:rsidRPr="000E79D5" w:rsidR="004018D9">
        <w:rPr>
          <w:rFonts w:cs="Avenir Next LT Pro"/>
        </w:rPr>
        <w:t>gebruikelijkloonregeling</w:t>
      </w:r>
      <w:proofErr w:type="spellEnd"/>
      <w:r w:rsidRPr="000E79D5" w:rsidR="004018D9">
        <w:rPr>
          <w:rFonts w:cs="Avenir Next LT Pro"/>
        </w:rPr>
        <w:t xml:space="preserve"> hangt </w:t>
      </w:r>
      <w:r w:rsidR="004018D9">
        <w:rPr>
          <w:rFonts w:cs="Avenir Next LT Pro"/>
        </w:rPr>
        <w:t>direct samen met d</w:t>
      </w:r>
      <w:r w:rsidRPr="000E79D5" w:rsidR="004018D9">
        <w:rPr>
          <w:rFonts w:cs="Avenir Next LT Pro"/>
        </w:rPr>
        <w:t xml:space="preserve">e mate waarin het in aanmerking genomen loon </w:t>
      </w:r>
      <w:r w:rsidR="004018D9">
        <w:rPr>
          <w:rFonts w:cs="Avenir Next LT Pro"/>
        </w:rPr>
        <w:t xml:space="preserve">van een </w:t>
      </w:r>
      <w:proofErr w:type="spellStart"/>
      <w:r w:rsidR="004018D9">
        <w:rPr>
          <w:rFonts w:cs="Avenir Next LT Pro"/>
        </w:rPr>
        <w:t>dga</w:t>
      </w:r>
      <w:proofErr w:type="spellEnd"/>
      <w:r w:rsidR="004018D9">
        <w:rPr>
          <w:rFonts w:cs="Avenir Next LT Pro"/>
        </w:rPr>
        <w:t xml:space="preserve"> </w:t>
      </w:r>
      <w:r w:rsidRPr="000E79D5" w:rsidR="004018D9">
        <w:rPr>
          <w:rFonts w:cs="Avenir Next LT Pro"/>
        </w:rPr>
        <w:t>overeenkomt met de wettelijke vereisten</w:t>
      </w:r>
      <w:r w:rsidR="0045345E">
        <w:rPr>
          <w:rFonts w:cs="Avenir Next LT Pro"/>
        </w:rPr>
        <w:t>,</w:t>
      </w:r>
      <w:r w:rsidR="004018D9">
        <w:rPr>
          <w:rFonts w:cs="Avenir Next LT Pro"/>
        </w:rPr>
        <w:t xml:space="preserve"> oftewel in welke mate het </w:t>
      </w:r>
      <w:r w:rsidR="002C53A7">
        <w:rPr>
          <w:rFonts w:cs="Avenir Next LT Pro"/>
        </w:rPr>
        <w:t>gebruikelijk loon</w:t>
      </w:r>
      <w:r w:rsidR="004018D9">
        <w:rPr>
          <w:rFonts w:cs="Avenir Next LT Pro"/>
        </w:rPr>
        <w:t xml:space="preserve"> dat wordt toegekend aan de </w:t>
      </w:r>
      <w:proofErr w:type="spellStart"/>
      <w:r w:rsidR="004018D9">
        <w:rPr>
          <w:rFonts w:cs="Avenir Next LT Pro"/>
        </w:rPr>
        <w:t>dga</w:t>
      </w:r>
      <w:proofErr w:type="spellEnd"/>
      <w:r w:rsidR="004018D9">
        <w:rPr>
          <w:rFonts w:cs="Avenir Next LT Pro"/>
        </w:rPr>
        <w:t xml:space="preserve"> overeenkomt met het loon van een werknemer die dezelfde werkzaamheden verricht. In het evaluatie</w:t>
      </w:r>
      <w:r w:rsidRPr="000E79D5" w:rsidR="004018D9">
        <w:rPr>
          <w:rFonts w:cs="Avenir Next LT Pro"/>
        </w:rPr>
        <w:t xml:space="preserve">onderzoek </w:t>
      </w:r>
      <w:r w:rsidR="004018D9">
        <w:rPr>
          <w:rFonts w:cs="Avenir Next LT Pro"/>
        </w:rPr>
        <w:t xml:space="preserve">is op basis van een </w:t>
      </w:r>
      <w:r w:rsidRPr="000E79D5" w:rsidR="004018D9">
        <w:rPr>
          <w:rFonts w:cs="Avenir Next LT Pro"/>
        </w:rPr>
        <w:t xml:space="preserve">loonvergelijking een inschatting gemaakt van de totale loonsom in het geval dat alle gebruikelijk lonen </w:t>
      </w:r>
      <w:r w:rsidR="004018D9">
        <w:rPr>
          <w:rFonts w:cs="Avenir Next LT Pro"/>
        </w:rPr>
        <w:t xml:space="preserve">van </w:t>
      </w:r>
      <w:proofErr w:type="spellStart"/>
      <w:r w:rsidR="004018D9">
        <w:rPr>
          <w:rFonts w:cs="Avenir Next LT Pro"/>
        </w:rPr>
        <w:t>dga’s</w:t>
      </w:r>
      <w:proofErr w:type="spellEnd"/>
      <w:r w:rsidR="004018D9">
        <w:rPr>
          <w:rFonts w:cs="Avenir Next LT Pro"/>
        </w:rPr>
        <w:t xml:space="preserve"> </w:t>
      </w:r>
      <w:r w:rsidRPr="000E79D5" w:rsidR="004018D9">
        <w:rPr>
          <w:rFonts w:cs="Avenir Next LT Pro"/>
        </w:rPr>
        <w:t xml:space="preserve">zouden voldoen aan de wettelijke vereisten. De </w:t>
      </w:r>
      <w:r w:rsidR="004018D9">
        <w:rPr>
          <w:rFonts w:cs="Avenir Next LT Pro"/>
        </w:rPr>
        <w:t xml:space="preserve">werkelijke </w:t>
      </w:r>
      <w:r w:rsidRPr="000E79D5" w:rsidR="004018D9">
        <w:rPr>
          <w:rFonts w:cs="Avenir Next LT Pro"/>
        </w:rPr>
        <w:t xml:space="preserve">loonsom </w:t>
      </w:r>
      <w:r w:rsidR="004018D9">
        <w:rPr>
          <w:rFonts w:cs="Avenir Next LT Pro"/>
        </w:rPr>
        <w:t xml:space="preserve">van </w:t>
      </w:r>
      <w:proofErr w:type="spellStart"/>
      <w:r w:rsidR="004018D9">
        <w:rPr>
          <w:rFonts w:cs="Avenir Next LT Pro"/>
        </w:rPr>
        <w:t>dga’s</w:t>
      </w:r>
      <w:proofErr w:type="spellEnd"/>
      <w:r w:rsidR="004018D9">
        <w:rPr>
          <w:rFonts w:cs="Avenir Next LT Pro"/>
        </w:rPr>
        <w:t xml:space="preserve"> bedraagt </w:t>
      </w:r>
      <w:r w:rsidRPr="000E79D5" w:rsidR="004018D9">
        <w:rPr>
          <w:rFonts w:cs="Avenir Next LT Pro"/>
        </w:rPr>
        <w:t xml:space="preserve">ongeveer </w:t>
      </w:r>
      <w:r w:rsidR="00FD74FE">
        <w:rPr>
          <w:rFonts w:cs="Avenir Next LT Pro"/>
        </w:rPr>
        <w:t>80%</w:t>
      </w:r>
      <w:r w:rsidRPr="000E79D5" w:rsidR="004018D9">
        <w:rPr>
          <w:rFonts w:cs="Avenir Next LT Pro"/>
        </w:rPr>
        <w:t xml:space="preserve"> van deze </w:t>
      </w:r>
      <w:r>
        <w:rPr>
          <w:rFonts w:cs="Avenir Next LT Pro"/>
        </w:rPr>
        <w:t xml:space="preserve">door SEO </w:t>
      </w:r>
      <w:r w:rsidRPr="000E79D5" w:rsidR="004018D9">
        <w:rPr>
          <w:rFonts w:cs="Avenir Next LT Pro"/>
        </w:rPr>
        <w:t xml:space="preserve">geschatte loonsom. </w:t>
      </w:r>
      <w:r w:rsidR="004018D9">
        <w:rPr>
          <w:rFonts w:cs="Avenir Next LT Pro"/>
        </w:rPr>
        <w:t xml:space="preserve">Daarmee </w:t>
      </w:r>
      <w:r w:rsidR="00591C6F">
        <w:rPr>
          <w:rFonts w:cs="Avenir Next LT Pro"/>
        </w:rPr>
        <w:t>be</w:t>
      </w:r>
      <w:r w:rsidR="004018D9">
        <w:rPr>
          <w:rFonts w:cs="Avenir Next LT Pro"/>
        </w:rPr>
        <w:t xml:space="preserve">haalt de </w:t>
      </w:r>
      <w:r w:rsidRPr="000E79D5" w:rsidR="004018D9">
        <w:rPr>
          <w:rFonts w:cs="Avenir Next LT Pro"/>
        </w:rPr>
        <w:t xml:space="preserve">regeling dus grotendeels </w:t>
      </w:r>
      <w:r w:rsidR="00E1729B">
        <w:rPr>
          <w:rFonts w:cs="Avenir Next LT Pro"/>
        </w:rPr>
        <w:t>haar</w:t>
      </w:r>
      <w:r w:rsidRPr="000E79D5" w:rsidR="004018D9">
        <w:rPr>
          <w:rFonts w:cs="Avenir Next LT Pro"/>
        </w:rPr>
        <w:t xml:space="preserve"> doel, maar is </w:t>
      </w:r>
      <w:r>
        <w:rPr>
          <w:rFonts w:cs="Avenir Next LT Pro"/>
        </w:rPr>
        <w:t xml:space="preserve">er </w:t>
      </w:r>
      <w:r w:rsidRPr="000E79D5" w:rsidR="004018D9">
        <w:rPr>
          <w:rFonts w:cs="Avenir Next LT Pro"/>
        </w:rPr>
        <w:t xml:space="preserve">ook ruimte voor verbetering. </w:t>
      </w:r>
      <w:r>
        <w:rPr>
          <w:rFonts w:cs="Verdana"/>
          <w:color w:val="161616"/>
        </w:rPr>
        <w:t>Dat kunnen verbetering</w:t>
      </w:r>
      <w:r w:rsidR="00777534">
        <w:rPr>
          <w:rFonts w:cs="Verdana"/>
          <w:color w:val="161616"/>
        </w:rPr>
        <w:t>en</w:t>
      </w:r>
      <w:r>
        <w:rPr>
          <w:rFonts w:cs="Verdana"/>
          <w:color w:val="161616"/>
        </w:rPr>
        <w:t xml:space="preserve"> binnen de regeling zijn en/of een verbetering in de handhaving.</w:t>
      </w:r>
      <w:r w:rsidRPr="00C748F0">
        <w:rPr>
          <w:rFonts w:cs="Avenir Next LT Pro"/>
        </w:rPr>
        <w:t xml:space="preserve"> </w:t>
      </w:r>
      <w:r w:rsidRPr="000E79D5">
        <w:rPr>
          <w:rFonts w:cs="Avenir Next LT Pro"/>
        </w:rPr>
        <w:t xml:space="preserve">Om deze reden </w:t>
      </w:r>
      <w:r>
        <w:rPr>
          <w:rFonts w:cs="Avenir Next LT Pro"/>
        </w:rPr>
        <w:t xml:space="preserve">heeft SEO </w:t>
      </w:r>
      <w:r w:rsidRPr="000E79D5">
        <w:rPr>
          <w:rFonts w:cs="Avenir Next LT Pro"/>
        </w:rPr>
        <w:t>de regeling beoordeeld als deels doeltreffend</w:t>
      </w:r>
      <w:r>
        <w:rPr>
          <w:rFonts w:cs="Avenir Next LT Pro"/>
        </w:rPr>
        <w:t>.</w:t>
      </w:r>
    </w:p>
    <w:p w:rsidR="004018D9" w:rsidP="004018D9" w:rsidRDefault="004018D9" w14:paraId="03E12B52" w14:textId="77777777">
      <w:pPr>
        <w:autoSpaceDE w:val="0"/>
        <w:adjustRightInd w:val="0"/>
        <w:spacing w:line="271" w:lineRule="auto"/>
        <w:rPr>
          <w:rFonts w:cs="Avenir Next LT Pro"/>
        </w:rPr>
      </w:pPr>
    </w:p>
    <w:p w:rsidRPr="00A23DA4" w:rsidR="004018D9" w:rsidP="004018D9" w:rsidRDefault="00FD74FE" w14:paraId="70479B23" w14:textId="77777777">
      <w:pPr>
        <w:autoSpaceDE w:val="0"/>
        <w:adjustRightInd w:val="0"/>
        <w:spacing w:line="271" w:lineRule="auto"/>
        <w:rPr>
          <w:rFonts w:cs="Avenir Next LT Pro"/>
        </w:rPr>
      </w:pPr>
      <w:r>
        <w:t xml:space="preserve">De </w:t>
      </w:r>
      <w:proofErr w:type="spellStart"/>
      <w:r>
        <w:t>gebruikelijkloonregeling</w:t>
      </w:r>
      <w:proofErr w:type="spellEnd"/>
      <w:r>
        <w:t xml:space="preserve"> is op basis van de volgende bevindingen van de evaluatie beoordeeld als deels doeltreffend</w:t>
      </w:r>
      <w:r w:rsidR="004018D9">
        <w:rPr>
          <w:rFonts w:cs="Avenir Next LT Pro"/>
        </w:rPr>
        <w:t>:</w:t>
      </w:r>
    </w:p>
    <w:p w:rsidRPr="00C748F0" w:rsidR="004018D9" w:rsidP="00C748F0" w:rsidRDefault="004018D9" w14:paraId="06179052" w14:textId="77777777">
      <w:pPr>
        <w:pStyle w:val="Lijstalinea"/>
        <w:numPr>
          <w:ilvl w:val="0"/>
          <w:numId w:val="9"/>
        </w:numPr>
        <w:autoSpaceDE w:val="0"/>
        <w:autoSpaceDN w:val="0"/>
        <w:adjustRightInd w:val="0"/>
        <w:spacing w:after="353" w:line="271" w:lineRule="auto"/>
        <w:ind w:left="357" w:hanging="357"/>
        <w:rPr>
          <w:rFonts w:ascii="Verdana" w:hAnsi="Verdana" w:cs="Avenir Next LT Pro"/>
          <w:kern w:val="0"/>
          <w:sz w:val="18"/>
          <w:szCs w:val="18"/>
        </w:rPr>
      </w:pPr>
      <w:r w:rsidRPr="00C748F0">
        <w:rPr>
          <w:rFonts w:ascii="Verdana" w:hAnsi="Verdana" w:cs="Avenir Next LT Pro"/>
          <w:i/>
          <w:iCs/>
          <w:kern w:val="0"/>
          <w:sz w:val="18"/>
          <w:szCs w:val="18"/>
        </w:rPr>
        <w:t xml:space="preserve">Er ontbreekt goede informatie over het loon </w:t>
      </w:r>
      <w:r w:rsidR="00222C04">
        <w:rPr>
          <w:rFonts w:ascii="Verdana" w:hAnsi="Verdana" w:cs="Avenir Next LT Pro"/>
          <w:i/>
          <w:iCs/>
          <w:kern w:val="0"/>
          <w:sz w:val="18"/>
          <w:szCs w:val="18"/>
        </w:rPr>
        <w:t>uit</w:t>
      </w:r>
      <w:r w:rsidRPr="00C748F0" w:rsidR="00222C04">
        <w:rPr>
          <w:rFonts w:ascii="Verdana" w:hAnsi="Verdana" w:cs="Avenir Next LT Pro"/>
          <w:i/>
          <w:iCs/>
          <w:kern w:val="0"/>
          <w:sz w:val="18"/>
          <w:szCs w:val="18"/>
        </w:rPr>
        <w:t xml:space="preserve"> </w:t>
      </w:r>
      <w:r w:rsidRPr="00C748F0">
        <w:rPr>
          <w:rFonts w:ascii="Verdana" w:hAnsi="Verdana" w:cs="Avenir Next LT Pro"/>
          <w:i/>
          <w:iCs/>
          <w:kern w:val="0"/>
          <w:sz w:val="18"/>
          <w:szCs w:val="18"/>
        </w:rPr>
        <w:t>de meest vergelijkbare dienstbetrekking</w:t>
      </w:r>
      <w:r w:rsidRPr="00C748F0">
        <w:rPr>
          <w:rFonts w:ascii="Verdana" w:hAnsi="Verdana" w:cs="Avenir Next LT Pro"/>
          <w:kern w:val="0"/>
          <w:sz w:val="18"/>
          <w:szCs w:val="18"/>
        </w:rPr>
        <w:t xml:space="preserve">. Dit blijkt uit gesprekken met belastingadviseurs en de Belastingdienst. Dit maakt het exact inschatten van het gebruikelijk loon uitdagend. Er is bijvoorbeeld geen centrale databron waarmee het juiste loon uit de meest vergelijkbare dienstbetrekking eenvoudig kan worden vastgesteld. Zowel de Belastingdienst als </w:t>
      </w:r>
      <w:proofErr w:type="spellStart"/>
      <w:r w:rsidRPr="00C748F0">
        <w:rPr>
          <w:rFonts w:ascii="Verdana" w:hAnsi="Verdana" w:cs="Avenir Next LT Pro"/>
          <w:kern w:val="0"/>
          <w:sz w:val="18"/>
          <w:szCs w:val="18"/>
        </w:rPr>
        <w:t>dga’s</w:t>
      </w:r>
      <w:proofErr w:type="spellEnd"/>
      <w:r w:rsidRPr="00C748F0">
        <w:rPr>
          <w:rFonts w:ascii="Verdana" w:hAnsi="Verdana" w:cs="Avenir Next LT Pro"/>
          <w:kern w:val="0"/>
          <w:sz w:val="18"/>
          <w:szCs w:val="18"/>
        </w:rPr>
        <w:t xml:space="preserve"> zijn hiervoor afhankelijk van informatie van bijvoorbeeld vacaturewebsites. Dit bemoeilijkt een nauwkeurige bepaling van het loon voor beide partijen. Dit heeft twee gevolgen: </w:t>
      </w:r>
      <w:proofErr w:type="spellStart"/>
      <w:r w:rsidRPr="00C748F0">
        <w:rPr>
          <w:rFonts w:ascii="Verdana" w:hAnsi="Verdana" w:cs="Avenir Next LT Pro"/>
          <w:kern w:val="0"/>
          <w:sz w:val="18"/>
          <w:szCs w:val="18"/>
        </w:rPr>
        <w:t>dga’s</w:t>
      </w:r>
      <w:proofErr w:type="spellEnd"/>
      <w:r w:rsidRPr="00C748F0">
        <w:rPr>
          <w:rFonts w:ascii="Verdana" w:hAnsi="Verdana" w:cs="Avenir Next LT Pro"/>
          <w:kern w:val="0"/>
          <w:sz w:val="18"/>
          <w:szCs w:val="18"/>
        </w:rPr>
        <w:t xml:space="preserve"> en hun adviseurs hanteren vaak een ruime interpretatie van het gebruikelijk loon en de Belastingdienst beschikt over te weinig informatie om te controleren of het gebruikelijk loon juist is vastgesteld.</w:t>
      </w:r>
    </w:p>
    <w:p w:rsidRPr="00BF4110" w:rsidR="004018D9" w:rsidP="004018D9" w:rsidRDefault="004018D9" w14:paraId="51083DFB" w14:textId="77777777">
      <w:pPr>
        <w:pStyle w:val="Lijstalinea"/>
        <w:numPr>
          <w:ilvl w:val="0"/>
          <w:numId w:val="9"/>
        </w:numPr>
        <w:autoSpaceDE w:val="0"/>
        <w:autoSpaceDN w:val="0"/>
        <w:adjustRightInd w:val="0"/>
        <w:spacing w:after="0" w:line="271" w:lineRule="auto"/>
        <w:ind w:left="357" w:hanging="357"/>
        <w:rPr>
          <w:rFonts w:ascii="Verdana" w:hAnsi="Verdana" w:cs="Avenir Next LT Pro"/>
          <w:sz w:val="18"/>
          <w:szCs w:val="18"/>
        </w:rPr>
      </w:pPr>
      <w:proofErr w:type="spellStart"/>
      <w:r w:rsidRPr="00320373">
        <w:rPr>
          <w:rFonts w:ascii="Verdana" w:hAnsi="Verdana"/>
          <w:i/>
          <w:iCs/>
          <w:sz w:val="18"/>
          <w:szCs w:val="18"/>
        </w:rPr>
        <w:t>Dga’s</w:t>
      </w:r>
      <w:proofErr w:type="spellEnd"/>
      <w:r w:rsidRPr="00320373">
        <w:rPr>
          <w:rFonts w:ascii="Verdana" w:hAnsi="Verdana"/>
          <w:i/>
          <w:iCs/>
          <w:sz w:val="18"/>
          <w:szCs w:val="18"/>
        </w:rPr>
        <w:t xml:space="preserve"> en adviseurs ervaren geen strikte handhaving vanuit de Belastingdienst</w:t>
      </w:r>
      <w:r w:rsidRPr="00320373">
        <w:rPr>
          <w:rFonts w:ascii="Verdana" w:hAnsi="Verdana" w:cs="Avenir Next LT Pro"/>
          <w:i/>
          <w:iCs/>
          <w:kern w:val="0"/>
          <w:sz w:val="18"/>
          <w:szCs w:val="18"/>
        </w:rPr>
        <w:t>.</w:t>
      </w:r>
      <w:r w:rsidRPr="007C0BC7">
        <w:rPr>
          <w:rFonts w:ascii="Verdana" w:hAnsi="Verdana" w:cs="Avenir Next LT Pro"/>
          <w:kern w:val="0"/>
          <w:sz w:val="18"/>
          <w:szCs w:val="18"/>
        </w:rPr>
        <w:t xml:space="preserve"> De onderzoekers</w:t>
      </w:r>
      <w:r w:rsidRPr="00BF4110">
        <w:rPr>
          <w:rFonts w:ascii="Verdana" w:hAnsi="Verdana" w:cs="Avenir Next LT Pro"/>
          <w:kern w:val="0"/>
          <w:sz w:val="18"/>
          <w:szCs w:val="18"/>
        </w:rPr>
        <w:t xml:space="preserve"> geven aan dat het gevolg van deze perceptie is dat </w:t>
      </w:r>
      <w:proofErr w:type="spellStart"/>
      <w:r w:rsidRPr="00BF4110">
        <w:rPr>
          <w:rFonts w:ascii="Verdana" w:hAnsi="Verdana" w:cs="Avenir Next LT Pro"/>
          <w:kern w:val="0"/>
          <w:sz w:val="18"/>
          <w:szCs w:val="18"/>
        </w:rPr>
        <w:t>dga’s</w:t>
      </w:r>
      <w:proofErr w:type="spellEnd"/>
      <w:r w:rsidRPr="00BF4110">
        <w:rPr>
          <w:rFonts w:ascii="Verdana" w:hAnsi="Verdana" w:cs="Avenir Next LT Pro"/>
          <w:kern w:val="0"/>
          <w:sz w:val="18"/>
          <w:szCs w:val="18"/>
        </w:rPr>
        <w:t xml:space="preserve"> en hun adviseurs weinig moeite doen voor het vinden van een passend loon en het gebruikelijk loon lager vaststellen. Een grove benadering van het gebruikelijk loon lijkt voldoende om eventuele correcties door de Belastingdienst te voorkomen. </w:t>
      </w:r>
      <w:r w:rsidR="00581691">
        <w:rPr>
          <w:rFonts w:ascii="Verdana" w:hAnsi="Verdana" w:cs="Avenir Next LT Pro"/>
          <w:kern w:val="0"/>
          <w:sz w:val="18"/>
          <w:szCs w:val="18"/>
        </w:rPr>
        <w:t>De inhoudingsplichtigen</w:t>
      </w:r>
      <w:r w:rsidRPr="00BF4110">
        <w:rPr>
          <w:rFonts w:ascii="Verdana" w:hAnsi="Verdana" w:cs="Avenir Next LT Pro"/>
          <w:kern w:val="0"/>
          <w:sz w:val="18"/>
          <w:szCs w:val="18"/>
        </w:rPr>
        <w:t xml:space="preserve"> kunnen via vooroverleg met de Belastingdienst een aanvraag doen om het gebruikelijk loon lager vast te stellen dan</w:t>
      </w:r>
      <w:r w:rsidR="00336049">
        <w:rPr>
          <w:rFonts w:ascii="Verdana" w:hAnsi="Verdana" w:cs="Avenir Next LT Pro"/>
          <w:kern w:val="0"/>
          <w:sz w:val="18"/>
          <w:szCs w:val="18"/>
        </w:rPr>
        <w:t xml:space="preserve"> </w:t>
      </w:r>
      <w:r w:rsidR="00FC6D42">
        <w:rPr>
          <w:rFonts w:ascii="Verdana" w:hAnsi="Verdana" w:cs="Avenir Next LT Pro"/>
          <w:kern w:val="0"/>
          <w:sz w:val="18"/>
          <w:szCs w:val="18"/>
        </w:rPr>
        <w:t>het normbedrag</w:t>
      </w:r>
      <w:r w:rsidRPr="00BF4110">
        <w:rPr>
          <w:rFonts w:ascii="Verdana" w:hAnsi="Verdana" w:cs="Avenir Next LT Pro"/>
          <w:kern w:val="0"/>
          <w:sz w:val="18"/>
          <w:szCs w:val="18"/>
        </w:rPr>
        <w:t>. Dit kan onder andere in het geval dat een</w:t>
      </w:r>
      <w:r>
        <w:rPr>
          <w:rFonts w:ascii="Verdana" w:hAnsi="Verdana" w:cs="Avenir Next LT Pro"/>
          <w:kern w:val="0"/>
          <w:sz w:val="18"/>
          <w:szCs w:val="18"/>
        </w:rPr>
        <w:t xml:space="preserve"> </w:t>
      </w:r>
      <w:r w:rsidR="00336049">
        <w:rPr>
          <w:rFonts w:ascii="Verdana" w:hAnsi="Verdana" w:cs="Avenir Next LT Pro"/>
          <w:kern w:val="0"/>
          <w:sz w:val="18"/>
          <w:szCs w:val="18"/>
        </w:rPr>
        <w:t xml:space="preserve">loon uit </w:t>
      </w:r>
      <w:r w:rsidR="00126012">
        <w:rPr>
          <w:rFonts w:ascii="Verdana" w:hAnsi="Verdana" w:cs="Avenir Next LT Pro"/>
          <w:kern w:val="0"/>
          <w:sz w:val="18"/>
          <w:szCs w:val="18"/>
        </w:rPr>
        <w:t xml:space="preserve">de meest </w:t>
      </w:r>
      <w:r w:rsidRPr="00BF4110">
        <w:rPr>
          <w:rFonts w:ascii="Verdana" w:hAnsi="Verdana" w:cs="Avenir Next LT Pro"/>
          <w:kern w:val="0"/>
          <w:sz w:val="18"/>
          <w:szCs w:val="18"/>
        </w:rPr>
        <w:t xml:space="preserve">vergelijkbare dienstbetrekking lager </w:t>
      </w:r>
      <w:r w:rsidR="00336049">
        <w:rPr>
          <w:rFonts w:ascii="Verdana" w:hAnsi="Verdana" w:cs="Avenir Next LT Pro"/>
          <w:kern w:val="0"/>
          <w:sz w:val="18"/>
          <w:szCs w:val="18"/>
        </w:rPr>
        <w:t>is dan het normbedrag</w:t>
      </w:r>
      <w:r w:rsidR="00FC6D42">
        <w:rPr>
          <w:rFonts w:ascii="Verdana" w:hAnsi="Verdana" w:cs="Avenir Next LT Pro"/>
          <w:kern w:val="0"/>
          <w:sz w:val="18"/>
          <w:szCs w:val="18"/>
        </w:rPr>
        <w:t xml:space="preserve">, of </w:t>
      </w:r>
      <w:r w:rsidR="00591C6F">
        <w:rPr>
          <w:rFonts w:ascii="Verdana" w:hAnsi="Verdana" w:cs="Avenir Next LT Pro"/>
          <w:kern w:val="0"/>
          <w:sz w:val="18"/>
          <w:szCs w:val="18"/>
        </w:rPr>
        <w:t xml:space="preserve">dat er </w:t>
      </w:r>
      <w:r w:rsidRPr="00BF4110">
        <w:rPr>
          <w:rFonts w:ascii="Verdana" w:hAnsi="Verdana" w:cs="Avenir Next LT Pro"/>
          <w:kern w:val="0"/>
          <w:sz w:val="18"/>
          <w:szCs w:val="18"/>
        </w:rPr>
        <w:t xml:space="preserve">structureel verlies wordt geleden of </w:t>
      </w:r>
      <w:r w:rsidR="00591C6F">
        <w:rPr>
          <w:rFonts w:ascii="Verdana" w:hAnsi="Verdana" w:cs="Avenir Next LT Pro"/>
          <w:kern w:val="0"/>
          <w:sz w:val="18"/>
          <w:szCs w:val="18"/>
        </w:rPr>
        <w:t xml:space="preserve">dat er </w:t>
      </w:r>
      <w:r w:rsidRPr="00BF4110">
        <w:rPr>
          <w:rFonts w:ascii="Verdana" w:hAnsi="Verdana" w:cs="Avenir Next LT Pro"/>
          <w:kern w:val="0"/>
          <w:sz w:val="18"/>
          <w:szCs w:val="18"/>
        </w:rPr>
        <w:t>sprake is van deeltijdwerk</w:t>
      </w:r>
      <w:r w:rsidR="00222C04">
        <w:rPr>
          <w:rFonts w:ascii="Verdana" w:hAnsi="Verdana" w:cs="Avenir Next LT Pro"/>
          <w:kern w:val="0"/>
          <w:sz w:val="18"/>
          <w:szCs w:val="18"/>
        </w:rPr>
        <w:t xml:space="preserve"> dan wel sprake van een startende onderneming</w:t>
      </w:r>
      <w:r w:rsidRPr="00BF4110">
        <w:rPr>
          <w:rFonts w:ascii="Verdana" w:hAnsi="Verdana" w:cs="Avenir Next LT Pro"/>
          <w:kern w:val="0"/>
          <w:sz w:val="18"/>
          <w:szCs w:val="18"/>
        </w:rPr>
        <w:t>.</w:t>
      </w:r>
      <w:r w:rsidR="00FC6D42">
        <w:rPr>
          <w:rFonts w:ascii="Verdana" w:hAnsi="Verdana" w:cs="Avenir Next LT Pro"/>
          <w:kern w:val="0"/>
          <w:sz w:val="18"/>
          <w:szCs w:val="18"/>
        </w:rPr>
        <w:t xml:space="preserve"> </w:t>
      </w:r>
      <w:r w:rsidRPr="00BF4110">
        <w:rPr>
          <w:rFonts w:ascii="Verdana" w:hAnsi="Verdana" w:cs="Avenir Next LT Pro"/>
          <w:kern w:val="0"/>
          <w:sz w:val="18"/>
          <w:szCs w:val="18"/>
        </w:rPr>
        <w:t xml:space="preserve">In het geval dat een </w:t>
      </w:r>
      <w:r w:rsidR="00581691">
        <w:rPr>
          <w:rFonts w:ascii="Verdana" w:hAnsi="Verdana" w:cs="Avenir Next LT Pro"/>
          <w:kern w:val="0"/>
          <w:sz w:val="18"/>
          <w:szCs w:val="18"/>
        </w:rPr>
        <w:t>inhoudingsplichtige</w:t>
      </w:r>
      <w:r w:rsidRPr="00BF4110" w:rsidR="00581691">
        <w:rPr>
          <w:rFonts w:ascii="Verdana" w:hAnsi="Verdana" w:cs="Avenir Next LT Pro"/>
          <w:kern w:val="0"/>
          <w:sz w:val="18"/>
          <w:szCs w:val="18"/>
        </w:rPr>
        <w:t xml:space="preserve"> </w:t>
      </w:r>
      <w:r w:rsidRPr="00BF4110">
        <w:rPr>
          <w:rFonts w:ascii="Verdana" w:hAnsi="Verdana" w:cs="Avenir Next LT Pro"/>
          <w:kern w:val="0"/>
          <w:sz w:val="18"/>
          <w:szCs w:val="18"/>
        </w:rPr>
        <w:t xml:space="preserve">het loon lager wil laten vaststellen, ligt de bewijslast hiervoor bij de </w:t>
      </w:r>
      <w:r w:rsidR="00581691">
        <w:rPr>
          <w:rFonts w:ascii="Verdana" w:hAnsi="Verdana" w:cs="Avenir Next LT Pro"/>
          <w:kern w:val="0"/>
          <w:sz w:val="18"/>
          <w:szCs w:val="18"/>
        </w:rPr>
        <w:t>inhoudingsplichtige</w:t>
      </w:r>
      <w:r w:rsidRPr="00BF4110">
        <w:rPr>
          <w:rFonts w:ascii="Verdana" w:hAnsi="Verdana" w:cs="Avenir Next LT Pro"/>
          <w:kern w:val="0"/>
          <w:sz w:val="18"/>
          <w:szCs w:val="18"/>
        </w:rPr>
        <w:t xml:space="preserve">. </w:t>
      </w:r>
      <w:r w:rsidR="00581691">
        <w:rPr>
          <w:rFonts w:ascii="Verdana" w:hAnsi="Verdana" w:cs="Avenir Next LT Pro"/>
          <w:kern w:val="0"/>
          <w:sz w:val="18"/>
          <w:szCs w:val="18"/>
        </w:rPr>
        <w:t>Inhoudingsplichtigen</w:t>
      </w:r>
      <w:r w:rsidR="009F3835">
        <w:rPr>
          <w:rFonts w:ascii="Verdana" w:hAnsi="Verdana" w:cs="Avenir Next LT Pro"/>
          <w:kern w:val="0"/>
          <w:sz w:val="18"/>
          <w:szCs w:val="18"/>
        </w:rPr>
        <w:t xml:space="preserve"> </w:t>
      </w:r>
      <w:r w:rsidRPr="00BF4110">
        <w:rPr>
          <w:rFonts w:ascii="Verdana" w:hAnsi="Verdana" w:cs="Avenir Next LT Pro"/>
          <w:kern w:val="0"/>
          <w:sz w:val="18"/>
          <w:szCs w:val="18"/>
        </w:rPr>
        <w:t xml:space="preserve">zijn echter niet verplicht </w:t>
      </w:r>
      <w:r w:rsidR="00336049">
        <w:rPr>
          <w:rFonts w:ascii="Verdana" w:hAnsi="Verdana" w:cs="Avenir Next LT Pro"/>
          <w:kern w:val="0"/>
          <w:sz w:val="18"/>
          <w:szCs w:val="18"/>
        </w:rPr>
        <w:t>vooraf</w:t>
      </w:r>
      <w:r w:rsidRPr="00BF4110" w:rsidR="00336049">
        <w:rPr>
          <w:rFonts w:ascii="Verdana" w:hAnsi="Verdana" w:cs="Avenir Next LT Pro"/>
          <w:kern w:val="0"/>
          <w:sz w:val="18"/>
          <w:szCs w:val="18"/>
        </w:rPr>
        <w:t xml:space="preserve"> </w:t>
      </w:r>
      <w:r w:rsidRPr="00BF4110">
        <w:rPr>
          <w:rFonts w:ascii="Verdana" w:hAnsi="Verdana" w:cs="Avenir Next LT Pro"/>
          <w:kern w:val="0"/>
          <w:sz w:val="18"/>
          <w:szCs w:val="18"/>
        </w:rPr>
        <w:t>de Belastingdienst te informeren over het lager vaststellen van het gebruikelijk loon</w:t>
      </w:r>
      <w:r w:rsidR="00FC6D42">
        <w:rPr>
          <w:rFonts w:ascii="Verdana" w:hAnsi="Verdana" w:cs="Avenir Next LT Pro"/>
          <w:kern w:val="0"/>
          <w:sz w:val="18"/>
          <w:szCs w:val="18"/>
        </w:rPr>
        <w:t xml:space="preserve"> of hiervoor vooroverleg te voeren</w:t>
      </w:r>
      <w:r w:rsidRPr="00BF4110">
        <w:rPr>
          <w:rFonts w:ascii="Verdana" w:hAnsi="Verdana" w:cs="Avenir Next LT Pro"/>
          <w:kern w:val="0"/>
          <w:sz w:val="18"/>
          <w:szCs w:val="18"/>
        </w:rPr>
        <w:t xml:space="preserve">. De </w:t>
      </w:r>
      <w:r w:rsidR="00581691">
        <w:rPr>
          <w:rFonts w:ascii="Verdana" w:hAnsi="Verdana" w:cs="Avenir Next LT Pro"/>
          <w:kern w:val="0"/>
          <w:sz w:val="18"/>
          <w:szCs w:val="18"/>
        </w:rPr>
        <w:t>inhoudingsplichtige</w:t>
      </w:r>
      <w:r w:rsidRPr="00BF4110" w:rsidR="00581691">
        <w:rPr>
          <w:rFonts w:ascii="Verdana" w:hAnsi="Verdana" w:cs="Avenir Next LT Pro"/>
          <w:kern w:val="0"/>
          <w:sz w:val="18"/>
          <w:szCs w:val="18"/>
        </w:rPr>
        <w:t xml:space="preserve"> </w:t>
      </w:r>
      <w:r w:rsidRPr="00BF4110">
        <w:rPr>
          <w:rFonts w:ascii="Verdana" w:hAnsi="Verdana" w:cs="Avenir Next LT Pro"/>
          <w:kern w:val="0"/>
          <w:sz w:val="18"/>
          <w:szCs w:val="18"/>
        </w:rPr>
        <w:t xml:space="preserve">moet het bewijs voor lagere vaststelling alleen kunnen leveren wanneer </w:t>
      </w:r>
      <w:r w:rsidRPr="00BF4110">
        <w:rPr>
          <w:rFonts w:ascii="Verdana" w:hAnsi="Verdana" w:cs="Avenir Next LT Pro"/>
          <w:sz w:val="18"/>
          <w:szCs w:val="18"/>
        </w:rPr>
        <w:t>de Belastingdienst hierom vraagt</w:t>
      </w:r>
      <w:r w:rsidR="00126012">
        <w:rPr>
          <w:rFonts w:ascii="Verdana" w:hAnsi="Verdana" w:cs="Avenir Next LT Pro"/>
          <w:sz w:val="18"/>
          <w:szCs w:val="18"/>
        </w:rPr>
        <w:t>,</w:t>
      </w:r>
      <w:r w:rsidRPr="00BF4110">
        <w:rPr>
          <w:rFonts w:ascii="Verdana" w:hAnsi="Verdana" w:cs="Avenir Next LT Pro"/>
          <w:sz w:val="18"/>
          <w:szCs w:val="18"/>
        </w:rPr>
        <w:t xml:space="preserve"> bijvoorbeeld </w:t>
      </w:r>
      <w:r w:rsidR="00581691">
        <w:rPr>
          <w:rFonts w:ascii="Verdana" w:hAnsi="Verdana" w:cs="Avenir Next LT Pro"/>
          <w:sz w:val="18"/>
          <w:szCs w:val="18"/>
        </w:rPr>
        <w:t>bij</w:t>
      </w:r>
      <w:r w:rsidRPr="00BF4110" w:rsidR="00581691">
        <w:rPr>
          <w:rFonts w:ascii="Verdana" w:hAnsi="Verdana" w:cs="Avenir Next LT Pro"/>
          <w:sz w:val="18"/>
          <w:szCs w:val="18"/>
        </w:rPr>
        <w:t xml:space="preserve"> </w:t>
      </w:r>
      <w:r w:rsidRPr="00BF4110">
        <w:rPr>
          <w:rFonts w:ascii="Verdana" w:hAnsi="Verdana" w:cs="Avenir Next LT Pro"/>
          <w:sz w:val="18"/>
          <w:szCs w:val="18"/>
        </w:rPr>
        <w:t>een boek</w:t>
      </w:r>
      <w:r w:rsidR="00591C6F">
        <w:rPr>
          <w:rFonts w:ascii="Verdana" w:hAnsi="Verdana" w:cs="Avenir Next LT Pro"/>
          <w:sz w:val="18"/>
          <w:szCs w:val="18"/>
        </w:rPr>
        <w:t>en</w:t>
      </w:r>
      <w:r w:rsidRPr="00BF4110">
        <w:rPr>
          <w:rFonts w:ascii="Verdana" w:hAnsi="Verdana" w:cs="Avenir Next LT Pro"/>
          <w:sz w:val="18"/>
          <w:szCs w:val="18"/>
        </w:rPr>
        <w:t>onderzoek</w:t>
      </w:r>
      <w:r w:rsidRPr="00BF4110">
        <w:rPr>
          <w:rFonts w:ascii="Verdana" w:hAnsi="Verdana" w:cs="Avenir Next LT Pro"/>
          <w:kern w:val="0"/>
          <w:sz w:val="18"/>
          <w:szCs w:val="18"/>
        </w:rPr>
        <w:t xml:space="preserve">. Geen van de geïnterviewden heeft </w:t>
      </w:r>
      <w:r w:rsidR="00581691">
        <w:rPr>
          <w:rFonts w:ascii="Verdana" w:hAnsi="Verdana" w:cs="Avenir Next LT Pro"/>
          <w:kern w:val="0"/>
          <w:sz w:val="18"/>
          <w:szCs w:val="18"/>
        </w:rPr>
        <w:t xml:space="preserve">eerder </w:t>
      </w:r>
      <w:r w:rsidRPr="00BF4110">
        <w:rPr>
          <w:rFonts w:ascii="Verdana" w:hAnsi="Verdana" w:cs="Avenir Next LT Pro"/>
          <w:kern w:val="0"/>
          <w:sz w:val="18"/>
          <w:szCs w:val="18"/>
        </w:rPr>
        <w:t xml:space="preserve">een verzoek tot </w:t>
      </w:r>
      <w:r w:rsidR="00581691">
        <w:rPr>
          <w:rFonts w:ascii="Verdana" w:hAnsi="Verdana" w:cs="Avenir Next LT Pro"/>
          <w:kern w:val="0"/>
          <w:sz w:val="18"/>
          <w:szCs w:val="18"/>
        </w:rPr>
        <w:t>vooroverleg ingediend</w:t>
      </w:r>
      <w:r w:rsidRPr="00BF4110" w:rsidR="00581691">
        <w:rPr>
          <w:rFonts w:ascii="Verdana" w:hAnsi="Verdana" w:cs="Avenir Next LT Pro"/>
          <w:kern w:val="0"/>
          <w:sz w:val="18"/>
          <w:szCs w:val="18"/>
        </w:rPr>
        <w:t xml:space="preserve"> </w:t>
      </w:r>
      <w:r w:rsidRPr="00BF4110">
        <w:rPr>
          <w:rFonts w:ascii="Verdana" w:hAnsi="Verdana" w:cs="Avenir Next LT Pro"/>
          <w:kern w:val="0"/>
          <w:sz w:val="18"/>
          <w:szCs w:val="18"/>
        </w:rPr>
        <w:t xml:space="preserve">of een boekenonderzoek hierover ondergaan. </w:t>
      </w:r>
    </w:p>
    <w:p w:rsidR="004018D9" w:rsidP="004018D9" w:rsidRDefault="004018D9" w14:paraId="443E95C2" w14:textId="77777777">
      <w:pPr>
        <w:pStyle w:val="Lijstalinea"/>
        <w:numPr>
          <w:ilvl w:val="0"/>
          <w:numId w:val="9"/>
        </w:numPr>
        <w:autoSpaceDE w:val="0"/>
        <w:autoSpaceDN w:val="0"/>
        <w:adjustRightInd w:val="0"/>
        <w:spacing w:after="353" w:line="271" w:lineRule="auto"/>
        <w:ind w:left="357" w:hanging="357"/>
        <w:rPr>
          <w:rFonts w:ascii="Verdana" w:hAnsi="Verdana" w:cs="Avenir Next LT Pro"/>
          <w:kern w:val="0"/>
          <w:sz w:val="18"/>
          <w:szCs w:val="18"/>
        </w:rPr>
      </w:pPr>
      <w:proofErr w:type="spellStart"/>
      <w:r w:rsidRPr="00320373">
        <w:rPr>
          <w:rFonts w:ascii="Verdana" w:hAnsi="Verdana" w:cs="Avenir Next LT Pro"/>
          <w:i/>
          <w:iCs/>
          <w:kern w:val="0"/>
          <w:sz w:val="18"/>
          <w:szCs w:val="18"/>
        </w:rPr>
        <w:lastRenderedPageBreak/>
        <w:t>Dga’s</w:t>
      </w:r>
      <w:proofErr w:type="spellEnd"/>
      <w:r w:rsidRPr="00320373">
        <w:rPr>
          <w:rFonts w:ascii="Verdana" w:hAnsi="Verdana" w:cs="Avenir Next LT Pro"/>
          <w:i/>
          <w:iCs/>
          <w:kern w:val="0"/>
          <w:sz w:val="18"/>
          <w:szCs w:val="18"/>
        </w:rPr>
        <w:t xml:space="preserve"> aan de onderkant van de verdeling zouden gemiddeld een hoger loon in aanmerking moeten nemen</w:t>
      </w:r>
      <w:r w:rsidRPr="007C0BC7">
        <w:rPr>
          <w:rFonts w:ascii="Verdana" w:hAnsi="Verdana" w:cs="Avenir Next LT Pro"/>
          <w:kern w:val="0"/>
          <w:sz w:val="18"/>
          <w:szCs w:val="18"/>
        </w:rPr>
        <w:t>. Dit laat de loonvergelijking die door SEO is opgesteld zien. Deze vergelijking houdt rekening met verschillende</w:t>
      </w:r>
      <w:r w:rsidRPr="00A23DA4">
        <w:rPr>
          <w:rFonts w:ascii="Verdana" w:hAnsi="Verdana" w:cs="Avenir Next LT Pro"/>
          <w:kern w:val="0"/>
          <w:sz w:val="18"/>
          <w:szCs w:val="18"/>
        </w:rPr>
        <w:t xml:space="preserve"> kenmerken, zoals het aantal gewerkte uren en </w:t>
      </w:r>
      <w:r w:rsidR="00126012">
        <w:rPr>
          <w:rFonts w:ascii="Verdana" w:hAnsi="Verdana" w:cs="Avenir Next LT Pro"/>
          <w:kern w:val="0"/>
          <w:sz w:val="18"/>
          <w:szCs w:val="18"/>
        </w:rPr>
        <w:t xml:space="preserve">de </w:t>
      </w:r>
      <w:r w:rsidRPr="00A23DA4">
        <w:rPr>
          <w:rFonts w:ascii="Verdana" w:hAnsi="Verdana" w:cs="Avenir Next LT Pro"/>
          <w:kern w:val="0"/>
          <w:sz w:val="18"/>
          <w:szCs w:val="18"/>
        </w:rPr>
        <w:t xml:space="preserve">bestaansduur van het bedrijf. Ondanks dat deze kenmerken zijn meegenomen, worden de verwachte correcte lonen van </w:t>
      </w:r>
      <w:proofErr w:type="spellStart"/>
      <w:r w:rsidRPr="00A23DA4">
        <w:rPr>
          <w:rFonts w:ascii="Verdana" w:hAnsi="Verdana" w:cs="Avenir Next LT Pro"/>
          <w:kern w:val="0"/>
          <w:sz w:val="18"/>
          <w:szCs w:val="18"/>
        </w:rPr>
        <w:t>dga’s</w:t>
      </w:r>
      <w:proofErr w:type="spellEnd"/>
      <w:r w:rsidRPr="00A23DA4">
        <w:rPr>
          <w:rFonts w:ascii="Verdana" w:hAnsi="Verdana" w:cs="Avenir Next LT Pro"/>
          <w:kern w:val="0"/>
          <w:sz w:val="18"/>
          <w:szCs w:val="18"/>
        </w:rPr>
        <w:t xml:space="preserve">, die een loon in aanmerking hebben genomen onder en rondom </w:t>
      </w:r>
      <w:r w:rsidR="00581691">
        <w:rPr>
          <w:rFonts w:ascii="Verdana" w:hAnsi="Verdana" w:cs="Avenir Next LT Pro"/>
          <w:kern w:val="0"/>
          <w:sz w:val="18"/>
          <w:szCs w:val="18"/>
        </w:rPr>
        <w:t>het normbedrag</w:t>
      </w:r>
      <w:r w:rsidRPr="00A23DA4">
        <w:rPr>
          <w:rFonts w:ascii="Verdana" w:hAnsi="Verdana" w:cs="Avenir Next LT Pro"/>
          <w:kern w:val="0"/>
          <w:sz w:val="18"/>
          <w:szCs w:val="18"/>
        </w:rPr>
        <w:t xml:space="preserve">, tussen de </w:t>
      </w:r>
      <w:r w:rsidR="00581691">
        <w:rPr>
          <w:rFonts w:ascii="Verdana" w:hAnsi="Verdana" w:cs="Avenir Next LT Pro"/>
          <w:kern w:val="0"/>
          <w:sz w:val="18"/>
          <w:szCs w:val="18"/>
        </w:rPr>
        <w:t xml:space="preserve">€ </w:t>
      </w:r>
      <w:r w:rsidRPr="00A23DA4">
        <w:rPr>
          <w:rFonts w:ascii="Verdana" w:hAnsi="Verdana" w:cs="Avenir Next LT Pro"/>
          <w:kern w:val="0"/>
          <w:sz w:val="18"/>
          <w:szCs w:val="18"/>
        </w:rPr>
        <w:t xml:space="preserve">7.000 en </w:t>
      </w:r>
      <w:r w:rsidR="00581691">
        <w:rPr>
          <w:rFonts w:ascii="Verdana" w:hAnsi="Verdana" w:cs="Avenir Next LT Pro"/>
          <w:kern w:val="0"/>
          <w:sz w:val="18"/>
          <w:szCs w:val="18"/>
        </w:rPr>
        <w:t xml:space="preserve">€ </w:t>
      </w:r>
      <w:r w:rsidRPr="00A23DA4">
        <w:rPr>
          <w:rFonts w:ascii="Verdana" w:hAnsi="Verdana" w:cs="Avenir Next LT Pro"/>
          <w:kern w:val="0"/>
          <w:sz w:val="18"/>
          <w:szCs w:val="18"/>
        </w:rPr>
        <w:t xml:space="preserve">20.000 hoger ingeschat. </w:t>
      </w:r>
    </w:p>
    <w:p w:rsidR="004018D9" w:rsidP="004018D9" w:rsidRDefault="004018D9" w14:paraId="30040992" w14:textId="77777777">
      <w:pPr>
        <w:pStyle w:val="Lijstalinea"/>
        <w:numPr>
          <w:ilvl w:val="0"/>
          <w:numId w:val="9"/>
        </w:numPr>
        <w:autoSpaceDE w:val="0"/>
        <w:autoSpaceDN w:val="0"/>
        <w:adjustRightInd w:val="0"/>
        <w:spacing w:after="0" w:line="271" w:lineRule="auto"/>
        <w:ind w:left="357" w:hanging="357"/>
        <w:rPr>
          <w:rFonts w:ascii="Verdana" w:hAnsi="Verdana" w:cs="Avenir Next LT Pro"/>
          <w:kern w:val="0"/>
          <w:sz w:val="18"/>
          <w:szCs w:val="18"/>
        </w:rPr>
      </w:pPr>
      <w:r w:rsidRPr="00320373">
        <w:rPr>
          <w:rFonts w:ascii="Verdana" w:hAnsi="Verdana"/>
          <w:i/>
          <w:iCs/>
          <w:sz w:val="18"/>
          <w:szCs w:val="18"/>
        </w:rPr>
        <w:t xml:space="preserve">Meer </w:t>
      </w:r>
      <w:proofErr w:type="spellStart"/>
      <w:r w:rsidRPr="00320373">
        <w:rPr>
          <w:rFonts w:ascii="Verdana" w:hAnsi="Verdana"/>
          <w:i/>
          <w:iCs/>
          <w:sz w:val="18"/>
          <w:szCs w:val="18"/>
        </w:rPr>
        <w:t>dga’s</w:t>
      </w:r>
      <w:proofErr w:type="spellEnd"/>
      <w:r w:rsidRPr="00320373">
        <w:rPr>
          <w:rFonts w:ascii="Verdana" w:hAnsi="Verdana"/>
          <w:i/>
          <w:iCs/>
          <w:sz w:val="18"/>
          <w:szCs w:val="18"/>
        </w:rPr>
        <w:t xml:space="preserve"> dan </w:t>
      </w:r>
      <w:r w:rsidR="00320373">
        <w:rPr>
          <w:rFonts w:ascii="Verdana" w:hAnsi="Verdana"/>
          <w:i/>
          <w:iCs/>
          <w:sz w:val="18"/>
          <w:szCs w:val="18"/>
        </w:rPr>
        <w:t xml:space="preserve">SEO kan </w:t>
      </w:r>
      <w:r w:rsidRPr="00320373">
        <w:rPr>
          <w:rFonts w:ascii="Verdana" w:hAnsi="Verdana"/>
          <w:i/>
          <w:iCs/>
          <w:sz w:val="18"/>
          <w:szCs w:val="18"/>
        </w:rPr>
        <w:t>verklar</w:t>
      </w:r>
      <w:r w:rsidR="00320373">
        <w:rPr>
          <w:rFonts w:ascii="Verdana" w:hAnsi="Verdana"/>
          <w:i/>
          <w:iCs/>
          <w:sz w:val="18"/>
          <w:szCs w:val="18"/>
        </w:rPr>
        <w:t>en</w:t>
      </w:r>
      <w:r w:rsidRPr="00320373">
        <w:rPr>
          <w:rFonts w:ascii="Verdana" w:hAnsi="Verdana"/>
          <w:i/>
          <w:iCs/>
          <w:sz w:val="18"/>
          <w:szCs w:val="18"/>
        </w:rPr>
        <w:t xml:space="preserve"> zitten onder of rondom het normbedrag</w:t>
      </w:r>
      <w:r w:rsidRPr="007C0BC7">
        <w:rPr>
          <w:rFonts w:ascii="Verdana" w:hAnsi="Verdana"/>
          <w:sz w:val="18"/>
          <w:szCs w:val="18"/>
        </w:rPr>
        <w:t>.</w:t>
      </w:r>
      <w:r w:rsidRPr="00BF4110">
        <w:rPr>
          <w:rFonts w:ascii="Verdana" w:hAnsi="Verdana"/>
          <w:sz w:val="18"/>
          <w:szCs w:val="18"/>
          <w:u w:val="single"/>
        </w:rPr>
        <w:t xml:space="preserve"> </w:t>
      </w:r>
      <w:r w:rsidRPr="00BF4110">
        <w:rPr>
          <w:rFonts w:ascii="Verdana" w:hAnsi="Verdana" w:cs="Avenir Next LT Pro"/>
          <w:kern w:val="0"/>
          <w:sz w:val="18"/>
          <w:szCs w:val="18"/>
        </w:rPr>
        <w:t xml:space="preserve">Een aanzienlijk deel van de </w:t>
      </w:r>
      <w:proofErr w:type="spellStart"/>
      <w:r w:rsidRPr="00BF4110">
        <w:rPr>
          <w:rFonts w:ascii="Verdana" w:hAnsi="Verdana" w:cs="Avenir Next LT Pro"/>
          <w:kern w:val="0"/>
          <w:sz w:val="18"/>
          <w:szCs w:val="18"/>
        </w:rPr>
        <w:t>dga’s</w:t>
      </w:r>
      <w:proofErr w:type="spellEnd"/>
      <w:r w:rsidRPr="00BF4110">
        <w:rPr>
          <w:rFonts w:ascii="Verdana" w:hAnsi="Verdana" w:cs="Avenir Next LT Pro"/>
          <w:kern w:val="0"/>
          <w:sz w:val="18"/>
          <w:szCs w:val="18"/>
        </w:rPr>
        <w:t xml:space="preserve"> heeft een gebruikelijk loon dat zich onder of op het normbedrag bevindt, terwijl dit voor een deel niet verklaarbaar is. Ongeveer 40</w:t>
      </w:r>
      <w:r w:rsidR="00460E8D">
        <w:rPr>
          <w:rFonts w:ascii="Verdana" w:hAnsi="Verdana" w:cs="Avenir Next LT Pro"/>
          <w:kern w:val="0"/>
          <w:sz w:val="18"/>
          <w:szCs w:val="18"/>
        </w:rPr>
        <w:t xml:space="preserve">% </w:t>
      </w:r>
      <w:r w:rsidRPr="00BF4110">
        <w:rPr>
          <w:rFonts w:ascii="Verdana" w:hAnsi="Verdana" w:cs="Avenir Next LT Pro"/>
          <w:kern w:val="0"/>
          <w:sz w:val="18"/>
          <w:szCs w:val="18"/>
        </w:rPr>
        <w:t xml:space="preserve">van de </w:t>
      </w:r>
      <w:proofErr w:type="spellStart"/>
      <w:r w:rsidRPr="00BF4110">
        <w:rPr>
          <w:rFonts w:ascii="Verdana" w:hAnsi="Verdana" w:cs="Avenir Next LT Pro"/>
          <w:kern w:val="0"/>
          <w:sz w:val="18"/>
          <w:szCs w:val="18"/>
        </w:rPr>
        <w:t>dga’s</w:t>
      </w:r>
      <w:proofErr w:type="spellEnd"/>
      <w:r w:rsidRPr="00BF4110">
        <w:rPr>
          <w:rFonts w:ascii="Verdana" w:hAnsi="Verdana" w:cs="Avenir Next LT Pro"/>
          <w:kern w:val="0"/>
          <w:sz w:val="18"/>
          <w:szCs w:val="18"/>
        </w:rPr>
        <w:t xml:space="preserve"> zit onder het normbedrag. Hierbij betreft </w:t>
      </w:r>
      <w:r w:rsidRPr="00BF4110">
        <w:rPr>
          <w:rFonts w:ascii="Verdana" w:hAnsi="Verdana"/>
          <w:color w:val="161616"/>
          <w:sz w:val="18"/>
          <w:szCs w:val="18"/>
        </w:rPr>
        <w:t>90</w:t>
      </w:r>
      <w:r w:rsidR="00460E8D">
        <w:rPr>
          <w:rFonts w:ascii="Verdana" w:hAnsi="Verdana"/>
          <w:color w:val="161616"/>
          <w:sz w:val="18"/>
          <w:szCs w:val="18"/>
        </w:rPr>
        <w:t>%</w:t>
      </w:r>
      <w:r w:rsidR="00971010">
        <w:rPr>
          <w:rFonts w:ascii="Verdana" w:hAnsi="Verdana"/>
          <w:color w:val="161616"/>
          <w:sz w:val="18"/>
          <w:szCs w:val="18"/>
        </w:rPr>
        <w:t xml:space="preserve"> </w:t>
      </w:r>
      <w:r w:rsidRPr="00BF4110">
        <w:rPr>
          <w:rFonts w:ascii="Verdana" w:hAnsi="Verdana" w:cs="Avenir Next LT Pro"/>
          <w:kern w:val="0"/>
          <w:sz w:val="18"/>
          <w:szCs w:val="18"/>
        </w:rPr>
        <w:t>van deze 40</w:t>
      </w:r>
      <w:r w:rsidR="00460E8D">
        <w:rPr>
          <w:rFonts w:ascii="Verdana" w:hAnsi="Verdana" w:cs="Avenir Next LT Pro"/>
          <w:kern w:val="0"/>
          <w:sz w:val="18"/>
          <w:szCs w:val="18"/>
        </w:rPr>
        <w:t>%</w:t>
      </w:r>
      <w:r w:rsidR="00971010">
        <w:rPr>
          <w:rFonts w:ascii="Verdana" w:hAnsi="Verdana" w:cs="Avenir Next LT Pro"/>
          <w:kern w:val="0"/>
          <w:sz w:val="18"/>
          <w:szCs w:val="18"/>
        </w:rPr>
        <w:t xml:space="preserve"> </w:t>
      </w:r>
      <w:proofErr w:type="spellStart"/>
      <w:r w:rsidRPr="00BF4110">
        <w:rPr>
          <w:rFonts w:ascii="Verdana" w:hAnsi="Verdana" w:cs="Avenir Next LT Pro"/>
          <w:kern w:val="0"/>
          <w:sz w:val="18"/>
          <w:szCs w:val="18"/>
        </w:rPr>
        <w:t>dga’s</w:t>
      </w:r>
      <w:proofErr w:type="spellEnd"/>
      <w:r w:rsidRPr="00BF4110">
        <w:rPr>
          <w:rFonts w:ascii="Verdana" w:hAnsi="Verdana" w:cs="Avenir Next LT Pro"/>
          <w:kern w:val="0"/>
          <w:sz w:val="18"/>
          <w:szCs w:val="18"/>
        </w:rPr>
        <w:t xml:space="preserve"> met een startende onderneming (in de afgelopen drie jaar gestart) en </w:t>
      </w:r>
      <w:r w:rsidRPr="00BF4110">
        <w:rPr>
          <w:rFonts w:ascii="Verdana" w:hAnsi="Verdana"/>
          <w:color w:val="161616"/>
          <w:sz w:val="18"/>
          <w:szCs w:val="18"/>
        </w:rPr>
        <w:t>75</w:t>
      </w:r>
      <w:r w:rsidR="00460E8D">
        <w:rPr>
          <w:rFonts w:ascii="Verdana" w:hAnsi="Verdana"/>
          <w:color w:val="161616"/>
          <w:sz w:val="18"/>
          <w:szCs w:val="18"/>
        </w:rPr>
        <w:t>%</w:t>
      </w:r>
      <w:r w:rsidRPr="00BF4110">
        <w:rPr>
          <w:rFonts w:ascii="Verdana" w:hAnsi="Verdana" w:cs="Avenir Next LT Pro"/>
          <w:kern w:val="0"/>
          <w:sz w:val="18"/>
          <w:szCs w:val="18"/>
        </w:rPr>
        <w:t xml:space="preserve"> van deze 40</w:t>
      </w:r>
      <w:r w:rsidR="00460E8D">
        <w:rPr>
          <w:rFonts w:ascii="Verdana" w:hAnsi="Verdana" w:cs="Avenir Next LT Pro"/>
          <w:kern w:val="0"/>
          <w:sz w:val="18"/>
          <w:szCs w:val="18"/>
        </w:rPr>
        <w:t>%</w:t>
      </w:r>
      <w:r w:rsidRPr="00BF4110">
        <w:rPr>
          <w:rFonts w:ascii="Verdana" w:hAnsi="Verdana" w:cs="Avenir Next LT Pro"/>
          <w:kern w:val="0"/>
          <w:sz w:val="18"/>
          <w:szCs w:val="18"/>
        </w:rPr>
        <w:t xml:space="preserve"> </w:t>
      </w:r>
      <w:proofErr w:type="spellStart"/>
      <w:r w:rsidRPr="00BF4110">
        <w:rPr>
          <w:rFonts w:ascii="Verdana" w:hAnsi="Verdana" w:cs="Avenir Next LT Pro"/>
          <w:kern w:val="0"/>
          <w:sz w:val="18"/>
          <w:szCs w:val="18"/>
        </w:rPr>
        <w:t>dga’s</w:t>
      </w:r>
      <w:proofErr w:type="spellEnd"/>
      <w:r w:rsidRPr="00BF4110">
        <w:rPr>
          <w:rFonts w:ascii="Verdana" w:hAnsi="Verdana" w:cs="Avenir Next LT Pro"/>
          <w:kern w:val="0"/>
          <w:sz w:val="18"/>
          <w:szCs w:val="18"/>
        </w:rPr>
        <w:t xml:space="preserve"> die in deeltijd werkten (&lt;36 uur). Een startende onderneming of deeltijdwerk kan aanleiding </w:t>
      </w:r>
      <w:r w:rsidR="00581691">
        <w:rPr>
          <w:rFonts w:ascii="Verdana" w:hAnsi="Verdana" w:cs="Avenir Next LT Pro"/>
          <w:kern w:val="0"/>
          <w:sz w:val="18"/>
          <w:szCs w:val="18"/>
        </w:rPr>
        <w:t>zijn</w:t>
      </w:r>
      <w:r w:rsidRPr="00BF4110" w:rsidR="00581691">
        <w:rPr>
          <w:rFonts w:ascii="Verdana" w:hAnsi="Verdana" w:cs="Avenir Next LT Pro"/>
          <w:kern w:val="0"/>
          <w:sz w:val="18"/>
          <w:szCs w:val="18"/>
        </w:rPr>
        <w:t xml:space="preserve"> </w:t>
      </w:r>
      <w:r w:rsidRPr="00BF4110">
        <w:rPr>
          <w:rFonts w:ascii="Verdana" w:hAnsi="Verdana" w:cs="Avenir Next LT Pro"/>
          <w:kern w:val="0"/>
          <w:sz w:val="18"/>
          <w:szCs w:val="18"/>
        </w:rPr>
        <w:t xml:space="preserve">voor het in aanmerking nemen van een lager loon dan (de ondergrens van) het wettelijke normbedrag. De </w:t>
      </w:r>
      <w:r w:rsidR="00581691">
        <w:rPr>
          <w:rFonts w:ascii="Verdana" w:hAnsi="Verdana" w:cs="Avenir Next LT Pro"/>
          <w:kern w:val="0"/>
          <w:sz w:val="18"/>
          <w:szCs w:val="18"/>
        </w:rPr>
        <w:t>inhoudingsplichtige</w:t>
      </w:r>
      <w:r w:rsidRPr="00BF4110" w:rsidR="00581691">
        <w:rPr>
          <w:rFonts w:ascii="Verdana" w:hAnsi="Verdana" w:cs="Avenir Next LT Pro"/>
          <w:kern w:val="0"/>
          <w:sz w:val="18"/>
          <w:szCs w:val="18"/>
        </w:rPr>
        <w:t xml:space="preserve"> </w:t>
      </w:r>
      <w:r w:rsidRPr="00BF4110">
        <w:rPr>
          <w:rFonts w:ascii="Verdana" w:hAnsi="Verdana" w:cs="Avenir Next LT Pro"/>
          <w:kern w:val="0"/>
          <w:sz w:val="18"/>
          <w:szCs w:val="18"/>
        </w:rPr>
        <w:t xml:space="preserve">moet dat dan wel </w:t>
      </w:r>
      <w:r w:rsidR="00581691">
        <w:rPr>
          <w:rFonts w:ascii="Verdana" w:hAnsi="Verdana" w:cs="Avenir Next LT Pro"/>
          <w:kern w:val="0"/>
          <w:sz w:val="18"/>
          <w:szCs w:val="18"/>
        </w:rPr>
        <w:t xml:space="preserve">aannemelijk </w:t>
      </w:r>
      <w:r w:rsidRPr="00BF4110">
        <w:rPr>
          <w:rFonts w:ascii="Verdana" w:hAnsi="Verdana" w:cs="Avenir Next LT Pro"/>
          <w:kern w:val="0"/>
          <w:sz w:val="18"/>
          <w:szCs w:val="18"/>
        </w:rPr>
        <w:t xml:space="preserve">kunnen </w:t>
      </w:r>
      <w:r w:rsidR="00581691">
        <w:rPr>
          <w:rFonts w:ascii="Verdana" w:hAnsi="Verdana" w:cs="Avenir Next LT Pro"/>
          <w:kern w:val="0"/>
          <w:sz w:val="18"/>
          <w:szCs w:val="18"/>
        </w:rPr>
        <w:t>maken</w:t>
      </w:r>
      <w:r w:rsidRPr="00BF4110">
        <w:rPr>
          <w:rFonts w:ascii="Verdana" w:hAnsi="Verdana" w:cs="Avenir Next LT Pro"/>
          <w:kern w:val="0"/>
          <w:sz w:val="18"/>
          <w:szCs w:val="18"/>
        </w:rPr>
        <w:t xml:space="preserve">. </w:t>
      </w:r>
      <w:r w:rsidR="00320373">
        <w:rPr>
          <w:rFonts w:ascii="Verdana" w:hAnsi="Verdana" w:cs="Avenir Next LT Pro"/>
          <w:kern w:val="0"/>
          <w:sz w:val="18"/>
          <w:szCs w:val="18"/>
        </w:rPr>
        <w:t>SEO heeft geconstateerd dat h</w:t>
      </w:r>
      <w:r w:rsidRPr="00BF4110">
        <w:rPr>
          <w:rFonts w:ascii="Verdana" w:hAnsi="Verdana" w:cs="Avenir Next LT Pro"/>
          <w:kern w:val="0"/>
          <w:sz w:val="18"/>
          <w:szCs w:val="18"/>
        </w:rPr>
        <w:t xml:space="preserve">et aandeel </w:t>
      </w:r>
      <w:proofErr w:type="spellStart"/>
      <w:r w:rsidRPr="00BF4110">
        <w:rPr>
          <w:rFonts w:ascii="Verdana" w:hAnsi="Verdana" w:cs="Avenir Next LT Pro"/>
          <w:kern w:val="0"/>
          <w:sz w:val="18"/>
          <w:szCs w:val="18"/>
        </w:rPr>
        <w:t>dga’s</w:t>
      </w:r>
      <w:proofErr w:type="spellEnd"/>
      <w:r w:rsidRPr="00BF4110">
        <w:rPr>
          <w:rFonts w:ascii="Verdana" w:hAnsi="Verdana" w:cs="Avenir Next LT Pro"/>
          <w:kern w:val="0"/>
          <w:sz w:val="18"/>
          <w:szCs w:val="18"/>
        </w:rPr>
        <w:t xml:space="preserve"> met een gebruikelijk</w:t>
      </w:r>
      <w:r w:rsidR="009F3835">
        <w:rPr>
          <w:rFonts w:ascii="Verdana" w:hAnsi="Verdana" w:cs="Avenir Next LT Pro"/>
          <w:kern w:val="0"/>
          <w:sz w:val="18"/>
          <w:szCs w:val="18"/>
        </w:rPr>
        <w:t xml:space="preserve"> </w:t>
      </w:r>
      <w:r w:rsidRPr="00BF4110">
        <w:rPr>
          <w:rFonts w:ascii="Verdana" w:hAnsi="Verdana" w:cs="Avenir Next LT Pro"/>
          <w:kern w:val="0"/>
          <w:sz w:val="18"/>
          <w:szCs w:val="18"/>
        </w:rPr>
        <w:t xml:space="preserve">loon onder het normbedrag dat in deeltijd werkt en/of starter is, niet in verhouding </w:t>
      </w:r>
      <w:r w:rsidR="00320373">
        <w:rPr>
          <w:rFonts w:ascii="Verdana" w:hAnsi="Verdana" w:cs="Avenir Next LT Pro"/>
          <w:kern w:val="0"/>
          <w:sz w:val="18"/>
          <w:szCs w:val="18"/>
        </w:rPr>
        <w:t xml:space="preserve">staat </w:t>
      </w:r>
      <w:r w:rsidRPr="00BF4110">
        <w:rPr>
          <w:rFonts w:ascii="Verdana" w:hAnsi="Verdana" w:cs="Avenir Next LT Pro"/>
          <w:kern w:val="0"/>
          <w:sz w:val="18"/>
          <w:szCs w:val="18"/>
        </w:rPr>
        <w:t xml:space="preserve">tot het aantal vooroverleggen of verzoeken om een lagere vaststelling dat de Belastingdienst ontvangt. </w:t>
      </w:r>
      <w:r w:rsidR="00FC6D42">
        <w:rPr>
          <w:rFonts w:ascii="Verdana" w:hAnsi="Verdana" w:cs="Avenir Next LT Pro"/>
          <w:kern w:val="0"/>
          <w:sz w:val="18"/>
          <w:szCs w:val="18"/>
        </w:rPr>
        <w:t>Afstemming vooraf met de Belastingdienst is ook niet verplicht, maar volgens het SEO is h</w:t>
      </w:r>
      <w:r w:rsidR="00320373">
        <w:rPr>
          <w:rFonts w:ascii="Verdana" w:hAnsi="Verdana" w:cs="Avenir Next LT Pro"/>
          <w:kern w:val="0"/>
          <w:sz w:val="18"/>
          <w:szCs w:val="18"/>
        </w:rPr>
        <w:t>et</w:t>
      </w:r>
      <w:r w:rsidRPr="00BF4110">
        <w:rPr>
          <w:rFonts w:ascii="Verdana" w:hAnsi="Verdana" w:cs="Avenir Next LT Pro"/>
          <w:kern w:val="0"/>
          <w:sz w:val="18"/>
          <w:szCs w:val="18"/>
        </w:rPr>
        <w:t xml:space="preserve"> </w:t>
      </w:r>
      <w:r w:rsidR="00FC6D42">
        <w:rPr>
          <w:rFonts w:ascii="Verdana" w:hAnsi="Verdana" w:cs="Avenir Next LT Pro"/>
          <w:kern w:val="0"/>
          <w:sz w:val="18"/>
          <w:szCs w:val="18"/>
        </w:rPr>
        <w:t xml:space="preserve">gelet op het omvangrijke aandeel deeltijders </w:t>
      </w:r>
      <w:r w:rsidR="00320373">
        <w:rPr>
          <w:rFonts w:ascii="Verdana" w:hAnsi="Verdana" w:cs="Avenir Next LT Pro"/>
          <w:kern w:val="0"/>
          <w:sz w:val="18"/>
          <w:szCs w:val="18"/>
        </w:rPr>
        <w:t xml:space="preserve">de </w:t>
      </w:r>
      <w:r w:rsidRPr="00BF4110">
        <w:rPr>
          <w:rFonts w:ascii="Verdana" w:hAnsi="Verdana" w:cs="Avenir Next LT Pro"/>
          <w:kern w:val="0"/>
          <w:sz w:val="18"/>
          <w:szCs w:val="18"/>
        </w:rPr>
        <w:t xml:space="preserve">vraag of alle </w:t>
      </w:r>
      <w:proofErr w:type="spellStart"/>
      <w:r w:rsidRPr="00BF4110">
        <w:rPr>
          <w:rFonts w:ascii="Verdana" w:hAnsi="Verdana" w:cs="Avenir Next LT Pro"/>
          <w:kern w:val="0"/>
          <w:sz w:val="18"/>
          <w:szCs w:val="18"/>
        </w:rPr>
        <w:t>dga’s</w:t>
      </w:r>
      <w:proofErr w:type="spellEnd"/>
      <w:r w:rsidRPr="00BF4110">
        <w:rPr>
          <w:rFonts w:ascii="Verdana" w:hAnsi="Verdana" w:cs="Avenir Next LT Pro"/>
          <w:kern w:val="0"/>
          <w:sz w:val="18"/>
          <w:szCs w:val="18"/>
        </w:rPr>
        <w:t xml:space="preserve"> die contractueel in deeltijd werken dit ook daadwerkelijk doen. Ook is het aandeel dat rondom </w:t>
      </w:r>
      <w:r w:rsidR="00971010">
        <w:rPr>
          <w:rFonts w:ascii="Verdana" w:hAnsi="Verdana" w:cs="Avenir Next LT Pro"/>
          <w:kern w:val="0"/>
          <w:sz w:val="18"/>
          <w:szCs w:val="18"/>
        </w:rPr>
        <w:t>het normbedrag</w:t>
      </w:r>
      <w:r w:rsidRPr="00BF4110">
        <w:rPr>
          <w:rFonts w:ascii="Verdana" w:hAnsi="Verdana" w:cs="Avenir Next LT Pro"/>
          <w:kern w:val="0"/>
          <w:sz w:val="18"/>
          <w:szCs w:val="18"/>
        </w:rPr>
        <w:t xml:space="preserve"> zit statistisch gezien hoger dan verklaarbaar</w:t>
      </w:r>
      <w:r w:rsidR="00320373">
        <w:rPr>
          <w:rFonts w:ascii="Verdana" w:hAnsi="Verdana" w:cs="Avenir Next LT Pro"/>
          <w:kern w:val="0"/>
          <w:sz w:val="18"/>
          <w:szCs w:val="18"/>
        </w:rPr>
        <w:t xml:space="preserve"> op basis van de geschatte loonvergelijking</w:t>
      </w:r>
      <w:r w:rsidR="0065441A">
        <w:rPr>
          <w:rFonts w:ascii="Verdana" w:hAnsi="Verdana" w:cs="Avenir Next LT Pro"/>
          <w:kern w:val="0"/>
          <w:sz w:val="18"/>
          <w:szCs w:val="18"/>
        </w:rPr>
        <w:t>.</w:t>
      </w:r>
      <w:r w:rsidR="00320373">
        <w:rPr>
          <w:rFonts w:ascii="Verdana" w:hAnsi="Verdana" w:cs="Avenir Next LT Pro"/>
          <w:kern w:val="0"/>
          <w:sz w:val="18"/>
          <w:szCs w:val="18"/>
        </w:rPr>
        <w:t xml:space="preserve"> </w:t>
      </w:r>
      <w:r w:rsidR="00971010">
        <w:rPr>
          <w:rFonts w:ascii="Verdana" w:hAnsi="Verdana" w:cs="Avenir Next LT Pro"/>
          <w:kern w:val="0"/>
          <w:sz w:val="18"/>
          <w:szCs w:val="18"/>
        </w:rPr>
        <w:t xml:space="preserve">SEO geeft als verklaringen hiervoor dat </w:t>
      </w:r>
      <w:r w:rsidRPr="00BF4110">
        <w:rPr>
          <w:rFonts w:ascii="Verdana" w:hAnsi="Verdana" w:cs="Avenir Next LT Pro"/>
          <w:kern w:val="0"/>
          <w:sz w:val="18"/>
          <w:szCs w:val="18"/>
        </w:rPr>
        <w:t xml:space="preserve">er sprake </w:t>
      </w:r>
      <w:r w:rsidR="00971010">
        <w:rPr>
          <w:rFonts w:ascii="Verdana" w:hAnsi="Verdana" w:cs="Avenir Next LT Pro"/>
          <w:kern w:val="0"/>
          <w:sz w:val="18"/>
          <w:szCs w:val="18"/>
        </w:rPr>
        <w:t xml:space="preserve">kan zijn </w:t>
      </w:r>
      <w:r w:rsidRPr="00BF4110">
        <w:rPr>
          <w:rFonts w:ascii="Verdana" w:hAnsi="Verdana" w:cs="Avenir Next LT Pro"/>
          <w:kern w:val="0"/>
          <w:sz w:val="18"/>
          <w:szCs w:val="18"/>
        </w:rPr>
        <w:t xml:space="preserve">van strategisch gedrag waarbij </w:t>
      </w:r>
      <w:proofErr w:type="spellStart"/>
      <w:r w:rsidRPr="00BF4110">
        <w:rPr>
          <w:rFonts w:ascii="Verdana" w:hAnsi="Verdana" w:cs="Avenir Next LT Pro"/>
          <w:kern w:val="0"/>
          <w:sz w:val="18"/>
          <w:szCs w:val="18"/>
        </w:rPr>
        <w:t>dga</w:t>
      </w:r>
      <w:r w:rsidR="00320373">
        <w:rPr>
          <w:rFonts w:ascii="Verdana" w:hAnsi="Verdana" w:cs="Avenir Next LT Pro"/>
          <w:kern w:val="0"/>
          <w:sz w:val="18"/>
          <w:szCs w:val="18"/>
        </w:rPr>
        <w:t>’</w:t>
      </w:r>
      <w:r w:rsidRPr="00BF4110">
        <w:rPr>
          <w:rFonts w:ascii="Verdana" w:hAnsi="Verdana" w:cs="Avenir Next LT Pro"/>
          <w:kern w:val="0"/>
          <w:sz w:val="18"/>
          <w:szCs w:val="18"/>
        </w:rPr>
        <w:t>s</w:t>
      </w:r>
      <w:proofErr w:type="spellEnd"/>
      <w:r w:rsidRPr="00BF4110">
        <w:rPr>
          <w:rFonts w:ascii="Verdana" w:hAnsi="Verdana" w:cs="Avenir Next LT Pro"/>
          <w:kern w:val="0"/>
          <w:sz w:val="18"/>
          <w:szCs w:val="18"/>
        </w:rPr>
        <w:t xml:space="preserve"> </w:t>
      </w:r>
      <w:r w:rsidR="00320373">
        <w:rPr>
          <w:rFonts w:ascii="Verdana" w:hAnsi="Verdana" w:cs="Avenir Next LT Pro"/>
          <w:kern w:val="0"/>
          <w:sz w:val="18"/>
          <w:szCs w:val="18"/>
        </w:rPr>
        <w:t xml:space="preserve">mogelijk </w:t>
      </w:r>
      <w:r w:rsidRPr="00BF4110">
        <w:rPr>
          <w:rFonts w:ascii="Verdana" w:hAnsi="Verdana" w:cs="Avenir Next LT Pro"/>
          <w:kern w:val="0"/>
          <w:sz w:val="18"/>
          <w:szCs w:val="18"/>
        </w:rPr>
        <w:t xml:space="preserve">het loon bewust lager vaststellen vanwege fiscale voordelen of inkomensafhankelijke </w:t>
      </w:r>
      <w:r w:rsidRPr="007C0BC7">
        <w:rPr>
          <w:rFonts w:ascii="Verdana" w:hAnsi="Verdana" w:cs="Avenir Next LT Pro"/>
          <w:kern w:val="0"/>
          <w:sz w:val="18"/>
          <w:szCs w:val="18"/>
        </w:rPr>
        <w:t>regelingen</w:t>
      </w:r>
      <w:r w:rsidR="00971010">
        <w:rPr>
          <w:rFonts w:ascii="Verdana" w:hAnsi="Verdana" w:cs="Avenir Next LT Pro"/>
          <w:kern w:val="0"/>
          <w:sz w:val="18"/>
          <w:szCs w:val="18"/>
        </w:rPr>
        <w:t>, dan wel dat hier sprake is van onwetendheid dan wel dat men discussies met de Belastingdienst wil vermijden</w:t>
      </w:r>
      <w:r w:rsidR="00BC4161">
        <w:rPr>
          <w:rFonts w:ascii="Verdana" w:hAnsi="Verdana" w:cs="Avenir Next LT Pro"/>
          <w:kern w:val="0"/>
          <w:sz w:val="18"/>
          <w:szCs w:val="18"/>
        </w:rPr>
        <w:t>.</w:t>
      </w:r>
    </w:p>
    <w:p w:rsidR="004018D9" w:rsidP="004018D9" w:rsidRDefault="00320373" w14:paraId="25EFF491" w14:textId="77777777">
      <w:pPr>
        <w:pStyle w:val="Lijstalinea"/>
        <w:numPr>
          <w:ilvl w:val="0"/>
          <w:numId w:val="9"/>
        </w:numPr>
        <w:autoSpaceDE w:val="0"/>
        <w:autoSpaceDN w:val="0"/>
        <w:adjustRightInd w:val="0"/>
        <w:spacing w:after="0" w:line="271" w:lineRule="auto"/>
        <w:ind w:left="357" w:hanging="357"/>
        <w:rPr>
          <w:rFonts w:ascii="Verdana" w:hAnsi="Verdana" w:cs="Avenir Next LT Pro"/>
          <w:kern w:val="0"/>
          <w:sz w:val="18"/>
          <w:szCs w:val="18"/>
        </w:rPr>
      </w:pPr>
      <w:r w:rsidRPr="00320373">
        <w:rPr>
          <w:rFonts w:ascii="Verdana" w:hAnsi="Verdana"/>
          <w:i/>
          <w:iCs/>
          <w:sz w:val="18"/>
          <w:szCs w:val="18"/>
        </w:rPr>
        <w:t>Er hebben zich n</w:t>
      </w:r>
      <w:r w:rsidRPr="00320373" w:rsidR="004018D9">
        <w:rPr>
          <w:rFonts w:ascii="Verdana" w:hAnsi="Verdana"/>
          <w:i/>
          <w:iCs/>
          <w:sz w:val="18"/>
          <w:szCs w:val="18"/>
        </w:rPr>
        <w:t xml:space="preserve">auwelijks loonstijgingen </w:t>
      </w:r>
      <w:r w:rsidRPr="00320373">
        <w:rPr>
          <w:rFonts w:ascii="Verdana" w:hAnsi="Verdana"/>
          <w:i/>
          <w:iCs/>
          <w:sz w:val="18"/>
          <w:szCs w:val="18"/>
        </w:rPr>
        <w:t xml:space="preserve">voorgedaan </w:t>
      </w:r>
      <w:r w:rsidRPr="00320373" w:rsidR="004018D9">
        <w:rPr>
          <w:rFonts w:ascii="Verdana" w:hAnsi="Verdana"/>
          <w:i/>
          <w:iCs/>
          <w:sz w:val="18"/>
          <w:szCs w:val="18"/>
        </w:rPr>
        <w:t xml:space="preserve">na afschaffing </w:t>
      </w:r>
      <w:r w:rsidR="001B1D42">
        <w:rPr>
          <w:rFonts w:ascii="Verdana" w:hAnsi="Verdana"/>
          <w:i/>
          <w:iCs/>
          <w:sz w:val="18"/>
          <w:szCs w:val="18"/>
        </w:rPr>
        <w:t xml:space="preserve">van de </w:t>
      </w:r>
      <w:r w:rsidRPr="00320373" w:rsidR="004018D9">
        <w:rPr>
          <w:rFonts w:ascii="Verdana" w:hAnsi="Verdana"/>
          <w:i/>
          <w:iCs/>
          <w:sz w:val="18"/>
          <w:szCs w:val="18"/>
        </w:rPr>
        <w:t>doelmatigheidsmarge</w:t>
      </w:r>
      <w:r w:rsidRPr="007C0BC7" w:rsidR="004018D9">
        <w:rPr>
          <w:rFonts w:ascii="Verdana" w:hAnsi="Verdana"/>
          <w:sz w:val="18"/>
          <w:szCs w:val="18"/>
        </w:rPr>
        <w:t>.</w:t>
      </w:r>
      <w:r w:rsidRPr="00A23DA4" w:rsidR="004018D9">
        <w:rPr>
          <w:rFonts w:ascii="Verdana" w:hAnsi="Verdana" w:cs="Avenir Next LT Pro"/>
          <w:kern w:val="0"/>
          <w:sz w:val="18"/>
          <w:szCs w:val="18"/>
        </w:rPr>
        <w:t xml:space="preserve"> In de evaluatie is onderzocht in welke mate de afschaffing van de doelmatigheidsmarge heeft geleid tot een stijging van het gebruikelijk loon. De doelmatigheidsmarge bepaal</w:t>
      </w:r>
      <w:r w:rsidR="00B7666D">
        <w:rPr>
          <w:rFonts w:ascii="Verdana" w:hAnsi="Verdana" w:cs="Avenir Next LT Pro"/>
          <w:kern w:val="0"/>
          <w:sz w:val="18"/>
          <w:szCs w:val="18"/>
        </w:rPr>
        <w:t>de</w:t>
      </w:r>
      <w:r w:rsidRPr="00A23DA4" w:rsidR="004018D9">
        <w:rPr>
          <w:rFonts w:ascii="Verdana" w:hAnsi="Verdana" w:cs="Avenir Next LT Pro"/>
          <w:kern w:val="0"/>
          <w:sz w:val="18"/>
          <w:szCs w:val="18"/>
        </w:rPr>
        <w:t xml:space="preserve"> dat het gebruikelijk loon maximaal 30</w:t>
      </w:r>
      <w:r w:rsidR="004018D9">
        <w:rPr>
          <w:rFonts w:ascii="Verdana" w:hAnsi="Verdana" w:cs="Avenir Next LT Pro"/>
          <w:kern w:val="0"/>
          <w:sz w:val="18"/>
          <w:szCs w:val="18"/>
        </w:rPr>
        <w:t>%</w:t>
      </w:r>
      <w:r w:rsidRPr="00A23DA4" w:rsidR="004018D9">
        <w:rPr>
          <w:rFonts w:ascii="Verdana" w:hAnsi="Verdana" w:cs="Avenir Next LT Pro"/>
          <w:kern w:val="0"/>
          <w:sz w:val="18"/>
          <w:szCs w:val="18"/>
        </w:rPr>
        <w:t xml:space="preserve"> (tot 2015) en 25</w:t>
      </w:r>
      <w:r w:rsidR="004018D9">
        <w:rPr>
          <w:rFonts w:ascii="Verdana" w:hAnsi="Verdana" w:cs="Avenir Next LT Pro"/>
          <w:kern w:val="0"/>
          <w:sz w:val="18"/>
          <w:szCs w:val="18"/>
        </w:rPr>
        <w:t>%</w:t>
      </w:r>
      <w:r w:rsidRPr="00A23DA4" w:rsidR="004018D9">
        <w:rPr>
          <w:rFonts w:ascii="Verdana" w:hAnsi="Verdana" w:cs="Avenir Next LT Pro"/>
          <w:kern w:val="0"/>
          <w:sz w:val="18"/>
          <w:szCs w:val="18"/>
        </w:rPr>
        <w:t xml:space="preserve"> (tot 2023) lager </w:t>
      </w:r>
      <w:r w:rsidR="00B7666D">
        <w:rPr>
          <w:rFonts w:ascii="Verdana" w:hAnsi="Verdana" w:cs="Avenir Next LT Pro"/>
          <w:kern w:val="0"/>
          <w:sz w:val="18"/>
          <w:szCs w:val="18"/>
        </w:rPr>
        <w:t>mocht</w:t>
      </w:r>
      <w:r w:rsidRPr="00A23DA4" w:rsidR="00B7666D">
        <w:rPr>
          <w:rFonts w:ascii="Verdana" w:hAnsi="Verdana" w:cs="Avenir Next LT Pro"/>
          <w:kern w:val="0"/>
          <w:sz w:val="18"/>
          <w:szCs w:val="18"/>
        </w:rPr>
        <w:t xml:space="preserve"> </w:t>
      </w:r>
      <w:r w:rsidRPr="00A23DA4" w:rsidR="004018D9">
        <w:rPr>
          <w:rFonts w:ascii="Verdana" w:hAnsi="Verdana" w:cs="Avenir Next LT Pro"/>
          <w:kern w:val="0"/>
          <w:sz w:val="18"/>
          <w:szCs w:val="18"/>
        </w:rPr>
        <w:t xml:space="preserve">worden vastgesteld dan het loon uit de meest vergelijkbare dienstbetrekking. Als </w:t>
      </w:r>
      <w:proofErr w:type="spellStart"/>
      <w:r w:rsidRPr="00A23DA4" w:rsidR="004018D9">
        <w:rPr>
          <w:rFonts w:ascii="Verdana" w:hAnsi="Verdana" w:cs="Avenir Next LT Pro"/>
          <w:kern w:val="0"/>
          <w:sz w:val="18"/>
          <w:szCs w:val="18"/>
        </w:rPr>
        <w:t>dga’s</w:t>
      </w:r>
      <w:proofErr w:type="spellEnd"/>
      <w:r w:rsidRPr="00A23DA4" w:rsidR="004018D9">
        <w:rPr>
          <w:rFonts w:ascii="Verdana" w:hAnsi="Verdana" w:cs="Avenir Next LT Pro"/>
          <w:kern w:val="0"/>
          <w:sz w:val="18"/>
          <w:szCs w:val="18"/>
        </w:rPr>
        <w:t xml:space="preserve"> op de afschaffing van de doelmatigheidsmarge zouden </w:t>
      </w:r>
      <w:r w:rsidR="00B7666D">
        <w:rPr>
          <w:rFonts w:ascii="Verdana" w:hAnsi="Verdana" w:cs="Avenir Next LT Pro"/>
          <w:kern w:val="0"/>
          <w:sz w:val="18"/>
          <w:szCs w:val="18"/>
        </w:rPr>
        <w:t>hebben gereageerd</w:t>
      </w:r>
      <w:r w:rsidRPr="00A23DA4" w:rsidR="004018D9">
        <w:rPr>
          <w:rFonts w:ascii="Verdana" w:hAnsi="Verdana" w:cs="Avenir Next LT Pro"/>
          <w:kern w:val="0"/>
          <w:sz w:val="18"/>
          <w:szCs w:val="18"/>
        </w:rPr>
        <w:t xml:space="preserve">, dan </w:t>
      </w:r>
      <w:r w:rsidR="00B7666D">
        <w:rPr>
          <w:rFonts w:ascii="Verdana" w:hAnsi="Verdana" w:cs="Avenir Next LT Pro"/>
          <w:kern w:val="0"/>
          <w:sz w:val="18"/>
          <w:szCs w:val="18"/>
        </w:rPr>
        <w:t>zou</w:t>
      </w:r>
      <w:r w:rsidRPr="00A23DA4" w:rsidR="004018D9">
        <w:rPr>
          <w:rFonts w:ascii="Verdana" w:hAnsi="Verdana" w:cs="Avenir Next LT Pro"/>
          <w:kern w:val="0"/>
          <w:sz w:val="18"/>
          <w:szCs w:val="18"/>
        </w:rPr>
        <w:t xml:space="preserve"> een grotere loonstijging tussen 2022 en 2023 dan tussen 2021 en 2022</w:t>
      </w:r>
      <w:r w:rsidR="00B7666D">
        <w:rPr>
          <w:rFonts w:ascii="Verdana" w:hAnsi="Verdana" w:cs="Avenir Next LT Pro"/>
          <w:kern w:val="0"/>
          <w:sz w:val="18"/>
          <w:szCs w:val="18"/>
        </w:rPr>
        <w:t xml:space="preserve"> verwacht worden</w:t>
      </w:r>
      <w:r w:rsidRPr="00A23DA4" w:rsidR="004018D9">
        <w:rPr>
          <w:rFonts w:ascii="Verdana" w:hAnsi="Verdana" w:cs="Avenir Next LT Pro"/>
          <w:kern w:val="0"/>
          <w:sz w:val="18"/>
          <w:szCs w:val="18"/>
        </w:rPr>
        <w:t>. Dit blijkt echter niet het geval</w:t>
      </w:r>
      <w:r w:rsidR="00B7666D">
        <w:rPr>
          <w:rFonts w:ascii="Verdana" w:hAnsi="Verdana" w:cs="Avenir Next LT Pro"/>
          <w:kern w:val="0"/>
          <w:sz w:val="18"/>
          <w:szCs w:val="18"/>
        </w:rPr>
        <w:t>:</w:t>
      </w:r>
      <w:r w:rsidRPr="00A23DA4" w:rsidR="004018D9">
        <w:rPr>
          <w:rFonts w:ascii="Verdana" w:hAnsi="Verdana" w:cs="Avenir Next LT Pro"/>
          <w:kern w:val="0"/>
          <w:sz w:val="18"/>
          <w:szCs w:val="18"/>
        </w:rPr>
        <w:t xml:space="preserve"> er </w:t>
      </w:r>
      <w:r w:rsidR="00B7666D">
        <w:rPr>
          <w:rFonts w:ascii="Verdana" w:hAnsi="Verdana" w:cs="Avenir Next LT Pro"/>
          <w:kern w:val="0"/>
          <w:sz w:val="18"/>
          <w:szCs w:val="18"/>
        </w:rPr>
        <w:t xml:space="preserve">zijn </w:t>
      </w:r>
      <w:r w:rsidRPr="00A23DA4" w:rsidR="004018D9">
        <w:rPr>
          <w:rFonts w:ascii="Verdana" w:hAnsi="Verdana" w:cs="Avenir Next LT Pro"/>
          <w:kern w:val="0"/>
          <w:sz w:val="18"/>
          <w:szCs w:val="18"/>
        </w:rPr>
        <w:t>nauwelijks loonstijgingen geconstateerd.</w:t>
      </w:r>
    </w:p>
    <w:p w:rsidR="004018D9" w:rsidP="004018D9" w:rsidRDefault="004018D9" w14:paraId="01861FF1" w14:textId="77777777">
      <w:pPr>
        <w:pStyle w:val="Geenafstand"/>
        <w:spacing w:line="271" w:lineRule="auto"/>
        <w:rPr>
          <w:rFonts w:ascii="Verdana" w:hAnsi="Verdana"/>
          <w:i/>
          <w:iCs/>
          <w:sz w:val="18"/>
          <w:szCs w:val="18"/>
          <w:u w:val="single"/>
        </w:rPr>
      </w:pPr>
    </w:p>
    <w:p w:rsidR="004018D9" w:rsidP="004018D9" w:rsidRDefault="004018D9" w14:paraId="11841C0C" w14:textId="77777777">
      <w:pPr>
        <w:pStyle w:val="Geenafstand"/>
        <w:spacing w:line="271" w:lineRule="auto"/>
        <w:rPr>
          <w:rFonts w:ascii="Verdana" w:hAnsi="Verdana"/>
          <w:color w:val="161616"/>
          <w:w w:val="105"/>
          <w:sz w:val="18"/>
          <w:szCs w:val="18"/>
        </w:rPr>
      </w:pPr>
      <w:r>
        <w:rPr>
          <w:rFonts w:ascii="Verdana" w:hAnsi="Verdana"/>
          <w:color w:val="161616"/>
          <w:w w:val="105"/>
          <w:sz w:val="18"/>
          <w:szCs w:val="18"/>
        </w:rPr>
        <w:t xml:space="preserve">In het rapport worden </w:t>
      </w:r>
      <w:r w:rsidR="00320373">
        <w:rPr>
          <w:rFonts w:ascii="Verdana" w:hAnsi="Verdana"/>
          <w:color w:val="161616"/>
          <w:w w:val="105"/>
          <w:sz w:val="18"/>
          <w:szCs w:val="18"/>
        </w:rPr>
        <w:t>naar aanleiding</w:t>
      </w:r>
      <w:r>
        <w:rPr>
          <w:rFonts w:ascii="Verdana" w:hAnsi="Verdana"/>
          <w:color w:val="161616"/>
          <w:w w:val="105"/>
          <w:sz w:val="18"/>
          <w:szCs w:val="18"/>
        </w:rPr>
        <w:t xml:space="preserve"> </w:t>
      </w:r>
      <w:r w:rsidR="00320373">
        <w:rPr>
          <w:rFonts w:ascii="Verdana" w:hAnsi="Verdana"/>
          <w:color w:val="161616"/>
          <w:w w:val="105"/>
          <w:sz w:val="18"/>
          <w:szCs w:val="18"/>
        </w:rPr>
        <w:t xml:space="preserve">van </w:t>
      </w:r>
      <w:r>
        <w:rPr>
          <w:rFonts w:ascii="Verdana" w:hAnsi="Verdana"/>
          <w:color w:val="161616"/>
          <w:w w:val="105"/>
          <w:sz w:val="18"/>
          <w:szCs w:val="18"/>
        </w:rPr>
        <w:t xml:space="preserve">deze uitkomsten </w:t>
      </w:r>
      <w:r w:rsidR="00320373">
        <w:rPr>
          <w:rFonts w:ascii="Verdana" w:hAnsi="Verdana"/>
          <w:color w:val="161616"/>
          <w:w w:val="105"/>
          <w:sz w:val="18"/>
          <w:szCs w:val="18"/>
        </w:rPr>
        <w:t>de volgende</w:t>
      </w:r>
      <w:r>
        <w:rPr>
          <w:rFonts w:ascii="Verdana" w:hAnsi="Verdana"/>
          <w:color w:val="161616"/>
          <w:w w:val="105"/>
          <w:sz w:val="18"/>
          <w:szCs w:val="18"/>
        </w:rPr>
        <w:t xml:space="preserve"> concrete beleidsopties benoemd ter verbetering van de doeltreffendheid van de huidige </w:t>
      </w:r>
      <w:proofErr w:type="spellStart"/>
      <w:r>
        <w:rPr>
          <w:rFonts w:ascii="Verdana" w:hAnsi="Verdana"/>
          <w:color w:val="161616"/>
          <w:w w:val="105"/>
          <w:sz w:val="18"/>
          <w:szCs w:val="18"/>
        </w:rPr>
        <w:t>gebruikelijkloonregeling</w:t>
      </w:r>
      <w:proofErr w:type="spellEnd"/>
      <w:r>
        <w:rPr>
          <w:rFonts w:ascii="Verdana" w:hAnsi="Verdana"/>
          <w:color w:val="161616"/>
          <w:w w:val="105"/>
          <w:sz w:val="18"/>
          <w:szCs w:val="18"/>
        </w:rPr>
        <w:t>:</w:t>
      </w:r>
    </w:p>
    <w:p w:rsidRPr="00EB5702" w:rsidR="004018D9" w:rsidP="004018D9" w:rsidRDefault="004018D9" w14:paraId="1434B462" w14:textId="77777777">
      <w:pPr>
        <w:pStyle w:val="Lijstalinea"/>
        <w:numPr>
          <w:ilvl w:val="0"/>
          <w:numId w:val="8"/>
        </w:numPr>
        <w:adjustRightInd w:val="0"/>
        <w:spacing w:line="271" w:lineRule="auto"/>
        <w:ind w:left="357" w:hanging="357"/>
        <w:rPr>
          <w:rFonts w:ascii="Verdana" w:hAnsi="Verdana"/>
          <w:color w:val="161616"/>
          <w:w w:val="105"/>
          <w:sz w:val="18"/>
          <w:szCs w:val="18"/>
        </w:rPr>
      </w:pPr>
      <w:r w:rsidRPr="00B52825">
        <w:rPr>
          <w:rFonts w:ascii="Verdana" w:hAnsi="Verdana"/>
          <w:color w:val="161616"/>
          <w:sz w:val="18"/>
          <w:szCs w:val="18"/>
        </w:rPr>
        <w:t xml:space="preserve">Het verbeteren van de informatievoorziening rond het vaststellen van het gebruikelijk loon door het ontwikkelen van een waarderingsmethode om belastingplichtigen en de Belastingdienst te helpen </w:t>
      </w:r>
      <w:r w:rsidR="0065441A">
        <w:rPr>
          <w:rFonts w:ascii="Verdana" w:hAnsi="Verdana"/>
          <w:color w:val="161616"/>
          <w:sz w:val="18"/>
          <w:szCs w:val="18"/>
        </w:rPr>
        <w:t>met</w:t>
      </w:r>
      <w:r w:rsidRPr="00B52825" w:rsidR="0065441A">
        <w:rPr>
          <w:rFonts w:ascii="Verdana" w:hAnsi="Verdana"/>
          <w:color w:val="161616"/>
          <w:sz w:val="18"/>
          <w:szCs w:val="18"/>
        </w:rPr>
        <w:t xml:space="preserve"> </w:t>
      </w:r>
      <w:r w:rsidRPr="00B52825">
        <w:rPr>
          <w:rFonts w:ascii="Verdana" w:hAnsi="Verdana"/>
          <w:color w:val="161616"/>
          <w:sz w:val="18"/>
          <w:szCs w:val="18"/>
        </w:rPr>
        <w:t>een nauwkeurige invulling van dat gebruikelijk loon.</w:t>
      </w:r>
    </w:p>
    <w:p w:rsidRPr="00EB5702" w:rsidR="004018D9" w:rsidP="004018D9" w:rsidRDefault="004018D9" w14:paraId="44F8BF2C" w14:textId="77777777">
      <w:pPr>
        <w:pStyle w:val="Lijstalinea"/>
        <w:numPr>
          <w:ilvl w:val="0"/>
          <w:numId w:val="8"/>
        </w:numPr>
        <w:adjustRightInd w:val="0"/>
        <w:spacing w:line="271" w:lineRule="auto"/>
        <w:ind w:left="357" w:hanging="357"/>
        <w:rPr>
          <w:rFonts w:ascii="Verdana" w:hAnsi="Verdana"/>
          <w:color w:val="161616"/>
          <w:w w:val="105"/>
          <w:sz w:val="18"/>
          <w:szCs w:val="18"/>
        </w:rPr>
      </w:pPr>
      <w:r w:rsidRPr="00EB5702">
        <w:rPr>
          <w:rFonts w:ascii="Verdana" w:hAnsi="Verdana"/>
          <w:color w:val="161616"/>
          <w:w w:val="105"/>
          <w:sz w:val="18"/>
          <w:szCs w:val="18"/>
        </w:rPr>
        <w:t xml:space="preserve">Een uitbreiding dan wel verbetering van </w:t>
      </w:r>
      <w:r w:rsidR="00320373">
        <w:rPr>
          <w:rFonts w:ascii="Verdana" w:hAnsi="Verdana"/>
          <w:color w:val="161616"/>
          <w:w w:val="105"/>
          <w:sz w:val="18"/>
          <w:szCs w:val="18"/>
        </w:rPr>
        <w:t xml:space="preserve">de handhaving </w:t>
      </w:r>
      <w:r w:rsidRPr="00EB5702">
        <w:rPr>
          <w:rFonts w:ascii="Verdana" w:hAnsi="Verdana"/>
          <w:color w:val="161616"/>
          <w:w w:val="105"/>
          <w:sz w:val="18"/>
          <w:szCs w:val="18"/>
        </w:rPr>
        <w:t xml:space="preserve">door de Belastingdienst. </w:t>
      </w:r>
    </w:p>
    <w:p w:rsidRPr="002C53A7" w:rsidR="002C53A7" w:rsidP="004018D9" w:rsidRDefault="004018D9" w14:paraId="15CAD996" w14:textId="77777777">
      <w:pPr>
        <w:pStyle w:val="Lijstalinea"/>
        <w:numPr>
          <w:ilvl w:val="0"/>
          <w:numId w:val="8"/>
        </w:numPr>
        <w:adjustRightInd w:val="0"/>
        <w:spacing w:line="271" w:lineRule="auto"/>
        <w:ind w:left="357" w:hanging="357"/>
        <w:rPr>
          <w:rFonts w:ascii="Verdana" w:hAnsi="Verdana"/>
          <w:color w:val="161616"/>
          <w:sz w:val="18"/>
          <w:szCs w:val="18"/>
        </w:rPr>
      </w:pPr>
      <w:r w:rsidRPr="00320373">
        <w:rPr>
          <w:rFonts w:ascii="Verdana" w:hAnsi="Verdana"/>
          <w:color w:val="161616"/>
          <w:w w:val="105"/>
          <w:sz w:val="18"/>
          <w:szCs w:val="18"/>
        </w:rPr>
        <w:t xml:space="preserve">Een </w:t>
      </w:r>
      <w:r w:rsidRPr="00320373" w:rsidR="00320373">
        <w:rPr>
          <w:rFonts w:ascii="Verdana" w:hAnsi="Verdana"/>
          <w:color w:val="161616"/>
          <w:w w:val="105"/>
          <w:sz w:val="18"/>
          <w:szCs w:val="18"/>
        </w:rPr>
        <w:t xml:space="preserve">generieke verhoging van het normbedrag (€ </w:t>
      </w:r>
      <w:r w:rsidR="00875E2A">
        <w:rPr>
          <w:rFonts w:ascii="Verdana" w:hAnsi="Verdana"/>
          <w:color w:val="161616"/>
          <w:w w:val="105"/>
          <w:sz w:val="18"/>
          <w:szCs w:val="18"/>
        </w:rPr>
        <w:t>58</w:t>
      </w:r>
      <w:r w:rsidRPr="00320373" w:rsidR="00320373">
        <w:rPr>
          <w:rFonts w:ascii="Verdana" w:hAnsi="Verdana"/>
          <w:color w:val="161616"/>
          <w:w w:val="105"/>
          <w:sz w:val="18"/>
          <w:szCs w:val="18"/>
        </w:rPr>
        <w:t xml:space="preserve">.000 in 2026) </w:t>
      </w:r>
    </w:p>
    <w:p w:rsidRPr="002C53A7" w:rsidR="00320373" w:rsidP="004018D9" w:rsidRDefault="002C53A7" w14:paraId="2209FC27" w14:textId="77777777">
      <w:pPr>
        <w:pStyle w:val="Lijstalinea"/>
        <w:numPr>
          <w:ilvl w:val="0"/>
          <w:numId w:val="8"/>
        </w:numPr>
        <w:adjustRightInd w:val="0"/>
        <w:spacing w:line="271" w:lineRule="auto"/>
        <w:ind w:left="357" w:hanging="357"/>
        <w:rPr>
          <w:rFonts w:ascii="Verdana" w:hAnsi="Verdana"/>
          <w:color w:val="161616"/>
          <w:sz w:val="18"/>
          <w:szCs w:val="18"/>
        </w:rPr>
      </w:pPr>
      <w:r>
        <w:rPr>
          <w:rFonts w:ascii="Verdana" w:hAnsi="Verdana"/>
          <w:color w:val="161616"/>
          <w:w w:val="105"/>
          <w:sz w:val="18"/>
          <w:szCs w:val="18"/>
        </w:rPr>
        <w:lastRenderedPageBreak/>
        <w:t xml:space="preserve">Het </w:t>
      </w:r>
      <w:r w:rsidRPr="00320373" w:rsidR="004018D9">
        <w:rPr>
          <w:rFonts w:ascii="Verdana" w:hAnsi="Verdana"/>
          <w:color w:val="161616"/>
          <w:w w:val="105"/>
          <w:sz w:val="18"/>
          <w:szCs w:val="18"/>
        </w:rPr>
        <w:t>normbedrag</w:t>
      </w:r>
      <w:r>
        <w:rPr>
          <w:rFonts w:ascii="Verdana" w:hAnsi="Verdana"/>
          <w:color w:val="161616"/>
          <w:w w:val="105"/>
          <w:sz w:val="18"/>
          <w:szCs w:val="18"/>
        </w:rPr>
        <w:t xml:space="preserve"> afhankelijk maken van de loonsom van de bv</w:t>
      </w:r>
      <w:r w:rsidR="00320373">
        <w:rPr>
          <w:rFonts w:ascii="Verdana" w:hAnsi="Verdana"/>
          <w:color w:val="161616"/>
          <w:w w:val="105"/>
          <w:sz w:val="18"/>
          <w:szCs w:val="18"/>
        </w:rPr>
        <w:t>.</w:t>
      </w:r>
      <w:r w:rsidRPr="00320373" w:rsidR="004018D9">
        <w:rPr>
          <w:rFonts w:ascii="Verdana" w:hAnsi="Verdana"/>
          <w:color w:val="161616"/>
          <w:w w:val="105"/>
          <w:sz w:val="18"/>
          <w:szCs w:val="18"/>
        </w:rPr>
        <w:t xml:space="preserve"> </w:t>
      </w:r>
      <w:r>
        <w:rPr>
          <w:rFonts w:ascii="Verdana" w:hAnsi="Verdana"/>
          <w:color w:val="161616"/>
          <w:w w:val="105"/>
          <w:sz w:val="18"/>
          <w:szCs w:val="18"/>
        </w:rPr>
        <w:br/>
      </w:r>
    </w:p>
    <w:p w:rsidRPr="002C53A7" w:rsidR="00D569A8" w:rsidP="002C53A7" w:rsidRDefault="00D569A8" w14:paraId="741B2188" w14:textId="77777777">
      <w:pPr>
        <w:pStyle w:val="Geenafstand"/>
        <w:numPr>
          <w:ilvl w:val="0"/>
          <w:numId w:val="17"/>
        </w:numPr>
        <w:spacing w:line="271" w:lineRule="auto"/>
        <w:ind w:left="357" w:hanging="357"/>
        <w:rPr>
          <w:rFonts w:ascii="Verdana" w:hAnsi="Verdana"/>
          <w:b/>
          <w:bCs/>
          <w:color w:val="161616"/>
          <w:w w:val="105"/>
          <w:sz w:val="18"/>
          <w:szCs w:val="18"/>
        </w:rPr>
      </w:pPr>
      <w:r w:rsidRPr="002C53A7">
        <w:rPr>
          <w:rFonts w:ascii="Verdana" w:hAnsi="Verdana"/>
          <w:b/>
          <w:bCs/>
          <w:color w:val="161616"/>
          <w:w w:val="105"/>
          <w:sz w:val="18"/>
          <w:szCs w:val="18"/>
        </w:rPr>
        <w:t xml:space="preserve">De handhavingsstrategie </w:t>
      </w:r>
      <w:proofErr w:type="gramStart"/>
      <w:r w:rsidRPr="002C53A7">
        <w:rPr>
          <w:rFonts w:ascii="Verdana" w:hAnsi="Verdana"/>
          <w:b/>
          <w:bCs/>
          <w:color w:val="161616"/>
          <w:w w:val="105"/>
          <w:sz w:val="18"/>
          <w:szCs w:val="18"/>
        </w:rPr>
        <w:t>inzake</w:t>
      </w:r>
      <w:proofErr w:type="gramEnd"/>
      <w:r w:rsidRPr="002C53A7">
        <w:rPr>
          <w:rFonts w:ascii="Verdana" w:hAnsi="Verdana"/>
          <w:b/>
          <w:bCs/>
          <w:color w:val="161616"/>
          <w:w w:val="105"/>
          <w:sz w:val="18"/>
          <w:szCs w:val="18"/>
        </w:rPr>
        <w:t xml:space="preserve"> de </w:t>
      </w:r>
      <w:proofErr w:type="spellStart"/>
      <w:r w:rsidRPr="002C53A7">
        <w:rPr>
          <w:rFonts w:ascii="Verdana" w:hAnsi="Verdana"/>
          <w:b/>
          <w:bCs/>
          <w:color w:val="161616"/>
          <w:w w:val="105"/>
          <w:sz w:val="18"/>
          <w:szCs w:val="18"/>
        </w:rPr>
        <w:t>gebruikelijkloonregeling</w:t>
      </w:r>
      <w:proofErr w:type="spellEnd"/>
    </w:p>
    <w:p w:rsidR="00DA47D6" w:rsidP="00DA47D6" w:rsidRDefault="00DA47D6" w14:paraId="4FE2558B" w14:textId="77777777">
      <w:pPr>
        <w:adjustRightInd w:val="0"/>
        <w:spacing w:line="271" w:lineRule="auto"/>
        <w:rPr>
          <w:color w:val="161616"/>
        </w:rPr>
      </w:pPr>
      <w:r w:rsidRPr="00DA47D6">
        <w:rPr>
          <w:color w:val="161616"/>
        </w:rPr>
        <w:t xml:space="preserve">De Belastingdienst is verantwoordelijk voor de heffing en inning van de rijksbelastingen. Daarbij geldt dat </w:t>
      </w:r>
      <w:r>
        <w:rPr>
          <w:color w:val="161616"/>
        </w:rPr>
        <w:t>de Belastingdienst</w:t>
      </w:r>
      <w:r w:rsidRPr="00DA47D6">
        <w:rPr>
          <w:color w:val="161616"/>
        </w:rPr>
        <w:t xml:space="preserve"> ernaar stre</w:t>
      </w:r>
      <w:r>
        <w:rPr>
          <w:color w:val="161616"/>
        </w:rPr>
        <w:t>eft</w:t>
      </w:r>
      <w:r w:rsidRPr="00DA47D6">
        <w:rPr>
          <w:color w:val="161616"/>
        </w:rPr>
        <w:t xml:space="preserve"> dat zoveel mogelijk burgers en bedrijven uit zichzelf regels naleven, zonder dwingende en kostbare acties van de zijde van de Belastingdienst. De strategie van de Belastingdienst is </w:t>
      </w:r>
      <w:proofErr w:type="gramStart"/>
      <w:r w:rsidRPr="00DA47D6">
        <w:rPr>
          <w:color w:val="161616"/>
        </w:rPr>
        <w:t>er op</w:t>
      </w:r>
      <w:proofErr w:type="gramEnd"/>
      <w:r w:rsidRPr="00DA47D6">
        <w:rPr>
          <w:color w:val="161616"/>
        </w:rPr>
        <w:t xml:space="preserve"> gericht het gedrag van burgers en bedrijven zodanig te beïnvloeden dat zij structureel de (fiscale) regels kunnen en willen naleven (compliance). </w:t>
      </w:r>
      <w:r>
        <w:rPr>
          <w:color w:val="161616"/>
        </w:rPr>
        <w:t>Dit</w:t>
      </w:r>
      <w:r w:rsidRPr="00DA47D6">
        <w:rPr>
          <w:color w:val="161616"/>
        </w:rPr>
        <w:t xml:space="preserve"> betekent dat de Belastingdienst het burgers en bedrijven zo gemakkelijk mogelijk moet maken om hun wettelijke verplichtingen na te komen en hun rechten geldend te maken. Verder oefent de Belastingdienst toezicht uit en dwingt waar nodig naleving bestuursrechtelijk af. Hierbij baseert de Belastingdienst zich op de uitgangspunten en kaders zoals geformuleerd in de Uitvoerings- en Handhavingsstrategie</w:t>
      </w:r>
      <w:r w:rsidR="00AC2399">
        <w:rPr>
          <w:color w:val="161616"/>
        </w:rPr>
        <w:t>.</w:t>
      </w:r>
      <w:r w:rsidR="00A725B7">
        <w:rPr>
          <w:rStyle w:val="Voetnootmarkering"/>
          <w:color w:val="161616"/>
        </w:rPr>
        <w:footnoteReference w:id="5"/>
      </w:r>
      <w:r w:rsidR="00830A92">
        <w:rPr>
          <w:color w:val="161616"/>
        </w:rPr>
        <w:t xml:space="preserve"> </w:t>
      </w:r>
    </w:p>
    <w:p w:rsidR="00DA47D6" w:rsidP="00DA47D6" w:rsidRDefault="00DA47D6" w14:paraId="38F88825" w14:textId="77777777">
      <w:pPr>
        <w:adjustRightInd w:val="0"/>
        <w:spacing w:line="271" w:lineRule="auto"/>
        <w:rPr>
          <w:color w:val="161616"/>
        </w:rPr>
      </w:pPr>
    </w:p>
    <w:p w:rsidRPr="00DA47D6" w:rsidR="00DA47D6" w:rsidP="00830A92" w:rsidRDefault="00DA47D6" w14:paraId="318BB455" w14:textId="77777777">
      <w:pPr>
        <w:adjustRightInd w:val="0"/>
        <w:spacing w:line="271" w:lineRule="auto"/>
        <w:rPr>
          <w:color w:val="161616"/>
        </w:rPr>
      </w:pPr>
      <w:r w:rsidRPr="00DA47D6">
        <w:rPr>
          <w:color w:val="161616"/>
        </w:rPr>
        <w:t xml:space="preserve">De handhavingswerkzaamheden bestaan uit dienstverlening, toezicht en opsporing. Deze drie componenten past de Belastingdienst ook toe bij de handhaving op de </w:t>
      </w:r>
      <w:proofErr w:type="spellStart"/>
      <w:r w:rsidRPr="00DA47D6">
        <w:rPr>
          <w:color w:val="161616"/>
        </w:rPr>
        <w:t>gebruikelijkloonregeling</w:t>
      </w:r>
      <w:proofErr w:type="spellEnd"/>
      <w:r w:rsidRPr="00DA47D6">
        <w:rPr>
          <w:color w:val="161616"/>
        </w:rPr>
        <w:t xml:space="preserve">. </w:t>
      </w:r>
    </w:p>
    <w:p w:rsidR="00830A92" w:rsidP="00830A92" w:rsidRDefault="00DA47D6" w14:paraId="5791DFE4" w14:textId="77777777">
      <w:pPr>
        <w:pStyle w:val="Geenafstand"/>
        <w:numPr>
          <w:ilvl w:val="0"/>
          <w:numId w:val="13"/>
        </w:numPr>
        <w:spacing w:line="271" w:lineRule="auto"/>
        <w:ind w:left="357" w:hanging="357"/>
        <w:rPr>
          <w:rFonts w:ascii="Verdana" w:hAnsi="Verdana"/>
          <w:i/>
          <w:iCs/>
          <w:sz w:val="18"/>
          <w:szCs w:val="18"/>
        </w:rPr>
      </w:pPr>
      <w:r w:rsidRPr="00DA47D6">
        <w:rPr>
          <w:rFonts w:ascii="Verdana" w:hAnsi="Verdana"/>
          <w:i/>
          <w:iCs/>
          <w:sz w:val="18"/>
          <w:szCs w:val="18"/>
        </w:rPr>
        <w:t>Dienstverlening</w:t>
      </w:r>
      <w:r>
        <w:rPr>
          <w:rFonts w:ascii="Verdana" w:hAnsi="Verdana"/>
          <w:i/>
          <w:iCs/>
          <w:sz w:val="18"/>
          <w:szCs w:val="18"/>
        </w:rPr>
        <w:br/>
      </w:r>
      <w:r w:rsidRPr="00DA47D6">
        <w:rPr>
          <w:rFonts w:ascii="Verdana" w:hAnsi="Verdana"/>
          <w:color w:val="161616"/>
          <w:sz w:val="18"/>
          <w:szCs w:val="18"/>
        </w:rPr>
        <w:t xml:space="preserve">De dienstverlening van de Belastingdienst op het gebied van de </w:t>
      </w:r>
      <w:proofErr w:type="spellStart"/>
      <w:r w:rsidRPr="00DA47D6">
        <w:rPr>
          <w:rFonts w:ascii="Verdana" w:hAnsi="Verdana"/>
          <w:color w:val="161616"/>
          <w:sz w:val="18"/>
          <w:szCs w:val="18"/>
        </w:rPr>
        <w:t>gebruikelijkloonregeling</w:t>
      </w:r>
      <w:proofErr w:type="spellEnd"/>
      <w:r w:rsidRPr="00DA47D6">
        <w:rPr>
          <w:rFonts w:ascii="Verdana" w:hAnsi="Verdana"/>
          <w:color w:val="161616"/>
          <w:sz w:val="18"/>
          <w:szCs w:val="18"/>
        </w:rPr>
        <w:t xml:space="preserve"> is divers. Er wordt daarbij gebruik gemaakt van verschillende communicatiekanalen, zoals de website van de Belastingdienst, het Forum Fiscaal Dienstverleners en het Forum Salaris. Op de website van de Belastingdienst is duidelijke informatie te vinden over de toepassing van de </w:t>
      </w:r>
      <w:proofErr w:type="spellStart"/>
      <w:r w:rsidRPr="00DA47D6">
        <w:rPr>
          <w:rFonts w:ascii="Verdana" w:hAnsi="Verdana"/>
          <w:color w:val="161616"/>
          <w:sz w:val="18"/>
          <w:szCs w:val="18"/>
        </w:rPr>
        <w:t>gebruikelijkloonregeling</w:t>
      </w:r>
      <w:proofErr w:type="spellEnd"/>
      <w:r w:rsidRPr="00DA47D6">
        <w:rPr>
          <w:rFonts w:ascii="Verdana" w:hAnsi="Verdana"/>
          <w:color w:val="161616"/>
          <w:sz w:val="18"/>
          <w:szCs w:val="18"/>
        </w:rPr>
        <w:t>.</w:t>
      </w:r>
      <w:r w:rsidRPr="00CB0FEB" w:rsidR="00CB0FEB">
        <w:rPr>
          <w:rStyle w:val="Voetnootmarkering"/>
          <w:rFonts w:ascii="Verdana" w:hAnsi="Verdana"/>
          <w:sz w:val="18"/>
          <w:szCs w:val="18"/>
        </w:rPr>
        <w:footnoteReference w:id="6"/>
      </w:r>
      <w:r w:rsidR="00CB0FEB">
        <w:rPr>
          <w:rFonts w:ascii="Verdana" w:hAnsi="Verdana"/>
          <w:color w:val="161616"/>
          <w:sz w:val="18"/>
          <w:szCs w:val="18"/>
        </w:rPr>
        <w:t xml:space="preserve"> </w:t>
      </w:r>
      <w:r w:rsidRPr="00DA47D6">
        <w:rPr>
          <w:rFonts w:ascii="Verdana" w:hAnsi="Verdana"/>
          <w:color w:val="161616"/>
          <w:sz w:val="18"/>
          <w:szCs w:val="18"/>
        </w:rPr>
        <w:t xml:space="preserve">Bij twijfel kan een </w:t>
      </w:r>
      <w:proofErr w:type="gramStart"/>
      <w:r w:rsidRPr="00DA47D6">
        <w:rPr>
          <w:rFonts w:ascii="Verdana" w:hAnsi="Verdana"/>
          <w:color w:val="161616"/>
          <w:sz w:val="18"/>
          <w:szCs w:val="18"/>
        </w:rPr>
        <w:t>inhoudingsplichtige</w:t>
      </w:r>
      <w:proofErr w:type="gramEnd"/>
      <w:r w:rsidRPr="00DA47D6">
        <w:rPr>
          <w:rFonts w:ascii="Verdana" w:hAnsi="Verdana"/>
          <w:color w:val="161616"/>
          <w:sz w:val="18"/>
          <w:szCs w:val="18"/>
        </w:rPr>
        <w:t xml:space="preserve"> vooroverleg voeren. Eenheid van beleid en uitvoering zorgt ervoor dat naar buiten toe duidelijk is hoe de regels moeten worden uitgelegd. Ten aanzien van de </w:t>
      </w:r>
      <w:proofErr w:type="spellStart"/>
      <w:r w:rsidRPr="00DA47D6">
        <w:rPr>
          <w:rFonts w:ascii="Verdana" w:hAnsi="Verdana"/>
          <w:color w:val="161616"/>
          <w:sz w:val="18"/>
          <w:szCs w:val="18"/>
        </w:rPr>
        <w:t>gebruikelijkloonregeling</w:t>
      </w:r>
      <w:proofErr w:type="spellEnd"/>
      <w:r w:rsidRPr="00DA47D6">
        <w:rPr>
          <w:rFonts w:ascii="Verdana" w:hAnsi="Verdana"/>
          <w:color w:val="161616"/>
          <w:sz w:val="18"/>
          <w:szCs w:val="18"/>
        </w:rPr>
        <w:t xml:space="preserve"> borgt de Belastingdienst dit onder meer via de kennisgroep Loonheffing algemeen. Daarnaast is er een vaste werkgroep die in eerste aanleg verantwoordelijk is voor het </w:t>
      </w:r>
      <w:bookmarkStart w:name="_Hlk209095418" w:id="1"/>
      <w:r w:rsidRPr="00DA47D6">
        <w:rPr>
          <w:rFonts w:ascii="Verdana" w:hAnsi="Verdana"/>
          <w:color w:val="161616"/>
          <w:sz w:val="18"/>
          <w:szCs w:val="18"/>
        </w:rPr>
        <w:t xml:space="preserve">actualiseren van de </w:t>
      </w:r>
      <w:r w:rsidR="00A725B7">
        <w:rPr>
          <w:rFonts w:ascii="Verdana" w:hAnsi="Verdana"/>
          <w:color w:val="161616"/>
          <w:sz w:val="18"/>
          <w:szCs w:val="18"/>
        </w:rPr>
        <w:t>H</w:t>
      </w:r>
      <w:r w:rsidRPr="00DA47D6">
        <w:rPr>
          <w:rFonts w:ascii="Verdana" w:hAnsi="Verdana"/>
          <w:color w:val="161616"/>
          <w:sz w:val="18"/>
          <w:szCs w:val="18"/>
        </w:rPr>
        <w:t xml:space="preserve">andreiking </w:t>
      </w:r>
      <w:proofErr w:type="spellStart"/>
      <w:r w:rsidRPr="00DA47D6">
        <w:rPr>
          <w:rFonts w:ascii="Verdana" w:hAnsi="Verdana"/>
          <w:color w:val="161616"/>
          <w:sz w:val="18"/>
          <w:szCs w:val="18"/>
        </w:rPr>
        <w:t>gebruikelijkloonregeling</w:t>
      </w:r>
      <w:proofErr w:type="spellEnd"/>
      <w:r w:rsidR="00BC4161">
        <w:rPr>
          <w:rFonts w:ascii="Verdana" w:hAnsi="Verdana"/>
          <w:color w:val="161616"/>
          <w:sz w:val="18"/>
          <w:szCs w:val="18"/>
        </w:rPr>
        <w:t>,</w:t>
      </w:r>
      <w:r w:rsidRPr="00DA47D6">
        <w:rPr>
          <w:rFonts w:ascii="Verdana" w:hAnsi="Verdana"/>
          <w:color w:val="161616"/>
          <w:sz w:val="18"/>
          <w:szCs w:val="18"/>
        </w:rPr>
        <w:t xml:space="preserve"> de int</w:t>
      </w:r>
      <w:r w:rsidR="00126012">
        <w:rPr>
          <w:rFonts w:ascii="Verdana" w:hAnsi="Verdana"/>
          <w:color w:val="161616"/>
          <w:sz w:val="18"/>
          <w:szCs w:val="18"/>
        </w:rPr>
        <w:t>ra</w:t>
      </w:r>
      <w:r w:rsidRPr="00DA47D6">
        <w:rPr>
          <w:rFonts w:ascii="Verdana" w:hAnsi="Verdana"/>
          <w:color w:val="161616"/>
          <w:sz w:val="18"/>
          <w:szCs w:val="18"/>
        </w:rPr>
        <w:t xml:space="preserve">netpagina </w:t>
      </w:r>
      <w:proofErr w:type="spellStart"/>
      <w:r w:rsidRPr="00DA47D6">
        <w:rPr>
          <w:rFonts w:ascii="Verdana" w:hAnsi="Verdana"/>
          <w:color w:val="161616"/>
          <w:sz w:val="18"/>
          <w:szCs w:val="18"/>
        </w:rPr>
        <w:t>gebruikelijkloonregeling</w:t>
      </w:r>
      <w:proofErr w:type="spellEnd"/>
      <w:r w:rsidRPr="00DA47D6">
        <w:rPr>
          <w:rFonts w:ascii="Verdana" w:hAnsi="Verdana"/>
          <w:color w:val="161616"/>
          <w:sz w:val="18"/>
          <w:szCs w:val="18"/>
        </w:rPr>
        <w:t xml:space="preserve"> met standaardbrieven</w:t>
      </w:r>
      <w:bookmarkEnd w:id="1"/>
      <w:r w:rsidR="00971010">
        <w:rPr>
          <w:rFonts w:ascii="Verdana" w:hAnsi="Verdana"/>
          <w:color w:val="161616"/>
          <w:sz w:val="18"/>
          <w:szCs w:val="18"/>
        </w:rPr>
        <w:t xml:space="preserve"> en de internetpagina met de checklist voor het aanvragen van een vooroverleg</w:t>
      </w:r>
      <w:r w:rsidRPr="00DA47D6">
        <w:rPr>
          <w:rFonts w:ascii="Verdana" w:hAnsi="Verdana"/>
          <w:color w:val="161616"/>
          <w:sz w:val="18"/>
          <w:szCs w:val="18"/>
        </w:rPr>
        <w:t>.</w:t>
      </w:r>
      <w:r w:rsidR="00246800">
        <w:rPr>
          <w:rStyle w:val="Voetnootmarkering"/>
          <w:rFonts w:ascii="Verdana" w:hAnsi="Verdana"/>
          <w:color w:val="161616"/>
          <w:sz w:val="18"/>
          <w:szCs w:val="18"/>
        </w:rPr>
        <w:footnoteReference w:id="7"/>
      </w:r>
      <w:r w:rsidRPr="00DA47D6">
        <w:rPr>
          <w:rFonts w:ascii="Verdana" w:hAnsi="Verdana"/>
          <w:color w:val="161616"/>
          <w:sz w:val="18"/>
          <w:szCs w:val="18"/>
        </w:rPr>
        <w:t xml:space="preserve"> </w:t>
      </w:r>
    </w:p>
    <w:p w:rsidR="00830A92" w:rsidP="00830A92" w:rsidRDefault="00DA47D6" w14:paraId="124724D1" w14:textId="77777777">
      <w:pPr>
        <w:pStyle w:val="Geenafstand"/>
        <w:numPr>
          <w:ilvl w:val="0"/>
          <w:numId w:val="13"/>
        </w:numPr>
        <w:spacing w:line="271" w:lineRule="auto"/>
        <w:ind w:left="357" w:hanging="357"/>
        <w:rPr>
          <w:rFonts w:ascii="Verdana" w:hAnsi="Verdana"/>
          <w:i/>
          <w:iCs/>
          <w:sz w:val="18"/>
          <w:szCs w:val="18"/>
        </w:rPr>
      </w:pPr>
      <w:r w:rsidRPr="00830A92">
        <w:rPr>
          <w:rFonts w:ascii="Verdana" w:hAnsi="Verdana" w:eastAsia="DejaVu Sans" w:cs="Lohit Hindi"/>
          <w:i/>
          <w:iCs/>
          <w:color w:val="161616"/>
          <w:kern w:val="0"/>
          <w:sz w:val="18"/>
          <w:szCs w:val="18"/>
          <w:lang w:eastAsia="nl-NL"/>
          <w14:ligatures w14:val="none"/>
        </w:rPr>
        <w:t>Toezicht en opsporing</w:t>
      </w:r>
    </w:p>
    <w:p w:rsidRPr="00830A92" w:rsidR="00DA47D6" w:rsidP="00830A92" w:rsidRDefault="00DA47D6" w14:paraId="4E5C2A7C" w14:textId="77777777">
      <w:pPr>
        <w:pStyle w:val="Geenafstand"/>
        <w:spacing w:line="271" w:lineRule="auto"/>
        <w:ind w:left="357"/>
        <w:rPr>
          <w:rFonts w:ascii="Verdana" w:hAnsi="Verdana"/>
          <w:i/>
          <w:iCs/>
          <w:sz w:val="18"/>
          <w:szCs w:val="18"/>
        </w:rPr>
      </w:pPr>
      <w:r w:rsidRPr="00830A92">
        <w:rPr>
          <w:rFonts w:ascii="Verdana" w:hAnsi="Verdana"/>
          <w:color w:val="161616"/>
          <w:sz w:val="18"/>
          <w:szCs w:val="18"/>
        </w:rPr>
        <w:t xml:space="preserve">Het toezicht en de opsporing ter zake van de </w:t>
      </w:r>
      <w:proofErr w:type="spellStart"/>
      <w:r w:rsidRPr="00830A92">
        <w:rPr>
          <w:rFonts w:ascii="Verdana" w:hAnsi="Verdana"/>
          <w:color w:val="161616"/>
          <w:sz w:val="18"/>
          <w:szCs w:val="18"/>
        </w:rPr>
        <w:t>gebruikelijkloonregeling</w:t>
      </w:r>
      <w:proofErr w:type="spellEnd"/>
      <w:r w:rsidRPr="00830A92">
        <w:rPr>
          <w:rFonts w:ascii="Verdana" w:hAnsi="Verdana"/>
          <w:color w:val="161616"/>
          <w:sz w:val="18"/>
          <w:szCs w:val="18"/>
        </w:rPr>
        <w:t xml:space="preserve"> is onderdeel van het geheel van </w:t>
      </w:r>
      <w:r w:rsidRPr="00830A92" w:rsidR="00883F71">
        <w:rPr>
          <w:rFonts w:ascii="Verdana" w:hAnsi="Verdana"/>
          <w:color w:val="161616"/>
          <w:sz w:val="18"/>
          <w:szCs w:val="18"/>
        </w:rPr>
        <w:t>toezichtwerkzaamheden</w:t>
      </w:r>
      <w:r w:rsidRPr="00830A92">
        <w:rPr>
          <w:rFonts w:ascii="Verdana" w:hAnsi="Verdana"/>
          <w:color w:val="161616"/>
          <w:sz w:val="18"/>
          <w:szCs w:val="18"/>
        </w:rPr>
        <w:t xml:space="preserve"> van de Belastingdienst. Er zijn geen specifieke selectieregels die op de </w:t>
      </w:r>
      <w:proofErr w:type="spellStart"/>
      <w:r w:rsidRPr="00830A92">
        <w:rPr>
          <w:rFonts w:ascii="Verdana" w:hAnsi="Verdana"/>
          <w:color w:val="161616"/>
          <w:sz w:val="18"/>
          <w:szCs w:val="18"/>
        </w:rPr>
        <w:t>gebruikelijkloonregeling</w:t>
      </w:r>
      <w:proofErr w:type="spellEnd"/>
      <w:r w:rsidRPr="00830A92">
        <w:rPr>
          <w:rFonts w:ascii="Verdana" w:hAnsi="Verdana"/>
          <w:color w:val="161616"/>
          <w:sz w:val="18"/>
          <w:szCs w:val="18"/>
        </w:rPr>
        <w:t xml:space="preserve"> zien. Vraagstukken over de toepassing van deze regeling komen op via vooroverleg of in het kader van de behandeling van aangiften in de kantoortoets dan wel in het toezicht buiten. Voorbeelden hiervan zijn: (i) bij de behandeling van een aangifte Vennootschapsbelasting </w:t>
      </w:r>
      <w:r w:rsidR="00883F71">
        <w:rPr>
          <w:rFonts w:ascii="Verdana" w:hAnsi="Verdana"/>
          <w:color w:val="161616"/>
          <w:sz w:val="18"/>
          <w:szCs w:val="18"/>
        </w:rPr>
        <w:t>(</w:t>
      </w:r>
      <w:proofErr w:type="spellStart"/>
      <w:r w:rsidR="00883F71">
        <w:rPr>
          <w:rFonts w:ascii="Verdana" w:hAnsi="Verdana"/>
          <w:color w:val="161616"/>
          <w:sz w:val="18"/>
          <w:szCs w:val="18"/>
        </w:rPr>
        <w:t>Vpb</w:t>
      </w:r>
      <w:proofErr w:type="spellEnd"/>
      <w:r w:rsidR="00883F71">
        <w:rPr>
          <w:rFonts w:ascii="Verdana" w:hAnsi="Verdana"/>
          <w:color w:val="161616"/>
          <w:sz w:val="18"/>
          <w:szCs w:val="18"/>
        </w:rPr>
        <w:t xml:space="preserve">) </w:t>
      </w:r>
      <w:r w:rsidRPr="00830A92">
        <w:rPr>
          <w:rFonts w:ascii="Verdana" w:hAnsi="Verdana"/>
          <w:color w:val="161616"/>
          <w:sz w:val="18"/>
          <w:szCs w:val="18"/>
        </w:rPr>
        <w:t xml:space="preserve">komt een medewerker </w:t>
      </w:r>
      <w:proofErr w:type="spellStart"/>
      <w:r w:rsidRPr="00830A92">
        <w:rPr>
          <w:rFonts w:ascii="Verdana" w:hAnsi="Verdana"/>
          <w:color w:val="161616"/>
          <w:sz w:val="18"/>
          <w:szCs w:val="18"/>
        </w:rPr>
        <w:t>Vpb</w:t>
      </w:r>
      <w:proofErr w:type="spellEnd"/>
      <w:r w:rsidRPr="00830A92">
        <w:rPr>
          <w:rFonts w:ascii="Verdana" w:hAnsi="Verdana"/>
          <w:color w:val="161616"/>
          <w:sz w:val="18"/>
          <w:szCs w:val="18"/>
        </w:rPr>
        <w:t xml:space="preserve"> tot de conclusie dat het loon van een </w:t>
      </w:r>
      <w:proofErr w:type="spellStart"/>
      <w:r w:rsidR="00883F71">
        <w:rPr>
          <w:rFonts w:ascii="Verdana" w:hAnsi="Verdana"/>
          <w:color w:val="161616"/>
          <w:sz w:val="18"/>
          <w:szCs w:val="18"/>
        </w:rPr>
        <w:t>dga</w:t>
      </w:r>
      <w:proofErr w:type="spellEnd"/>
      <w:r w:rsidRPr="00830A92">
        <w:rPr>
          <w:rFonts w:ascii="Verdana" w:hAnsi="Verdana"/>
          <w:color w:val="161616"/>
          <w:sz w:val="18"/>
          <w:szCs w:val="18"/>
        </w:rPr>
        <w:t xml:space="preserve"> wel erg laag is ten opzichte van de omzet/winst en laat daarom het loon van deze </w:t>
      </w:r>
      <w:proofErr w:type="spellStart"/>
      <w:r w:rsidRPr="00830A92">
        <w:rPr>
          <w:rFonts w:ascii="Verdana" w:hAnsi="Verdana"/>
          <w:color w:val="161616"/>
          <w:sz w:val="18"/>
          <w:szCs w:val="18"/>
        </w:rPr>
        <w:t>dga</w:t>
      </w:r>
      <w:proofErr w:type="spellEnd"/>
      <w:r w:rsidRPr="00830A92">
        <w:rPr>
          <w:rFonts w:ascii="Verdana" w:hAnsi="Verdana"/>
          <w:color w:val="161616"/>
          <w:sz w:val="18"/>
          <w:szCs w:val="18"/>
        </w:rPr>
        <w:t xml:space="preserve"> beoordelen door een medewerker </w:t>
      </w:r>
      <w:r w:rsidR="00883F71">
        <w:rPr>
          <w:rFonts w:ascii="Verdana" w:hAnsi="Verdana"/>
          <w:color w:val="161616"/>
          <w:sz w:val="18"/>
          <w:szCs w:val="18"/>
        </w:rPr>
        <w:t>Loonheffing (</w:t>
      </w:r>
      <w:r w:rsidRPr="00830A92">
        <w:rPr>
          <w:rFonts w:ascii="Verdana" w:hAnsi="Verdana"/>
          <w:color w:val="161616"/>
          <w:sz w:val="18"/>
          <w:szCs w:val="18"/>
        </w:rPr>
        <w:t>LH</w:t>
      </w:r>
      <w:r w:rsidR="00883F71">
        <w:rPr>
          <w:rFonts w:ascii="Verdana" w:hAnsi="Verdana"/>
          <w:color w:val="161616"/>
          <w:sz w:val="18"/>
          <w:szCs w:val="18"/>
        </w:rPr>
        <w:t>)</w:t>
      </w:r>
      <w:r w:rsidRPr="00830A92">
        <w:rPr>
          <w:rFonts w:ascii="Verdana" w:hAnsi="Verdana"/>
          <w:color w:val="161616"/>
          <w:sz w:val="18"/>
          <w:szCs w:val="18"/>
        </w:rPr>
        <w:t xml:space="preserve">, (ii) bij de beoordeling van de administratie in het kader van een boekenonderzoek valt op dat de </w:t>
      </w:r>
      <w:proofErr w:type="spellStart"/>
      <w:r w:rsidRPr="00830A92">
        <w:rPr>
          <w:rFonts w:ascii="Verdana" w:hAnsi="Verdana"/>
          <w:color w:val="161616"/>
          <w:sz w:val="18"/>
          <w:szCs w:val="18"/>
        </w:rPr>
        <w:t>gebruikelijkloonregeling</w:t>
      </w:r>
      <w:proofErr w:type="spellEnd"/>
      <w:r w:rsidRPr="00830A92">
        <w:rPr>
          <w:rFonts w:ascii="Verdana" w:hAnsi="Verdana"/>
          <w:color w:val="161616"/>
          <w:sz w:val="18"/>
          <w:szCs w:val="18"/>
        </w:rPr>
        <w:t xml:space="preserve"> mogelijk niet goed is toegepast en wordt het loon van de </w:t>
      </w:r>
      <w:proofErr w:type="spellStart"/>
      <w:r w:rsidRPr="00830A92">
        <w:rPr>
          <w:rFonts w:ascii="Verdana" w:hAnsi="Verdana"/>
          <w:color w:val="161616"/>
          <w:sz w:val="18"/>
          <w:szCs w:val="18"/>
        </w:rPr>
        <w:t>dga</w:t>
      </w:r>
      <w:proofErr w:type="spellEnd"/>
      <w:r w:rsidRPr="00830A92">
        <w:rPr>
          <w:rFonts w:ascii="Verdana" w:hAnsi="Verdana"/>
          <w:color w:val="161616"/>
          <w:sz w:val="18"/>
          <w:szCs w:val="18"/>
        </w:rPr>
        <w:t xml:space="preserve"> ter beoordeling </w:t>
      </w:r>
      <w:r w:rsidRPr="00830A92">
        <w:rPr>
          <w:rFonts w:ascii="Verdana" w:hAnsi="Verdana"/>
          <w:color w:val="161616"/>
          <w:sz w:val="18"/>
          <w:szCs w:val="18"/>
        </w:rPr>
        <w:lastRenderedPageBreak/>
        <w:t>voorgelegd aan een medewerker LH. Overigens worden eventuele correcties niet op onderwerpniveau bijgehouden, waardoor de Belastingdienst hierover geen uitspraken kan doen.</w:t>
      </w:r>
    </w:p>
    <w:p w:rsidRPr="00DA47D6" w:rsidR="00DA47D6" w:rsidP="00DA47D6" w:rsidRDefault="00DA47D6" w14:paraId="40D6B89B" w14:textId="77777777">
      <w:pPr>
        <w:adjustRightInd w:val="0"/>
        <w:spacing w:line="271" w:lineRule="auto"/>
        <w:rPr>
          <w:color w:val="161616"/>
        </w:rPr>
      </w:pPr>
    </w:p>
    <w:p w:rsidR="00D65082" w:rsidP="00DA47D6" w:rsidRDefault="00DB27A4" w14:paraId="0874D8D2" w14:textId="77777777">
      <w:pPr>
        <w:adjustRightInd w:val="0"/>
        <w:spacing w:line="271" w:lineRule="auto"/>
        <w:rPr>
          <w:rFonts w:cs="Avenir Next LT Pro"/>
        </w:rPr>
      </w:pPr>
      <w:r>
        <w:rPr>
          <w:rFonts w:cs="Avenir Next LT Pro"/>
        </w:rPr>
        <w:t>In het vervolgonderzoek op de evaluatie is nadrukkelijk stilgestaan bij de huidige handhavingsstrategie en is geconstateerd dat deze,</w:t>
      </w:r>
      <w:r w:rsidRPr="00D925AD">
        <w:rPr>
          <w:rFonts w:cs="Avenir Next LT Pro"/>
        </w:rPr>
        <w:t xml:space="preserve"> vanwege </w:t>
      </w:r>
      <w:r w:rsidR="00AA51C3">
        <w:rPr>
          <w:rFonts w:cs="Avenir Next LT Pro"/>
        </w:rPr>
        <w:t xml:space="preserve">de </w:t>
      </w:r>
      <w:r w:rsidRPr="00D925AD">
        <w:rPr>
          <w:rFonts w:cs="Avenir Next LT Pro"/>
        </w:rPr>
        <w:t xml:space="preserve">wijze waarop het loon van de vergelijkbare dienstbetrekking </w:t>
      </w:r>
      <w:r>
        <w:rPr>
          <w:rFonts w:cs="Avenir Next LT Pro"/>
        </w:rPr>
        <w:t xml:space="preserve">op dit moment </w:t>
      </w:r>
      <w:r w:rsidRPr="00D925AD">
        <w:rPr>
          <w:rFonts w:cs="Avenir Next LT Pro"/>
        </w:rPr>
        <w:t>moet worden vastgesteld</w:t>
      </w:r>
      <w:r>
        <w:rPr>
          <w:rFonts w:cs="Avenir Next LT Pro"/>
        </w:rPr>
        <w:t>,</w:t>
      </w:r>
      <w:r w:rsidRPr="00D925AD">
        <w:rPr>
          <w:rFonts w:cs="Avenir Next LT Pro"/>
        </w:rPr>
        <w:t xml:space="preserve"> </w:t>
      </w:r>
      <w:r>
        <w:rPr>
          <w:rFonts w:cs="Avenir Next LT Pro"/>
        </w:rPr>
        <w:t>niet bij</w:t>
      </w:r>
      <w:r w:rsidRPr="00D925AD">
        <w:rPr>
          <w:rFonts w:cs="Avenir Next LT Pro"/>
        </w:rPr>
        <w:t>draagt</w:t>
      </w:r>
      <w:r>
        <w:rPr>
          <w:rFonts w:cs="Avenir Next LT Pro"/>
        </w:rPr>
        <w:t xml:space="preserve"> </w:t>
      </w:r>
      <w:r w:rsidRPr="00D925AD">
        <w:rPr>
          <w:rFonts w:cs="Avenir Next LT Pro"/>
        </w:rPr>
        <w:t>aan de uitgangspunten</w:t>
      </w:r>
      <w:r>
        <w:rPr>
          <w:rFonts w:cs="Avenir Next LT Pro"/>
        </w:rPr>
        <w:t xml:space="preserve"> van </w:t>
      </w:r>
      <w:r w:rsidR="00D65082">
        <w:rPr>
          <w:rFonts w:cs="Avenir Next LT Pro"/>
        </w:rPr>
        <w:t xml:space="preserve">de </w:t>
      </w:r>
      <w:r>
        <w:rPr>
          <w:rFonts w:cs="Avenir Next LT Pro"/>
        </w:rPr>
        <w:t>handhavingsstrategie: 1) h</w:t>
      </w:r>
      <w:r w:rsidRPr="00D925AD">
        <w:rPr>
          <w:rFonts w:cs="Avenir Next LT Pro"/>
        </w:rPr>
        <w:t>et voor burgers bedrijven en burgers zo gemakkelijk mogelijk maken om hun wettelijke verplichtingen na te komen en hun rechten geldend te maken</w:t>
      </w:r>
      <w:r>
        <w:rPr>
          <w:rFonts w:cs="Avenir Next LT Pro"/>
        </w:rPr>
        <w:t xml:space="preserve"> en 2) </w:t>
      </w:r>
      <w:r w:rsidRPr="00D925AD">
        <w:rPr>
          <w:rFonts w:cs="Avenir Next LT Pro"/>
        </w:rPr>
        <w:t>toezicht door de Belastingdienst</w:t>
      </w:r>
      <w:r w:rsidR="00217478">
        <w:rPr>
          <w:rFonts w:cs="Avenir Next LT Pro"/>
        </w:rPr>
        <w:t xml:space="preserve"> gebaseerd op inzicht in het handhavingsvraagstuk en oorzaken van (niet) naleving van burgers en bedrijven</w:t>
      </w:r>
      <w:r>
        <w:rPr>
          <w:rFonts w:cs="Avenir Next LT Pro"/>
        </w:rPr>
        <w:t xml:space="preserve">. </w:t>
      </w:r>
    </w:p>
    <w:p w:rsidR="007C745B" w:rsidP="00DA47D6" w:rsidRDefault="007C745B" w14:paraId="05AEA0D9" w14:textId="77777777">
      <w:pPr>
        <w:adjustRightInd w:val="0"/>
        <w:spacing w:line="271" w:lineRule="auto"/>
        <w:rPr>
          <w:rFonts w:cs="Avenir Next LT Pro"/>
          <w:i/>
          <w:iCs/>
        </w:rPr>
      </w:pPr>
    </w:p>
    <w:p w:rsidRPr="00724758" w:rsidR="00724758" w:rsidP="00DA47D6" w:rsidRDefault="00724758" w14:paraId="175D4CEC" w14:textId="77777777">
      <w:pPr>
        <w:adjustRightInd w:val="0"/>
        <w:spacing w:line="271" w:lineRule="auto"/>
        <w:rPr>
          <w:rFonts w:cs="Avenir Next LT Pro"/>
          <w:i/>
          <w:iCs/>
        </w:rPr>
      </w:pPr>
      <w:r w:rsidRPr="00724758">
        <w:rPr>
          <w:rFonts w:cs="Avenir Next LT Pro"/>
          <w:i/>
          <w:iCs/>
        </w:rPr>
        <w:t>Dienstverlening</w:t>
      </w:r>
    </w:p>
    <w:p w:rsidR="0012369D" w:rsidP="0012369D" w:rsidRDefault="0012369D" w14:paraId="715CB407" w14:textId="77777777">
      <w:pPr>
        <w:autoSpaceDE w:val="0"/>
        <w:adjustRightInd w:val="0"/>
        <w:spacing w:line="271" w:lineRule="auto"/>
        <w:rPr>
          <w:rFonts w:cs="Avenir Next LT Pro"/>
        </w:rPr>
      </w:pPr>
      <w:r>
        <w:rPr>
          <w:color w:val="161616"/>
        </w:rPr>
        <w:t xml:space="preserve">Het ontbreken van </w:t>
      </w:r>
      <w:r w:rsidRPr="00B02330">
        <w:rPr>
          <w:color w:val="161616"/>
        </w:rPr>
        <w:t xml:space="preserve">goede informatie </w:t>
      </w:r>
      <w:r w:rsidRPr="00C71363">
        <w:rPr>
          <w:rFonts w:cs="Avenir Next LT Pro"/>
        </w:rPr>
        <w:t xml:space="preserve">over het loon van de meest vergelijkbare dienstbetrekking </w:t>
      </w:r>
      <w:r w:rsidRPr="003F0B9C">
        <w:rPr>
          <w:rFonts w:cs="Avenir Next LT Pro"/>
        </w:rPr>
        <w:t xml:space="preserve">bemoeilijkt een nauwkeurige bepaling van het loon voor beide partijen. </w:t>
      </w:r>
      <w:r w:rsidRPr="00D925AD">
        <w:rPr>
          <w:rFonts w:cs="Avenir Next LT Pro"/>
        </w:rPr>
        <w:t xml:space="preserve">Hoewel de wet op zich duidelijk is over hoe het gebruikelijk loon moet worden vastgesteld en dit ook duidelijk staat verwoord in de Handreiking </w:t>
      </w:r>
      <w:proofErr w:type="spellStart"/>
      <w:r w:rsidRPr="00D925AD">
        <w:rPr>
          <w:rFonts w:cs="Avenir Next LT Pro"/>
        </w:rPr>
        <w:t>gebruikelijkloonregeling</w:t>
      </w:r>
      <w:proofErr w:type="spellEnd"/>
      <w:r w:rsidR="009453BD">
        <w:rPr>
          <w:rStyle w:val="Voetnootmarkering"/>
          <w:rFonts w:cs="Avenir Next LT Pro"/>
        </w:rPr>
        <w:footnoteReference w:id="8"/>
      </w:r>
      <w:r>
        <w:rPr>
          <w:rFonts w:cs="Avenir Next LT Pro"/>
        </w:rPr>
        <w:t xml:space="preserve">, is het vaststellen van het gebruikelijk loon </w:t>
      </w:r>
      <w:r w:rsidRPr="00D925AD">
        <w:rPr>
          <w:rFonts w:cs="Avenir Next LT Pro"/>
        </w:rPr>
        <w:t xml:space="preserve">complex door het ontbreken van een eenduidige bron waarop zowel de Belastingdienst als </w:t>
      </w:r>
      <w:r w:rsidR="00C1182A">
        <w:rPr>
          <w:rFonts w:cs="Avenir Next LT Pro"/>
        </w:rPr>
        <w:t xml:space="preserve">de </w:t>
      </w:r>
      <w:r w:rsidRPr="00D925AD">
        <w:rPr>
          <w:rFonts w:cs="Avenir Next LT Pro"/>
        </w:rPr>
        <w:t xml:space="preserve">belastingplichtige </w:t>
      </w:r>
      <w:r>
        <w:rPr>
          <w:rFonts w:cs="Avenir Next LT Pro"/>
        </w:rPr>
        <w:t xml:space="preserve">het </w:t>
      </w:r>
      <w:r w:rsidR="00773AE9">
        <w:t xml:space="preserve">loon uit de meest vergelijkbare dienstbetrekking </w:t>
      </w:r>
      <w:r w:rsidRPr="00D925AD">
        <w:rPr>
          <w:rFonts w:cs="Avenir Next LT Pro"/>
        </w:rPr>
        <w:t>kan baseren</w:t>
      </w:r>
      <w:r>
        <w:rPr>
          <w:rFonts w:cs="Avenir Next LT Pro"/>
        </w:rPr>
        <w:t>. Ieder</w:t>
      </w:r>
      <w:r w:rsidR="00407DA2">
        <w:rPr>
          <w:rFonts w:cs="Avenir Next LT Pro"/>
        </w:rPr>
        <w:t>een</w:t>
      </w:r>
      <w:r w:rsidRPr="00D925AD">
        <w:rPr>
          <w:rFonts w:cs="Avenir Next LT Pro"/>
        </w:rPr>
        <w:t xml:space="preserve"> maakt </w:t>
      </w:r>
      <w:r>
        <w:rPr>
          <w:rFonts w:cs="Avenir Next LT Pro"/>
        </w:rPr>
        <w:t>op dit moment</w:t>
      </w:r>
      <w:r w:rsidRPr="00D925AD">
        <w:rPr>
          <w:rFonts w:cs="Avenir Next LT Pro"/>
        </w:rPr>
        <w:t xml:space="preserve"> </w:t>
      </w:r>
      <w:r>
        <w:rPr>
          <w:rFonts w:cs="Avenir Next LT Pro"/>
        </w:rPr>
        <w:t>op zijn eigen manier</w:t>
      </w:r>
      <w:r w:rsidRPr="00D925AD">
        <w:rPr>
          <w:rFonts w:cs="Avenir Next LT Pro"/>
        </w:rPr>
        <w:t xml:space="preserve"> </w:t>
      </w:r>
      <w:r>
        <w:rPr>
          <w:rFonts w:cs="Avenir Next LT Pro"/>
        </w:rPr>
        <w:t>een</w:t>
      </w:r>
      <w:r w:rsidRPr="00D925AD">
        <w:rPr>
          <w:rFonts w:cs="Avenir Next LT Pro"/>
        </w:rPr>
        <w:t xml:space="preserve"> vergelijking al dan niet op basis van </w:t>
      </w:r>
      <w:r>
        <w:rPr>
          <w:rFonts w:cs="Avenir Next LT Pro"/>
        </w:rPr>
        <w:t>vergelijkings</w:t>
      </w:r>
      <w:r w:rsidRPr="00D925AD">
        <w:rPr>
          <w:rFonts w:cs="Avenir Next LT Pro"/>
        </w:rPr>
        <w:t xml:space="preserve">tools die door de markt zijn ontwikkeld. </w:t>
      </w:r>
      <w:r w:rsidRPr="003F0B9C">
        <w:rPr>
          <w:rFonts w:cs="Avenir Next LT Pro"/>
        </w:rPr>
        <w:t xml:space="preserve">Dit heeft twee gevolgen: </w:t>
      </w:r>
      <w:r>
        <w:rPr>
          <w:rFonts w:cs="Avenir Next LT Pro"/>
        </w:rPr>
        <w:t xml:space="preserve">inhoudingsplichtigen, </w:t>
      </w:r>
      <w:proofErr w:type="spellStart"/>
      <w:r>
        <w:rPr>
          <w:rFonts w:cs="Avenir Next LT Pro"/>
        </w:rPr>
        <w:t>dga’s</w:t>
      </w:r>
      <w:proofErr w:type="spellEnd"/>
      <w:r>
        <w:rPr>
          <w:rFonts w:cs="Avenir Next LT Pro"/>
        </w:rPr>
        <w:t xml:space="preserve"> </w:t>
      </w:r>
      <w:r w:rsidRPr="003F0B9C">
        <w:rPr>
          <w:rFonts w:cs="Avenir Next LT Pro"/>
        </w:rPr>
        <w:t>en hun adviseurs hanteren vaak een ruime interpretatie van het gebruikelijk loon en de Belastingdienst beschikt over te weinig informatie om te controleren of het gebruikelijk loon juist is vastgesteld.</w:t>
      </w:r>
      <w:r>
        <w:rPr>
          <w:rFonts w:cs="Avenir Next LT Pro"/>
        </w:rPr>
        <w:t xml:space="preserve"> </w:t>
      </w:r>
    </w:p>
    <w:p w:rsidR="0012369D" w:rsidP="00DA47D6" w:rsidRDefault="0012369D" w14:paraId="0C735686" w14:textId="77777777">
      <w:pPr>
        <w:adjustRightInd w:val="0"/>
        <w:spacing w:line="271" w:lineRule="auto"/>
        <w:rPr>
          <w:rFonts w:cs="Avenir Next LT Pro"/>
        </w:rPr>
      </w:pPr>
    </w:p>
    <w:p w:rsidR="00DB27A4" w:rsidP="00971010" w:rsidRDefault="00DB27A4" w14:paraId="3FCB0E66" w14:textId="77777777">
      <w:pPr>
        <w:autoSpaceDE w:val="0"/>
        <w:adjustRightInd w:val="0"/>
        <w:spacing w:line="271" w:lineRule="auto"/>
        <w:rPr>
          <w:color w:val="161616"/>
        </w:rPr>
      </w:pPr>
      <w:r w:rsidRPr="00D925AD">
        <w:rPr>
          <w:rFonts w:cs="Avenir Next LT Pro"/>
        </w:rPr>
        <w:t xml:space="preserve">De </w:t>
      </w:r>
      <w:r w:rsidRPr="00724758">
        <w:rPr>
          <w:rFonts w:cs="Avenir Next LT Pro"/>
        </w:rPr>
        <w:t>dienstverlening</w:t>
      </w:r>
      <w:r w:rsidRPr="00D925AD">
        <w:rPr>
          <w:rFonts w:cs="Avenir Next LT Pro"/>
        </w:rPr>
        <w:t xml:space="preserve"> van de Belastingdienst kan </w:t>
      </w:r>
      <w:r>
        <w:rPr>
          <w:rFonts w:cs="Avenir Next LT Pro"/>
        </w:rPr>
        <w:t xml:space="preserve">dus </w:t>
      </w:r>
      <w:r w:rsidRPr="00D925AD">
        <w:rPr>
          <w:rFonts w:cs="Avenir Next LT Pro"/>
        </w:rPr>
        <w:t>mogelijk worden verbeterd</w:t>
      </w:r>
      <w:r w:rsidR="00126012">
        <w:rPr>
          <w:rFonts w:cs="Avenir Next LT Pro"/>
        </w:rPr>
        <w:t>,</w:t>
      </w:r>
      <w:r w:rsidRPr="00D925AD">
        <w:rPr>
          <w:rFonts w:cs="Avenir Next LT Pro"/>
        </w:rPr>
        <w:t xml:space="preserve"> zoals ook werd aangegeven door betrokkenen die </w:t>
      </w:r>
      <w:r>
        <w:rPr>
          <w:rFonts w:cs="Avenir Next LT Pro"/>
        </w:rPr>
        <w:t xml:space="preserve">door SEO </w:t>
      </w:r>
      <w:r w:rsidRPr="00D925AD">
        <w:rPr>
          <w:rFonts w:cs="Avenir Next LT Pro"/>
        </w:rPr>
        <w:t>zijn geïnterviewd tijdens de evaluatie.</w:t>
      </w:r>
      <w:r>
        <w:rPr>
          <w:rFonts w:cs="Avenir Next LT Pro"/>
        </w:rPr>
        <w:t xml:space="preserve"> Het mes snijdt daarmee aan twee kanten. D</w:t>
      </w:r>
      <w:r>
        <w:rPr>
          <w:color w:val="161616"/>
        </w:rPr>
        <w:t xml:space="preserve">oor </w:t>
      </w:r>
      <w:proofErr w:type="gramStart"/>
      <w:r w:rsidR="007C745B">
        <w:rPr>
          <w:color w:val="161616"/>
        </w:rPr>
        <w:t xml:space="preserve">betrouwbare </w:t>
      </w:r>
      <w:r>
        <w:rPr>
          <w:color w:val="161616"/>
        </w:rPr>
        <w:t xml:space="preserve"> informatie</w:t>
      </w:r>
      <w:proofErr w:type="gramEnd"/>
      <w:r>
        <w:rPr>
          <w:color w:val="161616"/>
        </w:rPr>
        <w:t xml:space="preserve"> </w:t>
      </w:r>
      <w:r w:rsidR="007C745B">
        <w:rPr>
          <w:color w:val="161616"/>
        </w:rPr>
        <w:t xml:space="preserve">volgens een uniform en gedetailleerd format </w:t>
      </w:r>
      <w:r>
        <w:rPr>
          <w:color w:val="161616"/>
        </w:rPr>
        <w:t xml:space="preserve">beschikbaar te stellen over de vaststelling van het loon uit een vergelijkbare dienstbetrekking wordt de Belastingdienst </w:t>
      </w:r>
      <w:r w:rsidR="00027031">
        <w:rPr>
          <w:color w:val="161616"/>
        </w:rPr>
        <w:t xml:space="preserve">ook </w:t>
      </w:r>
      <w:r>
        <w:rPr>
          <w:color w:val="161616"/>
        </w:rPr>
        <w:t>beter in staat gesteld te voldoen aan de bewijslast om het gebruikelijk</w:t>
      </w:r>
      <w:r w:rsidR="00246800">
        <w:rPr>
          <w:color w:val="161616"/>
        </w:rPr>
        <w:t xml:space="preserve"> </w:t>
      </w:r>
      <w:r>
        <w:rPr>
          <w:color w:val="161616"/>
        </w:rPr>
        <w:t xml:space="preserve">loon op basis van dit criterium te corrigeren. Hierdoor wordt het voor de Belastingdienst eenvoudiger om een correctie op te leggen als de inhoudingsplichtige het gebruikelijk loon onjuist vaststelt. </w:t>
      </w:r>
      <w:r w:rsidR="00D7323D">
        <w:rPr>
          <w:color w:val="161616"/>
        </w:rPr>
        <w:t>Dit verbeter</w:t>
      </w:r>
      <w:r w:rsidR="00136ABF">
        <w:rPr>
          <w:color w:val="161616"/>
        </w:rPr>
        <w:t>t</w:t>
      </w:r>
      <w:r w:rsidR="00D7323D">
        <w:rPr>
          <w:color w:val="161616"/>
        </w:rPr>
        <w:t xml:space="preserve"> het toezicht. </w:t>
      </w:r>
      <w:r>
        <w:rPr>
          <w:color w:val="161616"/>
        </w:rPr>
        <w:t>De verwachting is dat dit ook direct doorwerkt in de gepercipieerde pakkans van de inhoudingsplichtige</w:t>
      </w:r>
      <w:r w:rsidR="00D7323D">
        <w:rPr>
          <w:color w:val="161616"/>
        </w:rPr>
        <w:t>. Dit kan ook het nalevingsgedrag verbeteren</w:t>
      </w:r>
      <w:r>
        <w:rPr>
          <w:color w:val="161616"/>
        </w:rPr>
        <w:t>.</w:t>
      </w:r>
      <w:r w:rsidR="00D7323D">
        <w:rPr>
          <w:color w:val="161616"/>
        </w:rPr>
        <w:t xml:space="preserve"> </w:t>
      </w:r>
      <w:r w:rsidR="00F92ABF">
        <w:rPr>
          <w:color w:val="161616"/>
        </w:rPr>
        <w:t>In</w:t>
      </w:r>
      <w:r w:rsidR="00D7323D">
        <w:rPr>
          <w:color w:val="161616"/>
        </w:rPr>
        <w:t xml:space="preserve"> </w:t>
      </w:r>
      <w:r w:rsidR="00F92ABF">
        <w:rPr>
          <w:color w:val="161616"/>
        </w:rPr>
        <w:t xml:space="preserve">hoofdstuk </w:t>
      </w:r>
      <w:r w:rsidR="00D7323D">
        <w:rPr>
          <w:color w:val="161616"/>
        </w:rPr>
        <w:t xml:space="preserve">4 wordt </w:t>
      </w:r>
      <w:r w:rsidR="0012369D">
        <w:rPr>
          <w:color w:val="161616"/>
        </w:rPr>
        <w:t>concreter ingegaan</w:t>
      </w:r>
      <w:r w:rsidR="00D7323D">
        <w:rPr>
          <w:color w:val="161616"/>
        </w:rPr>
        <w:t xml:space="preserve"> op de uniforme waarderingsmethode op basis van een vergelijkstool</w:t>
      </w:r>
      <w:r w:rsidR="00027031">
        <w:rPr>
          <w:color w:val="161616"/>
        </w:rPr>
        <w:t>.</w:t>
      </w:r>
    </w:p>
    <w:p w:rsidR="00DB27A4" w:rsidP="00DA47D6" w:rsidRDefault="00DB27A4" w14:paraId="6BF42FFA" w14:textId="77777777">
      <w:pPr>
        <w:adjustRightInd w:val="0"/>
        <w:spacing w:line="271" w:lineRule="auto"/>
        <w:rPr>
          <w:color w:val="161616"/>
        </w:rPr>
      </w:pPr>
    </w:p>
    <w:p w:rsidRPr="00724758" w:rsidR="00724758" w:rsidP="00F83BCD" w:rsidRDefault="00217478" w14:paraId="11E16A42" w14:textId="77777777">
      <w:pPr>
        <w:autoSpaceDE w:val="0"/>
        <w:adjustRightInd w:val="0"/>
        <w:spacing w:line="271" w:lineRule="auto"/>
        <w:rPr>
          <w:i/>
          <w:iCs/>
          <w:color w:val="161616"/>
        </w:rPr>
      </w:pPr>
      <w:r>
        <w:rPr>
          <w:i/>
          <w:iCs/>
          <w:color w:val="161616"/>
        </w:rPr>
        <w:t>T</w:t>
      </w:r>
      <w:r w:rsidRPr="00724758" w:rsidR="00724758">
        <w:rPr>
          <w:i/>
          <w:iCs/>
          <w:color w:val="161616"/>
        </w:rPr>
        <w:t>oezicht</w:t>
      </w:r>
      <w:r w:rsidRPr="00724758" w:rsidR="0012369D">
        <w:rPr>
          <w:i/>
          <w:iCs/>
          <w:color w:val="161616"/>
        </w:rPr>
        <w:t xml:space="preserve"> </w:t>
      </w:r>
    </w:p>
    <w:p w:rsidRPr="00217478" w:rsidR="00217478" w:rsidP="00217478" w:rsidRDefault="00217478" w14:paraId="0FB610C4" w14:textId="77777777">
      <w:pPr>
        <w:autoSpaceDE w:val="0"/>
        <w:adjustRightInd w:val="0"/>
        <w:spacing w:line="271" w:lineRule="auto"/>
        <w:rPr>
          <w:color w:val="161616"/>
        </w:rPr>
      </w:pPr>
      <w:r w:rsidRPr="00217478">
        <w:rPr>
          <w:color w:val="161616"/>
        </w:rPr>
        <w:t>T</w:t>
      </w:r>
      <w:r w:rsidRPr="00217478" w:rsidR="00DB27A4">
        <w:rPr>
          <w:color w:val="161616"/>
        </w:rPr>
        <w:t>oezicht</w:t>
      </w:r>
      <w:r w:rsidR="00DB27A4">
        <w:rPr>
          <w:color w:val="161616"/>
        </w:rPr>
        <w:t xml:space="preserve"> </w:t>
      </w:r>
      <w:r w:rsidR="00D7323D">
        <w:rPr>
          <w:color w:val="161616"/>
        </w:rPr>
        <w:t xml:space="preserve">draagt </w:t>
      </w:r>
      <w:r w:rsidR="00DB27A4">
        <w:rPr>
          <w:color w:val="161616"/>
        </w:rPr>
        <w:t>bij aan het doel dat de inhoudingsplichtige zoveel mogelijk uit zichtzelf ervoor zal kiezen het gebruikelijk loon juist vast te stellen.</w:t>
      </w:r>
      <w:r w:rsidR="00D65082">
        <w:rPr>
          <w:color w:val="161616"/>
        </w:rPr>
        <w:t xml:space="preserve"> Naast het eenvoudiger maken van de vaststell</w:t>
      </w:r>
      <w:r w:rsidR="00C1182A">
        <w:rPr>
          <w:color w:val="161616"/>
        </w:rPr>
        <w:t>ing</w:t>
      </w:r>
      <w:r w:rsidR="00D65082">
        <w:rPr>
          <w:color w:val="161616"/>
        </w:rPr>
        <w:t xml:space="preserve"> van het loon </w:t>
      </w:r>
      <w:r w:rsidR="00773AE9">
        <w:rPr>
          <w:color w:val="161616"/>
        </w:rPr>
        <w:t xml:space="preserve">uit </w:t>
      </w:r>
      <w:r w:rsidR="00D65082">
        <w:rPr>
          <w:color w:val="161616"/>
        </w:rPr>
        <w:t xml:space="preserve">de meest vergelijke dienstbetrekking is </w:t>
      </w:r>
      <w:r w:rsidR="00F83BCD">
        <w:rPr>
          <w:color w:val="161616"/>
        </w:rPr>
        <w:t>be</w:t>
      </w:r>
      <w:r w:rsidR="00D65082">
        <w:rPr>
          <w:color w:val="161616"/>
        </w:rPr>
        <w:t>keken of specifieke selectieregels</w:t>
      </w:r>
      <w:r w:rsidRPr="00B21079" w:rsidR="00B21079">
        <w:rPr>
          <w:rFonts w:ascii="Arial" w:hAnsi="Arial" w:cs="Arial"/>
          <w:sz w:val="27"/>
          <w:szCs w:val="27"/>
          <w:shd w:val="clear" w:color="auto" w:fill="FFFFFF"/>
        </w:rPr>
        <w:t xml:space="preserve"> </w:t>
      </w:r>
      <w:r w:rsidRPr="00B21079" w:rsidR="00B21079">
        <w:rPr>
          <w:color w:val="161616"/>
        </w:rPr>
        <w:t>waarmee een onzekerheid of een mogelijk nalevingsrisico wordt gedetecteerd</w:t>
      </w:r>
      <w:r w:rsidR="00B21079">
        <w:rPr>
          <w:rStyle w:val="Voetnootmarkering"/>
          <w:color w:val="161616"/>
        </w:rPr>
        <w:footnoteReference w:id="9"/>
      </w:r>
      <w:r w:rsidR="00B21079">
        <w:rPr>
          <w:color w:val="161616"/>
        </w:rPr>
        <w:t xml:space="preserve"> dan wel</w:t>
      </w:r>
      <w:r w:rsidR="00D65082">
        <w:rPr>
          <w:color w:val="161616"/>
        </w:rPr>
        <w:t xml:space="preserve"> aanvullende </w:t>
      </w:r>
      <w:r w:rsidR="00D65082">
        <w:rPr>
          <w:color w:val="161616"/>
        </w:rPr>
        <w:lastRenderedPageBreak/>
        <w:t xml:space="preserve">controles </w:t>
      </w:r>
      <w:r w:rsidR="00F83BCD">
        <w:rPr>
          <w:color w:val="161616"/>
        </w:rPr>
        <w:t xml:space="preserve">door de Belastingdienst </w:t>
      </w:r>
      <w:r w:rsidR="00D65082">
        <w:rPr>
          <w:color w:val="161616"/>
        </w:rPr>
        <w:t xml:space="preserve">van toegevoegde waarde kunnen zijn. </w:t>
      </w:r>
      <w:r w:rsidR="00EE4E22">
        <w:rPr>
          <w:color w:val="161616"/>
        </w:rPr>
        <w:t>Bijvoorbeeld e</w:t>
      </w:r>
      <w:r w:rsidR="00D65082">
        <w:rPr>
          <w:color w:val="161616"/>
        </w:rPr>
        <w:t xml:space="preserve">en selectieregel op basis van het normbedrag </w:t>
      </w:r>
      <w:r w:rsidR="00F83BCD">
        <w:rPr>
          <w:color w:val="161616"/>
        </w:rPr>
        <w:t>(€ 5</w:t>
      </w:r>
      <w:r w:rsidR="00875E2A">
        <w:rPr>
          <w:color w:val="161616"/>
        </w:rPr>
        <w:t>8</w:t>
      </w:r>
      <w:r w:rsidR="00F83BCD">
        <w:rPr>
          <w:color w:val="161616"/>
        </w:rPr>
        <w:t xml:space="preserve">.000 in 2026) </w:t>
      </w:r>
      <w:r w:rsidR="00D65082">
        <w:rPr>
          <w:color w:val="161616"/>
        </w:rPr>
        <w:t xml:space="preserve">ligt niet voor de hand omdat het gebruikelijk loon </w:t>
      </w:r>
      <w:r w:rsidR="00B21079">
        <w:rPr>
          <w:color w:val="161616"/>
        </w:rPr>
        <w:t xml:space="preserve">ook </w:t>
      </w:r>
      <w:r w:rsidR="00D65082">
        <w:rPr>
          <w:color w:val="161616"/>
        </w:rPr>
        <w:t xml:space="preserve">lager </w:t>
      </w:r>
      <w:r w:rsidR="00EE4E22">
        <w:rPr>
          <w:color w:val="161616"/>
        </w:rPr>
        <w:t xml:space="preserve">dan het normbedrag </w:t>
      </w:r>
      <w:r w:rsidR="00B21079">
        <w:rPr>
          <w:color w:val="161616"/>
        </w:rPr>
        <w:t xml:space="preserve">kan liggen vanwege </w:t>
      </w:r>
      <w:r w:rsidR="00EE4E22">
        <w:rPr>
          <w:color w:val="161616"/>
        </w:rPr>
        <w:t>deeltijd</w:t>
      </w:r>
      <w:r w:rsidR="00B21079">
        <w:rPr>
          <w:color w:val="161616"/>
        </w:rPr>
        <w:t>werk</w:t>
      </w:r>
      <w:r w:rsidR="00D65082">
        <w:rPr>
          <w:color w:val="161616"/>
        </w:rPr>
        <w:t xml:space="preserve"> en </w:t>
      </w:r>
      <w:r w:rsidR="00B21079">
        <w:rPr>
          <w:color w:val="161616"/>
        </w:rPr>
        <w:t xml:space="preserve">in geval van </w:t>
      </w:r>
      <w:r w:rsidR="00D65082">
        <w:rPr>
          <w:color w:val="161616"/>
        </w:rPr>
        <w:t>starters</w:t>
      </w:r>
      <w:r w:rsidR="00B21079">
        <w:rPr>
          <w:color w:val="161616"/>
        </w:rPr>
        <w:t>. Dit komt zeer regelmatig voor</w:t>
      </w:r>
      <w:r w:rsidR="00BC4161">
        <w:rPr>
          <w:color w:val="161616"/>
        </w:rPr>
        <w:t>,</w:t>
      </w:r>
      <w:r w:rsidR="00B21079">
        <w:rPr>
          <w:color w:val="161616"/>
        </w:rPr>
        <w:t xml:space="preserve"> waardoor een selectieregel op het normbedrag niet specifiek genoeg is.</w:t>
      </w:r>
      <w:r w:rsidR="00D65082">
        <w:rPr>
          <w:color w:val="161616"/>
        </w:rPr>
        <w:t xml:space="preserve"> </w:t>
      </w:r>
      <w:r w:rsidR="00B21079">
        <w:rPr>
          <w:color w:val="161616"/>
        </w:rPr>
        <w:t>Het levert een veel te grote uitworp</w:t>
      </w:r>
      <w:r w:rsidR="00EE4E22">
        <w:rPr>
          <w:color w:val="161616"/>
        </w:rPr>
        <w:t xml:space="preserve"> op voor handmatige behandeling</w:t>
      </w:r>
      <w:r w:rsidR="00B21079">
        <w:rPr>
          <w:color w:val="161616"/>
        </w:rPr>
        <w:t>. Omdat de hoogte van het gebruikelijk loon afhankelijk is van meerdere factoren, zijn er ook geen a</w:t>
      </w:r>
      <w:r w:rsidR="00D65082">
        <w:rPr>
          <w:color w:val="161616"/>
        </w:rPr>
        <w:t xml:space="preserve">ndere selectiecriteria </w:t>
      </w:r>
      <w:r w:rsidR="003026E1">
        <w:rPr>
          <w:color w:val="161616"/>
        </w:rPr>
        <w:t xml:space="preserve">die specifiek genoeg zijn </w:t>
      </w:r>
      <w:r w:rsidR="00B21079">
        <w:rPr>
          <w:color w:val="161616"/>
        </w:rPr>
        <w:t>voor een geautomatiseerde uitworp</w:t>
      </w:r>
      <w:r w:rsidR="00D65082">
        <w:rPr>
          <w:color w:val="161616"/>
        </w:rPr>
        <w:t>.</w:t>
      </w:r>
      <w:r w:rsidRPr="00F83BCD" w:rsidR="00F83BCD">
        <w:rPr>
          <w:color w:val="161616"/>
        </w:rPr>
        <w:t xml:space="preserve"> </w:t>
      </w:r>
      <w:r w:rsidR="003026E1">
        <w:rPr>
          <w:color w:val="161616"/>
        </w:rPr>
        <w:t>Er is eerst m</w:t>
      </w:r>
      <w:r w:rsidR="00F83BCD">
        <w:rPr>
          <w:color w:val="161616"/>
        </w:rPr>
        <w:t xml:space="preserve">eer inzicht nodig om vast te stellen in welke situaties </w:t>
      </w:r>
      <w:r w:rsidR="003026E1">
        <w:rPr>
          <w:color w:val="161616"/>
        </w:rPr>
        <w:t xml:space="preserve">(en dus welke combinaties van factoren) </w:t>
      </w:r>
      <w:r w:rsidR="00F83BCD">
        <w:rPr>
          <w:color w:val="161616"/>
        </w:rPr>
        <w:t xml:space="preserve">een gebruikelijk loon niet juist wordt vastgesteld. Daarvoor biedt het evaluatierapport </w:t>
      </w:r>
      <w:r w:rsidR="003026E1">
        <w:rPr>
          <w:color w:val="161616"/>
        </w:rPr>
        <w:t xml:space="preserve">nog </w:t>
      </w:r>
      <w:r w:rsidR="00F83BCD">
        <w:rPr>
          <w:color w:val="161616"/>
        </w:rPr>
        <w:t xml:space="preserve">te weinig aanknopingspunten. </w:t>
      </w:r>
      <w:r w:rsidRPr="00217478">
        <w:rPr>
          <w:color w:val="161616"/>
        </w:rPr>
        <w:t xml:space="preserve">Hierna wordt in hoofdstuk 5 daarom voorgesteld om een </w:t>
      </w:r>
    </w:p>
    <w:p w:rsidR="00F83BCD" w:rsidP="00217478" w:rsidRDefault="00217478" w14:paraId="56ADD7D0" w14:textId="77777777">
      <w:pPr>
        <w:autoSpaceDE w:val="0"/>
        <w:adjustRightInd w:val="0"/>
        <w:spacing w:line="271" w:lineRule="auto"/>
        <w:rPr>
          <w:color w:val="161616"/>
        </w:rPr>
      </w:pPr>
      <w:proofErr w:type="gramStart"/>
      <w:r w:rsidRPr="00217478">
        <w:rPr>
          <w:color w:val="161616"/>
        </w:rPr>
        <w:t>analyse</w:t>
      </w:r>
      <w:proofErr w:type="gramEnd"/>
      <w:r w:rsidRPr="00217478">
        <w:rPr>
          <w:color w:val="161616"/>
        </w:rPr>
        <w:t xml:space="preserve"> van de beschikbare data uit te voeren, gericht op het verkrijgen van inzicht in de mate waarin de </w:t>
      </w:r>
      <w:proofErr w:type="spellStart"/>
      <w:r w:rsidRPr="00217478">
        <w:rPr>
          <w:color w:val="161616"/>
        </w:rPr>
        <w:t>gebruikelijkloonregeling</w:t>
      </w:r>
      <w:proofErr w:type="spellEnd"/>
      <w:r w:rsidRPr="00217478">
        <w:rPr>
          <w:color w:val="161616"/>
        </w:rPr>
        <w:t xml:space="preserve"> correct wordt toegepast.</w:t>
      </w:r>
    </w:p>
    <w:p w:rsidR="00B24947" w:rsidP="00DA47D6" w:rsidRDefault="00B24947" w14:paraId="663D31A2" w14:textId="77777777">
      <w:pPr>
        <w:adjustRightInd w:val="0"/>
        <w:spacing w:line="271" w:lineRule="auto"/>
        <w:rPr>
          <w:color w:val="161616"/>
        </w:rPr>
      </w:pPr>
    </w:p>
    <w:p w:rsidRPr="00246800" w:rsidR="00A51054" w:rsidP="002C53A7" w:rsidRDefault="00A51054" w14:paraId="54A60358" w14:textId="77777777">
      <w:pPr>
        <w:pStyle w:val="Lijstalinea"/>
        <w:numPr>
          <w:ilvl w:val="0"/>
          <w:numId w:val="17"/>
        </w:numPr>
        <w:adjustRightInd w:val="0"/>
        <w:spacing w:after="0" w:line="271" w:lineRule="auto"/>
        <w:ind w:left="357" w:hanging="357"/>
        <w:rPr>
          <w:rFonts w:ascii="Verdana" w:hAnsi="Verdana"/>
          <w:b/>
          <w:bCs/>
          <w:color w:val="161616"/>
          <w:sz w:val="18"/>
          <w:szCs w:val="18"/>
        </w:rPr>
      </w:pPr>
      <w:r w:rsidRPr="00246800">
        <w:rPr>
          <w:rFonts w:ascii="Verdana" w:hAnsi="Verdana"/>
          <w:b/>
          <w:bCs/>
          <w:color w:val="161616"/>
          <w:sz w:val="18"/>
          <w:szCs w:val="18"/>
        </w:rPr>
        <w:t xml:space="preserve">Beleidsoptie: </w:t>
      </w:r>
      <w:r w:rsidRPr="00246800" w:rsidR="00213D94">
        <w:rPr>
          <w:rFonts w:ascii="Verdana" w:hAnsi="Verdana"/>
          <w:b/>
          <w:bCs/>
          <w:color w:val="161616"/>
          <w:sz w:val="18"/>
          <w:szCs w:val="18"/>
        </w:rPr>
        <w:t xml:space="preserve">een </w:t>
      </w:r>
      <w:r w:rsidR="008F3BEB">
        <w:rPr>
          <w:rFonts w:ascii="Verdana" w:hAnsi="Verdana"/>
          <w:b/>
          <w:bCs/>
          <w:color w:val="161616"/>
          <w:sz w:val="18"/>
          <w:szCs w:val="18"/>
        </w:rPr>
        <w:t>uniforme</w:t>
      </w:r>
      <w:r w:rsidRPr="00246800" w:rsidR="00213D94">
        <w:rPr>
          <w:rFonts w:ascii="Verdana" w:hAnsi="Verdana"/>
          <w:b/>
          <w:bCs/>
          <w:color w:val="161616"/>
          <w:sz w:val="18"/>
          <w:szCs w:val="18"/>
        </w:rPr>
        <w:t xml:space="preserve"> waarderings</w:t>
      </w:r>
      <w:r w:rsidR="008F3BEB">
        <w:rPr>
          <w:rFonts w:ascii="Verdana" w:hAnsi="Verdana"/>
          <w:b/>
          <w:bCs/>
          <w:color w:val="161616"/>
          <w:sz w:val="18"/>
          <w:szCs w:val="18"/>
        </w:rPr>
        <w:t>methode</w:t>
      </w:r>
    </w:p>
    <w:p w:rsidRPr="0040158D" w:rsidR="00DB27A4" w:rsidP="0040158D" w:rsidRDefault="00DB27A4" w14:paraId="7FDB2B98" w14:textId="77777777">
      <w:pPr>
        <w:autoSpaceDE w:val="0"/>
        <w:adjustRightInd w:val="0"/>
        <w:spacing w:line="271" w:lineRule="auto"/>
        <w:rPr>
          <w:rFonts w:cs="Avenir Next LT Pro"/>
        </w:rPr>
      </w:pPr>
      <w:r w:rsidRPr="00F14196">
        <w:rPr>
          <w:color w:val="161616"/>
        </w:rPr>
        <w:t xml:space="preserve">Op grond van het voorgaande verdient het </w:t>
      </w:r>
      <w:r w:rsidR="00C1182A">
        <w:rPr>
          <w:color w:val="161616"/>
        </w:rPr>
        <w:t xml:space="preserve">de </w:t>
      </w:r>
      <w:r w:rsidRPr="00F14196">
        <w:rPr>
          <w:color w:val="161616"/>
        </w:rPr>
        <w:t xml:space="preserve">aanbeveling </w:t>
      </w:r>
      <w:r>
        <w:rPr>
          <w:color w:val="161616"/>
        </w:rPr>
        <w:t xml:space="preserve">om </w:t>
      </w:r>
      <w:r w:rsidR="00F83BCD">
        <w:rPr>
          <w:color w:val="161616"/>
        </w:rPr>
        <w:t>een haalbaarheids</w:t>
      </w:r>
      <w:r w:rsidRPr="00F14196">
        <w:rPr>
          <w:color w:val="161616"/>
        </w:rPr>
        <w:t xml:space="preserve">onderzoek </w:t>
      </w:r>
      <w:r w:rsidR="00F83BCD">
        <w:rPr>
          <w:color w:val="161616"/>
        </w:rPr>
        <w:t>uit te voeren</w:t>
      </w:r>
      <w:r w:rsidRPr="00F14196">
        <w:rPr>
          <w:color w:val="161616"/>
        </w:rPr>
        <w:t xml:space="preserve"> naar </w:t>
      </w:r>
      <w:r>
        <w:rPr>
          <w:color w:val="161616"/>
        </w:rPr>
        <w:t xml:space="preserve">het ontwikkelen van </w:t>
      </w:r>
      <w:r w:rsidRPr="00F14196">
        <w:rPr>
          <w:color w:val="161616"/>
        </w:rPr>
        <w:t xml:space="preserve">een </w:t>
      </w:r>
      <w:r w:rsidR="008F3BEB">
        <w:rPr>
          <w:color w:val="161616"/>
        </w:rPr>
        <w:t xml:space="preserve">uniforme </w:t>
      </w:r>
      <w:r w:rsidRPr="00F14196">
        <w:rPr>
          <w:color w:val="161616"/>
        </w:rPr>
        <w:t>waarderingsmethode voor het gebruikelijk</w:t>
      </w:r>
      <w:r w:rsidR="003026E1">
        <w:rPr>
          <w:color w:val="161616"/>
        </w:rPr>
        <w:t xml:space="preserve"> </w:t>
      </w:r>
      <w:r w:rsidRPr="00F14196">
        <w:rPr>
          <w:color w:val="161616"/>
        </w:rPr>
        <w:t>loon</w:t>
      </w:r>
      <w:r>
        <w:rPr>
          <w:color w:val="161616"/>
        </w:rPr>
        <w:t xml:space="preserve"> zoals SEO </w:t>
      </w:r>
      <w:r w:rsidR="00F83BCD">
        <w:rPr>
          <w:color w:val="161616"/>
        </w:rPr>
        <w:t xml:space="preserve">in de evaluatie ook </w:t>
      </w:r>
      <w:r>
        <w:rPr>
          <w:color w:val="161616"/>
        </w:rPr>
        <w:t xml:space="preserve">heeft voorgesteld. </w:t>
      </w:r>
      <w:r w:rsidRPr="00D925AD">
        <w:t xml:space="preserve">In de </w:t>
      </w:r>
      <w:r w:rsidR="00F1190E">
        <w:t>H</w:t>
      </w:r>
      <w:r w:rsidRPr="00D925AD">
        <w:t xml:space="preserve">andreiking </w:t>
      </w:r>
      <w:proofErr w:type="spellStart"/>
      <w:r w:rsidRPr="00D925AD">
        <w:t>gebruikelijkloonregeling</w:t>
      </w:r>
      <w:proofErr w:type="spellEnd"/>
      <w:r w:rsidRPr="00D925AD">
        <w:t xml:space="preserve"> zijn de uitgangspunten voor het vaststellen van </w:t>
      </w:r>
      <w:r w:rsidR="00D7323D">
        <w:rPr>
          <w:rFonts w:cs="Avenir Next LT Pro"/>
        </w:rPr>
        <w:t xml:space="preserve">het </w:t>
      </w:r>
      <w:r w:rsidR="00D7323D">
        <w:t xml:space="preserve">loon uit de meest vergelijkbare dienstbetrekking </w:t>
      </w:r>
      <w:r w:rsidRPr="00D925AD">
        <w:t>beschreven</w:t>
      </w:r>
      <w:r w:rsidR="008F3BEB">
        <w:t>.</w:t>
      </w:r>
      <w:r w:rsidR="008F3BEB">
        <w:rPr>
          <w:rStyle w:val="Voetnootmarkering"/>
        </w:rPr>
        <w:footnoteReference w:id="10"/>
      </w:r>
      <w:r w:rsidR="008F3BEB">
        <w:rPr>
          <w:vertAlign w:val="superscript"/>
        </w:rPr>
        <w:t>,</w:t>
      </w:r>
      <w:r w:rsidR="008F3BEB">
        <w:rPr>
          <w:rStyle w:val="Voetnootmarkering"/>
        </w:rPr>
        <w:footnoteReference w:id="11"/>
      </w:r>
      <w:r w:rsidR="008F3BEB">
        <w:rPr>
          <w:vertAlign w:val="superscript"/>
        </w:rPr>
        <w:t xml:space="preserve"> </w:t>
      </w:r>
      <w:r w:rsidR="00F1190E">
        <w:t xml:space="preserve">Uit de </w:t>
      </w:r>
      <w:r w:rsidR="0040158D">
        <w:t xml:space="preserve">aanwijzingen en voorbeelden in </w:t>
      </w:r>
      <w:r w:rsidR="008F3BEB">
        <w:t>deze h</w:t>
      </w:r>
      <w:r w:rsidR="0040158D">
        <w:t>andreiking</w:t>
      </w:r>
      <w:r w:rsidRPr="00D925AD" w:rsidR="00D65082">
        <w:t xml:space="preserve"> </w:t>
      </w:r>
      <w:r w:rsidR="0040158D">
        <w:t xml:space="preserve">blijkt </w:t>
      </w:r>
      <w:r w:rsidRPr="00D925AD" w:rsidR="00D65082">
        <w:t xml:space="preserve">dat het </w:t>
      </w:r>
      <w:r w:rsidR="00D65082">
        <w:t xml:space="preserve">op dit moment </w:t>
      </w:r>
      <w:r w:rsidRPr="00D925AD" w:rsidR="00D65082">
        <w:t xml:space="preserve">lastig is om </w:t>
      </w:r>
      <w:r w:rsidR="00D65082">
        <w:t>e</w:t>
      </w:r>
      <w:r w:rsidRPr="00D925AD" w:rsidR="00D65082">
        <w:t xml:space="preserve">en </w:t>
      </w:r>
      <w:r w:rsidR="00D65082">
        <w:t xml:space="preserve">meest </w:t>
      </w:r>
      <w:r w:rsidRPr="00D925AD" w:rsidR="00D65082">
        <w:t>vergelijkbaar loon vast te stellen en te onderbouwen.</w:t>
      </w:r>
    </w:p>
    <w:p w:rsidR="00DB27A4" w:rsidP="00D925AD" w:rsidRDefault="00DB27A4" w14:paraId="16246440" w14:textId="77777777">
      <w:pPr>
        <w:pStyle w:val="Geenafstand"/>
        <w:spacing w:line="271" w:lineRule="auto"/>
        <w:rPr>
          <w:rFonts w:ascii="Verdana" w:hAnsi="Verdana"/>
          <w:sz w:val="18"/>
          <w:szCs w:val="18"/>
        </w:rPr>
      </w:pPr>
    </w:p>
    <w:p w:rsidR="00F83BCD" w:rsidP="00D925AD" w:rsidRDefault="00D925AD" w14:paraId="0D26B2CF" w14:textId="77777777">
      <w:pPr>
        <w:pStyle w:val="Geenafstand"/>
        <w:spacing w:line="271" w:lineRule="auto"/>
        <w:rPr>
          <w:rFonts w:ascii="Verdana" w:hAnsi="Verdana"/>
          <w:sz w:val="18"/>
          <w:szCs w:val="18"/>
        </w:rPr>
      </w:pPr>
      <w:r w:rsidRPr="00D925AD">
        <w:rPr>
          <w:rFonts w:ascii="Verdana" w:hAnsi="Verdana"/>
          <w:sz w:val="18"/>
          <w:szCs w:val="18"/>
        </w:rPr>
        <w:t>Functiewaarderingmethoden zijn </w:t>
      </w:r>
      <w:r w:rsidR="008F3BEB">
        <w:rPr>
          <w:rFonts w:ascii="Verdana" w:hAnsi="Verdana"/>
          <w:sz w:val="18"/>
          <w:szCs w:val="18"/>
        </w:rPr>
        <w:t xml:space="preserve">al langer bestaande </w:t>
      </w:r>
      <w:r w:rsidRPr="00D925AD">
        <w:rPr>
          <w:rFonts w:ascii="Verdana" w:hAnsi="Verdana"/>
          <w:sz w:val="18"/>
          <w:szCs w:val="18"/>
        </w:rPr>
        <w:t xml:space="preserve">gestandaardiseerde systemen om de zwaarte van functies te bepalen </w:t>
      </w:r>
      <w:r w:rsidR="0040158D">
        <w:rPr>
          <w:rFonts w:ascii="Verdana" w:hAnsi="Verdana"/>
          <w:sz w:val="18"/>
          <w:szCs w:val="18"/>
        </w:rPr>
        <w:t xml:space="preserve">op basis waarvan </w:t>
      </w:r>
      <w:r w:rsidRPr="00D925AD">
        <w:rPr>
          <w:rFonts w:ascii="Verdana" w:hAnsi="Verdana"/>
          <w:sz w:val="18"/>
          <w:szCs w:val="18"/>
        </w:rPr>
        <w:t>een eerlijke en transparante beloning binnen een organisatie</w:t>
      </w:r>
      <w:r w:rsidR="0040158D">
        <w:rPr>
          <w:rFonts w:ascii="Verdana" w:hAnsi="Verdana"/>
          <w:sz w:val="18"/>
          <w:szCs w:val="18"/>
        </w:rPr>
        <w:t xml:space="preserve"> wordt bepaald</w:t>
      </w:r>
      <w:r w:rsidRPr="00D925AD">
        <w:rPr>
          <w:rFonts w:ascii="Verdana" w:hAnsi="Verdana"/>
          <w:sz w:val="18"/>
          <w:szCs w:val="18"/>
        </w:rPr>
        <w:t xml:space="preserve">. Er </w:t>
      </w:r>
      <w:r w:rsidR="008F3BEB">
        <w:rPr>
          <w:rFonts w:ascii="Verdana" w:hAnsi="Verdana"/>
          <w:sz w:val="18"/>
          <w:szCs w:val="18"/>
        </w:rPr>
        <w:t xml:space="preserve">bestaan op dit moment </w:t>
      </w:r>
      <w:r w:rsidRPr="00D925AD">
        <w:rPr>
          <w:rFonts w:ascii="Verdana" w:hAnsi="Verdana"/>
          <w:sz w:val="18"/>
          <w:szCs w:val="18"/>
        </w:rPr>
        <w:t>verschillende methoden</w:t>
      </w:r>
      <w:r w:rsidR="000F4277">
        <w:rPr>
          <w:rFonts w:ascii="Verdana" w:hAnsi="Verdana"/>
          <w:sz w:val="18"/>
          <w:szCs w:val="18"/>
        </w:rPr>
        <w:t xml:space="preserve"> die </w:t>
      </w:r>
      <w:r w:rsidR="008F3BEB">
        <w:rPr>
          <w:rFonts w:ascii="Verdana" w:hAnsi="Verdana"/>
          <w:sz w:val="18"/>
          <w:szCs w:val="18"/>
        </w:rPr>
        <w:t xml:space="preserve">vrijwel allemaal </w:t>
      </w:r>
      <w:r w:rsidR="000F4277">
        <w:rPr>
          <w:rFonts w:ascii="Verdana" w:hAnsi="Verdana"/>
          <w:sz w:val="18"/>
          <w:szCs w:val="18"/>
        </w:rPr>
        <w:t xml:space="preserve">vergelijkbare </w:t>
      </w:r>
      <w:r w:rsidRPr="00D925AD">
        <w:rPr>
          <w:rFonts w:ascii="Verdana" w:hAnsi="Verdana"/>
          <w:sz w:val="18"/>
          <w:szCs w:val="18"/>
        </w:rPr>
        <w:t>uitgangspunten</w:t>
      </w:r>
      <w:r w:rsidR="0040158D">
        <w:rPr>
          <w:rFonts w:ascii="Verdana" w:hAnsi="Verdana"/>
          <w:sz w:val="18"/>
          <w:szCs w:val="18"/>
        </w:rPr>
        <w:t xml:space="preserve"> hanteren</w:t>
      </w:r>
      <w:r w:rsidRPr="00D925AD">
        <w:rPr>
          <w:rFonts w:ascii="Verdana" w:hAnsi="Verdana"/>
          <w:sz w:val="18"/>
          <w:szCs w:val="18"/>
        </w:rPr>
        <w:t xml:space="preserve">. Met een dergelijke methode </w:t>
      </w:r>
      <w:r w:rsidR="000F4277">
        <w:rPr>
          <w:rFonts w:ascii="Verdana" w:hAnsi="Verdana"/>
          <w:sz w:val="18"/>
          <w:szCs w:val="18"/>
        </w:rPr>
        <w:t xml:space="preserve">is het </w:t>
      </w:r>
      <w:r w:rsidRPr="00D925AD">
        <w:rPr>
          <w:rFonts w:ascii="Verdana" w:hAnsi="Verdana"/>
          <w:sz w:val="18"/>
          <w:szCs w:val="18"/>
        </w:rPr>
        <w:t xml:space="preserve">in theorie mogelijk voor alle </w:t>
      </w:r>
      <w:proofErr w:type="spellStart"/>
      <w:r w:rsidRPr="00D925AD">
        <w:rPr>
          <w:rFonts w:ascii="Verdana" w:hAnsi="Verdana"/>
          <w:sz w:val="18"/>
          <w:szCs w:val="18"/>
        </w:rPr>
        <w:t>dga’s</w:t>
      </w:r>
      <w:proofErr w:type="spellEnd"/>
      <w:r w:rsidRPr="00D925AD">
        <w:rPr>
          <w:rFonts w:ascii="Verdana" w:hAnsi="Verdana"/>
          <w:sz w:val="18"/>
          <w:szCs w:val="18"/>
        </w:rPr>
        <w:t xml:space="preserve"> op basis van </w:t>
      </w:r>
      <w:r w:rsidR="0040158D">
        <w:rPr>
          <w:rFonts w:ascii="Verdana" w:hAnsi="Verdana"/>
          <w:sz w:val="18"/>
          <w:szCs w:val="18"/>
        </w:rPr>
        <w:t>een uniforme</w:t>
      </w:r>
      <w:r w:rsidRPr="00D925AD">
        <w:rPr>
          <w:rFonts w:ascii="Verdana" w:hAnsi="Verdana"/>
          <w:sz w:val="18"/>
          <w:szCs w:val="18"/>
        </w:rPr>
        <w:t xml:space="preserve"> methodiek een </w:t>
      </w:r>
      <w:r w:rsidR="0040158D">
        <w:rPr>
          <w:rFonts w:ascii="Verdana" w:hAnsi="Verdana"/>
          <w:sz w:val="18"/>
          <w:szCs w:val="18"/>
        </w:rPr>
        <w:t xml:space="preserve">meest </w:t>
      </w:r>
      <w:r w:rsidRPr="00D925AD">
        <w:rPr>
          <w:rFonts w:ascii="Verdana" w:hAnsi="Verdana"/>
          <w:sz w:val="18"/>
          <w:szCs w:val="18"/>
        </w:rPr>
        <w:t>vergelijkbaar loon</w:t>
      </w:r>
      <w:r w:rsidR="000F4277">
        <w:rPr>
          <w:rFonts w:ascii="Verdana" w:hAnsi="Verdana"/>
          <w:sz w:val="18"/>
          <w:szCs w:val="18"/>
        </w:rPr>
        <w:t xml:space="preserve"> vast te stellen, wat </w:t>
      </w:r>
      <w:r w:rsidRPr="00D925AD">
        <w:rPr>
          <w:rFonts w:ascii="Verdana" w:hAnsi="Verdana"/>
          <w:sz w:val="18"/>
          <w:szCs w:val="18"/>
        </w:rPr>
        <w:t>de voorspelbaarheid en toegankelijkheid voor het vaststellen van het gebruikelijk</w:t>
      </w:r>
      <w:r w:rsidR="00EC3BD8">
        <w:rPr>
          <w:rFonts w:ascii="Verdana" w:hAnsi="Verdana"/>
          <w:sz w:val="18"/>
          <w:szCs w:val="18"/>
        </w:rPr>
        <w:t xml:space="preserve"> </w:t>
      </w:r>
      <w:r w:rsidRPr="00D925AD">
        <w:rPr>
          <w:rFonts w:ascii="Verdana" w:hAnsi="Verdana"/>
          <w:sz w:val="18"/>
          <w:szCs w:val="18"/>
        </w:rPr>
        <w:t>loon</w:t>
      </w:r>
      <w:r w:rsidR="000F4277">
        <w:rPr>
          <w:rFonts w:ascii="Verdana" w:hAnsi="Verdana"/>
          <w:sz w:val="18"/>
          <w:szCs w:val="18"/>
        </w:rPr>
        <w:t xml:space="preserve"> verhoog</w:t>
      </w:r>
      <w:r w:rsidR="00F23E70">
        <w:rPr>
          <w:rFonts w:ascii="Verdana" w:hAnsi="Verdana"/>
          <w:sz w:val="18"/>
          <w:szCs w:val="18"/>
        </w:rPr>
        <w:t>t</w:t>
      </w:r>
      <w:r w:rsidR="000F4277">
        <w:rPr>
          <w:rFonts w:ascii="Verdana" w:hAnsi="Verdana"/>
          <w:sz w:val="18"/>
          <w:szCs w:val="18"/>
        </w:rPr>
        <w:t>.</w:t>
      </w:r>
      <w:r w:rsidR="00EC3BD8">
        <w:rPr>
          <w:rFonts w:ascii="Verdana" w:hAnsi="Verdana"/>
          <w:sz w:val="18"/>
          <w:szCs w:val="18"/>
        </w:rPr>
        <w:t xml:space="preserve"> </w:t>
      </w:r>
      <w:r w:rsidR="0040158D">
        <w:rPr>
          <w:rFonts w:ascii="Verdana" w:hAnsi="Verdana"/>
          <w:sz w:val="18"/>
          <w:szCs w:val="18"/>
        </w:rPr>
        <w:t>Wel moet</w:t>
      </w:r>
      <w:r w:rsidR="000F4277">
        <w:rPr>
          <w:rFonts w:ascii="Verdana" w:hAnsi="Verdana"/>
          <w:sz w:val="18"/>
          <w:szCs w:val="18"/>
        </w:rPr>
        <w:t xml:space="preserve"> worden</w:t>
      </w:r>
      <w:r w:rsidR="00F23E70">
        <w:rPr>
          <w:rFonts w:ascii="Verdana" w:hAnsi="Verdana"/>
          <w:sz w:val="18"/>
          <w:szCs w:val="18"/>
        </w:rPr>
        <w:t xml:space="preserve"> bekeken</w:t>
      </w:r>
      <w:r w:rsidR="000F4277">
        <w:rPr>
          <w:rFonts w:ascii="Verdana" w:hAnsi="Verdana"/>
          <w:sz w:val="18"/>
          <w:szCs w:val="18"/>
        </w:rPr>
        <w:t xml:space="preserve"> hoe </w:t>
      </w:r>
      <w:r w:rsidRPr="00D925AD">
        <w:rPr>
          <w:rFonts w:ascii="Verdana" w:hAnsi="Verdana"/>
          <w:sz w:val="18"/>
          <w:szCs w:val="18"/>
        </w:rPr>
        <w:t xml:space="preserve">eenvoudig </w:t>
      </w:r>
      <w:r w:rsidR="000F4277">
        <w:rPr>
          <w:rFonts w:ascii="Verdana" w:hAnsi="Verdana"/>
          <w:sz w:val="18"/>
          <w:szCs w:val="18"/>
        </w:rPr>
        <w:t>een</w:t>
      </w:r>
      <w:r w:rsidRPr="00D925AD">
        <w:rPr>
          <w:rFonts w:ascii="Verdana" w:hAnsi="Verdana"/>
          <w:sz w:val="18"/>
          <w:szCs w:val="18"/>
        </w:rPr>
        <w:t xml:space="preserve"> </w:t>
      </w:r>
      <w:r w:rsidR="0040158D">
        <w:rPr>
          <w:rFonts w:ascii="Verdana" w:hAnsi="Verdana"/>
          <w:sz w:val="18"/>
          <w:szCs w:val="18"/>
        </w:rPr>
        <w:t>uniforme</w:t>
      </w:r>
      <w:r w:rsidR="008F3BEB">
        <w:rPr>
          <w:rFonts w:ascii="Verdana" w:hAnsi="Verdana"/>
          <w:sz w:val="18"/>
          <w:szCs w:val="18"/>
        </w:rPr>
        <w:t xml:space="preserve"> en gedetailleerde</w:t>
      </w:r>
      <w:r w:rsidR="000F4277">
        <w:rPr>
          <w:rFonts w:ascii="Verdana" w:hAnsi="Verdana"/>
          <w:sz w:val="18"/>
          <w:szCs w:val="18"/>
        </w:rPr>
        <w:t xml:space="preserve"> </w:t>
      </w:r>
      <w:r w:rsidRPr="00D925AD">
        <w:rPr>
          <w:rFonts w:ascii="Verdana" w:hAnsi="Verdana"/>
          <w:sz w:val="18"/>
          <w:szCs w:val="18"/>
        </w:rPr>
        <w:t xml:space="preserve">functiewaarderingsmethode </w:t>
      </w:r>
      <w:r w:rsidR="000F4277">
        <w:rPr>
          <w:rFonts w:ascii="Verdana" w:hAnsi="Verdana"/>
          <w:sz w:val="18"/>
          <w:szCs w:val="18"/>
        </w:rPr>
        <w:t xml:space="preserve">kan worden ontwikkeld </w:t>
      </w:r>
      <w:r w:rsidRPr="00D925AD">
        <w:rPr>
          <w:rFonts w:ascii="Verdana" w:hAnsi="Verdana"/>
          <w:sz w:val="18"/>
          <w:szCs w:val="18"/>
        </w:rPr>
        <w:t xml:space="preserve">en welke keuzes </w:t>
      </w:r>
      <w:r w:rsidR="0040158D">
        <w:rPr>
          <w:rFonts w:ascii="Verdana" w:hAnsi="Verdana"/>
          <w:sz w:val="18"/>
          <w:szCs w:val="18"/>
        </w:rPr>
        <w:t xml:space="preserve">daarbij nog </w:t>
      </w:r>
      <w:r w:rsidRPr="00D925AD">
        <w:rPr>
          <w:rFonts w:ascii="Verdana" w:hAnsi="Verdana"/>
          <w:sz w:val="18"/>
          <w:szCs w:val="18"/>
        </w:rPr>
        <w:t xml:space="preserve">gemaakt </w:t>
      </w:r>
      <w:r w:rsidR="000F4277">
        <w:rPr>
          <w:rFonts w:ascii="Verdana" w:hAnsi="Verdana"/>
          <w:sz w:val="18"/>
          <w:szCs w:val="18"/>
        </w:rPr>
        <w:t xml:space="preserve">moeten </w:t>
      </w:r>
      <w:r w:rsidRPr="00D925AD">
        <w:rPr>
          <w:rFonts w:ascii="Verdana" w:hAnsi="Verdana"/>
          <w:sz w:val="18"/>
          <w:szCs w:val="18"/>
        </w:rPr>
        <w:t xml:space="preserve">worden </w:t>
      </w:r>
      <w:r w:rsidR="0040158D">
        <w:rPr>
          <w:rFonts w:ascii="Verdana" w:hAnsi="Verdana"/>
          <w:sz w:val="18"/>
          <w:szCs w:val="18"/>
        </w:rPr>
        <w:t xml:space="preserve">om </w:t>
      </w:r>
      <w:r w:rsidRPr="00D925AD">
        <w:rPr>
          <w:rFonts w:ascii="Verdana" w:hAnsi="Verdana"/>
          <w:sz w:val="18"/>
          <w:szCs w:val="18"/>
        </w:rPr>
        <w:t>de hoogte van het loon</w:t>
      </w:r>
      <w:r w:rsidR="0040158D">
        <w:rPr>
          <w:rFonts w:ascii="Verdana" w:hAnsi="Verdana"/>
          <w:sz w:val="18"/>
          <w:szCs w:val="18"/>
        </w:rPr>
        <w:t xml:space="preserve"> vast te stellen</w:t>
      </w:r>
      <w:r w:rsidRPr="00D925AD">
        <w:rPr>
          <w:rFonts w:ascii="Verdana" w:hAnsi="Verdana"/>
          <w:sz w:val="18"/>
          <w:szCs w:val="18"/>
        </w:rPr>
        <w:t xml:space="preserve">. Het functiewaarderingssysteem </w:t>
      </w:r>
      <w:r w:rsidR="00037124">
        <w:rPr>
          <w:rFonts w:ascii="Verdana" w:hAnsi="Verdana"/>
          <w:sz w:val="18"/>
          <w:szCs w:val="18"/>
        </w:rPr>
        <w:t>verschilt per sector</w:t>
      </w:r>
      <w:r w:rsidR="0040158D">
        <w:rPr>
          <w:rFonts w:ascii="Verdana" w:hAnsi="Verdana"/>
          <w:sz w:val="18"/>
          <w:szCs w:val="18"/>
        </w:rPr>
        <w:t xml:space="preserve">. En ook binnen </w:t>
      </w:r>
      <w:r w:rsidR="00037124">
        <w:rPr>
          <w:rFonts w:ascii="Verdana" w:hAnsi="Verdana"/>
          <w:sz w:val="18"/>
          <w:szCs w:val="18"/>
        </w:rPr>
        <w:t>een bepaalde</w:t>
      </w:r>
      <w:r w:rsidR="0040158D">
        <w:rPr>
          <w:rFonts w:ascii="Verdana" w:hAnsi="Verdana"/>
          <w:sz w:val="18"/>
          <w:szCs w:val="18"/>
        </w:rPr>
        <w:t xml:space="preserve"> sector zijn er verschillende systemen. </w:t>
      </w:r>
      <w:r w:rsidR="00F83BCD">
        <w:rPr>
          <w:rFonts w:ascii="Verdana" w:hAnsi="Verdana"/>
          <w:sz w:val="18"/>
          <w:szCs w:val="18"/>
        </w:rPr>
        <w:t>Als</w:t>
      </w:r>
      <w:r w:rsidR="000F4277">
        <w:rPr>
          <w:rFonts w:ascii="Verdana" w:hAnsi="Verdana"/>
          <w:sz w:val="18"/>
          <w:szCs w:val="18"/>
        </w:rPr>
        <w:t xml:space="preserve"> </w:t>
      </w:r>
      <w:r w:rsidRPr="00D925AD">
        <w:rPr>
          <w:rFonts w:ascii="Verdana" w:hAnsi="Verdana"/>
          <w:sz w:val="18"/>
          <w:szCs w:val="18"/>
        </w:rPr>
        <w:t xml:space="preserve">voorwaarde </w:t>
      </w:r>
      <w:r w:rsidR="0040158D">
        <w:rPr>
          <w:rFonts w:ascii="Verdana" w:hAnsi="Verdana"/>
          <w:sz w:val="18"/>
          <w:szCs w:val="18"/>
        </w:rPr>
        <w:t xml:space="preserve">zou in elk geval moeten </w:t>
      </w:r>
      <w:r w:rsidR="000F4277">
        <w:rPr>
          <w:rFonts w:ascii="Verdana" w:hAnsi="Verdana"/>
          <w:sz w:val="18"/>
          <w:szCs w:val="18"/>
        </w:rPr>
        <w:t>geld</w:t>
      </w:r>
      <w:r w:rsidR="0040158D">
        <w:rPr>
          <w:rFonts w:ascii="Verdana" w:hAnsi="Verdana"/>
          <w:sz w:val="18"/>
          <w:szCs w:val="18"/>
        </w:rPr>
        <w:t>en</w:t>
      </w:r>
      <w:r w:rsidR="000F4277">
        <w:rPr>
          <w:rFonts w:ascii="Verdana" w:hAnsi="Verdana"/>
          <w:sz w:val="18"/>
          <w:szCs w:val="18"/>
        </w:rPr>
        <w:t xml:space="preserve"> </w:t>
      </w:r>
      <w:r w:rsidRPr="00D925AD">
        <w:rPr>
          <w:rFonts w:ascii="Verdana" w:hAnsi="Verdana"/>
          <w:sz w:val="18"/>
          <w:szCs w:val="18"/>
        </w:rPr>
        <w:t xml:space="preserve">dat </w:t>
      </w:r>
      <w:r w:rsidRPr="00D925AD">
        <w:rPr>
          <w:rFonts w:ascii="Verdana" w:hAnsi="Verdana"/>
          <w:color w:val="161616"/>
          <w:sz w:val="18"/>
          <w:szCs w:val="18"/>
        </w:rPr>
        <w:t>zowel de inhoudingsplichtig</w:t>
      </w:r>
      <w:r w:rsidR="0040158D">
        <w:rPr>
          <w:rFonts w:ascii="Verdana" w:hAnsi="Verdana"/>
          <w:color w:val="161616"/>
          <w:sz w:val="18"/>
          <w:szCs w:val="18"/>
        </w:rPr>
        <w:t xml:space="preserve">e (en/of de </w:t>
      </w:r>
      <w:proofErr w:type="spellStart"/>
      <w:r w:rsidR="0040158D">
        <w:rPr>
          <w:rFonts w:ascii="Verdana" w:hAnsi="Verdana"/>
          <w:color w:val="161616"/>
          <w:sz w:val="18"/>
          <w:szCs w:val="18"/>
        </w:rPr>
        <w:t>dga</w:t>
      </w:r>
      <w:proofErr w:type="spellEnd"/>
      <w:r w:rsidR="0040158D">
        <w:rPr>
          <w:rFonts w:ascii="Verdana" w:hAnsi="Verdana"/>
          <w:color w:val="161616"/>
          <w:sz w:val="18"/>
          <w:szCs w:val="18"/>
        </w:rPr>
        <w:t xml:space="preserve"> en/of de adviseur)</w:t>
      </w:r>
      <w:r w:rsidRPr="00D925AD">
        <w:rPr>
          <w:rFonts w:ascii="Verdana" w:hAnsi="Verdana"/>
          <w:color w:val="161616"/>
          <w:sz w:val="18"/>
          <w:szCs w:val="18"/>
        </w:rPr>
        <w:t xml:space="preserve"> als de </w:t>
      </w:r>
      <w:r w:rsidR="0040158D">
        <w:rPr>
          <w:rFonts w:ascii="Verdana" w:hAnsi="Verdana"/>
          <w:color w:val="161616"/>
          <w:sz w:val="18"/>
          <w:szCs w:val="18"/>
        </w:rPr>
        <w:t>belasting</w:t>
      </w:r>
      <w:r w:rsidRPr="00D925AD">
        <w:rPr>
          <w:rFonts w:ascii="Verdana" w:hAnsi="Verdana"/>
          <w:color w:val="161616"/>
          <w:sz w:val="18"/>
          <w:szCs w:val="18"/>
        </w:rPr>
        <w:t xml:space="preserve">inspecteur gebruik moeten kunnen maken van de methode. </w:t>
      </w:r>
      <w:r w:rsidRPr="00D925AD">
        <w:rPr>
          <w:rFonts w:ascii="Verdana" w:hAnsi="Verdana"/>
          <w:sz w:val="18"/>
          <w:szCs w:val="18"/>
        </w:rPr>
        <w:t xml:space="preserve">Het moet redelijk eenvoudig ingevuld kunnen worden en de uitkomsten moeten een voldoende </w:t>
      </w:r>
      <w:r w:rsidR="0040158D">
        <w:rPr>
          <w:rFonts w:ascii="Verdana" w:hAnsi="Verdana"/>
          <w:sz w:val="18"/>
          <w:szCs w:val="18"/>
        </w:rPr>
        <w:t>en duidelijke onderbouwing</w:t>
      </w:r>
      <w:r w:rsidRPr="00D925AD">
        <w:rPr>
          <w:rFonts w:ascii="Verdana" w:hAnsi="Verdana"/>
          <w:sz w:val="18"/>
          <w:szCs w:val="18"/>
        </w:rPr>
        <w:t xml:space="preserve"> bevatten voor het gevonden </w:t>
      </w:r>
      <w:proofErr w:type="spellStart"/>
      <w:r w:rsidRPr="00D925AD">
        <w:rPr>
          <w:rFonts w:ascii="Verdana" w:hAnsi="Verdana"/>
          <w:sz w:val="18"/>
          <w:szCs w:val="18"/>
        </w:rPr>
        <w:t>gebruikelijkloon</w:t>
      </w:r>
      <w:proofErr w:type="spellEnd"/>
      <w:r w:rsidR="00D7323D">
        <w:rPr>
          <w:rFonts w:ascii="Verdana" w:hAnsi="Verdana"/>
          <w:sz w:val="18"/>
          <w:szCs w:val="18"/>
        </w:rPr>
        <w:t xml:space="preserve"> uit de meest vergelijkbare dienstbetrekking</w:t>
      </w:r>
      <w:r w:rsidRPr="00D925AD">
        <w:rPr>
          <w:rFonts w:ascii="Verdana" w:hAnsi="Verdana"/>
          <w:sz w:val="18"/>
          <w:szCs w:val="18"/>
        </w:rPr>
        <w:t xml:space="preserve">. In aanvulling daarop </w:t>
      </w:r>
      <w:r w:rsidRPr="00D925AD">
        <w:rPr>
          <w:rFonts w:ascii="Verdana" w:hAnsi="Verdana"/>
          <w:sz w:val="18"/>
          <w:szCs w:val="18"/>
        </w:rPr>
        <w:lastRenderedPageBreak/>
        <w:t xml:space="preserve">moet het mogelijk blijven de uitkomst vanwege specifieke kenmerken aan te passen. Bij voorkeur worden deze kenmerken ook zoveel mogelijk benoemd. </w:t>
      </w:r>
    </w:p>
    <w:p w:rsidR="00F83BCD" w:rsidP="00D925AD" w:rsidRDefault="00F83BCD" w14:paraId="20A67496" w14:textId="77777777">
      <w:pPr>
        <w:pStyle w:val="Geenafstand"/>
        <w:spacing w:line="271" w:lineRule="auto"/>
        <w:rPr>
          <w:rFonts w:ascii="Verdana" w:hAnsi="Verdana"/>
          <w:sz w:val="18"/>
          <w:szCs w:val="18"/>
        </w:rPr>
      </w:pPr>
    </w:p>
    <w:p w:rsidR="00C93D5D" w:rsidP="00027031" w:rsidRDefault="0012369D" w14:paraId="2CD3599D" w14:textId="77777777">
      <w:pPr>
        <w:pStyle w:val="Geenafstand"/>
        <w:spacing w:line="271" w:lineRule="auto"/>
        <w:rPr>
          <w:rFonts w:ascii="Verdana" w:hAnsi="Verdana"/>
          <w:color w:val="161616"/>
          <w:sz w:val="18"/>
          <w:szCs w:val="18"/>
        </w:rPr>
      </w:pPr>
      <w:r>
        <w:rPr>
          <w:rFonts w:ascii="Verdana" w:hAnsi="Verdana"/>
          <w:color w:val="161616"/>
          <w:sz w:val="18"/>
          <w:szCs w:val="18"/>
        </w:rPr>
        <w:t xml:space="preserve">In het haalbaarheidsonderzoek zal </w:t>
      </w:r>
      <w:r w:rsidR="00D7323D">
        <w:rPr>
          <w:rFonts w:ascii="Verdana" w:hAnsi="Verdana"/>
          <w:color w:val="161616"/>
          <w:sz w:val="18"/>
          <w:szCs w:val="18"/>
        </w:rPr>
        <w:t xml:space="preserve">ook </w:t>
      </w:r>
      <w:r>
        <w:rPr>
          <w:rFonts w:ascii="Verdana" w:hAnsi="Verdana"/>
          <w:color w:val="161616"/>
          <w:sz w:val="18"/>
          <w:szCs w:val="18"/>
        </w:rPr>
        <w:t>worden bekeken</w:t>
      </w:r>
      <w:r w:rsidRPr="00D925AD" w:rsidR="00D925AD">
        <w:rPr>
          <w:rFonts w:ascii="Verdana" w:hAnsi="Verdana"/>
          <w:color w:val="161616"/>
          <w:sz w:val="18"/>
          <w:szCs w:val="18"/>
        </w:rPr>
        <w:t xml:space="preserve"> of de waarderingsmethode kan </w:t>
      </w:r>
      <w:r w:rsidR="00BA416B">
        <w:rPr>
          <w:rFonts w:ascii="Verdana" w:hAnsi="Verdana"/>
          <w:color w:val="161616"/>
          <w:sz w:val="18"/>
          <w:szCs w:val="18"/>
        </w:rPr>
        <w:t xml:space="preserve">worden toegepast </w:t>
      </w:r>
      <w:r w:rsidRPr="00D925AD" w:rsidR="00D925AD">
        <w:rPr>
          <w:rFonts w:ascii="Verdana" w:hAnsi="Verdana"/>
          <w:color w:val="161616"/>
          <w:sz w:val="18"/>
          <w:szCs w:val="18"/>
        </w:rPr>
        <w:t xml:space="preserve">bij </w:t>
      </w:r>
      <w:r w:rsidR="00DB27A4">
        <w:rPr>
          <w:rFonts w:ascii="Verdana" w:hAnsi="Verdana"/>
          <w:color w:val="161616"/>
          <w:sz w:val="18"/>
          <w:szCs w:val="18"/>
        </w:rPr>
        <w:t xml:space="preserve">het </w:t>
      </w:r>
      <w:r w:rsidRPr="00D925AD" w:rsidR="00D925AD">
        <w:rPr>
          <w:rFonts w:ascii="Verdana" w:hAnsi="Verdana"/>
          <w:color w:val="161616"/>
          <w:sz w:val="18"/>
          <w:szCs w:val="18"/>
        </w:rPr>
        <w:t xml:space="preserve">vaststellen </w:t>
      </w:r>
      <w:r w:rsidR="00BA416B">
        <w:rPr>
          <w:rFonts w:ascii="Verdana" w:hAnsi="Verdana"/>
          <w:color w:val="161616"/>
          <w:sz w:val="18"/>
          <w:szCs w:val="18"/>
        </w:rPr>
        <w:t xml:space="preserve">van </w:t>
      </w:r>
      <w:r w:rsidRPr="00D925AD" w:rsidR="00D925AD">
        <w:rPr>
          <w:rFonts w:ascii="Verdana" w:hAnsi="Verdana"/>
          <w:color w:val="161616"/>
          <w:sz w:val="18"/>
          <w:szCs w:val="18"/>
        </w:rPr>
        <w:t xml:space="preserve">het loon </w:t>
      </w:r>
      <w:r w:rsidR="00BA416B">
        <w:rPr>
          <w:rFonts w:ascii="Verdana" w:hAnsi="Verdana"/>
          <w:color w:val="161616"/>
          <w:sz w:val="18"/>
          <w:szCs w:val="18"/>
        </w:rPr>
        <w:t xml:space="preserve">van </w:t>
      </w:r>
      <w:proofErr w:type="spellStart"/>
      <w:r w:rsidR="00BA416B">
        <w:rPr>
          <w:rFonts w:ascii="Verdana" w:hAnsi="Verdana"/>
          <w:color w:val="161616"/>
          <w:sz w:val="18"/>
          <w:szCs w:val="18"/>
        </w:rPr>
        <w:t>dga’s</w:t>
      </w:r>
      <w:proofErr w:type="spellEnd"/>
      <w:r w:rsidR="00BA416B">
        <w:rPr>
          <w:rFonts w:ascii="Verdana" w:hAnsi="Verdana"/>
          <w:color w:val="161616"/>
          <w:sz w:val="18"/>
          <w:szCs w:val="18"/>
        </w:rPr>
        <w:t xml:space="preserve"> van</w:t>
      </w:r>
      <w:r w:rsidRPr="00D925AD" w:rsidR="00D925AD">
        <w:rPr>
          <w:rFonts w:ascii="Verdana" w:hAnsi="Verdana"/>
          <w:color w:val="161616"/>
          <w:sz w:val="18"/>
          <w:szCs w:val="18"/>
        </w:rPr>
        <w:t xml:space="preserve"> management</w:t>
      </w:r>
      <w:r w:rsidR="00BA416B">
        <w:rPr>
          <w:rFonts w:ascii="Verdana" w:hAnsi="Verdana"/>
          <w:color w:val="161616"/>
          <w:sz w:val="18"/>
          <w:szCs w:val="18"/>
        </w:rPr>
        <w:t>-bv’s</w:t>
      </w:r>
      <w:r w:rsidRPr="00D925AD" w:rsidR="00D925AD">
        <w:rPr>
          <w:rFonts w:ascii="Verdana" w:hAnsi="Verdana"/>
          <w:color w:val="161616"/>
          <w:sz w:val="18"/>
          <w:szCs w:val="18"/>
        </w:rPr>
        <w:t>. In het verleden werd bij management</w:t>
      </w:r>
      <w:r w:rsidR="004E2FC1">
        <w:rPr>
          <w:rFonts w:ascii="Verdana" w:hAnsi="Verdana"/>
          <w:color w:val="161616"/>
          <w:sz w:val="18"/>
          <w:szCs w:val="18"/>
        </w:rPr>
        <w:t xml:space="preserve">-bv’s </w:t>
      </w:r>
      <w:r w:rsidRPr="00D925AD" w:rsidR="00D925AD">
        <w:rPr>
          <w:rFonts w:ascii="Verdana" w:hAnsi="Verdana"/>
          <w:color w:val="161616"/>
          <w:sz w:val="18"/>
          <w:szCs w:val="18"/>
        </w:rPr>
        <w:t>aangesloten bij de zogenoemde afroommethode.</w:t>
      </w:r>
      <w:r w:rsidR="00A90D2F">
        <w:rPr>
          <w:rStyle w:val="Voetnootmarkering"/>
          <w:rFonts w:ascii="Verdana" w:hAnsi="Verdana"/>
          <w:color w:val="161616"/>
          <w:sz w:val="18"/>
          <w:szCs w:val="18"/>
        </w:rPr>
        <w:footnoteReference w:id="12"/>
      </w:r>
      <w:r w:rsidRPr="00D925AD" w:rsidR="00D925AD">
        <w:rPr>
          <w:rFonts w:ascii="Verdana" w:hAnsi="Verdana"/>
          <w:color w:val="161616"/>
          <w:sz w:val="18"/>
          <w:szCs w:val="18"/>
        </w:rPr>
        <w:t xml:space="preserve"> </w:t>
      </w:r>
      <w:r w:rsidR="00037124">
        <w:rPr>
          <w:rFonts w:ascii="Verdana" w:hAnsi="Verdana"/>
          <w:color w:val="161616"/>
          <w:sz w:val="18"/>
          <w:szCs w:val="18"/>
        </w:rPr>
        <w:t xml:space="preserve">De Hoge Raad heeft </w:t>
      </w:r>
      <w:r w:rsidR="00C93D5D">
        <w:rPr>
          <w:rFonts w:ascii="Verdana" w:hAnsi="Verdana"/>
          <w:color w:val="161616"/>
          <w:sz w:val="18"/>
          <w:szCs w:val="18"/>
        </w:rPr>
        <w:t>in 2016 geoordeeld dat de afroommethode onzuiver is, omdat de wet is gebaseerd op de vergelijkingssystematiek.</w:t>
      </w:r>
      <w:r w:rsidR="00C93D5D">
        <w:rPr>
          <w:rStyle w:val="Voetnootmarkering"/>
          <w:rFonts w:ascii="Verdana" w:hAnsi="Verdana"/>
          <w:color w:val="161616"/>
          <w:sz w:val="18"/>
          <w:szCs w:val="18"/>
        </w:rPr>
        <w:footnoteReference w:id="13"/>
      </w:r>
      <w:r w:rsidR="00C93D5D">
        <w:rPr>
          <w:rFonts w:ascii="Verdana" w:hAnsi="Verdana"/>
          <w:color w:val="161616"/>
          <w:sz w:val="18"/>
          <w:szCs w:val="18"/>
        </w:rPr>
        <w:t xml:space="preserve"> De afroommethode kan niet toegepast worden als er een loon van een werknemer met soortgelijke werkzaamheden bestaat. Met </w:t>
      </w:r>
    </w:p>
    <w:p w:rsidRPr="00027031" w:rsidR="00F83BCD" w:rsidP="00027031" w:rsidRDefault="00DB27A4" w14:paraId="43219B93" w14:textId="77777777">
      <w:pPr>
        <w:pStyle w:val="Geenafstand"/>
        <w:spacing w:line="271" w:lineRule="auto"/>
        <w:rPr>
          <w:rFonts w:ascii="Verdana" w:hAnsi="Verdana"/>
          <w:color w:val="161616"/>
          <w:sz w:val="18"/>
          <w:szCs w:val="18"/>
        </w:rPr>
      </w:pPr>
      <w:proofErr w:type="gramStart"/>
      <w:r>
        <w:rPr>
          <w:rFonts w:ascii="Verdana" w:hAnsi="Verdana"/>
          <w:color w:val="161616"/>
          <w:sz w:val="18"/>
          <w:szCs w:val="18"/>
        </w:rPr>
        <w:t>het</w:t>
      </w:r>
      <w:proofErr w:type="gramEnd"/>
      <w:r>
        <w:rPr>
          <w:rFonts w:ascii="Verdana" w:hAnsi="Verdana"/>
          <w:color w:val="161616"/>
          <w:sz w:val="18"/>
          <w:szCs w:val="18"/>
        </w:rPr>
        <w:t xml:space="preserve"> Belastingplan 2015 </w:t>
      </w:r>
      <w:r w:rsidR="00C93D5D">
        <w:rPr>
          <w:rFonts w:ascii="Verdana" w:hAnsi="Verdana"/>
          <w:color w:val="161616"/>
          <w:sz w:val="18"/>
          <w:szCs w:val="18"/>
        </w:rPr>
        <w:t xml:space="preserve">is </w:t>
      </w:r>
      <w:r w:rsidR="004E2FC1">
        <w:rPr>
          <w:rFonts w:ascii="Verdana" w:hAnsi="Verdana"/>
          <w:color w:val="161616"/>
          <w:sz w:val="18"/>
          <w:szCs w:val="18"/>
        </w:rPr>
        <w:t>het begrip “</w:t>
      </w:r>
      <w:r w:rsidRPr="00D925AD" w:rsidR="00D925AD">
        <w:rPr>
          <w:rFonts w:ascii="Verdana" w:hAnsi="Verdana"/>
          <w:color w:val="161616"/>
          <w:sz w:val="18"/>
          <w:szCs w:val="18"/>
        </w:rPr>
        <w:t>soortgelijke dienstbetrekking</w:t>
      </w:r>
      <w:r w:rsidR="004E2FC1">
        <w:rPr>
          <w:rFonts w:ascii="Verdana" w:hAnsi="Verdana"/>
          <w:color w:val="161616"/>
          <w:sz w:val="18"/>
          <w:szCs w:val="18"/>
        </w:rPr>
        <w:t xml:space="preserve">” </w:t>
      </w:r>
      <w:r w:rsidR="00C93D5D">
        <w:rPr>
          <w:rFonts w:ascii="Verdana" w:hAnsi="Verdana"/>
          <w:color w:val="161616"/>
          <w:sz w:val="18"/>
          <w:szCs w:val="18"/>
        </w:rPr>
        <w:t xml:space="preserve">in de wet </w:t>
      </w:r>
      <w:r w:rsidR="004E2FC1">
        <w:rPr>
          <w:rFonts w:ascii="Verdana" w:hAnsi="Verdana"/>
          <w:color w:val="161616"/>
          <w:sz w:val="18"/>
          <w:szCs w:val="18"/>
        </w:rPr>
        <w:t>aangepast</w:t>
      </w:r>
      <w:r w:rsidRPr="00D925AD" w:rsidR="00D925AD">
        <w:rPr>
          <w:rFonts w:ascii="Verdana" w:hAnsi="Verdana"/>
          <w:color w:val="161616"/>
          <w:sz w:val="18"/>
          <w:szCs w:val="18"/>
        </w:rPr>
        <w:t xml:space="preserve"> naar </w:t>
      </w:r>
      <w:r w:rsidR="004E2FC1">
        <w:rPr>
          <w:rFonts w:ascii="Verdana" w:hAnsi="Verdana"/>
          <w:color w:val="161616"/>
          <w:sz w:val="18"/>
          <w:szCs w:val="18"/>
        </w:rPr>
        <w:t>“</w:t>
      </w:r>
      <w:r w:rsidRPr="00D925AD" w:rsidR="00D925AD">
        <w:rPr>
          <w:rFonts w:ascii="Verdana" w:hAnsi="Verdana"/>
          <w:color w:val="161616"/>
          <w:sz w:val="18"/>
          <w:szCs w:val="18"/>
        </w:rPr>
        <w:t>meest vergelijkbare dienstbetrekking</w:t>
      </w:r>
      <w:r w:rsidR="004E2FC1">
        <w:rPr>
          <w:rFonts w:ascii="Verdana" w:hAnsi="Verdana"/>
          <w:color w:val="161616"/>
          <w:sz w:val="18"/>
          <w:szCs w:val="18"/>
        </w:rPr>
        <w:t>”</w:t>
      </w:r>
      <w:r w:rsidR="00C93D5D">
        <w:rPr>
          <w:rFonts w:ascii="Verdana" w:hAnsi="Verdana"/>
          <w:color w:val="161616"/>
          <w:sz w:val="18"/>
          <w:szCs w:val="18"/>
        </w:rPr>
        <w:t xml:space="preserve">. Hierbij is overwogen dat in tegenstelling tot een soortgelijke dienstbetrekking </w:t>
      </w:r>
      <w:r w:rsidRPr="00D925AD" w:rsidR="00D925AD">
        <w:rPr>
          <w:rFonts w:ascii="Verdana" w:hAnsi="Verdana"/>
          <w:color w:val="161616"/>
          <w:sz w:val="18"/>
          <w:szCs w:val="18"/>
        </w:rPr>
        <w:t xml:space="preserve">er altijd wel een </w:t>
      </w:r>
      <w:r w:rsidR="004E2FC1">
        <w:rPr>
          <w:rFonts w:ascii="Verdana" w:hAnsi="Verdana"/>
          <w:color w:val="161616"/>
          <w:sz w:val="18"/>
          <w:szCs w:val="18"/>
        </w:rPr>
        <w:t xml:space="preserve">meest </w:t>
      </w:r>
      <w:r w:rsidRPr="00D925AD" w:rsidR="00D925AD">
        <w:rPr>
          <w:rFonts w:ascii="Verdana" w:hAnsi="Verdana"/>
          <w:color w:val="161616"/>
          <w:sz w:val="18"/>
          <w:szCs w:val="18"/>
        </w:rPr>
        <w:t xml:space="preserve">vergelijkbare dienstbetrekking </w:t>
      </w:r>
      <w:r>
        <w:rPr>
          <w:rFonts w:ascii="Verdana" w:hAnsi="Verdana"/>
          <w:color w:val="161616"/>
          <w:sz w:val="18"/>
          <w:szCs w:val="18"/>
        </w:rPr>
        <w:t>te vinden</w:t>
      </w:r>
      <w:r w:rsidR="00C93D5D">
        <w:rPr>
          <w:rFonts w:ascii="Verdana" w:hAnsi="Verdana"/>
          <w:color w:val="161616"/>
          <w:sz w:val="18"/>
          <w:szCs w:val="18"/>
        </w:rPr>
        <w:t xml:space="preserve"> is</w:t>
      </w:r>
      <w:r w:rsidR="004E2FC1">
        <w:rPr>
          <w:rFonts w:ascii="Verdana" w:hAnsi="Verdana"/>
          <w:color w:val="161616"/>
          <w:sz w:val="18"/>
          <w:szCs w:val="18"/>
        </w:rPr>
        <w:t>.</w:t>
      </w:r>
      <w:r w:rsidRPr="00D925AD" w:rsidR="00D925AD">
        <w:rPr>
          <w:rStyle w:val="Voetnootmarkering"/>
          <w:rFonts w:ascii="Verdana" w:hAnsi="Verdana"/>
          <w:color w:val="161616"/>
          <w:sz w:val="18"/>
          <w:szCs w:val="18"/>
        </w:rPr>
        <w:footnoteReference w:id="14"/>
      </w:r>
      <w:r w:rsidR="004E2FC1">
        <w:rPr>
          <w:rFonts w:ascii="Verdana" w:hAnsi="Verdana"/>
          <w:color w:val="161616"/>
          <w:sz w:val="18"/>
          <w:szCs w:val="18"/>
        </w:rPr>
        <w:t xml:space="preserve"> </w:t>
      </w:r>
      <w:r w:rsidR="00C93D5D">
        <w:rPr>
          <w:rFonts w:ascii="Verdana" w:hAnsi="Verdana"/>
          <w:color w:val="161616"/>
          <w:sz w:val="18"/>
          <w:szCs w:val="18"/>
        </w:rPr>
        <w:t xml:space="preserve">De afroommethode kan met de nieuwe wettekst </w:t>
      </w:r>
      <w:r w:rsidR="00D7323D">
        <w:rPr>
          <w:rFonts w:ascii="Verdana" w:hAnsi="Verdana"/>
          <w:color w:val="161616"/>
          <w:sz w:val="18"/>
          <w:szCs w:val="18"/>
        </w:rPr>
        <w:t>beperkt</w:t>
      </w:r>
      <w:r w:rsidR="00C93D5D">
        <w:rPr>
          <w:rFonts w:ascii="Verdana" w:hAnsi="Verdana"/>
          <w:color w:val="161616"/>
          <w:sz w:val="18"/>
          <w:szCs w:val="18"/>
        </w:rPr>
        <w:t xml:space="preserve"> worden toegepast. </w:t>
      </w:r>
      <w:r w:rsidR="000A7110">
        <w:rPr>
          <w:rFonts w:ascii="Verdana" w:hAnsi="Verdana"/>
          <w:color w:val="161616"/>
          <w:sz w:val="18"/>
          <w:szCs w:val="18"/>
        </w:rPr>
        <w:t xml:space="preserve">Voorgesteld wordt dan ook om </w:t>
      </w:r>
      <w:r w:rsidRPr="00D925AD" w:rsidR="00D925AD">
        <w:rPr>
          <w:rFonts w:ascii="Verdana" w:hAnsi="Verdana"/>
          <w:color w:val="161616"/>
          <w:sz w:val="18"/>
          <w:szCs w:val="18"/>
        </w:rPr>
        <w:t xml:space="preserve">in het haalbaarheidsonderzoek mee te nemen of </w:t>
      </w:r>
      <w:r w:rsidR="00B9441C">
        <w:rPr>
          <w:rFonts w:ascii="Verdana" w:hAnsi="Verdana"/>
          <w:color w:val="161616"/>
          <w:sz w:val="18"/>
          <w:szCs w:val="18"/>
        </w:rPr>
        <w:t xml:space="preserve">het </w:t>
      </w:r>
      <w:r w:rsidR="007D62F2">
        <w:rPr>
          <w:rFonts w:ascii="Verdana" w:hAnsi="Verdana"/>
          <w:color w:val="161616"/>
          <w:sz w:val="18"/>
          <w:szCs w:val="18"/>
        </w:rPr>
        <w:t>waarderingsinstrument ook</w:t>
      </w:r>
      <w:r w:rsidRPr="00D925AD" w:rsidR="00D925AD">
        <w:rPr>
          <w:rFonts w:ascii="Verdana" w:hAnsi="Verdana"/>
          <w:color w:val="161616"/>
          <w:sz w:val="18"/>
          <w:szCs w:val="18"/>
        </w:rPr>
        <w:t xml:space="preserve"> geschikt is voor management</w:t>
      </w:r>
      <w:r w:rsidR="007D62F2">
        <w:rPr>
          <w:rFonts w:ascii="Verdana" w:hAnsi="Verdana"/>
          <w:color w:val="161616"/>
          <w:sz w:val="18"/>
          <w:szCs w:val="18"/>
        </w:rPr>
        <w:t>-bv’</w:t>
      </w:r>
      <w:r w:rsidRPr="00D925AD" w:rsidR="00D925AD">
        <w:rPr>
          <w:rFonts w:ascii="Verdana" w:hAnsi="Verdana"/>
          <w:color w:val="161616"/>
          <w:sz w:val="18"/>
          <w:szCs w:val="18"/>
        </w:rPr>
        <w:t>s</w:t>
      </w:r>
      <w:r w:rsidR="007D62F2">
        <w:rPr>
          <w:rFonts w:ascii="Verdana" w:hAnsi="Verdana"/>
          <w:color w:val="161616"/>
          <w:sz w:val="18"/>
          <w:szCs w:val="18"/>
        </w:rPr>
        <w:t xml:space="preserve"> en zo niet,</w:t>
      </w:r>
      <w:r w:rsidRPr="00D925AD" w:rsidR="00D925AD">
        <w:rPr>
          <w:rFonts w:ascii="Verdana" w:hAnsi="Verdana"/>
          <w:color w:val="161616"/>
          <w:sz w:val="18"/>
          <w:szCs w:val="18"/>
        </w:rPr>
        <w:t xml:space="preserve"> of het </w:t>
      </w:r>
      <w:r w:rsidR="007D62F2">
        <w:rPr>
          <w:rFonts w:ascii="Verdana" w:hAnsi="Verdana"/>
          <w:color w:val="161616"/>
          <w:sz w:val="18"/>
          <w:szCs w:val="18"/>
        </w:rPr>
        <w:t xml:space="preserve">dan </w:t>
      </w:r>
      <w:r w:rsidRPr="00D925AD" w:rsidR="00D925AD">
        <w:rPr>
          <w:rFonts w:ascii="Verdana" w:hAnsi="Verdana"/>
          <w:color w:val="161616"/>
          <w:sz w:val="18"/>
          <w:szCs w:val="18"/>
        </w:rPr>
        <w:t>aanbeveling verdient met een wetswijziging de afroommethode in specifieke situaties mogelijk te maken.</w:t>
      </w:r>
      <w:r w:rsidR="00027031">
        <w:rPr>
          <w:rStyle w:val="Voetnootmarkering"/>
          <w:rFonts w:ascii="Verdana" w:hAnsi="Verdana"/>
          <w:color w:val="161616"/>
          <w:sz w:val="18"/>
          <w:szCs w:val="18"/>
        </w:rPr>
        <w:footnoteReference w:id="15"/>
      </w:r>
      <w:r w:rsidRPr="00D925AD" w:rsidR="00D925AD">
        <w:rPr>
          <w:rFonts w:ascii="Verdana" w:hAnsi="Verdana"/>
          <w:color w:val="161616"/>
          <w:sz w:val="18"/>
          <w:szCs w:val="18"/>
        </w:rPr>
        <w:t xml:space="preserve"> </w:t>
      </w:r>
      <w:r w:rsidR="00027031">
        <w:rPr>
          <w:rFonts w:ascii="Verdana" w:hAnsi="Verdana"/>
          <w:color w:val="161616"/>
          <w:sz w:val="18"/>
          <w:szCs w:val="18"/>
        </w:rPr>
        <w:t>G</w:t>
      </w:r>
      <w:r w:rsidRPr="00027031" w:rsidR="00F83BCD">
        <w:rPr>
          <w:rFonts w:ascii="Verdana" w:hAnsi="Verdana"/>
          <w:color w:val="161616"/>
          <w:sz w:val="18"/>
          <w:szCs w:val="18"/>
        </w:rPr>
        <w:t xml:space="preserve">elet op de potentiële meerwaarde </w:t>
      </w:r>
      <w:r w:rsidRPr="00027031" w:rsidR="00E269BD">
        <w:rPr>
          <w:rFonts w:ascii="Verdana" w:hAnsi="Verdana"/>
          <w:color w:val="161616"/>
          <w:sz w:val="18"/>
          <w:szCs w:val="18"/>
        </w:rPr>
        <w:t xml:space="preserve">zal </w:t>
      </w:r>
      <w:r w:rsidRPr="00027031" w:rsidR="00F83BCD">
        <w:rPr>
          <w:rFonts w:ascii="Verdana" w:hAnsi="Verdana"/>
          <w:color w:val="161616"/>
          <w:sz w:val="18"/>
          <w:szCs w:val="18"/>
        </w:rPr>
        <w:t xml:space="preserve">een haalbaarheidsonderzoek naar de ontwikkeling van een functiewaarderingsmethode </w:t>
      </w:r>
      <w:r w:rsidRPr="00027031" w:rsidR="00E269BD">
        <w:rPr>
          <w:rFonts w:ascii="Verdana" w:hAnsi="Verdana"/>
          <w:color w:val="161616"/>
          <w:sz w:val="18"/>
          <w:szCs w:val="18"/>
        </w:rPr>
        <w:t>worden uitgevoerd</w:t>
      </w:r>
      <w:r w:rsidRPr="00027031" w:rsidR="00F83BCD">
        <w:rPr>
          <w:rFonts w:ascii="Verdana" w:hAnsi="Verdana"/>
          <w:color w:val="161616"/>
          <w:sz w:val="18"/>
          <w:szCs w:val="18"/>
        </w:rPr>
        <w:t xml:space="preserve">. </w:t>
      </w:r>
    </w:p>
    <w:p w:rsidR="00027031" w:rsidP="00027031" w:rsidRDefault="00027031" w14:paraId="7B5A3170" w14:textId="77777777">
      <w:pPr>
        <w:pStyle w:val="Geenafstand"/>
        <w:spacing w:line="271" w:lineRule="auto"/>
        <w:rPr>
          <w:rFonts w:cs="Avenir Next LT Pro"/>
        </w:rPr>
      </w:pPr>
    </w:p>
    <w:p w:rsidRPr="002C53A7" w:rsidR="00DB27A4" w:rsidP="002C53A7" w:rsidRDefault="00FB3F8A" w14:paraId="4E278A20" w14:textId="77777777">
      <w:pPr>
        <w:pStyle w:val="Lijstalinea"/>
        <w:numPr>
          <w:ilvl w:val="0"/>
          <w:numId w:val="17"/>
        </w:numPr>
        <w:adjustRightInd w:val="0"/>
        <w:spacing w:after="0" w:line="271" w:lineRule="auto"/>
        <w:ind w:left="357" w:hanging="357"/>
        <w:rPr>
          <w:rFonts w:ascii="Verdana" w:hAnsi="Verdana"/>
          <w:b/>
          <w:bCs/>
          <w:color w:val="161616"/>
          <w:sz w:val="18"/>
          <w:szCs w:val="18"/>
        </w:rPr>
      </w:pPr>
      <w:r w:rsidRPr="002C53A7">
        <w:rPr>
          <w:rFonts w:ascii="Verdana" w:hAnsi="Verdana"/>
          <w:b/>
          <w:bCs/>
          <w:color w:val="161616"/>
          <w:sz w:val="18"/>
          <w:szCs w:val="18"/>
        </w:rPr>
        <w:t xml:space="preserve">Beleidsoptie: uitbreiding </w:t>
      </w:r>
      <w:r w:rsidR="00AC2399">
        <w:rPr>
          <w:rFonts w:ascii="Verdana" w:hAnsi="Verdana"/>
          <w:b/>
          <w:bCs/>
          <w:color w:val="161616"/>
          <w:sz w:val="18"/>
          <w:szCs w:val="18"/>
        </w:rPr>
        <w:t>of</w:t>
      </w:r>
      <w:r w:rsidRPr="002C53A7">
        <w:rPr>
          <w:rFonts w:ascii="Verdana" w:hAnsi="Verdana"/>
          <w:b/>
          <w:bCs/>
          <w:color w:val="161616"/>
          <w:sz w:val="18"/>
          <w:szCs w:val="18"/>
        </w:rPr>
        <w:t xml:space="preserve"> verbetering van het toezicht</w:t>
      </w:r>
    </w:p>
    <w:p w:rsidR="00217478" w:rsidP="00217478" w:rsidRDefault="00217478" w14:paraId="5DEAD1F4" w14:textId="77777777">
      <w:pPr>
        <w:pStyle w:val="Geenafstand"/>
        <w:spacing w:line="276" w:lineRule="auto"/>
        <w:rPr>
          <w:rFonts w:ascii="Verdana" w:hAnsi="Verdana"/>
          <w:sz w:val="18"/>
          <w:szCs w:val="18"/>
        </w:rPr>
      </w:pPr>
      <w:r w:rsidRPr="00217478">
        <w:rPr>
          <w:rFonts w:ascii="Verdana" w:hAnsi="Verdana"/>
          <w:sz w:val="18"/>
          <w:szCs w:val="18"/>
        </w:rPr>
        <w:t xml:space="preserve">In het vorige hoofdstuk is aangegeven dat meer inzicht nodig is in de situaties waarin het gebruikelijk loon niet juist wordt vastgesteld. Het evaluatierapport biedt hiervoor onvoldoende aanknopingspunten. Om weloverwogen keuzes te kunnen maken over de handhavingsstrategie en de inzet van handhavingsinstrumenten, is het noodzakelijk eerst beter te begrijpen in welke gevallen de </w:t>
      </w:r>
      <w:proofErr w:type="spellStart"/>
      <w:r w:rsidRPr="00217478">
        <w:rPr>
          <w:rFonts w:ascii="Verdana" w:hAnsi="Verdana"/>
          <w:sz w:val="18"/>
          <w:szCs w:val="18"/>
        </w:rPr>
        <w:t>gebruikelijkloonregeling</w:t>
      </w:r>
      <w:proofErr w:type="spellEnd"/>
      <w:r w:rsidRPr="00217478">
        <w:rPr>
          <w:rFonts w:ascii="Verdana" w:hAnsi="Verdana"/>
          <w:sz w:val="18"/>
          <w:szCs w:val="18"/>
        </w:rPr>
        <w:t xml:space="preserve"> niet correct wordt toegepast en welke factoren daarbij een rol spelen. Daarom start de Belastingdienst overeenkomstig de stappen van handhavingsregie met een analyse van de beschikbare data, gericht op het verkrijgen van inzicht in de mate waarin de </w:t>
      </w:r>
      <w:proofErr w:type="spellStart"/>
      <w:r w:rsidRPr="00217478">
        <w:rPr>
          <w:rFonts w:ascii="Verdana" w:hAnsi="Verdana"/>
          <w:sz w:val="18"/>
          <w:szCs w:val="18"/>
        </w:rPr>
        <w:t>gebruikelijkloonregeling</w:t>
      </w:r>
      <w:proofErr w:type="spellEnd"/>
      <w:r w:rsidRPr="00217478">
        <w:rPr>
          <w:rFonts w:ascii="Verdana" w:hAnsi="Verdana"/>
          <w:sz w:val="18"/>
          <w:szCs w:val="18"/>
        </w:rPr>
        <w:t xml:space="preserve"> correct wordt toegepast. De inzichten uit deze analyse kunnen worden gebruikt bij het maken van zorgvuldige keuzes over de verdere handhavingsstrategie.</w:t>
      </w:r>
      <w:r>
        <w:rPr>
          <w:rFonts w:ascii="Verdana" w:hAnsi="Verdana"/>
          <w:sz w:val="18"/>
          <w:szCs w:val="18"/>
        </w:rPr>
        <w:t xml:space="preserve"> </w:t>
      </w:r>
    </w:p>
    <w:p w:rsidR="002C53A7" w:rsidP="00DB27A4" w:rsidRDefault="002C53A7" w14:paraId="14855FCD" w14:textId="77777777">
      <w:pPr>
        <w:adjustRightInd w:val="0"/>
        <w:spacing w:line="271" w:lineRule="auto"/>
        <w:rPr>
          <w:color w:val="161616"/>
        </w:rPr>
      </w:pPr>
    </w:p>
    <w:p w:rsidRPr="002C53A7" w:rsidR="002C53A7" w:rsidP="002C53A7" w:rsidRDefault="002C53A7" w14:paraId="5BB8ED00" w14:textId="77777777">
      <w:pPr>
        <w:pStyle w:val="Lijstalinea"/>
        <w:numPr>
          <w:ilvl w:val="0"/>
          <w:numId w:val="17"/>
        </w:numPr>
        <w:adjustRightInd w:val="0"/>
        <w:spacing w:after="0" w:line="271" w:lineRule="auto"/>
        <w:ind w:left="357" w:hanging="357"/>
        <w:rPr>
          <w:rFonts w:ascii="Verdana" w:hAnsi="Verdana"/>
          <w:b/>
          <w:bCs/>
          <w:color w:val="161616"/>
          <w:sz w:val="18"/>
          <w:szCs w:val="18"/>
        </w:rPr>
      </w:pPr>
      <w:r w:rsidRPr="002C53A7">
        <w:rPr>
          <w:rFonts w:ascii="Verdana" w:hAnsi="Verdana"/>
          <w:b/>
          <w:bCs/>
          <w:color w:val="161616"/>
          <w:sz w:val="18"/>
          <w:szCs w:val="18"/>
        </w:rPr>
        <w:t>Beleidsoptie</w:t>
      </w:r>
      <w:r w:rsidR="00CA0C70">
        <w:rPr>
          <w:rFonts w:ascii="Verdana" w:hAnsi="Verdana"/>
          <w:b/>
          <w:bCs/>
          <w:color w:val="161616"/>
          <w:sz w:val="18"/>
          <w:szCs w:val="18"/>
        </w:rPr>
        <w:t xml:space="preserve">s met betrekking tot het normbedrag </w:t>
      </w:r>
      <w:r w:rsidRPr="002C53A7">
        <w:rPr>
          <w:rFonts w:ascii="Verdana" w:hAnsi="Verdana"/>
          <w:b/>
          <w:bCs/>
          <w:color w:val="161616"/>
          <w:sz w:val="18"/>
          <w:szCs w:val="18"/>
        </w:rPr>
        <w:t>gebruikelijk loon</w:t>
      </w:r>
    </w:p>
    <w:p w:rsidR="00724758" w:rsidP="00CA0C70" w:rsidRDefault="00CA0C70" w14:paraId="6068F54F" w14:textId="77777777">
      <w:pPr>
        <w:autoSpaceDE w:val="0"/>
        <w:adjustRightInd w:val="0"/>
        <w:spacing w:line="271" w:lineRule="auto"/>
        <w:rPr>
          <w:rFonts w:cs="Avenir Next LT Pro"/>
          <w:color w:val="264249"/>
        </w:rPr>
      </w:pPr>
      <w:r w:rsidRPr="000F5CDE">
        <w:t xml:space="preserve">In het evaluatierapport </w:t>
      </w:r>
      <w:r>
        <w:t xml:space="preserve">worden </w:t>
      </w:r>
      <w:r w:rsidRPr="000F5CDE">
        <w:t>ook twee beleidsopties met betrekking tot het normbedrag voorgesteld om verder te onderzoeken</w:t>
      </w:r>
      <w:r>
        <w:t xml:space="preserve">: 1) </w:t>
      </w:r>
      <w:r w:rsidR="00724758">
        <w:t xml:space="preserve">een verhoging van het huidige normbedrag van € </w:t>
      </w:r>
      <w:r w:rsidR="00875E2A">
        <w:t>58</w:t>
      </w:r>
      <w:r w:rsidR="00724758">
        <w:t xml:space="preserve">.000 anders dan de jaarlijkse wettelijke indexatie </w:t>
      </w:r>
      <w:r>
        <w:t xml:space="preserve">of 2) het normbedrag </w:t>
      </w:r>
      <w:r w:rsidRPr="000F5CDE">
        <w:t xml:space="preserve">conditioneel </w:t>
      </w:r>
      <w:r>
        <w:t xml:space="preserve">maken aan </w:t>
      </w:r>
      <w:r w:rsidRPr="000F5CDE">
        <w:t>kenmerken die samenhangen met de omvang van de onderneming</w:t>
      </w:r>
      <w:r w:rsidR="00724758">
        <w:t xml:space="preserve"> met als minimum het huidige normbedrag</w:t>
      </w:r>
      <w:r w:rsidRPr="000F5CDE">
        <w:rPr>
          <w:rFonts w:cs="Avenir Next LT Pro"/>
          <w:color w:val="264249"/>
        </w:rPr>
        <w:t>.</w:t>
      </w:r>
      <w:r>
        <w:rPr>
          <w:rFonts w:cs="Avenir Next LT Pro"/>
          <w:color w:val="264249"/>
        </w:rPr>
        <w:t xml:space="preserve"> </w:t>
      </w:r>
    </w:p>
    <w:p w:rsidR="00CA0C70" w:rsidP="00CA0C70" w:rsidRDefault="00CA0C70" w14:paraId="3597CF83" w14:textId="77777777">
      <w:pPr>
        <w:autoSpaceDE w:val="0"/>
        <w:adjustRightInd w:val="0"/>
        <w:spacing w:line="271" w:lineRule="auto"/>
      </w:pPr>
      <w:r w:rsidRPr="00E15CDE">
        <w:t>De argumentatie van de onderzoekers</w:t>
      </w:r>
      <w:r w:rsidR="00047054">
        <w:t xml:space="preserve"> van SEO</w:t>
      </w:r>
      <w:r w:rsidRPr="00E15CDE">
        <w:t xml:space="preserve"> </w:t>
      </w:r>
      <w:r>
        <w:t xml:space="preserve">voor deze beleidsopties </w:t>
      </w:r>
      <w:r w:rsidR="00724758">
        <w:t>volgt uit</w:t>
      </w:r>
      <w:r w:rsidRPr="00E15CDE">
        <w:t xml:space="preserve"> </w:t>
      </w:r>
      <w:r>
        <w:t xml:space="preserve">de uitkomst van </w:t>
      </w:r>
      <w:r w:rsidR="00047054">
        <w:t xml:space="preserve">hun </w:t>
      </w:r>
      <w:r w:rsidR="00724758">
        <w:t xml:space="preserve">analyse </w:t>
      </w:r>
      <w:r w:rsidRPr="00E15CDE">
        <w:t xml:space="preserve">dat </w:t>
      </w:r>
      <w:r w:rsidRPr="000F5CDE">
        <w:t xml:space="preserve">meer </w:t>
      </w:r>
      <w:proofErr w:type="spellStart"/>
      <w:r w:rsidRPr="000F5CDE">
        <w:t>dga’s</w:t>
      </w:r>
      <w:proofErr w:type="spellEnd"/>
      <w:r w:rsidRPr="000F5CDE">
        <w:t xml:space="preserve"> dan verklaarbaar </w:t>
      </w:r>
      <w:r>
        <w:t xml:space="preserve">een gebruikelijk loon </w:t>
      </w:r>
      <w:r w:rsidRPr="000F5CDE">
        <w:t xml:space="preserve">onder of op het normbedrag </w:t>
      </w:r>
      <w:r>
        <w:t xml:space="preserve">aangeven en omdat uit de evaluatie blijkt </w:t>
      </w:r>
      <w:r w:rsidRPr="000F5CDE">
        <w:t xml:space="preserve">dat </w:t>
      </w:r>
      <w:r>
        <w:t xml:space="preserve">het normbedrag als een ankerpunt is gaan fungeren. Zonder een eenduidige betrouwbare gegevensbron blijkt het lastig voor zowel de inhoudingsplichtige als de belastinginspecteur om een loon uit meest vergelijkbare dienstbetrekking te </w:t>
      </w:r>
      <w:r>
        <w:lastRenderedPageBreak/>
        <w:t xml:space="preserve">vinden. Ook fungeert het normbedrag als grensbedrag voor de verdeling van de bewijslast tussen inhoudingsplichtige en de belastinginspecteur. Inhoudingsplichtigen hebben in de evaluatie aangegeven het normbedrag sterk te waarderen: met het normbedrag lijk je meestal goed te zitten. Zolang het lastig blijft om een loon uit meest vergelijkbare dienstbetrekking te vinden, kan een verhoging van het normbedrag (al dan niet gedifferentieerd) mogelijk </w:t>
      </w:r>
      <w:r>
        <w:rPr>
          <w:rFonts w:cs="Avenir Next LT Pro"/>
          <w:color w:val="264249"/>
        </w:rPr>
        <w:t>de d</w:t>
      </w:r>
      <w:r w:rsidRPr="000F5CDE">
        <w:t xml:space="preserve">oeltreffendheid </w:t>
      </w:r>
      <w:r>
        <w:t xml:space="preserve">van de regeling </w:t>
      </w:r>
      <w:r w:rsidRPr="000F5CDE">
        <w:t xml:space="preserve">verbeteren </w:t>
      </w:r>
      <w:r>
        <w:t>zonder dat het ten koste hoeft te gaan van de doelmatigheid. Hierna wordt een reflectie op deze beleidsopties gegeven. Daartoe wordt eerst ingegaan op de (</w:t>
      </w:r>
      <w:proofErr w:type="spellStart"/>
      <w:r>
        <w:t>ontstaans</w:t>
      </w:r>
      <w:proofErr w:type="spellEnd"/>
      <w:r>
        <w:t xml:space="preserve">)geschiedenis van het normbedrag. </w:t>
      </w:r>
    </w:p>
    <w:p w:rsidR="00CA0C70" w:rsidP="00DB27A4" w:rsidRDefault="00CA0C70" w14:paraId="1C009914" w14:textId="77777777">
      <w:pPr>
        <w:adjustRightInd w:val="0"/>
        <w:spacing w:line="271" w:lineRule="auto"/>
        <w:rPr>
          <w:color w:val="161616"/>
        </w:rPr>
      </w:pPr>
    </w:p>
    <w:p w:rsidRPr="00CA0C70" w:rsidR="00CA0C70" w:rsidP="00CA0C70" w:rsidRDefault="00CA0C70" w14:paraId="5DFD487D" w14:textId="77777777">
      <w:pPr>
        <w:pStyle w:val="Geenafstand"/>
        <w:spacing w:line="276" w:lineRule="auto"/>
        <w:rPr>
          <w:rFonts w:ascii="Verdana" w:hAnsi="Verdana"/>
          <w:i/>
          <w:iCs/>
          <w:sz w:val="18"/>
          <w:szCs w:val="18"/>
        </w:rPr>
      </w:pPr>
      <w:r w:rsidRPr="00CA0C70">
        <w:rPr>
          <w:rFonts w:ascii="Verdana" w:hAnsi="Verdana"/>
          <w:i/>
          <w:iCs/>
          <w:sz w:val="18"/>
          <w:szCs w:val="18"/>
        </w:rPr>
        <w:t xml:space="preserve">Geschiedenis normbedrag </w:t>
      </w:r>
    </w:p>
    <w:p w:rsidRPr="00B913A8" w:rsidR="00CA0C70" w:rsidP="00CA0C70" w:rsidRDefault="00CA0C70" w14:paraId="58D2D467" w14:textId="77777777">
      <w:pPr>
        <w:autoSpaceDE w:val="0"/>
        <w:adjustRightInd w:val="0"/>
        <w:spacing w:line="271" w:lineRule="auto"/>
      </w:pPr>
      <w:r w:rsidRPr="00BC76C9">
        <w:t xml:space="preserve">De </w:t>
      </w:r>
      <w:proofErr w:type="spellStart"/>
      <w:r w:rsidRPr="00BC76C9">
        <w:t>gebruikelijkloonregeling</w:t>
      </w:r>
      <w:proofErr w:type="spellEnd"/>
      <w:r w:rsidRPr="00BC76C9">
        <w:t xml:space="preserve"> is in 1997 </w:t>
      </w:r>
      <w:r>
        <w:t xml:space="preserve">in de Wet </w:t>
      </w:r>
      <w:r w:rsidR="00625C1F">
        <w:t>op de loonbelasting</w:t>
      </w:r>
      <w:r>
        <w:t xml:space="preserve"> 1964 </w:t>
      </w:r>
      <w:r w:rsidRPr="00BC76C9">
        <w:t xml:space="preserve">ingevoerd als anti-ontwijkingsmaatregel om </w:t>
      </w:r>
      <w:proofErr w:type="spellStart"/>
      <w:r w:rsidRPr="00BC76C9">
        <w:t>dga’s</w:t>
      </w:r>
      <w:proofErr w:type="spellEnd"/>
      <w:r w:rsidRPr="00BC76C9">
        <w:t xml:space="preserve"> net als IB-ondernemers en werknemers te onderwerpen aan het progressieve tarief in box 1 en daarmee te laten bijdragen aan de volksverzekeringen en geen onbedoeld gebruik te laten maken van </w:t>
      </w:r>
      <w:r w:rsidRPr="00BC76C9" w:rsidR="00124A90">
        <w:t>inkomens</w:t>
      </w:r>
      <w:r w:rsidR="00124A90">
        <w:t>afhankelijke regelingen</w:t>
      </w:r>
      <w:r w:rsidRPr="00BC76C9">
        <w:t xml:space="preserve">. Daarnaast </w:t>
      </w:r>
      <w:r>
        <w:t>diende</w:t>
      </w:r>
      <w:r w:rsidRPr="00BC76C9">
        <w:t xml:space="preserve"> de </w:t>
      </w:r>
      <w:proofErr w:type="spellStart"/>
      <w:r w:rsidRPr="00BC76C9">
        <w:t>gebruikelijkloonregeling</w:t>
      </w:r>
      <w:proofErr w:type="spellEnd"/>
      <w:r w:rsidRPr="00BC76C9">
        <w:t xml:space="preserve"> </w:t>
      </w:r>
      <w:r>
        <w:t>a</w:t>
      </w:r>
      <w:r w:rsidRPr="006A180C">
        <w:t xml:space="preserve">ls maatregel tegen de fiscale prikkel om winsten niet uit te keren om zodoende </w:t>
      </w:r>
      <w:r w:rsidRPr="006A180C" w:rsidR="00625C1F">
        <w:t>belasting</w:t>
      </w:r>
      <w:r w:rsidR="00625C1F">
        <w:t>heffing</w:t>
      </w:r>
      <w:r w:rsidRPr="006A180C" w:rsidR="00625C1F">
        <w:t xml:space="preserve"> </w:t>
      </w:r>
      <w:r w:rsidRPr="006A180C">
        <w:t xml:space="preserve">uit te kunnen stellen. </w:t>
      </w:r>
      <w:r w:rsidRPr="00357685">
        <w:t>Het doel van het normbedrag</w:t>
      </w:r>
      <w:r>
        <w:t xml:space="preserve"> in de </w:t>
      </w:r>
      <w:proofErr w:type="spellStart"/>
      <w:r>
        <w:t>gebruikelijkloonregeling</w:t>
      </w:r>
      <w:proofErr w:type="spellEnd"/>
      <w:r>
        <w:t xml:space="preserve"> </w:t>
      </w:r>
      <w:r w:rsidRPr="00357685">
        <w:t>is eenvoud</w:t>
      </w:r>
      <w:r>
        <w:t xml:space="preserve">. Het normbedrag dient om discussies tussen de belastingplichtige en de Belastingdienst te beperken, </w:t>
      </w:r>
      <w:r w:rsidRPr="00C411A8">
        <w:t xml:space="preserve">met name in het geval </w:t>
      </w:r>
      <w:r w:rsidRPr="00E459DD">
        <w:t xml:space="preserve">het arbeidsinkomen van een </w:t>
      </w:r>
      <w:proofErr w:type="spellStart"/>
      <w:r w:rsidRPr="00E459DD">
        <w:t>dga</w:t>
      </w:r>
      <w:proofErr w:type="spellEnd"/>
      <w:r w:rsidRPr="00E459DD">
        <w:t xml:space="preserve"> zich moeilijk laat vergelijken met een meest vergelijkbare dienstbetrekking en daarmee lastig is </w:t>
      </w:r>
      <w:r w:rsidR="00625C1F">
        <w:t xml:space="preserve">in </w:t>
      </w:r>
      <w:r w:rsidRPr="00E459DD">
        <w:t xml:space="preserve">te schatten voor zowel de </w:t>
      </w:r>
      <w:proofErr w:type="spellStart"/>
      <w:r w:rsidRPr="00E459DD">
        <w:t>dga</w:t>
      </w:r>
      <w:proofErr w:type="spellEnd"/>
      <w:r w:rsidRPr="00E459DD">
        <w:t xml:space="preserve"> als de Belastingdienst. Het normbedrag beoogt dus de doelmatigheid van de regeling ten goede te komen.</w:t>
      </w:r>
      <w:r>
        <w:t xml:space="preserve"> In 1997 is in d</w:t>
      </w:r>
      <w:r w:rsidRPr="006A180C">
        <w:t xml:space="preserve">e </w:t>
      </w:r>
      <w:r w:rsidR="00907471">
        <w:t xml:space="preserve">Wet op de </w:t>
      </w:r>
      <w:r w:rsidR="00625C1F">
        <w:t xml:space="preserve">loonbelasting </w:t>
      </w:r>
      <w:r w:rsidRPr="006A180C">
        <w:t xml:space="preserve">1964 opgenomen dat de werknemer die arbeid verricht ten behoeve van een lichaam waarin hij of zijn partner een aanmerkelijk belang heeft, in principe een loon </w:t>
      </w:r>
      <w:r w:rsidR="001B1D42">
        <w:t>moet</w:t>
      </w:r>
      <w:r w:rsidRPr="006A180C">
        <w:t xml:space="preserve"> genieten van dat lichaam van ten minste het maximale inkomen </w:t>
      </w:r>
      <w:r>
        <w:t xml:space="preserve">(op dat moment </w:t>
      </w:r>
      <w:r w:rsidRPr="00CA0C70">
        <w:t>ƒ</w:t>
      </w:r>
      <w:r w:rsidR="00A067BD">
        <w:t xml:space="preserve"> </w:t>
      </w:r>
      <w:r w:rsidRPr="00CA0C70">
        <w:t xml:space="preserve">78.000, omgerekend € 35.395) </w:t>
      </w:r>
      <w:r w:rsidRPr="006A180C">
        <w:t>voor de</w:t>
      </w:r>
      <w:r w:rsidRPr="00CA0C70">
        <w:t xml:space="preserve"> Wet arbeidsongeschiktheidsverzekeringen (WAZ</w:t>
      </w:r>
      <w:r w:rsidRPr="006A180C">
        <w:rPr>
          <w:rStyle w:val="cf01"/>
        </w:rPr>
        <w:t>)</w:t>
      </w:r>
      <w:r w:rsidR="001B1D42">
        <w:rPr>
          <w:rStyle w:val="cf01"/>
        </w:rPr>
        <w:t>.</w:t>
      </w:r>
      <w:r w:rsidRPr="006A180C">
        <w:rPr>
          <w:rStyle w:val="Voetnootmarkering"/>
        </w:rPr>
        <w:footnoteReference w:id="16"/>
      </w:r>
      <w:r w:rsidRPr="006A180C">
        <w:t xml:space="preserve"> </w:t>
      </w:r>
      <w:r w:rsidR="001B1D42">
        <w:t>D</w:t>
      </w:r>
      <w:r>
        <w:t xml:space="preserve">aarbij </w:t>
      </w:r>
      <w:r w:rsidR="001B1D42">
        <w:t xml:space="preserve">is </w:t>
      </w:r>
      <w:r>
        <w:t xml:space="preserve">het aan </w:t>
      </w:r>
      <w:r w:rsidRPr="006A180C">
        <w:t>de</w:t>
      </w:r>
      <w:r w:rsidRPr="00BC76C9">
        <w:t xml:space="preserve"> inhoudingsplichtige </w:t>
      </w:r>
      <w:r>
        <w:t xml:space="preserve">om </w:t>
      </w:r>
      <w:r w:rsidRPr="00BC76C9">
        <w:t xml:space="preserve">aannemelijk te maken </w:t>
      </w:r>
      <w:r>
        <w:t>dat</w:t>
      </w:r>
      <w:r w:rsidRPr="00BC76C9">
        <w:t xml:space="preserve"> het loon lager </w:t>
      </w:r>
      <w:r w:rsidR="00625C1F">
        <w:t xml:space="preserve">dient </w:t>
      </w:r>
      <w:r w:rsidRPr="00BC76C9" w:rsidR="00625C1F">
        <w:t xml:space="preserve">te worden vastgesteld </w:t>
      </w:r>
      <w:r>
        <w:t xml:space="preserve">dan de WAZ-norm en </w:t>
      </w:r>
      <w:r w:rsidR="001B1D42">
        <w:t xml:space="preserve">is </w:t>
      </w:r>
      <w:r>
        <w:t xml:space="preserve">het aan </w:t>
      </w:r>
      <w:r w:rsidRPr="00BC76C9">
        <w:t>de</w:t>
      </w:r>
      <w:r>
        <w:t xml:space="preserve"> belastinginspecteur om </w:t>
      </w:r>
      <w:r w:rsidRPr="006341D4">
        <w:t xml:space="preserve">aannemelijk </w:t>
      </w:r>
      <w:r>
        <w:t xml:space="preserve">te maken dat </w:t>
      </w:r>
      <w:r w:rsidRPr="006341D4">
        <w:t>het loon hoger moet worden vastgesteld</w:t>
      </w:r>
      <w:r>
        <w:t xml:space="preserve">, namelijk het loon </w:t>
      </w:r>
      <w:r w:rsidRPr="006341D4">
        <w:t>dat gebruikelijk is voor een soortgelijke dienstbetrekking waarbij een aanmerkelijk belang geen rol speelt.</w:t>
      </w:r>
      <w:r>
        <w:rPr>
          <w:rStyle w:val="Voetnootmarkering"/>
        </w:rPr>
        <w:footnoteReference w:id="17"/>
      </w:r>
      <w:r w:rsidRPr="006341D4">
        <w:t xml:space="preserve"> </w:t>
      </w:r>
    </w:p>
    <w:p w:rsidR="00CA0C70" w:rsidP="00CA0C70" w:rsidRDefault="00CA0C70" w14:paraId="2B2B49F6" w14:textId="77777777">
      <w:pPr>
        <w:pStyle w:val="Geenafstand"/>
        <w:spacing w:line="276" w:lineRule="auto"/>
        <w:rPr>
          <w:rFonts w:ascii="Verdana" w:hAnsi="Verdana"/>
          <w:sz w:val="18"/>
          <w:szCs w:val="18"/>
        </w:rPr>
      </w:pPr>
    </w:p>
    <w:p w:rsidRPr="00E459DD" w:rsidR="00CA0C70" w:rsidP="00CA0C70" w:rsidRDefault="00CA0C70" w14:paraId="36C13457" w14:textId="77777777">
      <w:pPr>
        <w:pStyle w:val="Geenafstand"/>
        <w:spacing w:line="276" w:lineRule="auto"/>
        <w:rPr>
          <w:rFonts w:ascii="Verdana" w:hAnsi="Verdana"/>
          <w:sz w:val="18"/>
          <w:szCs w:val="18"/>
        </w:rPr>
      </w:pPr>
      <w:r w:rsidRPr="00E459DD">
        <w:rPr>
          <w:rFonts w:ascii="Verdana" w:hAnsi="Verdana"/>
          <w:sz w:val="18"/>
          <w:szCs w:val="18"/>
        </w:rPr>
        <w:t>Naar aanleiding van het afschaffen van de WAZ, waardoor niet langer meer bij het maximum inkomen voor de WAZ kon worden aangesloten, is met ingang van 2006 besloten het concrete normbedrag in de regeling zelf op te nemen. Het in 2005 geldende normbedrag van € 38.118 dat nog was gebaseerd op de WAZ werd wettelijk verhoogd naar €</w:t>
      </w:r>
      <w:r>
        <w:rPr>
          <w:rFonts w:ascii="Verdana" w:hAnsi="Verdana"/>
          <w:sz w:val="18"/>
          <w:szCs w:val="18"/>
        </w:rPr>
        <w:t xml:space="preserve"> </w:t>
      </w:r>
      <w:r w:rsidRPr="00E459DD">
        <w:rPr>
          <w:rFonts w:ascii="Verdana" w:hAnsi="Verdana"/>
          <w:sz w:val="18"/>
          <w:szCs w:val="18"/>
        </w:rPr>
        <w:t xml:space="preserve">39.000 (een stijging van 2,3%), met de </w:t>
      </w:r>
      <w:r w:rsidR="00625C1F">
        <w:rPr>
          <w:rFonts w:ascii="Verdana" w:hAnsi="Verdana"/>
          <w:sz w:val="18"/>
          <w:szCs w:val="18"/>
        </w:rPr>
        <w:t>toelichting</w:t>
      </w:r>
      <w:r w:rsidRPr="00E459DD" w:rsidR="00625C1F">
        <w:rPr>
          <w:rFonts w:ascii="Verdana" w:hAnsi="Verdana"/>
          <w:sz w:val="18"/>
          <w:szCs w:val="18"/>
        </w:rPr>
        <w:t xml:space="preserve"> </w:t>
      </w:r>
      <w:r w:rsidRPr="00E459DD">
        <w:rPr>
          <w:rFonts w:ascii="Verdana" w:hAnsi="Verdana"/>
          <w:sz w:val="18"/>
          <w:szCs w:val="18"/>
        </w:rPr>
        <w:t xml:space="preserve">dat </w:t>
      </w:r>
      <w:r>
        <w:rPr>
          <w:rFonts w:ascii="Verdana" w:hAnsi="Verdana"/>
          <w:sz w:val="18"/>
          <w:szCs w:val="18"/>
        </w:rPr>
        <w:t>sinds</w:t>
      </w:r>
      <w:r w:rsidRPr="00E459DD">
        <w:rPr>
          <w:rFonts w:ascii="Verdana" w:hAnsi="Verdana"/>
          <w:sz w:val="18"/>
          <w:szCs w:val="18"/>
        </w:rPr>
        <w:t xml:space="preserve"> 1998 geen indexatie had plaatsgevonden terwijl de lonen in die periode wel waren gestegen, gemiddeld zelfs met meer dan 2,3%. Daarnaast zou een afgerond bedrag van € 39.000 beter herkenbaar zijn.</w:t>
      </w:r>
      <w:r w:rsidRPr="00E459DD">
        <w:rPr>
          <w:rFonts w:ascii="Verdana" w:hAnsi="Verdana"/>
          <w:sz w:val="18"/>
          <w:szCs w:val="18"/>
          <w:vertAlign w:val="superscript"/>
        </w:rPr>
        <w:footnoteReference w:id="18"/>
      </w:r>
      <w:r w:rsidRPr="00E459DD">
        <w:rPr>
          <w:rFonts w:ascii="Verdana" w:hAnsi="Verdana"/>
          <w:sz w:val="18"/>
          <w:szCs w:val="18"/>
        </w:rPr>
        <w:t> </w:t>
      </w:r>
      <w:proofErr w:type="gramStart"/>
      <w:r w:rsidRPr="00E459DD">
        <w:rPr>
          <w:rFonts w:ascii="Verdana" w:hAnsi="Verdana"/>
          <w:sz w:val="18"/>
          <w:szCs w:val="18"/>
        </w:rPr>
        <w:t>Tevens</w:t>
      </w:r>
      <w:proofErr w:type="gramEnd"/>
      <w:r w:rsidRPr="00E459DD">
        <w:rPr>
          <w:rFonts w:ascii="Verdana" w:hAnsi="Verdana"/>
          <w:sz w:val="18"/>
          <w:szCs w:val="18"/>
        </w:rPr>
        <w:t xml:space="preserve"> is toen in de wet opgenomen dat het normbedrag jaarlijks wordt geïndexeerd met de </w:t>
      </w:r>
      <w:r w:rsidRPr="00E459DD">
        <w:rPr>
          <w:rFonts w:ascii="Verdana" w:hAnsi="Verdana"/>
          <w:sz w:val="18"/>
          <w:szCs w:val="18"/>
        </w:rPr>
        <w:lastRenderedPageBreak/>
        <w:t>tabelcorrectiefactor</w:t>
      </w:r>
      <w:r w:rsidRPr="00E459DD">
        <w:rPr>
          <w:rStyle w:val="Voetnootmarkering"/>
          <w:rFonts w:ascii="Verdana" w:hAnsi="Verdana"/>
          <w:sz w:val="18"/>
          <w:szCs w:val="18"/>
        </w:rPr>
        <w:footnoteReference w:id="19"/>
      </w:r>
      <w:r w:rsidRPr="00E459DD">
        <w:rPr>
          <w:rFonts w:ascii="Verdana" w:hAnsi="Verdana"/>
          <w:sz w:val="18"/>
          <w:szCs w:val="18"/>
        </w:rPr>
        <w:t xml:space="preserve"> en de uitkomst daarvan af te ronden op hele duizendtallen. Het normbedrag bedraagt € </w:t>
      </w:r>
      <w:r>
        <w:rPr>
          <w:rFonts w:ascii="Verdana" w:hAnsi="Verdana"/>
          <w:sz w:val="18"/>
          <w:szCs w:val="18"/>
        </w:rPr>
        <w:t>58.000</w:t>
      </w:r>
      <w:r w:rsidR="00875E2A">
        <w:rPr>
          <w:rFonts w:ascii="Verdana" w:hAnsi="Verdana"/>
          <w:sz w:val="18"/>
          <w:szCs w:val="18"/>
        </w:rPr>
        <w:t xml:space="preserve"> in 2026</w:t>
      </w:r>
      <w:r w:rsidRPr="00E459DD">
        <w:rPr>
          <w:rFonts w:ascii="Verdana" w:hAnsi="Verdana"/>
          <w:sz w:val="18"/>
          <w:szCs w:val="18"/>
        </w:rPr>
        <w:t>.</w:t>
      </w:r>
    </w:p>
    <w:p w:rsidR="00CA0C70" w:rsidP="00CA0C70" w:rsidRDefault="00CA0C70" w14:paraId="2D01BC82" w14:textId="77777777">
      <w:pPr>
        <w:pStyle w:val="Geenafstand"/>
        <w:spacing w:line="276" w:lineRule="auto"/>
        <w:rPr>
          <w:rFonts w:ascii="Verdana" w:hAnsi="Verdana"/>
          <w:sz w:val="18"/>
          <w:szCs w:val="18"/>
        </w:rPr>
      </w:pPr>
    </w:p>
    <w:p w:rsidR="00CA0C70" w:rsidP="00CA0C70" w:rsidRDefault="00CA0C70" w14:paraId="36A984F8" w14:textId="77777777">
      <w:pPr>
        <w:pStyle w:val="Geenafstand"/>
        <w:spacing w:line="276" w:lineRule="auto"/>
        <w:rPr>
          <w:rFonts w:ascii="Verdana" w:hAnsi="Verdana"/>
          <w:sz w:val="18"/>
          <w:szCs w:val="18"/>
        </w:rPr>
      </w:pPr>
      <w:r>
        <w:rPr>
          <w:rFonts w:ascii="Verdana" w:hAnsi="Verdana"/>
          <w:sz w:val="18"/>
          <w:szCs w:val="18"/>
        </w:rPr>
        <w:t>Na</w:t>
      </w:r>
      <w:r w:rsidR="00625C1F">
        <w:rPr>
          <w:rFonts w:ascii="Verdana" w:hAnsi="Verdana"/>
          <w:sz w:val="18"/>
          <w:szCs w:val="18"/>
        </w:rPr>
        <w:t xml:space="preserve">dien </w:t>
      </w:r>
      <w:r>
        <w:rPr>
          <w:rFonts w:ascii="Verdana" w:hAnsi="Verdana"/>
          <w:sz w:val="18"/>
          <w:szCs w:val="18"/>
        </w:rPr>
        <w:t>is de hoogte van het normbedrag een aantal malen ter discussie gesteld</w:t>
      </w:r>
      <w:r w:rsidR="00625C1F">
        <w:rPr>
          <w:rFonts w:ascii="Verdana" w:hAnsi="Verdana"/>
          <w:sz w:val="18"/>
          <w:szCs w:val="18"/>
        </w:rPr>
        <w:t xml:space="preserve">. Het normbedrag </w:t>
      </w:r>
      <w:r>
        <w:rPr>
          <w:rFonts w:ascii="Verdana" w:hAnsi="Verdana"/>
          <w:sz w:val="18"/>
          <w:szCs w:val="18"/>
        </w:rPr>
        <w:t>zou te hoog zijn. In de notitie Fiscale positie directeur-grootaandeelhouder uit 2009</w:t>
      </w:r>
      <w:r>
        <w:rPr>
          <w:rStyle w:val="Voetnootmarkering"/>
          <w:rFonts w:ascii="Verdana" w:hAnsi="Verdana"/>
          <w:sz w:val="18"/>
          <w:szCs w:val="18"/>
        </w:rPr>
        <w:footnoteReference w:id="20"/>
      </w:r>
      <w:r>
        <w:rPr>
          <w:rFonts w:ascii="Verdana" w:hAnsi="Verdana"/>
          <w:sz w:val="18"/>
          <w:szCs w:val="18"/>
        </w:rPr>
        <w:t xml:space="preserve"> heeft de toenmalige staatssecretaris van Financiën het normbedrag voor het minimaal in aanmerking te nemen loon (op dat moment € 40.000) als volgt verdedigd in reactie op stemmen die destijds opgingen om het normbedrag te verlagen: “</w:t>
      </w:r>
      <w:r w:rsidRPr="00162F1B">
        <w:rPr>
          <w:rFonts w:ascii="Verdana" w:hAnsi="Verdana"/>
          <w:i/>
          <w:iCs/>
          <w:sz w:val="18"/>
          <w:szCs w:val="18"/>
        </w:rPr>
        <w:t xml:space="preserve">Een </w:t>
      </w:r>
      <w:proofErr w:type="spellStart"/>
      <w:r w:rsidRPr="00162F1B">
        <w:rPr>
          <w:rFonts w:ascii="Verdana" w:hAnsi="Verdana"/>
          <w:i/>
          <w:iCs/>
          <w:sz w:val="18"/>
          <w:szCs w:val="18"/>
        </w:rPr>
        <w:t>dga</w:t>
      </w:r>
      <w:proofErr w:type="spellEnd"/>
      <w:r w:rsidRPr="00162F1B">
        <w:rPr>
          <w:rFonts w:ascii="Verdana" w:hAnsi="Verdana"/>
          <w:i/>
          <w:iCs/>
          <w:sz w:val="18"/>
          <w:szCs w:val="18"/>
        </w:rPr>
        <w:t xml:space="preserve"> is in het algemeen in staat meer te verdienen dan een gemiddelde werknemer. De thans geldende grens van € 40 000 komt uit op 125% van het modale </w:t>
      </w:r>
      <w:proofErr w:type="gramStart"/>
      <w:r w:rsidRPr="00162F1B">
        <w:rPr>
          <w:rFonts w:ascii="Verdana" w:hAnsi="Verdana"/>
          <w:i/>
          <w:iCs/>
          <w:sz w:val="18"/>
          <w:szCs w:val="18"/>
        </w:rPr>
        <w:t>bruto inkomen</w:t>
      </w:r>
      <w:proofErr w:type="gramEnd"/>
      <w:r w:rsidRPr="00162F1B">
        <w:rPr>
          <w:rFonts w:ascii="Verdana" w:hAnsi="Verdana"/>
          <w:i/>
          <w:iCs/>
          <w:sz w:val="18"/>
          <w:szCs w:val="18"/>
        </w:rPr>
        <w:t xml:space="preserve"> dat voor 2009 wordt geschat op iets meer dan € 32 000. Doordat de bij een </w:t>
      </w:r>
      <w:proofErr w:type="spellStart"/>
      <w:r w:rsidRPr="00162F1B">
        <w:rPr>
          <w:rFonts w:ascii="Verdana" w:hAnsi="Verdana"/>
          <w:i/>
          <w:iCs/>
          <w:sz w:val="18"/>
          <w:szCs w:val="18"/>
        </w:rPr>
        <w:t>dga</w:t>
      </w:r>
      <w:proofErr w:type="spellEnd"/>
      <w:r w:rsidRPr="00162F1B">
        <w:rPr>
          <w:rFonts w:ascii="Verdana" w:hAnsi="Verdana"/>
          <w:i/>
          <w:iCs/>
          <w:sz w:val="18"/>
          <w:szCs w:val="18"/>
        </w:rPr>
        <w:t xml:space="preserve"> gebruikelijke bijtelling </w:t>
      </w:r>
      <w:proofErr w:type="spellStart"/>
      <w:r w:rsidRPr="00162F1B">
        <w:rPr>
          <w:rFonts w:ascii="Verdana" w:hAnsi="Verdana"/>
          <w:i/>
          <w:iCs/>
          <w:sz w:val="18"/>
          <w:szCs w:val="18"/>
        </w:rPr>
        <w:t>privé-gebruik</w:t>
      </w:r>
      <w:proofErr w:type="spellEnd"/>
      <w:r w:rsidRPr="00162F1B">
        <w:rPr>
          <w:rFonts w:ascii="Verdana" w:hAnsi="Verdana"/>
          <w:i/>
          <w:iCs/>
          <w:sz w:val="18"/>
          <w:szCs w:val="18"/>
        </w:rPr>
        <w:t xml:space="preserve"> auto ook voor de grens van € 40 000 in aanmerking wordt genomen, betekent dit dat het brutoloon in geld van de </w:t>
      </w:r>
      <w:proofErr w:type="spellStart"/>
      <w:r w:rsidRPr="00162F1B">
        <w:rPr>
          <w:rFonts w:ascii="Verdana" w:hAnsi="Verdana"/>
          <w:i/>
          <w:iCs/>
          <w:sz w:val="18"/>
          <w:szCs w:val="18"/>
        </w:rPr>
        <w:t>dga</w:t>
      </w:r>
      <w:proofErr w:type="spellEnd"/>
      <w:r w:rsidRPr="00162F1B">
        <w:rPr>
          <w:rFonts w:ascii="Verdana" w:hAnsi="Verdana"/>
          <w:i/>
          <w:iCs/>
          <w:sz w:val="18"/>
          <w:szCs w:val="18"/>
        </w:rPr>
        <w:t xml:space="preserve"> nog geen € 3000 per maand hoeft te bedragen om aan het — zoals al gezegd: voor tegenbewijs vatbare — normbedrag te voldoen.</w:t>
      </w:r>
      <w:r>
        <w:rPr>
          <w:rFonts w:ascii="Verdana" w:hAnsi="Verdana"/>
          <w:i/>
          <w:iCs/>
          <w:sz w:val="18"/>
          <w:szCs w:val="18"/>
        </w:rPr>
        <w:t>”</w:t>
      </w:r>
      <w:r w:rsidRPr="00162F1B">
        <w:rPr>
          <w:rFonts w:ascii="Verdana" w:hAnsi="Verdana"/>
          <w:i/>
          <w:iCs/>
          <w:sz w:val="18"/>
          <w:szCs w:val="18"/>
        </w:rPr>
        <w:t xml:space="preserve"> </w:t>
      </w:r>
      <w:r w:rsidRPr="00C411A8">
        <w:rPr>
          <w:rFonts w:ascii="Verdana" w:hAnsi="Verdana"/>
          <w:sz w:val="18"/>
          <w:szCs w:val="18"/>
        </w:rPr>
        <w:t>Een lager bedrag vond de toenmalige staatssecretaris niet passen bij het uitgangspunt dat de aandeelhouder en de bv op zakelijke basis met elkaar moeten handelen</w:t>
      </w:r>
      <w:r>
        <w:rPr>
          <w:rFonts w:ascii="Verdana" w:hAnsi="Verdana"/>
          <w:sz w:val="18"/>
          <w:szCs w:val="18"/>
        </w:rPr>
        <w:t>.</w:t>
      </w:r>
      <w:r>
        <w:rPr>
          <w:rStyle w:val="Voetnootmarkering"/>
          <w:rFonts w:ascii="Verdana" w:hAnsi="Verdana"/>
          <w:sz w:val="18"/>
          <w:szCs w:val="18"/>
        </w:rPr>
        <w:footnoteReference w:id="21"/>
      </w:r>
    </w:p>
    <w:p w:rsidR="00CA0C70" w:rsidP="00CA0C70" w:rsidRDefault="00CA0C70" w14:paraId="205EEB59" w14:textId="77777777">
      <w:pPr>
        <w:autoSpaceDE w:val="0"/>
        <w:adjustRightInd w:val="0"/>
        <w:spacing w:line="271" w:lineRule="auto"/>
      </w:pPr>
      <w:bookmarkStart w:name="_Hlk215762150" w:id="2"/>
    </w:p>
    <w:p w:rsidR="00CA0C70" w:rsidP="00CA0C70" w:rsidRDefault="00CA0C70" w14:paraId="74777338" w14:textId="77777777">
      <w:pPr>
        <w:autoSpaceDE w:val="0"/>
        <w:adjustRightInd w:val="0"/>
        <w:spacing w:line="271" w:lineRule="auto"/>
      </w:pPr>
      <w:r>
        <w:t xml:space="preserve">Ook is in de reactie op de onderhavige kabinetsnotitie uit 2009 door betrokkenen voorgesteld </w:t>
      </w:r>
      <w:r w:rsidRPr="00A812AB">
        <w:t>om het normbedrag voor het minimaal in aanmerking te nemen loon naar rato te verminderen in geval van deeltijd</w:t>
      </w:r>
      <w:r>
        <w:t>. Ook dat voorstel heeft het toenmalige kabinet n</w:t>
      </w:r>
      <w:r w:rsidRPr="00A812AB">
        <w:t>iet over</w:t>
      </w:r>
      <w:r>
        <w:t xml:space="preserve">genomen juist </w:t>
      </w:r>
      <w:r w:rsidRPr="00A812AB">
        <w:t>omdat de bewijsregel zo eenvoudig mogelijk moet zijn en bij eigen bv’s vaak geen uren worden vastgelegd waarvoor bij zo’n vermindering kan worden aangesloten wat de toepassing en toetsing lastig maakt</w:t>
      </w:r>
      <w:r>
        <w:t xml:space="preserve"> en dus ten koste gaat van de doelmatigheid. Op basis van de tegenbewijsregeling kan de inhoudingsplichtige in geval van een d</w:t>
      </w:r>
      <w:r w:rsidRPr="00A812AB">
        <w:t xml:space="preserve">eeltijdfunctie </w:t>
      </w:r>
      <w:r>
        <w:t xml:space="preserve">en </w:t>
      </w:r>
      <w:r w:rsidRPr="00A812AB">
        <w:t xml:space="preserve">als daartoe aanleiding </w:t>
      </w:r>
      <w:r w:rsidR="000F6614">
        <w:t xml:space="preserve">bestaat </w:t>
      </w:r>
      <w:r>
        <w:t>wel</w:t>
      </w:r>
      <w:r w:rsidRPr="00A812AB">
        <w:t xml:space="preserve"> aannemelijk maken dat het gebruikelijk loon lager is dan het normbedrag.</w:t>
      </w:r>
      <w:r w:rsidRPr="00A812AB">
        <w:rPr>
          <w:rStyle w:val="Voetnootmarkering"/>
        </w:rPr>
        <w:footnoteReference w:id="22"/>
      </w:r>
      <w:r>
        <w:t xml:space="preserve"> </w:t>
      </w:r>
      <w:r w:rsidR="00625C1F">
        <w:t>Dit geldt ook</w:t>
      </w:r>
      <w:r w:rsidRPr="00A812AB">
        <w:t xml:space="preserve"> </w:t>
      </w:r>
      <w:r>
        <w:t xml:space="preserve">in geval een </w:t>
      </w:r>
      <w:r w:rsidRPr="00A812AB">
        <w:t>onderneming</w:t>
      </w:r>
      <w:r>
        <w:t xml:space="preserve"> verlies l</w:t>
      </w:r>
      <w:r w:rsidR="001B1D42">
        <w:t>ij</w:t>
      </w:r>
      <w:r>
        <w:t xml:space="preserve">dt. Met de tegenbewijsregeling kende de </w:t>
      </w:r>
      <w:proofErr w:type="spellStart"/>
      <w:r>
        <w:t>gebruikelijkloonregeling</w:t>
      </w:r>
      <w:proofErr w:type="spellEnd"/>
      <w:r>
        <w:t xml:space="preserve"> </w:t>
      </w:r>
      <w:r w:rsidRPr="00A812AB">
        <w:rPr>
          <w:rFonts w:cs="Univers"/>
        </w:rPr>
        <w:t xml:space="preserve">al de mogelijkheid </w:t>
      </w:r>
      <w:r>
        <w:rPr>
          <w:rFonts w:cs="Univers"/>
        </w:rPr>
        <w:t xml:space="preserve">om </w:t>
      </w:r>
      <w:r w:rsidRPr="00A812AB">
        <w:rPr>
          <w:rFonts w:cs="Univers"/>
        </w:rPr>
        <w:t xml:space="preserve">het </w:t>
      </w:r>
      <w:r>
        <w:rPr>
          <w:rFonts w:cs="Univers"/>
        </w:rPr>
        <w:t>loon</w:t>
      </w:r>
      <w:r w:rsidRPr="00A812AB">
        <w:rPr>
          <w:rFonts w:cs="Univers"/>
        </w:rPr>
        <w:t xml:space="preserve"> naar beneden bij te stellen als sprake is van een structurele verliessituatie</w:t>
      </w:r>
      <w:r>
        <w:rPr>
          <w:rFonts w:cs="Univers"/>
        </w:rPr>
        <w:t xml:space="preserve"> waarbij</w:t>
      </w:r>
      <w:r w:rsidRPr="00A812AB">
        <w:rPr>
          <w:rFonts w:cs="Univers"/>
        </w:rPr>
        <w:t xml:space="preserve"> de continuïteit van de bv in gevaar komt.</w:t>
      </w:r>
      <w:r w:rsidRPr="00A812AB">
        <w:rPr>
          <w:rStyle w:val="Voetnootmarkering"/>
          <w:rFonts w:cs="Univers"/>
        </w:rPr>
        <w:footnoteReference w:id="23"/>
      </w:r>
      <w:r>
        <w:t xml:space="preserve"> Nadien is </w:t>
      </w:r>
      <w:r w:rsidR="00625C1F">
        <w:t xml:space="preserve">voor zover bekend </w:t>
      </w:r>
      <w:r>
        <w:t xml:space="preserve">de hoogte van het normbedrag niet meer ter discussie gesteld, ook niet bij de introductie van het begrip ‘meest vergelijkbare dienstbetrekking’ ter vervanging van het begrip ‘soortgelijke dienstbetrekking’ in het Belastingplan 2015. </w:t>
      </w:r>
    </w:p>
    <w:p w:rsidR="00CA0C70" w:rsidP="00CA0C70" w:rsidRDefault="00CA0C70" w14:paraId="258C2CE6" w14:textId="77777777">
      <w:pPr>
        <w:autoSpaceDE w:val="0"/>
        <w:adjustRightInd w:val="0"/>
        <w:spacing w:line="271" w:lineRule="auto"/>
      </w:pPr>
      <w:r>
        <w:t xml:space="preserve"> </w:t>
      </w:r>
      <w:bookmarkEnd w:id="2"/>
    </w:p>
    <w:p w:rsidRPr="007464DC" w:rsidR="00CA0C70" w:rsidP="00CA0C70" w:rsidRDefault="007464DC" w14:paraId="0DA32948" w14:textId="77777777">
      <w:pPr>
        <w:pStyle w:val="Geenafstand"/>
        <w:spacing w:line="276" w:lineRule="auto"/>
        <w:rPr>
          <w:rFonts w:ascii="Verdana" w:hAnsi="Verdana"/>
          <w:b/>
          <w:bCs/>
          <w:sz w:val="18"/>
          <w:szCs w:val="18"/>
        </w:rPr>
      </w:pPr>
      <w:r w:rsidRPr="007464DC">
        <w:rPr>
          <w:rFonts w:ascii="Verdana" w:hAnsi="Verdana"/>
          <w:b/>
          <w:bCs/>
          <w:sz w:val="18"/>
          <w:szCs w:val="18"/>
        </w:rPr>
        <w:t xml:space="preserve">6.1 </w:t>
      </w:r>
      <w:r w:rsidRPr="007464DC" w:rsidR="00CA0C70">
        <w:rPr>
          <w:rFonts w:ascii="Verdana" w:hAnsi="Verdana"/>
          <w:b/>
          <w:bCs/>
          <w:sz w:val="18"/>
          <w:szCs w:val="18"/>
        </w:rPr>
        <w:t>Beleidsoptie generieke verhoging normbedrag</w:t>
      </w:r>
    </w:p>
    <w:p w:rsidR="00724758" w:rsidP="00CA0C70" w:rsidRDefault="00724758" w14:paraId="47736BB3" w14:textId="77777777">
      <w:pPr>
        <w:autoSpaceDE w:val="0"/>
        <w:adjustRightInd w:val="0"/>
        <w:spacing w:line="271" w:lineRule="auto"/>
        <w:rPr>
          <w:i/>
          <w:iCs/>
        </w:rPr>
      </w:pPr>
    </w:p>
    <w:p w:rsidRPr="00724758" w:rsidR="00724758" w:rsidP="00CA0C70" w:rsidRDefault="00724758" w14:paraId="31F782E0" w14:textId="77777777">
      <w:pPr>
        <w:autoSpaceDE w:val="0"/>
        <w:adjustRightInd w:val="0"/>
        <w:spacing w:line="271" w:lineRule="auto"/>
        <w:rPr>
          <w:i/>
          <w:iCs/>
        </w:rPr>
      </w:pPr>
      <w:r w:rsidRPr="00724758">
        <w:rPr>
          <w:i/>
          <w:iCs/>
        </w:rPr>
        <w:t>Appreciatie</w:t>
      </w:r>
    </w:p>
    <w:p w:rsidR="00724758" w:rsidP="00CA0C70" w:rsidRDefault="00CA0C70" w14:paraId="7F64A4D6" w14:textId="77777777">
      <w:pPr>
        <w:autoSpaceDE w:val="0"/>
        <w:adjustRightInd w:val="0"/>
        <w:spacing w:line="271" w:lineRule="auto"/>
      </w:pPr>
      <w:r>
        <w:t xml:space="preserve">Zoals hierboven toegelicht zagen voorgaande kabinetten in elk geval geen reden het wettelijk normbedrag </w:t>
      </w:r>
      <w:r w:rsidRPr="00A812AB">
        <w:t xml:space="preserve">voor het minimaal in aanmerking te nemen loon </w:t>
      </w:r>
      <w:r>
        <w:t xml:space="preserve">te verlagen. Verder hebben voorgaande kabinetten nadrukkelijk gewezen op het doel van het normbedrag: eenvoud en doelmatigheid. Het normbedrag heeft </w:t>
      </w:r>
      <w:r w:rsidR="00625C1F">
        <w:t xml:space="preserve">als </w:t>
      </w:r>
      <w:r>
        <w:t xml:space="preserve">functie </w:t>
      </w:r>
      <w:r w:rsidRPr="00E327D7">
        <w:t xml:space="preserve">het </w:t>
      </w:r>
      <w:r>
        <w:t xml:space="preserve">in beginsel </w:t>
      </w:r>
      <w:r w:rsidRPr="00E327D7">
        <w:t xml:space="preserve">minimaal in aanmerking te nemen loon voor een </w:t>
      </w:r>
      <w:proofErr w:type="spellStart"/>
      <w:r w:rsidRPr="00E327D7">
        <w:t>dga</w:t>
      </w:r>
      <w:proofErr w:type="spellEnd"/>
      <w:r w:rsidRPr="00E327D7">
        <w:t xml:space="preserve"> én als </w:t>
      </w:r>
      <w:r w:rsidRPr="00E327D7">
        <w:lastRenderedPageBreak/>
        <w:t>grens voor de bewijslastverdeling tussen de inhoudingsplichtige en de belastinginspecteur. Een deeltijdfunctie</w:t>
      </w:r>
      <w:r w:rsidR="005162E0">
        <w:t xml:space="preserve">, </w:t>
      </w:r>
      <w:r w:rsidR="00460E8D">
        <w:t>een startende</w:t>
      </w:r>
      <w:r w:rsidRPr="00E327D7" w:rsidR="00460E8D">
        <w:t xml:space="preserve"> </w:t>
      </w:r>
      <w:r w:rsidRPr="00E327D7">
        <w:t>een onderneming, een structurele verliessituatie of een lager loon uit een meest vergelijkbare dienstbetrekking kunnen redenen zijn dat het loon lager dan het normbedrag moet worden vastgesteld. Dit moet aannemelijk worden gemaakt door de inhoudingsplichtige. Andersom dient de inspecteur aannemelijk te maken dat het loon uit</w:t>
      </w:r>
      <w:r w:rsidR="00D571CE">
        <w:t xml:space="preserve"> de meest</w:t>
      </w:r>
      <w:r w:rsidRPr="00E327D7">
        <w:t xml:space="preserve"> vergelijkbare dienstbare betrekking hoger ligt. Gegeven de functie van het normbedrag met behorende bewijslastverdeling dient een hoger normbedrag</w:t>
      </w:r>
      <w:r>
        <w:t xml:space="preserve"> goed te worden onderbouwd. Een te hoog normbedrag zorgt voor een verandering in de </w:t>
      </w:r>
      <w:r w:rsidRPr="000B2F76">
        <w:t>bewijslastverdeling</w:t>
      </w:r>
      <w:r>
        <w:t xml:space="preserve">, met als risico </w:t>
      </w:r>
      <w:r w:rsidRPr="000B2F76">
        <w:t xml:space="preserve">meer discussies tussen inhoudingsplichtigen en de </w:t>
      </w:r>
      <w:r w:rsidR="00625C1F">
        <w:t>B</w:t>
      </w:r>
      <w:r w:rsidRPr="000B2F76">
        <w:t>elastingdienst</w:t>
      </w:r>
      <w:r>
        <w:t xml:space="preserve"> als het normbedrag niet goed </w:t>
      </w:r>
      <w:r w:rsidR="00625C1F">
        <w:t>aansluit bij de praktijk</w:t>
      </w:r>
      <w:r>
        <w:t>. Daarmee zorgt het ook</w:t>
      </w:r>
      <w:r w:rsidRPr="000B2F76">
        <w:t xml:space="preserve"> voor hogere administratieve lasten voor de </w:t>
      </w:r>
      <w:proofErr w:type="spellStart"/>
      <w:r w:rsidRPr="000B2F76">
        <w:t>dga’s</w:t>
      </w:r>
      <w:proofErr w:type="spellEnd"/>
      <w:r w:rsidRPr="000B2F76">
        <w:t xml:space="preserve">, omdat bij hun de bewijslast ligt voor een lager in aanmerking te nemen loon. </w:t>
      </w:r>
    </w:p>
    <w:p w:rsidR="00724758" w:rsidP="00CA0C70" w:rsidRDefault="00724758" w14:paraId="5314A14C" w14:textId="77777777">
      <w:pPr>
        <w:autoSpaceDE w:val="0"/>
        <w:adjustRightInd w:val="0"/>
        <w:spacing w:line="271" w:lineRule="auto"/>
      </w:pPr>
    </w:p>
    <w:p w:rsidR="00CA0C70" w:rsidP="00CA0C70" w:rsidRDefault="00CA0C70" w14:paraId="597CCEAE" w14:textId="77777777">
      <w:pPr>
        <w:autoSpaceDE w:val="0"/>
        <w:adjustRightInd w:val="0"/>
        <w:spacing w:line="271" w:lineRule="auto"/>
      </w:pPr>
      <w:r w:rsidRPr="000B2F76">
        <w:t xml:space="preserve">De evaluatie geeft geen aangrijpingspunten voor de mate waarin het normbedrag </w:t>
      </w:r>
      <w:r>
        <w:t>zou kunnen</w:t>
      </w:r>
      <w:r w:rsidRPr="000B2F76">
        <w:t xml:space="preserve"> worden verhoogd. Een aangrijpingspunt zou zijn als het normbedrag in de loop van de tijd niet zou zijn geïndexeerd dan wel veel lager is komen te liggen dan 125% van het modale </w:t>
      </w:r>
      <w:proofErr w:type="gramStart"/>
      <w:r w:rsidRPr="000B2F76">
        <w:t>b</w:t>
      </w:r>
      <w:r>
        <w:t>r</w:t>
      </w:r>
      <w:r w:rsidRPr="000B2F76">
        <w:t>uto inkomen</w:t>
      </w:r>
      <w:proofErr w:type="gramEnd"/>
      <w:r>
        <w:t xml:space="preserve">. Dit inkomen komt voor 2026 naar de huidige verwachting uit op € 46.500 bruto per jaar </w:t>
      </w:r>
      <w:r w:rsidRPr="002F2FDD">
        <w:t xml:space="preserve">inclusief vakantiegeld. Dit bedrag vermenigvuldigd met 1,25 </w:t>
      </w:r>
      <w:r w:rsidR="00F252C9">
        <w:t>geeft</w:t>
      </w:r>
      <w:r w:rsidRPr="002F2FDD" w:rsidR="00F252C9">
        <w:t xml:space="preserve"> </w:t>
      </w:r>
      <w:r w:rsidRPr="002F2FDD">
        <w:t>€ 58.125. Dit</w:t>
      </w:r>
      <w:r>
        <w:t xml:space="preserve"> wijkt nauwelijks af van het normbedrag van € 58.000 in 2026. </w:t>
      </w:r>
      <w:r w:rsidRPr="00216658">
        <w:t>Ge</w:t>
      </w:r>
      <w:r>
        <w:t xml:space="preserve">let op de huidige functie van het normbedrag </w:t>
      </w:r>
      <w:r w:rsidR="00625C1F">
        <w:t>zijn er</w:t>
      </w:r>
      <w:r>
        <w:t xml:space="preserve"> op dit moment weinig aanknopingspunten voor een </w:t>
      </w:r>
      <w:r w:rsidR="00AF7AE2">
        <w:t xml:space="preserve">inhoudelijk </w:t>
      </w:r>
      <w:r>
        <w:t>onderbouwde generieke verhoging van het normbedrag</w:t>
      </w:r>
      <w:r w:rsidRPr="00216658">
        <w:t xml:space="preserve">. </w:t>
      </w:r>
      <w:r>
        <w:t xml:space="preserve"> </w:t>
      </w:r>
    </w:p>
    <w:p w:rsidR="00CA0C70" w:rsidP="00CA0C70" w:rsidRDefault="00CA0C70" w14:paraId="2411BC89" w14:textId="77777777">
      <w:pPr>
        <w:autoSpaceDE w:val="0"/>
        <w:adjustRightInd w:val="0"/>
        <w:spacing w:line="271" w:lineRule="auto"/>
      </w:pPr>
    </w:p>
    <w:p w:rsidRPr="007464DC" w:rsidR="00CA0C70" w:rsidP="00CA0C70" w:rsidRDefault="007464DC" w14:paraId="577A86A5" w14:textId="77777777">
      <w:pPr>
        <w:pStyle w:val="Geenafstand"/>
        <w:spacing w:line="271" w:lineRule="auto"/>
        <w:rPr>
          <w:rFonts w:ascii="Verdana" w:hAnsi="Verdana"/>
          <w:b/>
          <w:bCs/>
          <w:sz w:val="18"/>
          <w:szCs w:val="18"/>
        </w:rPr>
      </w:pPr>
      <w:r w:rsidRPr="007464DC">
        <w:rPr>
          <w:rFonts w:ascii="Verdana" w:hAnsi="Verdana"/>
          <w:b/>
          <w:bCs/>
          <w:sz w:val="18"/>
          <w:szCs w:val="18"/>
        </w:rPr>
        <w:t xml:space="preserve">6.2 Beleidsoptie: </w:t>
      </w:r>
      <w:r w:rsidRPr="007464DC" w:rsidR="00CA0C70">
        <w:rPr>
          <w:rFonts w:ascii="Verdana" w:hAnsi="Verdana"/>
          <w:b/>
          <w:bCs/>
          <w:sz w:val="18"/>
          <w:szCs w:val="18"/>
        </w:rPr>
        <w:t xml:space="preserve">normbedrag variëren met de hoogte van de loonsom </w:t>
      </w:r>
    </w:p>
    <w:p w:rsidR="007464DC" w:rsidP="00CA0C70" w:rsidRDefault="007464DC" w14:paraId="128C4E99" w14:textId="77777777">
      <w:pPr>
        <w:autoSpaceDE w:val="0"/>
        <w:adjustRightInd w:val="0"/>
        <w:spacing w:line="271" w:lineRule="auto"/>
      </w:pPr>
    </w:p>
    <w:p w:rsidRPr="007464DC" w:rsidR="007464DC" w:rsidP="00CA0C70" w:rsidRDefault="003A214A" w14:paraId="2BAFF137" w14:textId="77777777">
      <w:pPr>
        <w:autoSpaceDE w:val="0"/>
        <w:adjustRightInd w:val="0"/>
        <w:spacing w:line="271" w:lineRule="auto"/>
        <w:rPr>
          <w:i/>
          <w:iCs/>
        </w:rPr>
      </w:pPr>
      <w:r>
        <w:rPr>
          <w:i/>
          <w:iCs/>
        </w:rPr>
        <w:t>R</w:t>
      </w:r>
      <w:r w:rsidRPr="007464DC" w:rsidR="007464DC">
        <w:rPr>
          <w:i/>
          <w:iCs/>
        </w:rPr>
        <w:t xml:space="preserve">atio </w:t>
      </w:r>
      <w:r>
        <w:rPr>
          <w:i/>
          <w:iCs/>
        </w:rPr>
        <w:t>van SEO voor</w:t>
      </w:r>
      <w:r w:rsidRPr="007464DC" w:rsidR="007464DC">
        <w:rPr>
          <w:i/>
          <w:iCs/>
        </w:rPr>
        <w:t xml:space="preserve"> deze beleidsoptie</w:t>
      </w:r>
    </w:p>
    <w:p w:rsidR="00CA0C70" w:rsidP="00CA0C70" w:rsidRDefault="00F252C9" w14:paraId="17C59636" w14:textId="77777777">
      <w:pPr>
        <w:autoSpaceDE w:val="0"/>
        <w:adjustRightInd w:val="0"/>
        <w:spacing w:line="271" w:lineRule="auto"/>
      </w:pPr>
      <w:r>
        <w:t xml:space="preserve">De onderzoekers van </w:t>
      </w:r>
      <w:r w:rsidR="007464DC">
        <w:t>SEO</w:t>
      </w:r>
      <w:r w:rsidRPr="00E83A5D" w:rsidR="00CA0C70">
        <w:t xml:space="preserve"> zie</w:t>
      </w:r>
      <w:r>
        <w:t>n</w:t>
      </w:r>
      <w:r w:rsidRPr="00E83A5D" w:rsidR="00CA0C70">
        <w:t xml:space="preserve"> </w:t>
      </w:r>
      <w:r w:rsidR="00CA0C70">
        <w:t xml:space="preserve">op basis van </w:t>
      </w:r>
      <w:r w:rsidR="007464DC">
        <w:t xml:space="preserve">hun </w:t>
      </w:r>
      <w:r w:rsidR="00CA0C70">
        <w:t xml:space="preserve">regressieanalyse </w:t>
      </w:r>
      <w:r w:rsidRPr="00E83A5D" w:rsidR="00CA0C70">
        <w:t xml:space="preserve">een sterk verband tussen </w:t>
      </w:r>
      <w:r w:rsidR="00CA0C70">
        <w:t xml:space="preserve">de </w:t>
      </w:r>
      <w:r w:rsidR="00875E2A">
        <w:t>omvang van de onderneming</w:t>
      </w:r>
      <w:r w:rsidRPr="00E83A5D" w:rsidR="00CA0C70">
        <w:rPr>
          <w:rStyle w:val="Voetnootmarkering"/>
        </w:rPr>
        <w:footnoteReference w:id="24"/>
      </w:r>
      <w:r w:rsidRPr="00E83A5D" w:rsidR="00CA0C70">
        <w:t xml:space="preserve"> en de hoogte van het gebruikelijk loon van de </w:t>
      </w:r>
      <w:proofErr w:type="spellStart"/>
      <w:r w:rsidRPr="00E83A5D" w:rsidR="00CA0C70">
        <w:t>dga</w:t>
      </w:r>
      <w:proofErr w:type="spellEnd"/>
      <w:r w:rsidRPr="00E83A5D" w:rsidR="00CA0C70">
        <w:t>.</w:t>
      </w:r>
      <w:r w:rsidRPr="00E83A5D" w:rsidR="00CA0C70">
        <w:rPr>
          <w:rStyle w:val="Voetnootmarkering"/>
        </w:rPr>
        <w:footnoteReference w:id="25"/>
      </w:r>
      <w:r w:rsidRPr="00E83A5D" w:rsidR="00CA0C70">
        <w:t xml:space="preserve"> </w:t>
      </w:r>
      <w:r w:rsidRPr="00944423" w:rsidR="00CA0C70">
        <w:rPr>
          <w:rFonts w:cs="Avenir Next LT Pro"/>
        </w:rPr>
        <w:t>De</w:t>
      </w:r>
      <w:r w:rsidR="00CA0C70">
        <w:rPr>
          <w:rFonts w:cs="Avenir Next LT Pro"/>
        </w:rPr>
        <w:t xml:space="preserve"> </w:t>
      </w:r>
      <w:r w:rsidRPr="00944423" w:rsidR="00CA0C70">
        <w:rPr>
          <w:rFonts w:cs="Avenir Next LT Pro"/>
        </w:rPr>
        <w:t xml:space="preserve">loonsom is een maatstaf voor de omvang van </w:t>
      </w:r>
      <w:r w:rsidR="00875E2A">
        <w:rPr>
          <w:rFonts w:cs="Avenir Next LT Pro"/>
        </w:rPr>
        <w:t>een onderneming</w:t>
      </w:r>
      <w:r w:rsidRPr="00944423" w:rsidR="00CA0C70">
        <w:rPr>
          <w:rFonts w:cs="Avenir Next LT Pro"/>
        </w:rPr>
        <w:t xml:space="preserve">. Dit </w:t>
      </w:r>
      <w:r w:rsidR="00CA0C70">
        <w:rPr>
          <w:rFonts w:cs="Avenir Next LT Pro"/>
        </w:rPr>
        <w:t xml:space="preserve">resultaat </w:t>
      </w:r>
      <w:r w:rsidRPr="00944423" w:rsidR="00CA0C70">
        <w:rPr>
          <w:rFonts w:cs="Avenir Next LT Pro"/>
        </w:rPr>
        <w:t>is consistent met de wetenschappelijke</w:t>
      </w:r>
      <w:r w:rsidR="00CA0C70">
        <w:rPr>
          <w:rFonts w:cs="Avenir Next LT Pro"/>
        </w:rPr>
        <w:t xml:space="preserve"> </w:t>
      </w:r>
      <w:r w:rsidRPr="00944423" w:rsidR="00CA0C70">
        <w:rPr>
          <w:rFonts w:cs="Avenir Next LT Pro"/>
        </w:rPr>
        <w:t xml:space="preserve">literatuur </w:t>
      </w:r>
      <w:r w:rsidR="00CA0C70">
        <w:rPr>
          <w:rFonts w:cs="Avenir Next LT Pro"/>
        </w:rPr>
        <w:t>over d</w:t>
      </w:r>
      <w:r w:rsidRPr="00944423" w:rsidR="00CA0C70">
        <w:rPr>
          <w:rFonts w:cs="Avenir Next LT Pro"/>
        </w:rPr>
        <w:t xml:space="preserve">e beloning van </w:t>
      </w:r>
      <w:proofErr w:type="spellStart"/>
      <w:r w:rsidRPr="00944423" w:rsidR="00CA0C70">
        <w:rPr>
          <w:rFonts w:cs="Avenir Next LT Pro"/>
        </w:rPr>
        <w:t>CEO’s</w:t>
      </w:r>
      <w:proofErr w:type="spellEnd"/>
      <w:r w:rsidR="00CA0C70">
        <w:rPr>
          <w:rFonts w:cs="Avenir Next LT Pro"/>
        </w:rPr>
        <w:t>.</w:t>
      </w:r>
      <w:r w:rsidR="00CA0C70">
        <w:rPr>
          <w:rStyle w:val="Voetnootmarkering"/>
          <w:rFonts w:cs="Avenir Next LT Pro"/>
        </w:rPr>
        <w:footnoteReference w:id="26"/>
      </w:r>
      <w:r w:rsidR="00CA0C70">
        <w:rPr>
          <w:rFonts w:cs="Avenir Next LT Pro"/>
        </w:rPr>
        <w:t xml:space="preserve"> </w:t>
      </w:r>
      <w:r w:rsidRPr="00944423" w:rsidR="00CA0C70">
        <w:rPr>
          <w:rFonts w:cs="Avenir Next LT Pro"/>
        </w:rPr>
        <w:t>Een groot bedrijf met veel</w:t>
      </w:r>
      <w:r w:rsidR="00CA0C70">
        <w:t xml:space="preserve"> </w:t>
      </w:r>
      <w:r w:rsidRPr="00944423" w:rsidR="00CA0C70">
        <w:rPr>
          <w:rFonts w:cs="Avenir Next LT Pro"/>
        </w:rPr>
        <w:t xml:space="preserve">werknemers is </w:t>
      </w:r>
      <w:r w:rsidR="00CA0C70">
        <w:rPr>
          <w:rFonts w:cs="Avenir Next LT Pro"/>
        </w:rPr>
        <w:t xml:space="preserve">meestal </w:t>
      </w:r>
      <w:r w:rsidRPr="00944423" w:rsidR="00CA0C70">
        <w:rPr>
          <w:rFonts w:cs="Avenir Next LT Pro"/>
        </w:rPr>
        <w:t>complexer om aan te sturen en gaat gepaard met grotere financiële belangen. Om deze</w:t>
      </w:r>
      <w:r w:rsidR="00CA0C70">
        <w:rPr>
          <w:rFonts w:cs="Avenir Next LT Pro"/>
        </w:rPr>
        <w:t xml:space="preserve"> </w:t>
      </w:r>
      <w:r w:rsidRPr="00944423" w:rsidR="00CA0C70">
        <w:rPr>
          <w:rFonts w:cs="Avenir Next LT Pro"/>
        </w:rPr>
        <w:t xml:space="preserve">reden </w:t>
      </w:r>
      <w:r w:rsidR="00CA0C70">
        <w:rPr>
          <w:rFonts w:cs="Avenir Next LT Pro"/>
        </w:rPr>
        <w:t xml:space="preserve">kan </w:t>
      </w:r>
      <w:r w:rsidRPr="00944423" w:rsidR="00CA0C70">
        <w:rPr>
          <w:rFonts w:cs="Avenir Next LT Pro"/>
        </w:rPr>
        <w:t xml:space="preserve">de loonsom van een bedrijf een redelijke indicator </w:t>
      </w:r>
      <w:r w:rsidR="00CA0C70">
        <w:rPr>
          <w:rFonts w:cs="Avenir Next LT Pro"/>
        </w:rPr>
        <w:t xml:space="preserve">zijn </w:t>
      </w:r>
      <w:r w:rsidRPr="00944423" w:rsidR="00CA0C70">
        <w:rPr>
          <w:rFonts w:cs="Avenir Next LT Pro"/>
        </w:rPr>
        <w:t>voor de beloning van de directeur.</w:t>
      </w:r>
      <w:r w:rsidR="00CA0C70">
        <w:rPr>
          <w:rFonts w:cs="Avenir Next LT Pro"/>
        </w:rPr>
        <w:t xml:space="preserve"> </w:t>
      </w:r>
      <w:r w:rsidRPr="004D6FF6" w:rsidR="00CA0C70">
        <w:rPr>
          <w:rFonts w:cs="Avenir Next LT Pro"/>
        </w:rPr>
        <w:t xml:space="preserve">Uit de loonvergelijking die </w:t>
      </w:r>
      <w:r w:rsidR="007464DC">
        <w:rPr>
          <w:rFonts w:cs="Avenir Next LT Pro"/>
        </w:rPr>
        <w:t xml:space="preserve">door SEO </w:t>
      </w:r>
      <w:r w:rsidRPr="004D6FF6" w:rsidR="00CA0C70">
        <w:rPr>
          <w:rFonts w:cs="Avenir Next LT Pro"/>
        </w:rPr>
        <w:t xml:space="preserve">is opgesteld blijkt dat de loonsom een sterk verklarende waarde heeft voor het loon van de </w:t>
      </w:r>
      <w:proofErr w:type="spellStart"/>
      <w:r w:rsidRPr="004D6FF6" w:rsidR="00CA0C70">
        <w:rPr>
          <w:rFonts w:cs="Avenir Next LT Pro"/>
        </w:rPr>
        <w:t>dga</w:t>
      </w:r>
      <w:proofErr w:type="spellEnd"/>
      <w:r w:rsidR="00CA0C70">
        <w:rPr>
          <w:rFonts w:cs="Avenir Next LT Pro"/>
        </w:rPr>
        <w:t>, meer dan de andere verklarende variabelen die in de loonvergelijking zijn meegenomen</w:t>
      </w:r>
      <w:r w:rsidRPr="004D6FF6" w:rsidR="00CA0C70">
        <w:rPr>
          <w:rFonts w:cs="Avenir Next LT Pro"/>
        </w:rPr>
        <w:t>.</w:t>
      </w:r>
      <w:r w:rsidRPr="004D6FF6" w:rsidR="00CA0C70">
        <w:t xml:space="preserve"> </w:t>
      </w:r>
      <w:r w:rsidR="007464DC">
        <w:t xml:space="preserve">SEO </w:t>
      </w:r>
      <w:r w:rsidRPr="004D6FF6" w:rsidR="00CA0C70">
        <w:t>conclude</w:t>
      </w:r>
      <w:r w:rsidR="007464DC">
        <w:t>e</w:t>
      </w:r>
      <w:r w:rsidRPr="004D6FF6" w:rsidR="00CA0C70">
        <w:t>r</w:t>
      </w:r>
      <w:r w:rsidR="007464DC">
        <w:t>t</w:t>
      </w:r>
      <w:r w:rsidRPr="004D6FF6" w:rsidR="00CA0C70">
        <w:t xml:space="preserve"> daaruit dat een normbedrag op basis van de loonsom een betere inschatting </w:t>
      </w:r>
      <w:r w:rsidR="00CA0C70">
        <w:t xml:space="preserve">zou kunnen geven </w:t>
      </w:r>
      <w:r w:rsidRPr="004D6FF6" w:rsidR="00CA0C70">
        <w:t xml:space="preserve">van het minimaal in aanmerking te nemen loon van een </w:t>
      </w:r>
      <w:proofErr w:type="spellStart"/>
      <w:r w:rsidRPr="004D6FF6" w:rsidR="00CA0C70">
        <w:t>dga</w:t>
      </w:r>
      <w:proofErr w:type="spellEnd"/>
      <w:r w:rsidR="00CA0C70">
        <w:t xml:space="preserve">. In het </w:t>
      </w:r>
      <w:r w:rsidR="007464DC">
        <w:t>evaluatie</w:t>
      </w:r>
      <w:r w:rsidR="00CA0C70">
        <w:t>rapport is ter indicatie een tabel met normbedragen opgenomen die o</w:t>
      </w:r>
      <w:r w:rsidRPr="004D6FF6" w:rsidR="00CA0C70">
        <w:t>nderscheiden kunnen worden op basis van</w:t>
      </w:r>
      <w:r w:rsidR="00CA0C70">
        <w:t xml:space="preserve"> </w:t>
      </w:r>
      <w:r w:rsidRPr="004D6FF6" w:rsidR="00CA0C70">
        <w:t>de loonsom.</w:t>
      </w:r>
      <w:r w:rsidR="007464DC">
        <w:rPr>
          <w:rStyle w:val="Voetnootmarkering"/>
        </w:rPr>
        <w:footnoteReference w:id="27"/>
      </w:r>
      <w:r w:rsidRPr="004D6FF6" w:rsidR="00CA0C70">
        <w:t xml:space="preserve"> De</w:t>
      </w:r>
      <w:r w:rsidR="00CA0C70">
        <w:t>ze</w:t>
      </w:r>
      <w:r w:rsidRPr="004D6FF6" w:rsidR="00CA0C70">
        <w:t xml:space="preserve"> ondergrenzen zijn samengesteld met het verband dat </w:t>
      </w:r>
      <w:r w:rsidR="00CA0C70">
        <w:t xml:space="preserve">de onderzoekers in hun analyse hebben </w:t>
      </w:r>
      <w:r w:rsidRPr="004D6FF6" w:rsidR="00CA0C70">
        <w:t>gevonden tussen de lonen</w:t>
      </w:r>
      <w:r w:rsidR="00CA0C70">
        <w:t xml:space="preserve"> van de </w:t>
      </w:r>
      <w:proofErr w:type="spellStart"/>
      <w:r w:rsidR="00CA0C70">
        <w:t>dga</w:t>
      </w:r>
      <w:proofErr w:type="spellEnd"/>
      <w:r w:rsidRPr="004D6FF6" w:rsidR="00CA0C70">
        <w:t xml:space="preserve"> en de loonsom</w:t>
      </w:r>
      <w:r w:rsidR="00CA0C70">
        <w:t xml:space="preserve">. </w:t>
      </w:r>
    </w:p>
    <w:p w:rsidR="00CA0C70" w:rsidP="00CA0C70" w:rsidRDefault="00CA0C70" w14:paraId="1220572F" w14:textId="77777777">
      <w:pPr>
        <w:autoSpaceDE w:val="0"/>
        <w:adjustRightInd w:val="0"/>
        <w:spacing w:line="240" w:lineRule="auto"/>
      </w:pPr>
    </w:p>
    <w:p w:rsidRPr="003A214A" w:rsidR="007464DC" w:rsidP="00CA0C70" w:rsidRDefault="007464DC" w14:paraId="7DBD5713" w14:textId="77777777">
      <w:pPr>
        <w:autoSpaceDE w:val="0"/>
        <w:adjustRightInd w:val="0"/>
        <w:spacing w:line="240" w:lineRule="auto"/>
        <w:rPr>
          <w:i/>
          <w:iCs/>
          <w:sz w:val="16"/>
          <w:szCs w:val="16"/>
        </w:rPr>
      </w:pPr>
      <w:r w:rsidRPr="003A214A">
        <w:rPr>
          <w:i/>
          <w:iCs/>
          <w:sz w:val="16"/>
          <w:szCs w:val="16"/>
        </w:rPr>
        <w:t>Tabel met voorbeeld van ondergrens naar hoogte loonsom</w:t>
      </w:r>
      <w:r w:rsidRPr="003A214A" w:rsidR="003A214A">
        <w:rPr>
          <w:i/>
          <w:iCs/>
          <w:sz w:val="16"/>
          <w:szCs w:val="16"/>
        </w:rPr>
        <w:t xml:space="preserve"> (bron: SEO)</w:t>
      </w:r>
    </w:p>
    <w:tbl>
      <w:tblPr>
        <w:tblStyle w:val="AanvraagformulierICTmidelentabel"/>
        <w:tblW w:w="6180" w:type="dxa"/>
        <w:tblInd w:w="-5" w:type="dxa"/>
        <w:tblLook w:val="04A0" w:firstRow="1" w:lastRow="0" w:firstColumn="1" w:lastColumn="0" w:noHBand="0" w:noVBand="1"/>
      </w:tblPr>
      <w:tblGrid>
        <w:gridCol w:w="3005"/>
        <w:gridCol w:w="3175"/>
      </w:tblGrid>
      <w:tr w:rsidRPr="007464DC" w:rsidR="007464DC" w:rsidTr="00027031" w14:paraId="3739AC89"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05" w:type="dxa"/>
            <w:noWrap/>
            <w:hideMark/>
          </w:tcPr>
          <w:p w:rsidRPr="007464DC" w:rsidR="007464DC" w:rsidP="007464DC" w:rsidRDefault="007464DC" w14:paraId="63C26C29" w14:textId="77777777">
            <w:pPr>
              <w:autoSpaceDN/>
              <w:spacing w:line="240" w:lineRule="auto"/>
              <w:textAlignment w:val="auto"/>
              <w:rPr>
                <w:rFonts w:eastAsia="Times New Roman" w:cs="Times New Roman"/>
                <w:b/>
                <w:bCs/>
                <w:sz w:val="16"/>
                <w:szCs w:val="16"/>
              </w:rPr>
            </w:pPr>
            <w:r w:rsidRPr="007464DC">
              <w:rPr>
                <w:rFonts w:eastAsia="Times New Roman" w:cs="Times New Roman"/>
                <w:b/>
                <w:bCs/>
                <w:sz w:val="16"/>
                <w:szCs w:val="16"/>
              </w:rPr>
              <w:t>Loonsom</w:t>
            </w:r>
          </w:p>
        </w:tc>
        <w:tc>
          <w:tcPr>
            <w:tcW w:w="3175" w:type="dxa"/>
            <w:noWrap/>
            <w:hideMark/>
          </w:tcPr>
          <w:p w:rsidRPr="007464DC" w:rsidR="007464DC" w:rsidP="007464DC" w:rsidRDefault="007464DC" w14:paraId="34BC4F44" w14:textId="77777777">
            <w:pPr>
              <w:autoSpaceDN/>
              <w:spacing w:line="240" w:lineRule="auto"/>
              <w:textAlignment w:val="auto"/>
              <w:cnfStyle w:val="100000000000" w:firstRow="1" w:lastRow="0" w:firstColumn="0" w:lastColumn="0" w:oddVBand="0" w:evenVBand="0" w:oddHBand="0" w:evenHBand="0" w:firstRowFirstColumn="0" w:firstRowLastColumn="0" w:lastRowFirstColumn="0" w:lastRowLastColumn="0"/>
              <w:rPr>
                <w:rFonts w:eastAsia="Times New Roman" w:cs="Times New Roman"/>
                <w:b/>
                <w:bCs/>
                <w:sz w:val="16"/>
                <w:szCs w:val="16"/>
              </w:rPr>
            </w:pPr>
            <w:r w:rsidRPr="007464DC">
              <w:rPr>
                <w:rFonts w:eastAsia="Times New Roman" w:cs="Times New Roman"/>
                <w:b/>
                <w:bCs/>
                <w:sz w:val="16"/>
                <w:szCs w:val="16"/>
              </w:rPr>
              <w:t>Ondergrens</w:t>
            </w:r>
          </w:p>
        </w:tc>
      </w:tr>
      <w:tr w:rsidRPr="007464DC" w:rsidR="007464DC" w:rsidTr="00027031" w14:paraId="57486949" w14:textId="77777777">
        <w:trPr>
          <w:trHeight w:val="288"/>
        </w:trPr>
        <w:tc>
          <w:tcPr>
            <w:cnfStyle w:val="001000000000" w:firstRow="0" w:lastRow="0" w:firstColumn="1" w:lastColumn="0" w:oddVBand="0" w:evenVBand="0" w:oddHBand="0" w:evenHBand="0" w:firstRowFirstColumn="0" w:firstRowLastColumn="0" w:lastRowFirstColumn="0" w:lastRowLastColumn="0"/>
            <w:tcW w:w="3005" w:type="dxa"/>
            <w:noWrap/>
            <w:hideMark/>
          </w:tcPr>
          <w:p w:rsidRPr="007464DC" w:rsidR="007464DC" w:rsidP="007464DC" w:rsidRDefault="007464DC" w14:paraId="3A9CCC87" w14:textId="77777777">
            <w:pPr>
              <w:autoSpaceDN/>
              <w:spacing w:line="240" w:lineRule="auto"/>
              <w:jc w:val="left"/>
              <w:textAlignment w:val="auto"/>
              <w:rPr>
                <w:rFonts w:eastAsia="Times New Roman" w:cs="Times New Roman"/>
                <w:sz w:val="16"/>
                <w:szCs w:val="16"/>
              </w:rPr>
            </w:pPr>
            <w:r w:rsidRPr="007464DC">
              <w:rPr>
                <w:rFonts w:eastAsia="Times New Roman" w:cs="Times New Roman"/>
                <w:sz w:val="16"/>
                <w:szCs w:val="16"/>
              </w:rPr>
              <w:t>Minder dan 500.000 euro</w:t>
            </w:r>
          </w:p>
        </w:tc>
        <w:tc>
          <w:tcPr>
            <w:tcW w:w="3175" w:type="dxa"/>
            <w:noWrap/>
            <w:hideMark/>
          </w:tcPr>
          <w:p w:rsidRPr="007464DC" w:rsidR="007464DC" w:rsidP="007464DC" w:rsidRDefault="007464DC" w14:paraId="2C5F18D5"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7464DC">
              <w:rPr>
                <w:rFonts w:eastAsia="Times New Roman" w:cs="Times New Roman"/>
                <w:sz w:val="16"/>
                <w:szCs w:val="16"/>
              </w:rPr>
              <w:t>56.000 euro (ondergrens</w:t>
            </w:r>
            <w:r w:rsidR="00875E2A">
              <w:rPr>
                <w:rFonts w:eastAsia="Times New Roman" w:cs="Times New Roman"/>
                <w:sz w:val="16"/>
                <w:szCs w:val="16"/>
              </w:rPr>
              <w:t xml:space="preserve"> in 2025</w:t>
            </w:r>
            <w:r w:rsidRPr="007464DC">
              <w:rPr>
                <w:rFonts w:eastAsia="Times New Roman" w:cs="Times New Roman"/>
                <w:sz w:val="16"/>
                <w:szCs w:val="16"/>
              </w:rPr>
              <w:t>)</w:t>
            </w:r>
            <w:r w:rsidR="00AC2399">
              <w:rPr>
                <w:rStyle w:val="Voetnootmarkering"/>
                <w:rFonts w:eastAsia="Times New Roman" w:cs="Times New Roman"/>
                <w:sz w:val="16"/>
                <w:szCs w:val="16"/>
              </w:rPr>
              <w:footnoteReference w:id="28"/>
            </w:r>
          </w:p>
        </w:tc>
      </w:tr>
      <w:tr w:rsidRPr="007464DC" w:rsidR="007464DC" w:rsidTr="00027031" w14:paraId="144817C3" w14:textId="77777777">
        <w:trPr>
          <w:trHeight w:val="288"/>
        </w:trPr>
        <w:tc>
          <w:tcPr>
            <w:cnfStyle w:val="001000000000" w:firstRow="0" w:lastRow="0" w:firstColumn="1" w:lastColumn="0" w:oddVBand="0" w:evenVBand="0" w:oddHBand="0" w:evenHBand="0" w:firstRowFirstColumn="0" w:firstRowLastColumn="0" w:lastRowFirstColumn="0" w:lastRowLastColumn="0"/>
            <w:tcW w:w="3005" w:type="dxa"/>
            <w:noWrap/>
            <w:hideMark/>
          </w:tcPr>
          <w:p w:rsidRPr="007464DC" w:rsidR="007464DC" w:rsidP="007464DC" w:rsidRDefault="007464DC" w14:paraId="0FFC016B" w14:textId="77777777">
            <w:pPr>
              <w:autoSpaceDN/>
              <w:spacing w:line="240" w:lineRule="auto"/>
              <w:jc w:val="left"/>
              <w:textAlignment w:val="auto"/>
              <w:rPr>
                <w:rFonts w:eastAsia="Times New Roman" w:cs="Times New Roman"/>
                <w:sz w:val="16"/>
                <w:szCs w:val="16"/>
              </w:rPr>
            </w:pPr>
            <w:r w:rsidRPr="007464DC">
              <w:rPr>
                <w:rFonts w:eastAsia="Times New Roman" w:cs="Times New Roman"/>
                <w:sz w:val="16"/>
                <w:szCs w:val="16"/>
              </w:rPr>
              <w:t>500.000 - 1.000.000 euro</w:t>
            </w:r>
          </w:p>
        </w:tc>
        <w:tc>
          <w:tcPr>
            <w:tcW w:w="3175" w:type="dxa"/>
            <w:noWrap/>
            <w:hideMark/>
          </w:tcPr>
          <w:p w:rsidRPr="007464DC" w:rsidR="007464DC" w:rsidP="007464DC" w:rsidRDefault="007464DC" w14:paraId="51CF2EED"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7464DC">
              <w:rPr>
                <w:rFonts w:eastAsia="Times New Roman" w:cs="Times New Roman"/>
                <w:sz w:val="16"/>
                <w:szCs w:val="16"/>
              </w:rPr>
              <w:t>65.000 euro</w:t>
            </w:r>
          </w:p>
        </w:tc>
      </w:tr>
      <w:tr w:rsidRPr="007464DC" w:rsidR="007464DC" w:rsidTr="00027031" w14:paraId="622D19A1" w14:textId="77777777">
        <w:trPr>
          <w:trHeight w:val="288"/>
        </w:trPr>
        <w:tc>
          <w:tcPr>
            <w:cnfStyle w:val="001000000000" w:firstRow="0" w:lastRow="0" w:firstColumn="1" w:lastColumn="0" w:oddVBand="0" w:evenVBand="0" w:oddHBand="0" w:evenHBand="0" w:firstRowFirstColumn="0" w:firstRowLastColumn="0" w:lastRowFirstColumn="0" w:lastRowLastColumn="0"/>
            <w:tcW w:w="3005" w:type="dxa"/>
            <w:noWrap/>
            <w:hideMark/>
          </w:tcPr>
          <w:p w:rsidRPr="007464DC" w:rsidR="007464DC" w:rsidP="007464DC" w:rsidRDefault="007464DC" w14:paraId="2CC44944" w14:textId="77777777">
            <w:pPr>
              <w:autoSpaceDN/>
              <w:spacing w:line="240" w:lineRule="auto"/>
              <w:jc w:val="left"/>
              <w:textAlignment w:val="auto"/>
              <w:rPr>
                <w:rFonts w:eastAsia="Times New Roman" w:cs="Times New Roman"/>
                <w:sz w:val="16"/>
                <w:szCs w:val="16"/>
              </w:rPr>
            </w:pPr>
            <w:r w:rsidRPr="007464DC">
              <w:rPr>
                <w:rFonts w:eastAsia="Times New Roman" w:cs="Times New Roman"/>
                <w:sz w:val="16"/>
                <w:szCs w:val="16"/>
              </w:rPr>
              <w:t>1.000.000 euro - 5.000.000 euro</w:t>
            </w:r>
          </w:p>
        </w:tc>
        <w:tc>
          <w:tcPr>
            <w:tcW w:w="3175" w:type="dxa"/>
            <w:noWrap/>
            <w:hideMark/>
          </w:tcPr>
          <w:p w:rsidRPr="007464DC" w:rsidR="007464DC" w:rsidP="007464DC" w:rsidRDefault="007464DC" w14:paraId="013B7CBD"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7464DC">
              <w:rPr>
                <w:rFonts w:eastAsia="Times New Roman" w:cs="Times New Roman"/>
                <w:sz w:val="16"/>
                <w:szCs w:val="16"/>
              </w:rPr>
              <w:t>82.000 euro</w:t>
            </w:r>
          </w:p>
        </w:tc>
      </w:tr>
      <w:tr w:rsidRPr="007464DC" w:rsidR="007464DC" w:rsidTr="00027031" w14:paraId="599A0EEC" w14:textId="77777777">
        <w:trPr>
          <w:trHeight w:val="288"/>
        </w:trPr>
        <w:tc>
          <w:tcPr>
            <w:cnfStyle w:val="001000000000" w:firstRow="0" w:lastRow="0" w:firstColumn="1" w:lastColumn="0" w:oddVBand="0" w:evenVBand="0" w:oddHBand="0" w:evenHBand="0" w:firstRowFirstColumn="0" w:firstRowLastColumn="0" w:lastRowFirstColumn="0" w:lastRowLastColumn="0"/>
            <w:tcW w:w="3005" w:type="dxa"/>
            <w:noWrap/>
            <w:hideMark/>
          </w:tcPr>
          <w:p w:rsidRPr="007464DC" w:rsidR="007464DC" w:rsidP="007464DC" w:rsidRDefault="007464DC" w14:paraId="773D0D74" w14:textId="77777777">
            <w:pPr>
              <w:autoSpaceDN/>
              <w:spacing w:line="240" w:lineRule="auto"/>
              <w:jc w:val="left"/>
              <w:textAlignment w:val="auto"/>
              <w:rPr>
                <w:rFonts w:eastAsia="Times New Roman" w:cs="Times New Roman"/>
                <w:sz w:val="16"/>
                <w:szCs w:val="16"/>
              </w:rPr>
            </w:pPr>
            <w:r w:rsidRPr="007464DC">
              <w:rPr>
                <w:rFonts w:eastAsia="Times New Roman" w:cs="Times New Roman"/>
                <w:sz w:val="16"/>
                <w:szCs w:val="16"/>
              </w:rPr>
              <w:t xml:space="preserve">Meer dan </w:t>
            </w:r>
            <w:proofErr w:type="gramStart"/>
            <w:r w:rsidRPr="007464DC">
              <w:rPr>
                <w:rFonts w:eastAsia="Times New Roman" w:cs="Times New Roman"/>
                <w:sz w:val="16"/>
                <w:szCs w:val="16"/>
              </w:rPr>
              <w:t>5.000.000  euro</w:t>
            </w:r>
            <w:proofErr w:type="gramEnd"/>
          </w:p>
        </w:tc>
        <w:tc>
          <w:tcPr>
            <w:tcW w:w="3175" w:type="dxa"/>
            <w:noWrap/>
            <w:hideMark/>
          </w:tcPr>
          <w:p w:rsidRPr="007464DC" w:rsidR="007464DC" w:rsidP="007464DC" w:rsidRDefault="007464DC" w14:paraId="7C3A09E2" w14:textId="77777777">
            <w:pPr>
              <w:autoSpaceDN/>
              <w:spacing w:line="240" w:lineRule="auto"/>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7464DC">
              <w:rPr>
                <w:rFonts w:eastAsia="Times New Roman" w:cs="Times New Roman"/>
                <w:sz w:val="16"/>
                <w:szCs w:val="16"/>
              </w:rPr>
              <w:t>97.000 euro</w:t>
            </w:r>
          </w:p>
        </w:tc>
      </w:tr>
    </w:tbl>
    <w:p w:rsidR="00724758" w:rsidP="00CA0C70" w:rsidRDefault="00724758" w14:paraId="063B5C43" w14:textId="77777777">
      <w:pPr>
        <w:pStyle w:val="Voetnoottekst"/>
        <w:spacing w:line="271" w:lineRule="auto"/>
        <w:rPr>
          <w:rFonts w:ascii="Verdana" w:hAnsi="Verdana"/>
          <w:sz w:val="18"/>
          <w:szCs w:val="18"/>
        </w:rPr>
      </w:pPr>
    </w:p>
    <w:p w:rsidR="007F5701" w:rsidP="00CA0C70" w:rsidRDefault="007464DC" w14:paraId="2E4F38BA" w14:textId="77777777">
      <w:pPr>
        <w:pStyle w:val="Voetnoottekst"/>
        <w:spacing w:line="271" w:lineRule="auto"/>
        <w:rPr>
          <w:rFonts w:ascii="Verdana" w:hAnsi="Verdana"/>
          <w:sz w:val="18"/>
          <w:szCs w:val="18"/>
        </w:rPr>
      </w:pPr>
      <w:r>
        <w:rPr>
          <w:rFonts w:ascii="Verdana" w:hAnsi="Verdana"/>
          <w:sz w:val="18"/>
          <w:szCs w:val="18"/>
        </w:rPr>
        <w:t xml:space="preserve">SEO geeft </w:t>
      </w:r>
      <w:r w:rsidR="00CA0C70">
        <w:rPr>
          <w:rFonts w:ascii="Verdana" w:hAnsi="Verdana"/>
          <w:sz w:val="18"/>
          <w:szCs w:val="18"/>
        </w:rPr>
        <w:t xml:space="preserve">aan dat de loonsom </w:t>
      </w:r>
      <w:r>
        <w:rPr>
          <w:rFonts w:ascii="Verdana" w:hAnsi="Verdana"/>
          <w:sz w:val="18"/>
          <w:szCs w:val="18"/>
        </w:rPr>
        <w:t xml:space="preserve">slechts </w:t>
      </w:r>
      <w:r w:rsidR="00CA0C70">
        <w:rPr>
          <w:rFonts w:ascii="Verdana" w:hAnsi="Verdana"/>
          <w:sz w:val="18"/>
          <w:szCs w:val="18"/>
        </w:rPr>
        <w:t xml:space="preserve">beperkt bruikbaar is om te komen tot een exacte inschatting van het gebruikelijk loon van een </w:t>
      </w:r>
      <w:proofErr w:type="spellStart"/>
      <w:r w:rsidR="00CA0C70">
        <w:rPr>
          <w:rFonts w:ascii="Verdana" w:hAnsi="Verdana"/>
          <w:sz w:val="18"/>
          <w:szCs w:val="18"/>
        </w:rPr>
        <w:t>dga</w:t>
      </w:r>
      <w:proofErr w:type="spellEnd"/>
      <w:r w:rsidR="00CA0C70">
        <w:rPr>
          <w:rFonts w:ascii="Verdana" w:hAnsi="Verdana"/>
          <w:sz w:val="18"/>
          <w:szCs w:val="18"/>
        </w:rPr>
        <w:t xml:space="preserve"> </w:t>
      </w:r>
      <w:r w:rsidRPr="003D0276" w:rsidR="003D0276">
        <w:rPr>
          <w:rFonts w:ascii="Verdana" w:hAnsi="Verdana"/>
          <w:sz w:val="18"/>
          <w:szCs w:val="18"/>
        </w:rPr>
        <w:t xml:space="preserve">omdat dit om een gecombineerd inzicht in de loonsom en de andere verklarende variabelen </w:t>
      </w:r>
      <w:r w:rsidR="003D0276">
        <w:rPr>
          <w:rFonts w:ascii="Verdana" w:hAnsi="Verdana"/>
          <w:sz w:val="18"/>
          <w:szCs w:val="18"/>
        </w:rPr>
        <w:t xml:space="preserve">vraagt </w:t>
      </w:r>
      <w:r w:rsidRPr="003D0276" w:rsidR="003D0276">
        <w:rPr>
          <w:rFonts w:ascii="Verdana" w:hAnsi="Verdana"/>
          <w:sz w:val="18"/>
          <w:szCs w:val="18"/>
        </w:rPr>
        <w:t>zoals is toegepast in de</w:t>
      </w:r>
      <w:r w:rsidR="003D0276">
        <w:rPr>
          <w:rFonts w:ascii="Verdana" w:hAnsi="Verdana"/>
          <w:sz w:val="18"/>
          <w:szCs w:val="18"/>
        </w:rPr>
        <w:t xml:space="preserve"> </w:t>
      </w:r>
      <w:r w:rsidRPr="003D0276" w:rsidR="003D0276">
        <w:rPr>
          <w:rFonts w:ascii="Verdana" w:hAnsi="Verdana"/>
          <w:sz w:val="18"/>
          <w:szCs w:val="18"/>
        </w:rPr>
        <w:t>loonvergelijking.</w:t>
      </w:r>
      <w:r w:rsidR="003D0276">
        <w:rPr>
          <w:rFonts w:ascii="Verdana" w:hAnsi="Verdana"/>
          <w:sz w:val="18"/>
          <w:szCs w:val="18"/>
        </w:rPr>
        <w:t xml:space="preserve"> </w:t>
      </w:r>
      <w:r w:rsidR="00CA0C70">
        <w:rPr>
          <w:rFonts w:ascii="Verdana" w:hAnsi="Verdana"/>
          <w:sz w:val="18"/>
          <w:szCs w:val="18"/>
        </w:rPr>
        <w:t xml:space="preserve">Met andere woorden, alleen de hoogte van de loonsom volstaat niet om het loon uit de meest vergelijkbare dienstbetrekking vast te stellen omdat hierbij uiteraard ook andere verklarende variabelen een rol spelen. </w:t>
      </w:r>
      <w:r w:rsidR="007F5701">
        <w:rPr>
          <w:rFonts w:ascii="Verdana" w:hAnsi="Verdana"/>
          <w:sz w:val="18"/>
          <w:szCs w:val="18"/>
        </w:rPr>
        <w:t>SEO geeft daarbij aan dat het gebruiken van de loonvergelijking als geheel niet passend is om te komen tot een exacte modelmatige berekening van het gebruikelijk loon. De loonvergelijking die SEO heeft gemaakt bevat namelijk ook persoonskenmerken. Zonder die kenmerken schat de loonvergelijking onvoldoende nauwkeurig</w:t>
      </w:r>
      <w:r w:rsidR="00460E8D">
        <w:rPr>
          <w:rFonts w:ascii="Verdana" w:hAnsi="Verdana"/>
          <w:sz w:val="18"/>
          <w:szCs w:val="18"/>
        </w:rPr>
        <w:t xml:space="preserve"> en </w:t>
      </w:r>
      <w:r w:rsidR="00AF7AE2">
        <w:rPr>
          <w:rFonts w:ascii="Verdana" w:hAnsi="Verdana"/>
          <w:sz w:val="18"/>
          <w:szCs w:val="18"/>
        </w:rPr>
        <w:t xml:space="preserve">hierdoor kan </w:t>
      </w:r>
      <w:r w:rsidR="00460E8D">
        <w:rPr>
          <w:rFonts w:ascii="Verdana" w:hAnsi="Verdana"/>
          <w:sz w:val="18"/>
          <w:szCs w:val="18"/>
        </w:rPr>
        <w:t xml:space="preserve">de </w:t>
      </w:r>
      <w:r w:rsidR="00AF7AE2">
        <w:rPr>
          <w:rFonts w:ascii="Verdana" w:hAnsi="Verdana"/>
          <w:sz w:val="18"/>
          <w:szCs w:val="18"/>
        </w:rPr>
        <w:t xml:space="preserve">uitkomst van de analyse </w:t>
      </w:r>
      <w:r w:rsidR="00460E8D">
        <w:rPr>
          <w:rFonts w:ascii="Verdana" w:hAnsi="Verdana"/>
          <w:sz w:val="18"/>
          <w:szCs w:val="18"/>
        </w:rPr>
        <w:t xml:space="preserve">dan </w:t>
      </w:r>
      <w:r w:rsidR="00AF7AE2">
        <w:rPr>
          <w:rFonts w:ascii="Verdana" w:hAnsi="Verdana"/>
          <w:sz w:val="18"/>
          <w:szCs w:val="18"/>
        </w:rPr>
        <w:t xml:space="preserve">ook niet worden veralgemeniseerd tot alle </w:t>
      </w:r>
      <w:proofErr w:type="spellStart"/>
      <w:r w:rsidR="00AF7AE2">
        <w:rPr>
          <w:rFonts w:ascii="Verdana" w:hAnsi="Verdana"/>
          <w:sz w:val="18"/>
          <w:szCs w:val="18"/>
        </w:rPr>
        <w:t>dga’s</w:t>
      </w:r>
      <w:proofErr w:type="spellEnd"/>
      <w:r w:rsidR="00AF7AE2">
        <w:rPr>
          <w:rFonts w:ascii="Verdana" w:hAnsi="Verdana"/>
          <w:sz w:val="18"/>
          <w:szCs w:val="18"/>
        </w:rPr>
        <w:t>.</w:t>
      </w:r>
    </w:p>
    <w:p w:rsidR="007F5701" w:rsidP="00CA0C70" w:rsidRDefault="007F5701" w14:paraId="30400EDD" w14:textId="77777777">
      <w:pPr>
        <w:pStyle w:val="Voetnoottekst"/>
        <w:spacing w:line="271" w:lineRule="auto"/>
        <w:rPr>
          <w:rFonts w:ascii="Verdana" w:hAnsi="Verdana"/>
          <w:sz w:val="18"/>
          <w:szCs w:val="18"/>
        </w:rPr>
      </w:pPr>
    </w:p>
    <w:p w:rsidR="00CA0C70" w:rsidP="00CA0C70" w:rsidRDefault="00CA0C70" w14:paraId="2486FF37" w14:textId="77777777">
      <w:pPr>
        <w:pStyle w:val="Voetnoottekst"/>
        <w:spacing w:line="271" w:lineRule="auto"/>
        <w:rPr>
          <w:rFonts w:ascii="Verdana" w:hAnsi="Verdana"/>
          <w:sz w:val="18"/>
          <w:szCs w:val="18"/>
        </w:rPr>
      </w:pPr>
      <w:r>
        <w:rPr>
          <w:rFonts w:ascii="Verdana" w:hAnsi="Verdana"/>
          <w:sz w:val="18"/>
          <w:szCs w:val="18"/>
        </w:rPr>
        <w:t xml:space="preserve">De hoogte van de loonsom zou volgens </w:t>
      </w:r>
      <w:r w:rsidR="007F5701">
        <w:rPr>
          <w:rFonts w:ascii="Verdana" w:hAnsi="Verdana"/>
          <w:sz w:val="18"/>
          <w:szCs w:val="18"/>
        </w:rPr>
        <w:t>SEO</w:t>
      </w:r>
      <w:r>
        <w:rPr>
          <w:rFonts w:ascii="Verdana" w:hAnsi="Verdana"/>
          <w:sz w:val="18"/>
          <w:szCs w:val="18"/>
        </w:rPr>
        <w:t xml:space="preserve"> wel bruikbaar </w:t>
      </w:r>
      <w:r w:rsidR="007F5701">
        <w:rPr>
          <w:rFonts w:ascii="Verdana" w:hAnsi="Verdana"/>
          <w:sz w:val="18"/>
          <w:szCs w:val="18"/>
        </w:rPr>
        <w:t xml:space="preserve">kunnen </w:t>
      </w:r>
      <w:r>
        <w:rPr>
          <w:rFonts w:ascii="Verdana" w:hAnsi="Verdana"/>
          <w:sz w:val="18"/>
          <w:szCs w:val="18"/>
        </w:rPr>
        <w:t xml:space="preserve">zijn om te komen tot een inschatting van het minimale loon dat passend is voor een </w:t>
      </w:r>
      <w:proofErr w:type="spellStart"/>
      <w:r>
        <w:rPr>
          <w:rFonts w:ascii="Verdana" w:hAnsi="Verdana"/>
          <w:sz w:val="18"/>
          <w:szCs w:val="18"/>
        </w:rPr>
        <w:t>dga</w:t>
      </w:r>
      <w:proofErr w:type="spellEnd"/>
      <w:r w:rsidR="00BC2110">
        <w:rPr>
          <w:rFonts w:ascii="Verdana" w:hAnsi="Verdana"/>
          <w:sz w:val="18"/>
          <w:szCs w:val="18"/>
        </w:rPr>
        <w:t xml:space="preserve">, oftewel het normbedrag. </w:t>
      </w:r>
      <w:r w:rsidR="002B49CE">
        <w:rPr>
          <w:rFonts w:ascii="Verdana" w:hAnsi="Verdana"/>
          <w:sz w:val="18"/>
          <w:szCs w:val="18"/>
        </w:rPr>
        <w:t xml:space="preserve">Uit interviews </w:t>
      </w:r>
      <w:r w:rsidRPr="00507A1E" w:rsidR="002B49CE">
        <w:rPr>
          <w:rFonts w:ascii="Verdana" w:hAnsi="Verdana"/>
          <w:sz w:val="18"/>
          <w:szCs w:val="18"/>
        </w:rPr>
        <w:t>en schriftelijke feedback door</w:t>
      </w:r>
      <w:r w:rsidR="002B49CE">
        <w:rPr>
          <w:rFonts w:ascii="Verdana" w:hAnsi="Verdana"/>
          <w:sz w:val="18"/>
          <w:szCs w:val="18"/>
        </w:rPr>
        <w:t xml:space="preserve"> </w:t>
      </w:r>
      <w:r w:rsidRPr="00507A1E" w:rsidR="002B49CE">
        <w:rPr>
          <w:rFonts w:ascii="Verdana" w:hAnsi="Verdana"/>
          <w:sz w:val="18"/>
          <w:szCs w:val="18"/>
        </w:rPr>
        <w:t xml:space="preserve">experts </w:t>
      </w:r>
      <w:r w:rsidR="002B49CE">
        <w:rPr>
          <w:rFonts w:ascii="Verdana" w:hAnsi="Verdana"/>
          <w:sz w:val="18"/>
          <w:szCs w:val="18"/>
        </w:rPr>
        <w:t xml:space="preserve">in het kader van administratieve lasten en uitvoerbaarheid in de evaluatie kwam naar voren </w:t>
      </w:r>
      <w:r w:rsidR="003A214A">
        <w:rPr>
          <w:rFonts w:ascii="Verdana" w:hAnsi="Verdana"/>
          <w:sz w:val="18"/>
          <w:szCs w:val="18"/>
        </w:rPr>
        <w:t xml:space="preserve">dat </w:t>
      </w:r>
      <w:r w:rsidRPr="00507A1E" w:rsidR="007F5701">
        <w:rPr>
          <w:rFonts w:ascii="Verdana" w:hAnsi="Verdana"/>
          <w:sz w:val="18"/>
          <w:szCs w:val="18"/>
        </w:rPr>
        <w:t xml:space="preserve">de verzamelloonstaat als </w:t>
      </w:r>
      <w:r w:rsidR="002B49CE">
        <w:rPr>
          <w:rFonts w:ascii="Verdana" w:hAnsi="Verdana"/>
          <w:sz w:val="18"/>
          <w:szCs w:val="18"/>
        </w:rPr>
        <w:t xml:space="preserve">potentiële </w:t>
      </w:r>
      <w:r w:rsidRPr="00507A1E" w:rsidR="007F5701">
        <w:rPr>
          <w:rFonts w:ascii="Verdana" w:hAnsi="Verdana"/>
          <w:sz w:val="18"/>
          <w:szCs w:val="18"/>
        </w:rPr>
        <w:t>maatstaf voor de</w:t>
      </w:r>
      <w:r w:rsidR="007F5701">
        <w:rPr>
          <w:rFonts w:ascii="Verdana" w:hAnsi="Verdana"/>
          <w:sz w:val="18"/>
          <w:szCs w:val="18"/>
        </w:rPr>
        <w:t xml:space="preserve"> </w:t>
      </w:r>
      <w:r w:rsidRPr="00507A1E" w:rsidR="007F5701">
        <w:rPr>
          <w:rFonts w:ascii="Verdana" w:hAnsi="Verdana"/>
          <w:sz w:val="18"/>
          <w:szCs w:val="18"/>
        </w:rPr>
        <w:t xml:space="preserve">loonsom </w:t>
      </w:r>
      <w:r w:rsidR="002B49CE">
        <w:rPr>
          <w:rFonts w:ascii="Verdana" w:hAnsi="Verdana"/>
          <w:sz w:val="18"/>
          <w:szCs w:val="18"/>
        </w:rPr>
        <w:t>kan dienen</w:t>
      </w:r>
      <w:r w:rsidRPr="00507A1E" w:rsidR="007F5701">
        <w:rPr>
          <w:rFonts w:ascii="Verdana" w:hAnsi="Verdana"/>
          <w:sz w:val="18"/>
          <w:szCs w:val="18"/>
        </w:rPr>
        <w:t>.</w:t>
      </w:r>
      <w:r w:rsidR="003A214A">
        <w:rPr>
          <w:rStyle w:val="Voetnootmarkering"/>
          <w:rFonts w:ascii="Verdana" w:hAnsi="Verdana"/>
          <w:sz w:val="18"/>
          <w:szCs w:val="18"/>
        </w:rPr>
        <w:footnoteReference w:id="29"/>
      </w:r>
      <w:r w:rsidR="003A214A">
        <w:rPr>
          <w:rFonts w:ascii="Verdana" w:hAnsi="Verdana"/>
          <w:sz w:val="18"/>
          <w:szCs w:val="18"/>
        </w:rPr>
        <w:t xml:space="preserve"> </w:t>
      </w:r>
      <w:r w:rsidRPr="00D64E0F">
        <w:rPr>
          <w:rFonts w:ascii="Verdana" w:hAnsi="Verdana"/>
          <w:sz w:val="18"/>
          <w:szCs w:val="18"/>
        </w:rPr>
        <w:t xml:space="preserve">Deze gegevens </w:t>
      </w:r>
      <w:r w:rsidR="002B49CE">
        <w:rPr>
          <w:rFonts w:ascii="Verdana" w:hAnsi="Verdana"/>
          <w:sz w:val="18"/>
          <w:szCs w:val="18"/>
        </w:rPr>
        <w:t xml:space="preserve">voor de verzamelloonstaat </w:t>
      </w:r>
      <w:r w:rsidR="00B6703A">
        <w:rPr>
          <w:rFonts w:ascii="Verdana" w:hAnsi="Verdana"/>
          <w:sz w:val="18"/>
          <w:szCs w:val="18"/>
        </w:rPr>
        <w:t xml:space="preserve">worden </w:t>
      </w:r>
      <w:proofErr w:type="gramStart"/>
      <w:r w:rsidRPr="00D64E0F">
        <w:rPr>
          <w:rFonts w:ascii="Verdana" w:hAnsi="Verdana"/>
          <w:sz w:val="18"/>
          <w:szCs w:val="18"/>
        </w:rPr>
        <w:t>reeds</w:t>
      </w:r>
      <w:proofErr w:type="gramEnd"/>
      <w:r w:rsidRPr="00D64E0F">
        <w:rPr>
          <w:rFonts w:ascii="Verdana" w:hAnsi="Verdana"/>
          <w:sz w:val="18"/>
          <w:szCs w:val="18"/>
        </w:rPr>
        <w:t xml:space="preserve"> door inhoudingsplichtigen </w:t>
      </w:r>
      <w:r w:rsidR="00154688">
        <w:rPr>
          <w:rFonts w:ascii="Verdana" w:hAnsi="Verdana"/>
          <w:sz w:val="18"/>
          <w:szCs w:val="18"/>
        </w:rPr>
        <w:t xml:space="preserve">voor de loonheffing </w:t>
      </w:r>
      <w:r w:rsidRPr="00D64E0F">
        <w:rPr>
          <w:rFonts w:ascii="Verdana" w:hAnsi="Verdana"/>
          <w:sz w:val="18"/>
          <w:szCs w:val="18"/>
        </w:rPr>
        <w:t>geïnventariseerd</w:t>
      </w:r>
      <w:r w:rsidR="007F5701">
        <w:rPr>
          <w:rFonts w:ascii="Verdana" w:hAnsi="Verdana"/>
          <w:sz w:val="18"/>
          <w:szCs w:val="18"/>
        </w:rPr>
        <w:t xml:space="preserve">. </w:t>
      </w:r>
      <w:r w:rsidR="002B49CE">
        <w:rPr>
          <w:rFonts w:ascii="Verdana" w:hAnsi="Verdana"/>
          <w:sz w:val="18"/>
          <w:szCs w:val="18"/>
        </w:rPr>
        <w:t xml:space="preserve">Ten slotte </w:t>
      </w:r>
      <w:r>
        <w:rPr>
          <w:rFonts w:ascii="Verdana" w:hAnsi="Verdana"/>
          <w:sz w:val="18"/>
          <w:szCs w:val="18"/>
        </w:rPr>
        <w:t>ge</w:t>
      </w:r>
      <w:r w:rsidR="007464DC">
        <w:rPr>
          <w:rFonts w:ascii="Verdana" w:hAnsi="Verdana"/>
          <w:sz w:val="18"/>
          <w:szCs w:val="18"/>
        </w:rPr>
        <w:t>eft SEO</w:t>
      </w:r>
      <w:r>
        <w:rPr>
          <w:rFonts w:ascii="Verdana" w:hAnsi="Verdana"/>
          <w:sz w:val="18"/>
          <w:szCs w:val="18"/>
        </w:rPr>
        <w:t xml:space="preserve"> aan dat er </w:t>
      </w:r>
      <w:r w:rsidR="007F5701">
        <w:rPr>
          <w:rFonts w:ascii="Verdana" w:hAnsi="Verdana"/>
          <w:sz w:val="18"/>
          <w:szCs w:val="18"/>
        </w:rPr>
        <w:t xml:space="preserve">ook </w:t>
      </w:r>
      <w:r>
        <w:rPr>
          <w:rFonts w:ascii="Verdana" w:hAnsi="Verdana"/>
          <w:sz w:val="18"/>
          <w:szCs w:val="18"/>
        </w:rPr>
        <w:t xml:space="preserve">goed moet worden nagedacht over een goede afbakening van de loonsom. Zoals </w:t>
      </w:r>
      <w:r w:rsidRPr="00507A1E">
        <w:rPr>
          <w:rFonts w:ascii="Verdana" w:hAnsi="Verdana"/>
          <w:sz w:val="18"/>
          <w:szCs w:val="18"/>
        </w:rPr>
        <w:t>welke bv</w:t>
      </w:r>
      <w:r>
        <w:rPr>
          <w:rFonts w:ascii="Verdana" w:hAnsi="Verdana"/>
          <w:sz w:val="18"/>
          <w:szCs w:val="18"/>
        </w:rPr>
        <w:t>’</w:t>
      </w:r>
      <w:r w:rsidRPr="00507A1E">
        <w:rPr>
          <w:rFonts w:ascii="Verdana" w:hAnsi="Verdana"/>
          <w:sz w:val="18"/>
          <w:szCs w:val="18"/>
        </w:rPr>
        <w:t xml:space="preserve">s </w:t>
      </w:r>
      <w:r>
        <w:rPr>
          <w:rFonts w:ascii="Verdana" w:hAnsi="Verdana"/>
          <w:sz w:val="18"/>
          <w:szCs w:val="18"/>
        </w:rPr>
        <w:t xml:space="preserve">met betrekking tot de </w:t>
      </w:r>
      <w:proofErr w:type="spellStart"/>
      <w:r>
        <w:rPr>
          <w:rFonts w:ascii="Verdana" w:hAnsi="Verdana"/>
          <w:sz w:val="18"/>
          <w:szCs w:val="18"/>
        </w:rPr>
        <w:t>dga</w:t>
      </w:r>
      <w:proofErr w:type="spellEnd"/>
      <w:r>
        <w:rPr>
          <w:rFonts w:ascii="Verdana" w:hAnsi="Verdana"/>
          <w:sz w:val="18"/>
          <w:szCs w:val="18"/>
        </w:rPr>
        <w:t xml:space="preserve"> </w:t>
      </w:r>
      <w:r w:rsidRPr="00507A1E">
        <w:rPr>
          <w:rFonts w:ascii="Verdana" w:hAnsi="Verdana"/>
          <w:sz w:val="18"/>
          <w:szCs w:val="18"/>
        </w:rPr>
        <w:t xml:space="preserve">in aanmerking </w:t>
      </w:r>
      <w:r>
        <w:rPr>
          <w:rFonts w:ascii="Verdana" w:hAnsi="Verdana"/>
          <w:sz w:val="18"/>
          <w:szCs w:val="18"/>
        </w:rPr>
        <w:t xml:space="preserve">dienen te komen </w:t>
      </w:r>
      <w:r w:rsidRPr="00507A1E">
        <w:rPr>
          <w:rFonts w:ascii="Verdana" w:hAnsi="Verdana"/>
          <w:sz w:val="18"/>
          <w:szCs w:val="18"/>
        </w:rPr>
        <w:t xml:space="preserve">voor de </w:t>
      </w:r>
      <w:r>
        <w:rPr>
          <w:rFonts w:ascii="Verdana" w:hAnsi="Verdana"/>
          <w:sz w:val="18"/>
          <w:szCs w:val="18"/>
        </w:rPr>
        <w:t xml:space="preserve">bepaling van de </w:t>
      </w:r>
      <w:r w:rsidRPr="00507A1E">
        <w:rPr>
          <w:rFonts w:ascii="Verdana" w:hAnsi="Verdana"/>
          <w:sz w:val="18"/>
          <w:szCs w:val="18"/>
        </w:rPr>
        <w:t>loonsom</w:t>
      </w:r>
      <w:r>
        <w:rPr>
          <w:rFonts w:ascii="Verdana" w:hAnsi="Verdana"/>
          <w:sz w:val="18"/>
          <w:szCs w:val="18"/>
        </w:rPr>
        <w:t xml:space="preserve"> van een lichaam en of </w:t>
      </w:r>
      <w:r w:rsidRPr="00507A1E">
        <w:rPr>
          <w:rFonts w:ascii="Verdana" w:hAnsi="Verdana"/>
          <w:sz w:val="18"/>
          <w:szCs w:val="18"/>
        </w:rPr>
        <w:t>het loon van</w:t>
      </w:r>
      <w:r>
        <w:rPr>
          <w:rFonts w:ascii="Verdana" w:hAnsi="Verdana"/>
          <w:sz w:val="18"/>
          <w:szCs w:val="18"/>
        </w:rPr>
        <w:t xml:space="preserve"> </w:t>
      </w:r>
      <w:r w:rsidRPr="00507A1E">
        <w:rPr>
          <w:rFonts w:ascii="Verdana" w:hAnsi="Verdana"/>
          <w:sz w:val="18"/>
          <w:szCs w:val="18"/>
        </w:rPr>
        <w:t xml:space="preserve">de </w:t>
      </w:r>
      <w:proofErr w:type="spellStart"/>
      <w:r w:rsidRPr="00507A1E">
        <w:rPr>
          <w:rFonts w:ascii="Verdana" w:hAnsi="Verdana"/>
          <w:sz w:val="18"/>
          <w:szCs w:val="18"/>
        </w:rPr>
        <w:t>dga</w:t>
      </w:r>
      <w:proofErr w:type="spellEnd"/>
      <w:r w:rsidRPr="00507A1E">
        <w:rPr>
          <w:rFonts w:ascii="Verdana" w:hAnsi="Verdana"/>
          <w:sz w:val="18"/>
          <w:szCs w:val="18"/>
        </w:rPr>
        <w:t xml:space="preserve"> zelf </w:t>
      </w:r>
      <w:r>
        <w:rPr>
          <w:rFonts w:ascii="Verdana" w:hAnsi="Verdana"/>
          <w:sz w:val="18"/>
          <w:szCs w:val="18"/>
        </w:rPr>
        <w:t xml:space="preserve">ook </w:t>
      </w:r>
      <w:r w:rsidRPr="00507A1E">
        <w:rPr>
          <w:rFonts w:ascii="Verdana" w:hAnsi="Verdana"/>
          <w:sz w:val="18"/>
          <w:szCs w:val="18"/>
        </w:rPr>
        <w:t xml:space="preserve">in aanmerking </w:t>
      </w:r>
      <w:r>
        <w:rPr>
          <w:rFonts w:ascii="Verdana" w:hAnsi="Verdana"/>
          <w:sz w:val="18"/>
          <w:szCs w:val="18"/>
        </w:rPr>
        <w:t xml:space="preserve">dient te </w:t>
      </w:r>
      <w:r w:rsidRPr="00507A1E">
        <w:rPr>
          <w:rFonts w:ascii="Verdana" w:hAnsi="Verdana"/>
          <w:sz w:val="18"/>
          <w:szCs w:val="18"/>
        </w:rPr>
        <w:t xml:space="preserve">worden </w:t>
      </w:r>
      <w:r>
        <w:rPr>
          <w:rFonts w:ascii="Verdana" w:hAnsi="Verdana"/>
          <w:sz w:val="18"/>
          <w:szCs w:val="18"/>
        </w:rPr>
        <w:t>genomen.</w:t>
      </w:r>
    </w:p>
    <w:p w:rsidR="00CA0C70" w:rsidP="00CA0C70" w:rsidRDefault="00CA0C70" w14:paraId="69F9AD08" w14:textId="77777777">
      <w:pPr>
        <w:pStyle w:val="Geenafstand"/>
        <w:spacing w:line="276" w:lineRule="auto"/>
        <w:rPr>
          <w:rFonts w:ascii="Verdana" w:hAnsi="Verdana"/>
          <w:sz w:val="18"/>
          <w:szCs w:val="18"/>
        </w:rPr>
      </w:pPr>
    </w:p>
    <w:p w:rsidRPr="003A214A" w:rsidR="003A214A" w:rsidP="00CA0C70" w:rsidRDefault="003A214A" w14:paraId="2A6FF3C2" w14:textId="77777777">
      <w:pPr>
        <w:autoSpaceDE w:val="0"/>
        <w:adjustRightInd w:val="0"/>
        <w:spacing w:line="271" w:lineRule="auto"/>
        <w:rPr>
          <w:rFonts w:cs="Avenir Next LT Pro"/>
          <w:i/>
          <w:iCs/>
        </w:rPr>
      </w:pPr>
      <w:r w:rsidRPr="003A214A">
        <w:rPr>
          <w:rFonts w:cs="Avenir Next LT Pro"/>
          <w:i/>
          <w:iCs/>
        </w:rPr>
        <w:t>Appreciatie</w:t>
      </w:r>
    </w:p>
    <w:p w:rsidR="003A214A" w:rsidP="00CA0C70" w:rsidRDefault="003A214A" w14:paraId="23E729E0" w14:textId="77777777">
      <w:pPr>
        <w:autoSpaceDE w:val="0"/>
        <w:adjustRightInd w:val="0"/>
        <w:spacing w:line="271" w:lineRule="auto"/>
      </w:pPr>
      <w:r>
        <w:rPr>
          <w:rFonts w:cs="Avenir Next LT Pro"/>
        </w:rPr>
        <w:t>De SEO-onderzoekers</w:t>
      </w:r>
      <w:r w:rsidR="00CA0C70">
        <w:rPr>
          <w:rFonts w:cs="Avenir Next LT Pro"/>
        </w:rPr>
        <w:t xml:space="preserve"> </w:t>
      </w:r>
      <w:r>
        <w:rPr>
          <w:rFonts w:cs="Avenir Next LT Pro"/>
        </w:rPr>
        <w:t xml:space="preserve">geven </w:t>
      </w:r>
      <w:r w:rsidR="00CA0C70">
        <w:rPr>
          <w:rFonts w:cs="Avenir Next LT Pro"/>
        </w:rPr>
        <w:t>enerzijds aan dat</w:t>
      </w:r>
      <w:r w:rsidRPr="004D6FF6" w:rsidR="00CA0C70">
        <w:rPr>
          <w:rFonts w:cs="Avenir Next LT Pro"/>
        </w:rPr>
        <w:t xml:space="preserve"> </w:t>
      </w:r>
      <w:r w:rsidRPr="004D6FF6" w:rsidR="00CA0C70">
        <w:t>de loonsom een redelijk</w:t>
      </w:r>
      <w:r w:rsidR="00CA0C70">
        <w:t>e</w:t>
      </w:r>
      <w:r w:rsidRPr="004D6FF6" w:rsidR="00CA0C70">
        <w:t xml:space="preserve"> indicator </w:t>
      </w:r>
      <w:r w:rsidR="00CA0C70">
        <w:t xml:space="preserve">zou kunnen </w:t>
      </w:r>
      <w:r w:rsidRPr="004D6FF6" w:rsidR="00CA0C70">
        <w:t xml:space="preserve">zijn voor de beloning van de </w:t>
      </w:r>
      <w:proofErr w:type="spellStart"/>
      <w:r w:rsidRPr="004D6FF6" w:rsidR="00CA0C70">
        <w:t>dga</w:t>
      </w:r>
      <w:proofErr w:type="spellEnd"/>
      <w:r w:rsidR="00BC4161">
        <w:t>,</w:t>
      </w:r>
      <w:r w:rsidR="00CA0C70">
        <w:t xml:space="preserve"> maar anderzijds ook dat het niet volstaat om te komen tot een exacte inschatting van het gebruikelijk loon van een </w:t>
      </w:r>
      <w:proofErr w:type="spellStart"/>
      <w:r w:rsidR="00CA0C70">
        <w:t>dga</w:t>
      </w:r>
      <w:proofErr w:type="spellEnd"/>
      <w:r w:rsidR="00CA0C70">
        <w:t xml:space="preserve">, maar wel geschikt zou zijn als </w:t>
      </w:r>
      <w:r w:rsidRPr="00E327D7" w:rsidR="00CA0C70">
        <w:t xml:space="preserve">het minimaal in aanmerking te nemen loon voor een </w:t>
      </w:r>
      <w:proofErr w:type="spellStart"/>
      <w:r w:rsidRPr="00E327D7" w:rsidR="00CA0C70">
        <w:t>dga</w:t>
      </w:r>
      <w:proofErr w:type="spellEnd"/>
      <w:r w:rsidR="00CA0C70">
        <w:t xml:space="preserve">. De vraag is dan in hoeverre een normbedrag gebaseerd op de loonsom de doeltreffendheid van de </w:t>
      </w:r>
      <w:proofErr w:type="spellStart"/>
      <w:r w:rsidR="00CA0C70">
        <w:t>gebruikelijkloonregeling</w:t>
      </w:r>
      <w:proofErr w:type="spellEnd"/>
      <w:r w:rsidR="00CA0C70">
        <w:t xml:space="preserve"> kan verbeteren zonder dat </w:t>
      </w:r>
      <w:r w:rsidR="00460E8D">
        <w:t>dit</w:t>
      </w:r>
      <w:r w:rsidR="00B6703A">
        <w:t xml:space="preserve"> </w:t>
      </w:r>
      <w:r w:rsidR="00CA0C70">
        <w:t xml:space="preserve">al </w:t>
      </w:r>
      <w:proofErr w:type="gramStart"/>
      <w:r w:rsidR="00CA0C70">
        <w:t>teveel</w:t>
      </w:r>
      <w:proofErr w:type="gramEnd"/>
      <w:r w:rsidR="00CA0C70">
        <w:t xml:space="preserve"> ten koste zou gaan van de doelmatigheid. Een gedifferentieerd normbedrag vraagt om een goede onderbouwing</w:t>
      </w:r>
      <w:r w:rsidR="00BC4161">
        <w:t>,</w:t>
      </w:r>
      <w:r w:rsidR="00CA0C70">
        <w:t xml:space="preserve"> net als een hoger generiek normbedrag. Als in de praktijk blijkt dat inhoudingsplichtigen vaak aannemelijk kunnen maken dat het normbedrag te hoog is gekozen door de </w:t>
      </w:r>
      <w:r w:rsidR="00CA0C70">
        <w:lastRenderedPageBreak/>
        <w:t>wetgever en er veel meer discussie ontstaat tussen inhoudingsplichtigen en de Belastingdienst</w:t>
      </w:r>
      <w:r w:rsidR="00BC4161">
        <w:t>,</w:t>
      </w:r>
      <w:r w:rsidR="00CA0C70">
        <w:t xml:space="preserve"> zijn we qua doeltreffendheid niet veel verder opgeschoten en gaat dit wel ten koste van doelmatigheid. </w:t>
      </w:r>
    </w:p>
    <w:p w:rsidR="003A214A" w:rsidP="00CA0C70" w:rsidRDefault="003A214A" w14:paraId="763E4C64" w14:textId="77777777">
      <w:pPr>
        <w:autoSpaceDE w:val="0"/>
        <w:adjustRightInd w:val="0"/>
        <w:spacing w:line="271" w:lineRule="auto"/>
      </w:pPr>
    </w:p>
    <w:p w:rsidR="003A214A" w:rsidP="00DA38D8" w:rsidRDefault="00CA0C70" w14:paraId="4F05863F" w14:textId="77777777">
      <w:pPr>
        <w:autoSpaceDE w:val="0"/>
        <w:adjustRightInd w:val="0"/>
        <w:spacing w:line="271" w:lineRule="auto"/>
        <w:textAlignment w:val="auto"/>
      </w:pPr>
      <w:r>
        <w:t xml:space="preserve">Daarnaast kan een gedifferentieerd normbedrag onterecht de indruk wekken dat sprake is van een zuivere benadering van het gebruikelijk loon. De kans bestaat dat de inhoudingsplichtige vaker het normbedrag in de aangifte zal invullen in plaats van het loon uit de meest vergelijkbare dienstbetrekking. Daarmee raakt een loon uit meest vergelijkbare dienstbetrekking </w:t>
      </w:r>
      <w:r w:rsidR="00DA38D8">
        <w:t xml:space="preserve">juist </w:t>
      </w:r>
      <w:r>
        <w:t>meer uit het zicht en wordt het normbedrag nog meer een ankerpunt dan het al was. Tot slot geldt voor de meeste mkb-bedrijven dat de loonsom zich in de eerst twee schijfgrenzen van bovenstaande tabel bevindt.</w:t>
      </w:r>
      <w:r w:rsidR="002763BB">
        <w:t xml:space="preserve"> </w:t>
      </w:r>
      <w:r w:rsidR="00FD74FE">
        <w:t xml:space="preserve">Differentiatie naar de schijfgrenzen voegt dan weinig toe. </w:t>
      </w:r>
      <w:r w:rsidR="002763BB">
        <w:t xml:space="preserve">Bovendien is in de evaluatie de </w:t>
      </w:r>
      <w:r w:rsidRPr="00BB33BB" w:rsidR="002763BB">
        <w:t xml:space="preserve">loonvergelijking alleen toegepast op </w:t>
      </w:r>
      <w:r w:rsidR="002763BB">
        <w:t xml:space="preserve">lichamen met naast een </w:t>
      </w:r>
      <w:proofErr w:type="spellStart"/>
      <w:r w:rsidRPr="00BB33BB" w:rsidR="002763BB">
        <w:t>dga</w:t>
      </w:r>
      <w:proofErr w:type="spellEnd"/>
      <w:r w:rsidRPr="00BB33BB" w:rsidR="002763BB">
        <w:t xml:space="preserve"> minimaal drie </w:t>
      </w:r>
      <w:r w:rsidR="002763BB">
        <w:t xml:space="preserve">andere </w:t>
      </w:r>
      <w:r w:rsidRPr="00BB33BB" w:rsidR="002763BB">
        <w:t>werknemers</w:t>
      </w:r>
      <w:r w:rsidR="002763BB">
        <w:t xml:space="preserve"> in dienst</w:t>
      </w:r>
      <w:r w:rsidRPr="00BB33BB" w:rsidR="002763BB">
        <w:t>.</w:t>
      </w:r>
      <w:r w:rsidR="002763BB">
        <w:t xml:space="preserve"> Dit </w:t>
      </w:r>
      <w:r w:rsidR="00FD74FE">
        <w:t xml:space="preserve">betreft </w:t>
      </w:r>
      <w:r w:rsidR="002763BB">
        <w:t xml:space="preserve">echter het kleinere deel van de totale groep </w:t>
      </w:r>
      <w:proofErr w:type="spellStart"/>
      <w:r w:rsidR="002763BB">
        <w:t>dga’s</w:t>
      </w:r>
      <w:proofErr w:type="spellEnd"/>
      <w:r w:rsidR="002763BB">
        <w:t>.</w:t>
      </w:r>
      <w:r w:rsidR="002763BB">
        <w:rPr>
          <w:rStyle w:val="Voetnootmarkering"/>
        </w:rPr>
        <w:footnoteReference w:id="30"/>
      </w:r>
      <w:r w:rsidR="002763BB">
        <w:t xml:space="preserve"> De groep </w:t>
      </w:r>
      <w:proofErr w:type="spellStart"/>
      <w:r w:rsidR="002763BB">
        <w:t>dga’s</w:t>
      </w:r>
      <w:proofErr w:type="spellEnd"/>
      <w:r w:rsidR="002763BB">
        <w:t xml:space="preserve"> met maximaal twee werknemers zou vrijwel altijd op het laagste normbedrag uitkomen. </w:t>
      </w:r>
      <w:r w:rsidR="00FD74FE">
        <w:t>Verder</w:t>
      </w:r>
      <w:r w:rsidR="002763BB">
        <w:t xml:space="preserve"> doet een gedifferentieerd normbedrag naar loonsom </w:t>
      </w:r>
      <w:r w:rsidR="001B1D42">
        <w:t>niets</w:t>
      </w:r>
      <w:r w:rsidR="002763BB">
        <w:t xml:space="preserve"> aan het onverklaarbare deel van de 40% </w:t>
      </w:r>
      <w:proofErr w:type="spellStart"/>
      <w:r w:rsidR="002763BB">
        <w:t>dga’s</w:t>
      </w:r>
      <w:proofErr w:type="spellEnd"/>
      <w:r w:rsidR="002763BB">
        <w:t xml:space="preserve"> dat een gebruikelijk loon op of onder het normbedrag heeft. Een normbedrag gedifferentieerd naar loonsom zou dus slechts een kleine verbetering betekenen voor een beperkte groep </w:t>
      </w:r>
      <w:proofErr w:type="spellStart"/>
      <w:r w:rsidR="002763BB">
        <w:t>dga’s</w:t>
      </w:r>
      <w:proofErr w:type="spellEnd"/>
      <w:r w:rsidR="002763BB">
        <w:t>.</w:t>
      </w:r>
      <w:r>
        <w:t xml:space="preserve"> De kleine verbetering door de differentiatie van het normbedrag weegt dan niet op tegen het doel van eenvoud. Dit te meer daar uit de evaluatie ook blijkt dat het loon van </w:t>
      </w:r>
      <w:proofErr w:type="spellStart"/>
      <w:r>
        <w:t>dga’s</w:t>
      </w:r>
      <w:proofErr w:type="spellEnd"/>
      <w:r>
        <w:t xml:space="preserve"> van</w:t>
      </w:r>
      <w:r w:rsidR="00DA38D8">
        <w:t xml:space="preserve"> </w:t>
      </w:r>
      <w:r>
        <w:t>€ 70.000 of hoger meestal een realistische inschatting van een meest vergelijkbare dienstbetrekking lijkt.</w:t>
      </w:r>
      <w:r w:rsidR="00DA38D8">
        <w:rPr>
          <w:rStyle w:val="Voetnootmarkering"/>
        </w:rPr>
        <w:footnoteReference w:id="31"/>
      </w:r>
      <w:r w:rsidRPr="00DA38D8" w:rsidR="00DA38D8">
        <w:t xml:space="preserve"> </w:t>
      </w:r>
      <w:r>
        <w:t>Ook komt daarbij de vraag hoe de gedifferentieerde normbedragen jaarlijks aan te passen aan de actuele stand van de markt. Kan de jaarlijkse tabelcorrectiefactor nog jaarlijks worden toegepast of dient hier jaarlijks een loonvergelijking te worden gemaakt</w:t>
      </w:r>
      <w:r w:rsidR="0097042F">
        <w:t>?</w:t>
      </w:r>
      <w:r>
        <w:t xml:space="preserve"> Dat laatste zou de </w:t>
      </w:r>
      <w:proofErr w:type="spellStart"/>
      <w:r>
        <w:t>gebruikelijkloonregeling</w:t>
      </w:r>
      <w:proofErr w:type="spellEnd"/>
      <w:r>
        <w:t xml:space="preserve"> ook </w:t>
      </w:r>
      <w:r w:rsidR="00DA38D8">
        <w:t>nog weer</w:t>
      </w:r>
      <w:r>
        <w:t xml:space="preserve"> complexer maken. </w:t>
      </w:r>
    </w:p>
    <w:p w:rsidR="003A214A" w:rsidP="00CA0C70" w:rsidRDefault="003A214A" w14:paraId="21FC0AB6" w14:textId="77777777">
      <w:pPr>
        <w:autoSpaceDE w:val="0"/>
        <w:adjustRightInd w:val="0"/>
        <w:spacing w:line="271" w:lineRule="auto"/>
      </w:pPr>
    </w:p>
    <w:p w:rsidR="00D925AD" w:rsidP="002C53A7" w:rsidRDefault="002C53A7" w14:paraId="5D33AA34" w14:textId="77777777">
      <w:pPr>
        <w:pStyle w:val="Lijstalinea"/>
        <w:numPr>
          <w:ilvl w:val="0"/>
          <w:numId w:val="17"/>
        </w:numPr>
        <w:adjustRightInd w:val="0"/>
        <w:spacing w:after="0" w:line="271" w:lineRule="auto"/>
        <w:ind w:left="357" w:hanging="357"/>
        <w:rPr>
          <w:rFonts w:ascii="Verdana" w:hAnsi="Verdana"/>
          <w:b/>
          <w:bCs/>
          <w:color w:val="161616"/>
          <w:sz w:val="18"/>
          <w:szCs w:val="18"/>
        </w:rPr>
      </w:pPr>
      <w:r w:rsidRPr="002C53A7">
        <w:rPr>
          <w:rFonts w:ascii="Verdana" w:hAnsi="Verdana"/>
          <w:b/>
          <w:bCs/>
          <w:color w:val="161616"/>
          <w:sz w:val="18"/>
          <w:szCs w:val="18"/>
        </w:rPr>
        <w:t>Effecten van aanpassingen van de doelmatigheidsmarge</w:t>
      </w:r>
    </w:p>
    <w:p w:rsidR="00A41F51" w:rsidP="00A41F51" w:rsidRDefault="00670BD5" w14:paraId="22156EAD" w14:textId="77777777">
      <w:pPr>
        <w:autoSpaceDE w:val="0"/>
        <w:adjustRightInd w:val="0"/>
        <w:spacing w:line="271" w:lineRule="auto"/>
      </w:pPr>
      <w:r>
        <w:t xml:space="preserve">De </w:t>
      </w:r>
      <w:proofErr w:type="spellStart"/>
      <w:r>
        <w:t>gebruikelijkloonregeling</w:t>
      </w:r>
      <w:proofErr w:type="spellEnd"/>
      <w:r>
        <w:t xml:space="preserve"> is in 1997 ingevoerd inclusief een doelmatigheidsmarge van 30% met het oog op de doelmatigheid van de uitvoering. Een doelmatigheidsmarge zou helpen om discussies en veelvuldig vooroverleg </w:t>
      </w:r>
      <w:r w:rsidR="00A41F51">
        <w:t xml:space="preserve">met de Belastingdienst </w:t>
      </w:r>
      <w:r>
        <w:t xml:space="preserve">te voorkomen. Het loon van de </w:t>
      </w:r>
      <w:proofErr w:type="spellStart"/>
      <w:r>
        <w:t>dga</w:t>
      </w:r>
      <w:proofErr w:type="spellEnd"/>
      <w:r>
        <w:t xml:space="preserve"> diende “niet in belangrijke mate af te wijken van het loon uit soortgelijke dienstbetrekkingen.”</w:t>
      </w:r>
      <w:r w:rsidR="00A41F51">
        <w:rPr>
          <w:rStyle w:val="Voetnootmarkering"/>
        </w:rPr>
        <w:footnoteReference w:id="32"/>
      </w:r>
      <w:r>
        <w:t xml:space="preserve"> Het loon</w:t>
      </w:r>
      <w:r w:rsidRPr="00E012A5">
        <w:t xml:space="preserve"> </w:t>
      </w:r>
      <w:r>
        <w:t xml:space="preserve">kon </w:t>
      </w:r>
      <w:r w:rsidRPr="00E012A5">
        <w:t>maximaal 30% lager</w:t>
      </w:r>
      <w:r>
        <w:t xml:space="preserve"> </w:t>
      </w:r>
      <w:r w:rsidRPr="00E012A5">
        <w:t>vastgesteld worden dan het loon uit dienstbetrekkingen, maar k</w:t>
      </w:r>
      <w:r w:rsidR="00A41F51">
        <w:t>o</w:t>
      </w:r>
      <w:r w:rsidRPr="00E012A5">
        <w:t xml:space="preserve">n niet onder </w:t>
      </w:r>
      <w:r>
        <w:t xml:space="preserve">het normbedrag </w:t>
      </w:r>
      <w:r w:rsidRPr="00E012A5">
        <w:t>uitkomen.</w:t>
      </w:r>
      <w:r>
        <w:t xml:space="preserve"> </w:t>
      </w:r>
      <w:r w:rsidRPr="001A26D3">
        <w:t>Met het Belastingplan 2015 is de doelmatigheidsmarge beperkt van 30% naar 25%</w:t>
      </w:r>
      <w:r>
        <w:t xml:space="preserve"> en is de term soortgelijke dienstbetrekking vervangen door meest vergelijkbare dienstbetrekking. Vanaf 2015 </w:t>
      </w:r>
      <w:r w:rsidR="00A41F51">
        <w:t>gold</w:t>
      </w:r>
      <w:r>
        <w:t xml:space="preserve"> </w:t>
      </w:r>
      <w:r w:rsidR="001059FC">
        <w:t xml:space="preserve">dus </w:t>
      </w:r>
      <w:r>
        <w:t>dat het</w:t>
      </w:r>
      <w:r w:rsidRPr="00670BD5">
        <w:t xml:space="preserve"> loon van de </w:t>
      </w:r>
      <w:proofErr w:type="spellStart"/>
      <w:r w:rsidRPr="00670BD5">
        <w:t>dga</w:t>
      </w:r>
      <w:proofErr w:type="spellEnd"/>
      <w:r w:rsidRPr="00670BD5">
        <w:t xml:space="preserve"> </w:t>
      </w:r>
      <w:r>
        <w:t>maximaal 25% lager k</w:t>
      </w:r>
      <w:r w:rsidR="00A41F51">
        <w:t>o</w:t>
      </w:r>
      <w:r>
        <w:t>n worden vastgesteld</w:t>
      </w:r>
      <w:r w:rsidRPr="00670BD5">
        <w:t xml:space="preserve"> </w:t>
      </w:r>
      <w:r>
        <w:t>dan</w:t>
      </w:r>
      <w:r w:rsidRPr="00670BD5">
        <w:t xml:space="preserve"> het loon uit </w:t>
      </w:r>
      <w:r>
        <w:t xml:space="preserve">de meest vergelijkbare </w:t>
      </w:r>
      <w:r w:rsidRPr="00670BD5">
        <w:t>dienstbetrekking</w:t>
      </w:r>
      <w:r>
        <w:t xml:space="preserve"> en niet lager dan het normbedrag. </w:t>
      </w:r>
      <w:r w:rsidRPr="001A26D3">
        <w:t xml:space="preserve">In 2023 is de doelmatigheidsmarge helemaal afgeschaft. Het beperken en vervolgens afschaffen van de doelmatigheidsmarge paste in de wens voor het gelijker belasten van werkenden en </w:t>
      </w:r>
      <w:r w:rsidR="007574B3">
        <w:t>is in diverse onderzoeken naar het belastingstelsel</w:t>
      </w:r>
      <w:r w:rsidRPr="001A26D3">
        <w:t xml:space="preserve"> </w:t>
      </w:r>
      <w:r w:rsidRPr="001A26D3">
        <w:lastRenderedPageBreak/>
        <w:t>geadviseerd.</w:t>
      </w:r>
      <w:r w:rsidR="001059FC">
        <w:rPr>
          <w:rStyle w:val="Voetnootmarkering"/>
        </w:rPr>
        <w:footnoteReference w:id="33"/>
      </w:r>
      <w:r w:rsidRPr="001A26D3">
        <w:t xml:space="preserve"> Voor de maatregel in het Belastingplan 2015 </w:t>
      </w:r>
      <w:r w:rsidR="007574B3">
        <w:t xml:space="preserve">is </w:t>
      </w:r>
      <w:r w:rsidRPr="001A26D3">
        <w:t xml:space="preserve">€ 150 miljoen ingeboekt en </w:t>
      </w:r>
      <w:r>
        <w:t xml:space="preserve">voor </w:t>
      </w:r>
      <w:r w:rsidRPr="001A26D3">
        <w:t xml:space="preserve">de maatregel in het Belastingplan 2023 € 315 miljoen structureel. </w:t>
      </w:r>
    </w:p>
    <w:p w:rsidR="00A41F51" w:rsidP="00A41F51" w:rsidRDefault="00A41F51" w14:paraId="2B4397E6" w14:textId="77777777">
      <w:pPr>
        <w:autoSpaceDE w:val="0"/>
        <w:adjustRightInd w:val="0"/>
        <w:spacing w:line="271" w:lineRule="auto"/>
      </w:pPr>
    </w:p>
    <w:p w:rsidRPr="0019378E" w:rsidR="00AA6948" w:rsidP="00A41F51" w:rsidRDefault="007574B3" w14:paraId="5B271D1B" w14:textId="77777777">
      <w:pPr>
        <w:autoSpaceDE w:val="0"/>
        <w:adjustRightInd w:val="0"/>
        <w:spacing w:line="271" w:lineRule="auto"/>
      </w:pPr>
      <w:r>
        <w:t>Uit d</w:t>
      </w:r>
      <w:r w:rsidRPr="001A26D3" w:rsidR="00670BD5">
        <w:t xml:space="preserve">e evaluatie </w:t>
      </w:r>
      <w:r>
        <w:t xml:space="preserve">blijkt dat het beperken respectievelijk afschaffen van </w:t>
      </w:r>
      <w:r w:rsidRPr="001A26D3" w:rsidR="00670BD5">
        <w:t>de doelmatigheidsmarge per saldo nauwelijks heeft geleid tot loonstijgingen</w:t>
      </w:r>
      <w:r w:rsidR="00A41F51">
        <w:t xml:space="preserve"> bij </w:t>
      </w:r>
      <w:proofErr w:type="spellStart"/>
      <w:r w:rsidR="00A41F51">
        <w:t>dga’s</w:t>
      </w:r>
      <w:proofErr w:type="spellEnd"/>
      <w:r w:rsidR="00A41F51">
        <w:t xml:space="preserve">. </w:t>
      </w:r>
      <w:r w:rsidR="00BC4161">
        <w:t>D</w:t>
      </w:r>
      <w:r>
        <w:t xml:space="preserve">e maatregelen </w:t>
      </w:r>
      <w:r w:rsidR="00A41F51">
        <w:t xml:space="preserve">hebben </w:t>
      </w:r>
      <w:r w:rsidR="00BC4161">
        <w:t xml:space="preserve">dus </w:t>
      </w:r>
      <w:r w:rsidR="00A41F51">
        <w:t xml:space="preserve">– anders dan verwacht </w:t>
      </w:r>
      <w:proofErr w:type="gramStart"/>
      <w:r w:rsidR="00A41F51">
        <w:t>-  n</w:t>
      </w:r>
      <w:r w:rsidR="0019378E">
        <w:t>auwelijks</w:t>
      </w:r>
      <w:proofErr w:type="gramEnd"/>
      <w:r w:rsidRPr="001A26D3" w:rsidR="00670BD5">
        <w:t xml:space="preserve"> effect  gehad </w:t>
      </w:r>
      <w:r w:rsidR="00A41F51">
        <w:t xml:space="preserve">op </w:t>
      </w:r>
      <w:r w:rsidRPr="001A26D3" w:rsidR="00670BD5">
        <w:t>de vaststelling van de hoogte van het gebruikelijk</w:t>
      </w:r>
      <w:r w:rsidR="0019378E">
        <w:t xml:space="preserve"> </w:t>
      </w:r>
      <w:r w:rsidRPr="001A26D3" w:rsidR="00670BD5">
        <w:t xml:space="preserve">loon. </w:t>
      </w:r>
      <w:r w:rsidR="0019378E">
        <w:t xml:space="preserve">Daarmee </w:t>
      </w:r>
      <w:r w:rsidR="00CD47D1">
        <w:t xml:space="preserve">is </w:t>
      </w:r>
      <w:r w:rsidR="0019378E">
        <w:t xml:space="preserve">de ingeboekte belastinginkomst ook niet te </w:t>
      </w:r>
      <w:r w:rsidR="00CD47D1">
        <w:t>gerealiseerd</w:t>
      </w:r>
      <w:r w:rsidR="0019378E">
        <w:t xml:space="preserve">. </w:t>
      </w:r>
      <w:r w:rsidRPr="0019378E" w:rsidR="0019378E">
        <w:t xml:space="preserve">Uit gesprekken van SEO met de Belastingdienst </w:t>
      </w:r>
      <w:r w:rsidR="00FD74FE">
        <w:t>zijn</w:t>
      </w:r>
      <w:r w:rsidR="00A41F51">
        <w:t xml:space="preserve"> ook </w:t>
      </w:r>
      <w:r w:rsidRPr="0019378E" w:rsidR="0019378E">
        <w:t xml:space="preserve">nauwelijks casussen </w:t>
      </w:r>
      <w:r w:rsidR="00A41F51">
        <w:t xml:space="preserve">naar voren gekomen </w:t>
      </w:r>
      <w:r w:rsidRPr="0019378E" w:rsidR="0019378E">
        <w:t xml:space="preserve">waarbij de doelmatigheidsmarge ter sprake is gekomen. Het beperken respectievelijk afschaffen van de doelmatigheidsmarge heeft </w:t>
      </w:r>
      <w:r w:rsidR="00A41F51">
        <w:t xml:space="preserve">ook </w:t>
      </w:r>
      <w:r w:rsidRPr="0019378E" w:rsidR="0019378E">
        <w:t xml:space="preserve">niet geleid tot meer verzoeken tot verlaging van het gebruikelijk loon. Ook zijn er nauwelijks gevallen bekend waarbij is geconstateerd dat het loon niet op een correcte wijze is aangepast sinds de afschaffing van de doelmatigheidsmarge. </w:t>
      </w:r>
    </w:p>
    <w:p w:rsidRPr="0019378E" w:rsidR="00AA6948" w:rsidP="0019378E" w:rsidRDefault="00AA6948" w14:paraId="06948AC0" w14:textId="77777777">
      <w:pPr>
        <w:pStyle w:val="Geenafstand"/>
        <w:spacing w:line="271" w:lineRule="auto"/>
        <w:rPr>
          <w:rFonts w:ascii="Verdana" w:hAnsi="Verdana"/>
          <w:sz w:val="18"/>
          <w:szCs w:val="18"/>
        </w:rPr>
      </w:pPr>
    </w:p>
    <w:p w:rsidRPr="0019378E" w:rsidR="0019378E" w:rsidP="0019378E" w:rsidRDefault="007574B3" w14:paraId="0B9B977C" w14:textId="77777777">
      <w:pPr>
        <w:pStyle w:val="Geenafstand"/>
        <w:spacing w:line="271" w:lineRule="auto"/>
        <w:rPr>
          <w:rFonts w:ascii="Verdana" w:hAnsi="Verdana"/>
          <w:sz w:val="18"/>
          <w:szCs w:val="18"/>
        </w:rPr>
      </w:pPr>
      <w:r w:rsidRPr="0019378E">
        <w:rPr>
          <w:rFonts w:ascii="Verdana" w:hAnsi="Verdana"/>
          <w:sz w:val="18"/>
          <w:szCs w:val="18"/>
        </w:rPr>
        <w:t xml:space="preserve">In </w:t>
      </w:r>
      <w:r w:rsidR="001059FC">
        <w:rPr>
          <w:rFonts w:ascii="Verdana" w:hAnsi="Verdana"/>
          <w:sz w:val="18"/>
          <w:szCs w:val="18"/>
        </w:rPr>
        <w:t xml:space="preserve">de evaluatie </w:t>
      </w:r>
      <w:r w:rsidR="00A41F51">
        <w:rPr>
          <w:rFonts w:ascii="Verdana" w:hAnsi="Verdana"/>
          <w:sz w:val="18"/>
          <w:szCs w:val="18"/>
        </w:rPr>
        <w:t>worden hiervoor de volgende</w:t>
      </w:r>
      <w:r w:rsidR="001059FC">
        <w:rPr>
          <w:rFonts w:ascii="Verdana" w:hAnsi="Verdana"/>
          <w:sz w:val="18"/>
          <w:szCs w:val="18"/>
        </w:rPr>
        <w:t xml:space="preserve"> verklaring</w:t>
      </w:r>
      <w:r w:rsidRPr="0019378E" w:rsidR="0019378E">
        <w:rPr>
          <w:rFonts w:ascii="Verdana" w:hAnsi="Verdana"/>
          <w:sz w:val="18"/>
          <w:szCs w:val="18"/>
        </w:rPr>
        <w:t>en</w:t>
      </w:r>
      <w:r w:rsidR="001059FC">
        <w:rPr>
          <w:rFonts w:ascii="Verdana" w:hAnsi="Verdana"/>
          <w:sz w:val="18"/>
          <w:szCs w:val="18"/>
        </w:rPr>
        <w:t xml:space="preserve"> </w:t>
      </w:r>
      <w:r w:rsidR="00A41F51">
        <w:rPr>
          <w:rFonts w:ascii="Verdana" w:hAnsi="Verdana"/>
          <w:sz w:val="18"/>
          <w:szCs w:val="18"/>
        </w:rPr>
        <w:t>gegeven</w:t>
      </w:r>
      <w:r w:rsidR="001059FC">
        <w:rPr>
          <w:rFonts w:ascii="Verdana" w:hAnsi="Verdana"/>
          <w:sz w:val="18"/>
          <w:szCs w:val="18"/>
        </w:rPr>
        <w:t xml:space="preserve">. </w:t>
      </w:r>
      <w:r w:rsidRPr="0019378E" w:rsidR="0019378E">
        <w:rPr>
          <w:rFonts w:ascii="Verdana" w:hAnsi="Verdana"/>
          <w:sz w:val="18"/>
          <w:szCs w:val="18"/>
        </w:rPr>
        <w:t xml:space="preserve">De betrouwbaarheidsmarge kon alleen bij een meest vergelijkbare dienstbetrekking worden toegepast en niet op of onder het normbedrag of bij het loon van de </w:t>
      </w:r>
      <w:proofErr w:type="gramStart"/>
      <w:r w:rsidRPr="0019378E" w:rsidR="0019378E">
        <w:rPr>
          <w:rFonts w:ascii="Verdana" w:hAnsi="Verdana"/>
          <w:sz w:val="18"/>
          <w:szCs w:val="18"/>
        </w:rPr>
        <w:t>meest verdienende</w:t>
      </w:r>
      <w:proofErr w:type="gramEnd"/>
      <w:r w:rsidRPr="0019378E" w:rsidR="0019378E">
        <w:rPr>
          <w:rFonts w:ascii="Verdana" w:hAnsi="Verdana"/>
          <w:sz w:val="18"/>
          <w:szCs w:val="18"/>
        </w:rPr>
        <w:t xml:space="preserve"> werknemer. </w:t>
      </w:r>
      <w:r w:rsidR="001059FC">
        <w:rPr>
          <w:rFonts w:ascii="Verdana" w:hAnsi="Verdana"/>
          <w:sz w:val="18"/>
          <w:szCs w:val="18"/>
        </w:rPr>
        <w:t xml:space="preserve">Omdat </w:t>
      </w:r>
      <w:r w:rsidR="0097042F">
        <w:rPr>
          <w:rFonts w:ascii="Verdana" w:hAnsi="Verdana"/>
          <w:sz w:val="18"/>
          <w:szCs w:val="18"/>
        </w:rPr>
        <w:t xml:space="preserve">het </w:t>
      </w:r>
      <w:r w:rsidR="001059FC">
        <w:rPr>
          <w:rFonts w:ascii="Verdana" w:hAnsi="Verdana"/>
          <w:sz w:val="18"/>
          <w:szCs w:val="18"/>
        </w:rPr>
        <w:t xml:space="preserve">in praktijk lastig is een loon uit </w:t>
      </w:r>
      <w:r w:rsidR="0097042F">
        <w:rPr>
          <w:rFonts w:ascii="Verdana" w:hAnsi="Verdana"/>
          <w:sz w:val="18"/>
          <w:szCs w:val="18"/>
        </w:rPr>
        <w:t xml:space="preserve">de </w:t>
      </w:r>
      <w:r w:rsidR="001059FC">
        <w:rPr>
          <w:rFonts w:ascii="Verdana" w:hAnsi="Verdana"/>
          <w:sz w:val="18"/>
          <w:szCs w:val="18"/>
        </w:rPr>
        <w:t xml:space="preserve">meest vergelijkbare dienstbetrekking vast te stellen en </w:t>
      </w:r>
      <w:r w:rsidRPr="0019378E" w:rsidR="001059FC">
        <w:rPr>
          <w:rFonts w:ascii="Verdana" w:hAnsi="Verdana"/>
          <w:sz w:val="18"/>
          <w:szCs w:val="18"/>
        </w:rPr>
        <w:t xml:space="preserve">de vaststelling van het loon in de meeste gevallen een grove benadering van een meest vergelijkbare dienstbetrekking het hoogst haalbare is, zal in praktijk de doelmatigheidsmarge weinig zijn toegepast. Ook het feit </w:t>
      </w:r>
      <w:r w:rsidRPr="0019378E">
        <w:rPr>
          <w:rFonts w:ascii="Verdana" w:hAnsi="Verdana"/>
          <w:sz w:val="18"/>
          <w:szCs w:val="18"/>
        </w:rPr>
        <w:t>dat</w:t>
      </w:r>
      <w:r w:rsidRPr="0019378E" w:rsidR="001059FC">
        <w:rPr>
          <w:rFonts w:ascii="Verdana" w:hAnsi="Verdana"/>
          <w:sz w:val="18"/>
          <w:szCs w:val="18"/>
        </w:rPr>
        <w:t xml:space="preserve"> </w:t>
      </w:r>
      <w:r w:rsidR="001059FC">
        <w:rPr>
          <w:rFonts w:ascii="Verdana" w:hAnsi="Verdana"/>
          <w:sz w:val="18"/>
          <w:szCs w:val="18"/>
        </w:rPr>
        <w:t>de bewijslast voor een gebruikelijk loon boven het normbedrag volledig bij de Belastingdienst ligt</w:t>
      </w:r>
      <w:r w:rsidR="00021649">
        <w:rPr>
          <w:rFonts w:ascii="Verdana" w:hAnsi="Verdana"/>
          <w:sz w:val="18"/>
          <w:szCs w:val="18"/>
        </w:rPr>
        <w:t>,</w:t>
      </w:r>
      <w:r w:rsidR="001059FC">
        <w:rPr>
          <w:rFonts w:ascii="Verdana" w:hAnsi="Verdana"/>
          <w:sz w:val="18"/>
          <w:szCs w:val="18"/>
        </w:rPr>
        <w:t xml:space="preserve"> zal </w:t>
      </w:r>
      <w:r w:rsidRPr="0019378E">
        <w:rPr>
          <w:rFonts w:ascii="Verdana" w:hAnsi="Verdana"/>
          <w:sz w:val="18"/>
          <w:szCs w:val="18"/>
        </w:rPr>
        <w:t xml:space="preserve">hierbij </w:t>
      </w:r>
      <w:r w:rsidR="00021649">
        <w:rPr>
          <w:rFonts w:ascii="Verdana" w:hAnsi="Verdana"/>
          <w:sz w:val="18"/>
          <w:szCs w:val="18"/>
        </w:rPr>
        <w:t>een rol hebben gespeeld</w:t>
      </w:r>
      <w:r w:rsidRPr="0019378E">
        <w:rPr>
          <w:rFonts w:ascii="Verdana" w:hAnsi="Verdana"/>
          <w:sz w:val="18"/>
          <w:szCs w:val="18"/>
        </w:rPr>
        <w:t>.</w:t>
      </w:r>
      <w:r w:rsidRPr="0019378E" w:rsidR="0019378E">
        <w:rPr>
          <w:rFonts w:ascii="Verdana" w:hAnsi="Verdana"/>
          <w:sz w:val="18"/>
          <w:szCs w:val="18"/>
        </w:rPr>
        <w:t xml:space="preserve"> Uit interviews </w:t>
      </w:r>
      <w:r w:rsidR="00021649">
        <w:rPr>
          <w:rFonts w:ascii="Verdana" w:hAnsi="Verdana"/>
          <w:sz w:val="18"/>
          <w:szCs w:val="18"/>
        </w:rPr>
        <w:t>die</w:t>
      </w:r>
      <w:r w:rsidRPr="0019378E" w:rsidR="0019378E">
        <w:rPr>
          <w:rFonts w:ascii="Verdana" w:hAnsi="Verdana"/>
          <w:sz w:val="18"/>
          <w:szCs w:val="18"/>
        </w:rPr>
        <w:t xml:space="preserve"> SEO </w:t>
      </w:r>
      <w:r w:rsidR="00021649">
        <w:rPr>
          <w:rFonts w:ascii="Verdana" w:hAnsi="Verdana"/>
          <w:sz w:val="18"/>
          <w:szCs w:val="18"/>
        </w:rPr>
        <w:t xml:space="preserve">heeft afgenomen </w:t>
      </w:r>
      <w:r w:rsidRPr="0019378E" w:rsidR="0019378E">
        <w:rPr>
          <w:rFonts w:ascii="Verdana" w:hAnsi="Verdana"/>
          <w:sz w:val="18"/>
          <w:szCs w:val="18"/>
        </w:rPr>
        <w:t xml:space="preserve">blijkt ook dat de doelmatigheidsmarge door </w:t>
      </w:r>
      <w:proofErr w:type="spellStart"/>
      <w:r w:rsidRPr="0019378E" w:rsidR="0019378E">
        <w:rPr>
          <w:rFonts w:ascii="Verdana" w:hAnsi="Verdana"/>
          <w:sz w:val="18"/>
          <w:szCs w:val="18"/>
        </w:rPr>
        <w:t>dga’s</w:t>
      </w:r>
      <w:proofErr w:type="spellEnd"/>
      <w:r w:rsidRPr="0019378E" w:rsidR="0019378E">
        <w:rPr>
          <w:rFonts w:ascii="Verdana" w:hAnsi="Verdana"/>
          <w:sz w:val="18"/>
          <w:szCs w:val="18"/>
        </w:rPr>
        <w:t xml:space="preserve"> en hun adviseurs </w:t>
      </w:r>
      <w:r w:rsidR="00021649">
        <w:rPr>
          <w:rFonts w:ascii="Verdana" w:hAnsi="Verdana"/>
          <w:sz w:val="18"/>
          <w:szCs w:val="18"/>
        </w:rPr>
        <w:t xml:space="preserve">vooral is </w:t>
      </w:r>
      <w:r w:rsidRPr="0019378E" w:rsidR="0019378E">
        <w:rPr>
          <w:rFonts w:ascii="Verdana" w:hAnsi="Verdana"/>
          <w:sz w:val="18"/>
          <w:szCs w:val="18"/>
        </w:rPr>
        <w:t>gebruikt als</w:t>
      </w:r>
      <w:r w:rsidR="0097042F">
        <w:rPr>
          <w:rFonts w:ascii="Verdana" w:hAnsi="Verdana"/>
          <w:sz w:val="18"/>
          <w:szCs w:val="18"/>
        </w:rPr>
        <w:t xml:space="preserve"> </w:t>
      </w:r>
      <w:r w:rsidRPr="0019378E" w:rsidR="0019378E">
        <w:rPr>
          <w:rFonts w:ascii="Verdana" w:hAnsi="Verdana"/>
          <w:sz w:val="18"/>
          <w:szCs w:val="18"/>
        </w:rPr>
        <w:t xml:space="preserve">veiligheidsmarge. </w:t>
      </w:r>
      <w:r w:rsidR="00021649">
        <w:rPr>
          <w:rFonts w:ascii="Verdana" w:hAnsi="Verdana"/>
          <w:sz w:val="18"/>
          <w:szCs w:val="18"/>
        </w:rPr>
        <w:t>Dat betekent dat w</w:t>
      </w:r>
      <w:r w:rsidRPr="0019378E" w:rsidR="0019378E">
        <w:rPr>
          <w:rFonts w:ascii="Verdana" w:hAnsi="Verdana"/>
          <w:sz w:val="18"/>
          <w:szCs w:val="18"/>
        </w:rPr>
        <w:t xml:space="preserve">anneer </w:t>
      </w:r>
      <w:proofErr w:type="spellStart"/>
      <w:r w:rsidRPr="0019378E" w:rsidR="0019378E">
        <w:rPr>
          <w:rFonts w:ascii="Verdana" w:hAnsi="Verdana"/>
          <w:sz w:val="18"/>
          <w:szCs w:val="18"/>
        </w:rPr>
        <w:t>dga</w:t>
      </w:r>
      <w:r w:rsidR="00021649">
        <w:rPr>
          <w:rFonts w:ascii="Verdana" w:hAnsi="Verdana"/>
          <w:sz w:val="18"/>
          <w:szCs w:val="18"/>
        </w:rPr>
        <w:t>’</w:t>
      </w:r>
      <w:r w:rsidRPr="0019378E" w:rsidR="0019378E">
        <w:rPr>
          <w:rFonts w:ascii="Verdana" w:hAnsi="Verdana"/>
          <w:sz w:val="18"/>
          <w:szCs w:val="18"/>
        </w:rPr>
        <w:t>s</w:t>
      </w:r>
      <w:proofErr w:type="spellEnd"/>
      <w:r w:rsidRPr="0019378E" w:rsidR="0019378E">
        <w:rPr>
          <w:rFonts w:ascii="Verdana" w:hAnsi="Verdana"/>
          <w:sz w:val="18"/>
          <w:szCs w:val="18"/>
        </w:rPr>
        <w:t xml:space="preserve"> </w:t>
      </w:r>
      <w:r w:rsidR="00021649">
        <w:rPr>
          <w:rFonts w:ascii="Verdana" w:hAnsi="Verdana"/>
          <w:sz w:val="18"/>
          <w:szCs w:val="18"/>
        </w:rPr>
        <w:t>en/</w:t>
      </w:r>
      <w:r w:rsidRPr="0019378E" w:rsidR="0019378E">
        <w:rPr>
          <w:rFonts w:ascii="Verdana" w:hAnsi="Verdana"/>
          <w:sz w:val="18"/>
          <w:szCs w:val="18"/>
        </w:rPr>
        <w:t xml:space="preserve">of hun adviseurs </w:t>
      </w:r>
      <w:r w:rsidR="00021649">
        <w:rPr>
          <w:rFonts w:ascii="Verdana" w:hAnsi="Verdana"/>
          <w:sz w:val="18"/>
          <w:szCs w:val="18"/>
        </w:rPr>
        <w:t>bekijken</w:t>
      </w:r>
      <w:r w:rsidRPr="0019378E" w:rsidR="0019378E">
        <w:rPr>
          <w:rFonts w:ascii="Verdana" w:hAnsi="Verdana"/>
          <w:sz w:val="18"/>
          <w:szCs w:val="18"/>
        </w:rPr>
        <w:t xml:space="preserve"> welk loon overeenkomt met een </w:t>
      </w:r>
      <w:r w:rsidR="00021649">
        <w:rPr>
          <w:rFonts w:ascii="Verdana" w:hAnsi="Verdana"/>
          <w:sz w:val="18"/>
          <w:szCs w:val="18"/>
        </w:rPr>
        <w:t>meest</w:t>
      </w:r>
      <w:r w:rsidRPr="0019378E" w:rsidR="0019378E">
        <w:rPr>
          <w:rFonts w:ascii="Verdana" w:hAnsi="Verdana"/>
          <w:sz w:val="18"/>
          <w:szCs w:val="18"/>
        </w:rPr>
        <w:t xml:space="preserve"> vergelijkbaar dienstverband, dan komen zij in de regel </w:t>
      </w:r>
      <w:r w:rsidR="00021649">
        <w:rPr>
          <w:rFonts w:ascii="Verdana" w:hAnsi="Verdana"/>
          <w:sz w:val="18"/>
          <w:szCs w:val="18"/>
        </w:rPr>
        <w:t xml:space="preserve">al </w:t>
      </w:r>
      <w:r w:rsidRPr="0019378E" w:rsidR="0019378E">
        <w:rPr>
          <w:rFonts w:ascii="Verdana" w:hAnsi="Verdana"/>
          <w:sz w:val="18"/>
          <w:szCs w:val="18"/>
        </w:rPr>
        <w:t xml:space="preserve">tot een bandbreedte. Gesprekspartners geven aan dat </w:t>
      </w:r>
      <w:r w:rsidR="00021649">
        <w:rPr>
          <w:rFonts w:ascii="Verdana" w:hAnsi="Verdana"/>
          <w:sz w:val="18"/>
          <w:szCs w:val="18"/>
        </w:rPr>
        <w:t xml:space="preserve">dan </w:t>
      </w:r>
      <w:r w:rsidRPr="0019378E" w:rsidR="0019378E">
        <w:rPr>
          <w:rFonts w:ascii="Verdana" w:hAnsi="Verdana"/>
          <w:sz w:val="18"/>
          <w:szCs w:val="18"/>
        </w:rPr>
        <w:t xml:space="preserve">veelal de onderkant van de bandbreedte wordt gekozen zonder de doelmatigheidsmarge toe te passen. Bij eventuele controles hebben zij de doelmatigheidsmarge nog achter de hand, zodat de </w:t>
      </w:r>
      <w:proofErr w:type="spellStart"/>
      <w:r w:rsidRPr="0019378E" w:rsidR="0019378E">
        <w:rPr>
          <w:rFonts w:ascii="Verdana" w:hAnsi="Verdana"/>
          <w:sz w:val="18"/>
          <w:szCs w:val="18"/>
        </w:rPr>
        <w:t>dga</w:t>
      </w:r>
      <w:proofErr w:type="spellEnd"/>
      <w:r w:rsidRPr="0019378E" w:rsidR="0019378E">
        <w:rPr>
          <w:rFonts w:ascii="Verdana" w:hAnsi="Verdana"/>
          <w:sz w:val="18"/>
          <w:szCs w:val="18"/>
        </w:rPr>
        <w:t xml:space="preserve"> en de adviseur zeker weten dat zij het gebruikelijk</w:t>
      </w:r>
      <w:r w:rsidR="006A060E">
        <w:rPr>
          <w:rFonts w:ascii="Verdana" w:hAnsi="Verdana"/>
          <w:sz w:val="18"/>
          <w:szCs w:val="18"/>
        </w:rPr>
        <w:t xml:space="preserve"> </w:t>
      </w:r>
      <w:r w:rsidRPr="0019378E" w:rsidR="0019378E">
        <w:rPr>
          <w:rFonts w:ascii="Verdana" w:hAnsi="Verdana"/>
          <w:sz w:val="18"/>
          <w:szCs w:val="18"/>
        </w:rPr>
        <w:t>loon passend hebben vastgesteld</w:t>
      </w:r>
      <w:r w:rsidR="00021649">
        <w:rPr>
          <w:rFonts w:ascii="Verdana" w:hAnsi="Verdana"/>
          <w:sz w:val="18"/>
          <w:szCs w:val="18"/>
        </w:rPr>
        <w:t>.</w:t>
      </w:r>
    </w:p>
    <w:p w:rsidR="00AA6948" w:rsidP="001059FC" w:rsidRDefault="00AA6948" w14:paraId="6B0F1835" w14:textId="77777777">
      <w:pPr>
        <w:autoSpaceDE w:val="0"/>
        <w:adjustRightInd w:val="0"/>
        <w:spacing w:line="240" w:lineRule="auto"/>
        <w:textAlignment w:val="auto"/>
      </w:pPr>
    </w:p>
    <w:p w:rsidRPr="002C53A7" w:rsidR="002C53A7" w:rsidP="002C53A7" w:rsidRDefault="002C53A7" w14:paraId="3D2090E1" w14:textId="77777777">
      <w:pPr>
        <w:pStyle w:val="Lijstalinea"/>
        <w:numPr>
          <w:ilvl w:val="0"/>
          <w:numId w:val="17"/>
        </w:numPr>
        <w:adjustRightInd w:val="0"/>
        <w:spacing w:after="0" w:line="271" w:lineRule="auto"/>
        <w:ind w:left="357" w:hanging="357"/>
        <w:rPr>
          <w:rFonts w:ascii="Verdana" w:hAnsi="Verdana"/>
          <w:b/>
          <w:bCs/>
          <w:color w:val="161616"/>
          <w:sz w:val="18"/>
          <w:szCs w:val="18"/>
        </w:rPr>
      </w:pPr>
      <w:r>
        <w:rPr>
          <w:rFonts w:ascii="Verdana" w:hAnsi="Verdana"/>
          <w:b/>
          <w:bCs/>
          <w:color w:val="161616"/>
          <w:sz w:val="18"/>
          <w:szCs w:val="18"/>
        </w:rPr>
        <w:t>Slotwoord</w:t>
      </w:r>
    </w:p>
    <w:p w:rsidR="00DB2CC1" w:rsidP="00DB2CC1" w:rsidRDefault="00DB2CC1" w14:paraId="2562E9AC" w14:textId="77777777">
      <w:r>
        <w:t xml:space="preserve">De belangrijkste uitkomsten van de evaluatie van de </w:t>
      </w:r>
      <w:proofErr w:type="spellStart"/>
      <w:r>
        <w:t>gebruikelijkloonregeling</w:t>
      </w:r>
      <w:proofErr w:type="spellEnd"/>
      <w:r>
        <w:t xml:space="preserve"> zijn dat er goede informatie ontbreekt zowel voor de </w:t>
      </w:r>
      <w:proofErr w:type="spellStart"/>
      <w:r>
        <w:t>dga</w:t>
      </w:r>
      <w:proofErr w:type="spellEnd"/>
      <w:r>
        <w:t xml:space="preserve"> als voor de Belastingdienst over het loon uit de meest vergelijkbare dienstbetrekking, dat </w:t>
      </w:r>
      <w:proofErr w:type="spellStart"/>
      <w:r>
        <w:t>dga’s</w:t>
      </w:r>
      <w:proofErr w:type="spellEnd"/>
      <w:r>
        <w:t xml:space="preserve"> en hun adviseurs geen strikte handhaving vanuit de Belastingdienst ervaren en ten slotte dat meer </w:t>
      </w:r>
      <w:proofErr w:type="spellStart"/>
      <w:r>
        <w:t>dga’s</w:t>
      </w:r>
      <w:proofErr w:type="spellEnd"/>
      <w:r>
        <w:t xml:space="preserve"> op of onder het normbedrag zitten dan kan worden verklaard uit de loonvergelijking die door SEO is gemaakt. </w:t>
      </w:r>
    </w:p>
    <w:p w:rsidR="00DB2CC1" w:rsidP="00DB2CC1" w:rsidRDefault="00DB2CC1" w14:paraId="5EAB2E78" w14:textId="77777777"/>
    <w:p w:rsidR="009F7CEA" w:rsidP="00DB2CC1" w:rsidRDefault="00DB2CC1" w14:paraId="68229A44" w14:textId="77777777">
      <w:r>
        <w:t xml:space="preserve">Het ministerie van Financiën heeft in vervolg op de evaluatie gekeken naar de mogelijkheden om de </w:t>
      </w:r>
      <w:proofErr w:type="spellStart"/>
      <w:r>
        <w:t>gebruikelijkloonregeling</w:t>
      </w:r>
      <w:proofErr w:type="spellEnd"/>
      <w:r>
        <w:t xml:space="preserve"> doeltreffender te maken aan de hand van de beleidsopties die daartoe zijn voorgesteld in de evaluatie. De appreciatie van de eerste beleidsoptie (verbetering van de informatievoorziening) is dat een eenduidige, generieke waarderingsmethode zowel de belastingplichtige als de Belastingdienst beter in staat kan stellen om het gebruikelijk loon op basis </w:t>
      </w:r>
      <w:r>
        <w:lastRenderedPageBreak/>
        <w:t xml:space="preserve">van de meest vergelijkbare dienstbetrekking vast te stellen. Wel moet nog worden bekeken of en hoe eenvoudig een uniforme en gedetailleerde functiewaarderingsmethode kan worden ontwikkeld. Er zal daarom eerst een haalbaarheidsonderzoek worden uitgevoerd naar de ontwikkeling van een eenduidige generieke waarderingsmethode. Ten aanzien van de </w:t>
      </w:r>
      <w:r w:rsidR="009F7CEA">
        <w:t xml:space="preserve">tweede beleidsoptie - </w:t>
      </w:r>
      <w:r>
        <w:t xml:space="preserve">verbetering van de handhaving </w:t>
      </w:r>
      <w:r w:rsidR="009F7CEA">
        <w:t xml:space="preserve">- </w:t>
      </w:r>
      <w:r>
        <w:t xml:space="preserve">start de Belastingdienst eerst met een analyse van de </w:t>
      </w:r>
      <w:r w:rsidR="009F7CEA">
        <w:t>b</w:t>
      </w:r>
      <w:r>
        <w:t xml:space="preserve">eschikbare data. Deze analyse is gericht op het verkrijgen van inzicht in de mate waarin de </w:t>
      </w:r>
      <w:proofErr w:type="spellStart"/>
      <w:r>
        <w:t>gebruikelijkloonregeling</w:t>
      </w:r>
      <w:proofErr w:type="spellEnd"/>
      <w:r>
        <w:t xml:space="preserve"> correct wordt toegepast, omdat de evaluatie hiertoe onvoldoende aanknopingspunten bevat. De inzichten uit deze analyse kunnen worden gebruikt bij het maken van zorgvuldige keuzes over de verdere handhavingsstrategie. </w:t>
      </w:r>
    </w:p>
    <w:p w:rsidR="009F7CEA" w:rsidP="00DB2CC1" w:rsidRDefault="009F7CEA" w14:paraId="12851965" w14:textId="77777777"/>
    <w:p w:rsidRPr="00DB2CC1" w:rsidR="00DB2CC1" w:rsidP="00DB2CC1" w:rsidRDefault="00DB2CC1" w14:paraId="172BE061" w14:textId="77777777">
      <w:r>
        <w:t xml:space="preserve">Ten slotte zijn er op dit moment weinig aanknopingspunten voor een onderbouwde generieke verhoging van het normbedrag. Daarnaast concludeer ik dat een gedifferentieerd normbedrag naar de hoogte van de loonsom van weinig toegevoegde waarde zal zijn om het loon van een </w:t>
      </w:r>
      <w:proofErr w:type="spellStart"/>
      <w:r>
        <w:t>dga</w:t>
      </w:r>
      <w:proofErr w:type="spellEnd"/>
      <w:r>
        <w:t xml:space="preserve"> beter vast te stellen en dat het in elk geval wel ten koste gaat van de doelmatigheid. </w:t>
      </w:r>
      <w:r w:rsidR="00F13790">
        <w:t xml:space="preserve">Om deze redenen geeft het </w:t>
      </w:r>
      <w:r>
        <w:t xml:space="preserve">kabinet </w:t>
      </w:r>
      <w:r w:rsidR="00F13790">
        <w:t>g</w:t>
      </w:r>
      <w:r>
        <w:t xml:space="preserve">een </w:t>
      </w:r>
      <w:r w:rsidR="009F7CEA">
        <w:t xml:space="preserve">verder </w:t>
      </w:r>
      <w:r>
        <w:t xml:space="preserve">gevolg aan deze </w:t>
      </w:r>
      <w:r w:rsidR="00F13790">
        <w:t xml:space="preserve">twee </w:t>
      </w:r>
      <w:r>
        <w:t>beleidsopties.</w:t>
      </w:r>
    </w:p>
    <w:p w:rsidR="00273218" w:rsidRDefault="002C53A7" w14:paraId="094BB4EB" w14:textId="77777777">
      <w:pPr>
        <w:pStyle w:val="StandaardSlotzin"/>
      </w:pPr>
      <w:r>
        <w:t>Hoogachtend,</w:t>
      </w:r>
    </w:p>
    <w:p w:rsidR="00273218" w:rsidRDefault="00273218" w14:paraId="3868606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273218" w14:paraId="7B404C9D" w14:textId="77777777">
        <w:tc>
          <w:tcPr>
            <w:tcW w:w="3592" w:type="dxa"/>
          </w:tcPr>
          <w:p w:rsidR="00D40A0B" w:rsidRDefault="002C53A7" w14:paraId="17464E3F" w14:textId="77777777">
            <w:proofErr w:type="gramStart"/>
            <w:r>
              <w:t>de</w:t>
            </w:r>
            <w:proofErr w:type="gramEnd"/>
            <w:r>
              <w:t xml:space="preserve"> staatssecretaris van Financiën</w:t>
            </w:r>
            <w:r w:rsidR="00F655FC">
              <w:t>,</w:t>
            </w:r>
            <w:r>
              <w:t xml:space="preserve"> </w:t>
            </w:r>
          </w:p>
          <w:p w:rsidR="00D40A0B" w:rsidRDefault="00D40A0B" w14:paraId="7F3474AA" w14:textId="77777777"/>
          <w:p w:rsidR="00D40A0B" w:rsidRDefault="00D40A0B" w14:paraId="1A6C9D4A" w14:textId="77777777"/>
          <w:p w:rsidR="00D40A0B" w:rsidRDefault="00D40A0B" w14:paraId="53DAD95A" w14:textId="77777777"/>
          <w:p w:rsidR="00273218" w:rsidRDefault="002C53A7" w14:paraId="0DD137C0" w14:textId="77777777">
            <w:r>
              <w:br/>
            </w:r>
            <w:r>
              <w:br/>
            </w:r>
            <w:r w:rsidR="00D40A0B">
              <w:t xml:space="preserve">Eelco </w:t>
            </w:r>
            <w:proofErr w:type="spellStart"/>
            <w:r w:rsidR="00D40A0B">
              <w:t>Eerenberg</w:t>
            </w:r>
            <w:proofErr w:type="spellEnd"/>
            <w:r>
              <w:br/>
            </w:r>
            <w:r>
              <w:br/>
            </w:r>
            <w:r>
              <w:br/>
            </w:r>
            <w:r>
              <w:br/>
            </w:r>
          </w:p>
        </w:tc>
        <w:tc>
          <w:tcPr>
            <w:tcW w:w="3892" w:type="dxa"/>
          </w:tcPr>
          <w:p w:rsidR="00273218" w:rsidRDefault="00273218" w14:paraId="2E54835D" w14:textId="77777777"/>
        </w:tc>
      </w:tr>
      <w:tr w:rsidR="00273218" w14:paraId="3D375888" w14:textId="77777777">
        <w:tc>
          <w:tcPr>
            <w:tcW w:w="3592" w:type="dxa"/>
          </w:tcPr>
          <w:p w:rsidR="00273218" w:rsidRDefault="00273218" w14:paraId="6CC82E53" w14:textId="77777777"/>
        </w:tc>
        <w:tc>
          <w:tcPr>
            <w:tcW w:w="3892" w:type="dxa"/>
          </w:tcPr>
          <w:p w:rsidR="00273218" w:rsidRDefault="00273218" w14:paraId="56A619C4" w14:textId="77777777"/>
        </w:tc>
      </w:tr>
      <w:tr w:rsidR="00273218" w14:paraId="62073633" w14:textId="77777777">
        <w:tc>
          <w:tcPr>
            <w:tcW w:w="3592" w:type="dxa"/>
          </w:tcPr>
          <w:p w:rsidR="00273218" w:rsidRDefault="00273218" w14:paraId="0F4C3B91" w14:textId="77777777"/>
        </w:tc>
        <w:tc>
          <w:tcPr>
            <w:tcW w:w="3892" w:type="dxa"/>
          </w:tcPr>
          <w:p w:rsidR="00273218" w:rsidRDefault="00273218" w14:paraId="7A95DB33" w14:textId="77777777"/>
        </w:tc>
      </w:tr>
    </w:tbl>
    <w:p w:rsidR="00273218" w:rsidRDefault="00273218" w14:paraId="49B73A56" w14:textId="77777777">
      <w:pPr>
        <w:pStyle w:val="Verdana7"/>
      </w:pPr>
    </w:p>
    <w:sectPr w:rsidR="00273218">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D8C91" w14:textId="77777777" w:rsidR="00E42131" w:rsidRDefault="00E42131">
      <w:pPr>
        <w:spacing w:line="240" w:lineRule="auto"/>
      </w:pPr>
      <w:r>
        <w:separator/>
      </w:r>
    </w:p>
  </w:endnote>
  <w:endnote w:type="continuationSeparator" w:id="0">
    <w:p w14:paraId="6F6DE104" w14:textId="77777777" w:rsidR="00E42131" w:rsidRDefault="00E42131">
      <w:pPr>
        <w:spacing w:line="240" w:lineRule="auto"/>
      </w:pPr>
      <w:r>
        <w:continuationSeparator/>
      </w:r>
    </w:p>
  </w:endnote>
  <w:endnote w:type="continuationNotice" w:id="1">
    <w:p w14:paraId="6AEAEDEB" w14:textId="77777777" w:rsidR="00E42131" w:rsidRDefault="00E421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Avenir Next LT Pro">
    <w:charset w:val="00"/>
    <w:family w:val="swiss"/>
    <w:pitch w:val="variable"/>
    <w:sig w:usb0="800000EF" w:usb1="5000204A" w:usb2="00000000" w:usb3="00000000" w:csb0="00000093"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JME M+ Univers">
    <w:altName w:val="Univer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7FBD" w14:textId="77777777" w:rsidR="00E42131" w:rsidRDefault="00E42131">
      <w:pPr>
        <w:spacing w:line="240" w:lineRule="auto"/>
      </w:pPr>
      <w:r>
        <w:separator/>
      </w:r>
    </w:p>
  </w:footnote>
  <w:footnote w:type="continuationSeparator" w:id="0">
    <w:p w14:paraId="035ED120" w14:textId="77777777" w:rsidR="00E42131" w:rsidRDefault="00E42131">
      <w:pPr>
        <w:spacing w:line="240" w:lineRule="auto"/>
      </w:pPr>
      <w:r>
        <w:continuationSeparator/>
      </w:r>
    </w:p>
  </w:footnote>
  <w:footnote w:type="continuationNotice" w:id="1">
    <w:p w14:paraId="1E443046" w14:textId="77777777" w:rsidR="00E42131" w:rsidRDefault="00E42131">
      <w:pPr>
        <w:spacing w:line="240" w:lineRule="auto"/>
      </w:pPr>
    </w:p>
  </w:footnote>
  <w:footnote w:id="2">
    <w:p w14:paraId="3D65C73C" w14:textId="77777777" w:rsidR="00B5274B" w:rsidRPr="0011137D" w:rsidRDefault="00B5274B" w:rsidP="00B5274B">
      <w:pPr>
        <w:pStyle w:val="Voetnoottekst"/>
        <w:rPr>
          <w:sz w:val="13"/>
          <w:szCs w:val="13"/>
        </w:rPr>
      </w:pPr>
      <w:r w:rsidRPr="00763942">
        <w:rPr>
          <w:rStyle w:val="Voetnootmarkering"/>
          <w:rFonts w:ascii="Verdana" w:hAnsi="Verdana"/>
          <w:sz w:val="13"/>
          <w:szCs w:val="13"/>
        </w:rPr>
        <w:footnoteRef/>
      </w:r>
      <w:r w:rsidRPr="00763942">
        <w:rPr>
          <w:rFonts w:ascii="Verdana" w:hAnsi="Verdana"/>
          <w:sz w:val="13"/>
          <w:szCs w:val="13"/>
        </w:rPr>
        <w:t xml:space="preserve"> </w:t>
      </w:r>
      <w:r w:rsidRPr="00763942">
        <w:rPr>
          <w:rFonts w:ascii="Verdana" w:hAnsi="Verdana"/>
          <w:color w:val="232323"/>
          <w:sz w:val="13"/>
          <w:szCs w:val="13"/>
        </w:rPr>
        <w:t xml:space="preserve">Met ingang van 1 </w:t>
      </w:r>
      <w:r w:rsidRPr="00AF7269">
        <w:rPr>
          <w:rFonts w:ascii="Verdana" w:hAnsi="Verdana"/>
          <w:sz w:val="13"/>
          <w:szCs w:val="13"/>
        </w:rPr>
        <w:t>januari 2001 is </w:t>
      </w:r>
      <w:hyperlink r:id="rId1" w:history="1">
        <w:r w:rsidRPr="00AF7269">
          <w:rPr>
            <w:rStyle w:val="wknlverwijzing"/>
            <w:rFonts w:ascii="Verdana" w:hAnsi="Verdana"/>
            <w:sz w:val="13"/>
            <w:szCs w:val="13"/>
            <w:u w:val="single"/>
          </w:rPr>
          <w:t>artikel 12a</w:t>
        </w:r>
      </w:hyperlink>
      <w:r w:rsidRPr="00763942">
        <w:rPr>
          <w:rFonts w:ascii="Verdana" w:hAnsi="Verdana"/>
          <w:color w:val="232323"/>
          <w:sz w:val="13"/>
          <w:szCs w:val="13"/>
        </w:rPr>
        <w:t> van de Wet LB 1964 niet alleen van toepassing in de relatie tot vennootschappen maar bij</w:t>
      </w:r>
      <w:r w:rsidRPr="003249D8">
        <w:rPr>
          <w:rFonts w:ascii="Verdana" w:hAnsi="Verdana"/>
          <w:color w:val="232323"/>
          <w:sz w:val="13"/>
          <w:szCs w:val="13"/>
        </w:rPr>
        <w:t xml:space="preserve"> alle soorten lichamen waarin een aanmerkelijk belang wordt gehouden</w:t>
      </w:r>
      <w:r>
        <w:rPr>
          <w:rFonts w:ascii="Verdana" w:hAnsi="Verdana"/>
          <w:color w:val="232323"/>
          <w:sz w:val="13"/>
          <w:szCs w:val="13"/>
        </w:rPr>
        <w:t xml:space="preserve"> zoals </w:t>
      </w:r>
      <w:r w:rsidRPr="00FC0A0B">
        <w:rPr>
          <w:rFonts w:ascii="Verdana" w:hAnsi="Verdana"/>
          <w:color w:val="232323"/>
          <w:sz w:val="13"/>
          <w:szCs w:val="13"/>
        </w:rPr>
        <w:t>bijvoorbeeld corporaties</w:t>
      </w:r>
      <w:r w:rsidR="00D64F98">
        <w:rPr>
          <w:rFonts w:ascii="Verdana" w:hAnsi="Verdana"/>
          <w:color w:val="232323"/>
          <w:sz w:val="13"/>
          <w:szCs w:val="13"/>
        </w:rPr>
        <w:t>.</w:t>
      </w:r>
    </w:p>
  </w:footnote>
  <w:footnote w:id="3">
    <w:p w14:paraId="04991E98" w14:textId="77777777" w:rsidR="00FC0A0B" w:rsidRPr="0011137D" w:rsidRDefault="00FC0A0B">
      <w:pPr>
        <w:pStyle w:val="Voetnoottekst"/>
        <w:rPr>
          <w:rFonts w:ascii="Verdana" w:hAnsi="Verdana"/>
          <w:sz w:val="13"/>
          <w:szCs w:val="13"/>
        </w:rPr>
      </w:pPr>
      <w:r w:rsidRPr="0011137D">
        <w:rPr>
          <w:rStyle w:val="Voetnootmarkering"/>
          <w:rFonts w:ascii="Verdana" w:hAnsi="Verdana"/>
          <w:sz w:val="13"/>
          <w:szCs w:val="13"/>
        </w:rPr>
        <w:footnoteRef/>
      </w:r>
      <w:r w:rsidRPr="0011137D">
        <w:rPr>
          <w:rFonts w:ascii="Verdana" w:hAnsi="Verdana"/>
          <w:sz w:val="13"/>
          <w:szCs w:val="13"/>
        </w:rPr>
        <w:t xml:space="preserve"> </w:t>
      </w:r>
      <w:r w:rsidRPr="00D64F98">
        <w:rPr>
          <w:rFonts w:ascii="Verdana" w:hAnsi="Verdana"/>
          <w:sz w:val="13"/>
          <w:szCs w:val="13"/>
        </w:rPr>
        <w:t xml:space="preserve">Artikel </w:t>
      </w:r>
      <w:r w:rsidRPr="0011137D">
        <w:rPr>
          <w:rFonts w:ascii="Verdana" w:hAnsi="Verdana"/>
          <w:sz w:val="13"/>
          <w:szCs w:val="13"/>
        </w:rPr>
        <w:t xml:space="preserve">4, onder d, </w:t>
      </w:r>
      <w:r w:rsidRPr="00D64F98">
        <w:rPr>
          <w:rFonts w:ascii="Verdana" w:hAnsi="Verdana"/>
          <w:sz w:val="13"/>
          <w:szCs w:val="13"/>
        </w:rPr>
        <w:t xml:space="preserve">Wet </w:t>
      </w:r>
      <w:r w:rsidR="00A067BD">
        <w:rPr>
          <w:rFonts w:ascii="Verdana" w:hAnsi="Verdana"/>
          <w:sz w:val="13"/>
          <w:szCs w:val="13"/>
        </w:rPr>
        <w:t>LB</w:t>
      </w:r>
      <w:r w:rsidRPr="00D64F98">
        <w:rPr>
          <w:rFonts w:ascii="Verdana" w:hAnsi="Verdana"/>
          <w:sz w:val="13"/>
          <w:szCs w:val="13"/>
        </w:rPr>
        <w:t xml:space="preserve"> 1964</w:t>
      </w:r>
      <w:r w:rsidR="00D64F98">
        <w:rPr>
          <w:rFonts w:ascii="Verdana" w:hAnsi="Verdana"/>
          <w:sz w:val="13"/>
          <w:szCs w:val="13"/>
        </w:rPr>
        <w:t xml:space="preserve"> </w:t>
      </w:r>
      <w:r w:rsidRPr="0011137D">
        <w:rPr>
          <w:rFonts w:ascii="Verdana" w:hAnsi="Verdana"/>
          <w:sz w:val="13"/>
          <w:szCs w:val="13"/>
        </w:rPr>
        <w:t>j.o. artikel 2h, Uitvoeringsbesluit loonbelasting 1965.</w:t>
      </w:r>
    </w:p>
  </w:footnote>
  <w:footnote w:id="4">
    <w:p w14:paraId="01375FE0" w14:textId="77777777" w:rsidR="00FC0A0B" w:rsidRPr="0011137D" w:rsidRDefault="00FC0A0B">
      <w:pPr>
        <w:pStyle w:val="Voetnoottekst"/>
        <w:rPr>
          <w:rFonts w:ascii="Verdana" w:hAnsi="Verdana"/>
          <w:sz w:val="13"/>
          <w:szCs w:val="13"/>
        </w:rPr>
      </w:pPr>
      <w:r w:rsidRPr="0011137D">
        <w:rPr>
          <w:rStyle w:val="Voetnootmarkering"/>
          <w:rFonts w:ascii="Verdana" w:hAnsi="Verdana"/>
          <w:sz w:val="13"/>
          <w:szCs w:val="13"/>
        </w:rPr>
        <w:footnoteRef/>
      </w:r>
      <w:r w:rsidRPr="0011137D">
        <w:rPr>
          <w:rFonts w:ascii="Verdana" w:hAnsi="Verdana"/>
          <w:sz w:val="13"/>
          <w:szCs w:val="13"/>
        </w:rPr>
        <w:t xml:space="preserve"> Artikel 7, onder k, </w:t>
      </w:r>
      <w:r w:rsidRPr="00D64F98">
        <w:rPr>
          <w:rFonts w:ascii="Verdana" w:hAnsi="Verdana"/>
          <w:sz w:val="13"/>
          <w:szCs w:val="13"/>
        </w:rPr>
        <w:t>Wet</w:t>
      </w:r>
      <w:r w:rsidRPr="00FC0A0B">
        <w:rPr>
          <w:rFonts w:ascii="Verdana" w:hAnsi="Verdana"/>
          <w:sz w:val="13"/>
          <w:szCs w:val="13"/>
        </w:rPr>
        <w:t xml:space="preserve"> </w:t>
      </w:r>
      <w:r w:rsidR="00A067BD">
        <w:rPr>
          <w:rFonts w:ascii="Verdana" w:hAnsi="Verdana"/>
          <w:sz w:val="13"/>
          <w:szCs w:val="13"/>
        </w:rPr>
        <w:t>LB</w:t>
      </w:r>
      <w:r w:rsidRPr="00FC0A0B">
        <w:rPr>
          <w:rFonts w:ascii="Verdana" w:hAnsi="Verdana"/>
          <w:sz w:val="13"/>
          <w:szCs w:val="13"/>
        </w:rPr>
        <w:t xml:space="preserve"> 1964.</w:t>
      </w:r>
    </w:p>
  </w:footnote>
  <w:footnote w:id="5">
    <w:p w14:paraId="4465BFC2" w14:textId="77777777" w:rsidR="00A725B7" w:rsidRPr="00A725B7" w:rsidRDefault="00A725B7" w:rsidP="00A725B7">
      <w:pPr>
        <w:pStyle w:val="Kop4"/>
        <w:spacing w:before="0" w:line="240" w:lineRule="auto"/>
        <w:rPr>
          <w:rFonts w:ascii="Verdana" w:eastAsia="Times New Roman" w:hAnsi="Verdana" w:cs="Times New Roman"/>
          <w:i w:val="0"/>
          <w:iCs w:val="0"/>
          <w:color w:val="auto"/>
          <w:sz w:val="14"/>
          <w:szCs w:val="14"/>
        </w:rPr>
      </w:pPr>
      <w:r w:rsidRPr="00A725B7">
        <w:rPr>
          <w:rStyle w:val="Voetnootmarkering"/>
          <w:rFonts w:ascii="Verdana" w:hAnsi="Verdana"/>
          <w:sz w:val="14"/>
          <w:szCs w:val="14"/>
        </w:rPr>
        <w:footnoteRef/>
      </w:r>
      <w:r w:rsidRPr="00A725B7">
        <w:rPr>
          <w:rFonts w:ascii="Verdana" w:hAnsi="Verdana"/>
          <w:sz w:val="14"/>
          <w:szCs w:val="14"/>
        </w:rPr>
        <w:t xml:space="preserve"> </w:t>
      </w:r>
      <w:r w:rsidRPr="00A725B7">
        <w:rPr>
          <w:rFonts w:ascii="Verdana" w:eastAsia="Times New Roman" w:hAnsi="Verdana" w:cs="Times New Roman"/>
          <w:i w:val="0"/>
          <w:iCs w:val="0"/>
          <w:color w:val="auto"/>
          <w:sz w:val="14"/>
          <w:szCs w:val="14"/>
        </w:rPr>
        <w:t>Zie rapport 'Uitvoering, dienstverlening, toezicht en opsporing bij de Belastingdienst'. Uitvoerings- en Handhavingsstrategie Belastingdienst (januari 2022).</w:t>
      </w:r>
      <w:r w:rsidRPr="00A725B7">
        <w:rPr>
          <w:rFonts w:ascii="Verdana" w:eastAsia="DejaVu Sans" w:hAnsi="Verdana" w:cs="Lohit Hindi"/>
          <w:color w:val="auto"/>
          <w:sz w:val="14"/>
          <w:szCs w:val="14"/>
        </w:rPr>
        <w:t xml:space="preserve"> </w:t>
      </w:r>
      <w:hyperlink r:id="rId2" w:history="1">
        <w:r w:rsidRPr="00A725B7">
          <w:rPr>
            <w:rStyle w:val="Hyperlink"/>
            <w:rFonts w:ascii="Verdana" w:eastAsia="DejaVu Sans" w:hAnsi="Verdana" w:cs="Lohit Hindi"/>
            <w:color w:val="auto"/>
            <w:sz w:val="14"/>
            <w:szCs w:val="14"/>
          </w:rPr>
          <w:t>https://open.overheid.nl/Details/ronl-57ded8a3b426d9001140319c30fb5a2f1c5fdccc/1?hit=1&amp;text=handhavingsstrategie+belastingdienst</w:t>
        </w:r>
      </w:hyperlink>
      <w:r w:rsidRPr="00A725B7">
        <w:rPr>
          <w:rFonts w:ascii="Verdana" w:eastAsia="DejaVu Sans" w:hAnsi="Verdana" w:cs="Lohit Hindi"/>
          <w:color w:val="auto"/>
          <w:sz w:val="14"/>
          <w:szCs w:val="14"/>
        </w:rPr>
        <w:t xml:space="preserve">. </w:t>
      </w:r>
    </w:p>
  </w:footnote>
  <w:footnote w:id="6">
    <w:p w14:paraId="0E7A55D7" w14:textId="77777777" w:rsidR="00CB0FEB" w:rsidRPr="00A725B7" w:rsidRDefault="00CB0FEB">
      <w:pPr>
        <w:pStyle w:val="Voetnoottekst"/>
        <w:rPr>
          <w:rFonts w:ascii="Verdana" w:hAnsi="Verdana"/>
          <w:sz w:val="14"/>
          <w:szCs w:val="14"/>
        </w:rPr>
      </w:pPr>
      <w:r w:rsidRPr="00A725B7">
        <w:rPr>
          <w:rStyle w:val="Voetnootmarkering"/>
          <w:rFonts w:ascii="Verdana" w:hAnsi="Verdana"/>
          <w:sz w:val="14"/>
          <w:szCs w:val="14"/>
        </w:rPr>
        <w:footnoteRef/>
      </w:r>
      <w:r w:rsidRPr="00A725B7">
        <w:rPr>
          <w:rFonts w:ascii="Verdana" w:hAnsi="Verdana"/>
          <w:sz w:val="14"/>
          <w:szCs w:val="14"/>
        </w:rPr>
        <w:t xml:space="preserve"> </w:t>
      </w:r>
      <w:hyperlink r:id="rId3" w:history="1">
        <w:r w:rsidR="00B5343A" w:rsidRPr="00A725B7">
          <w:rPr>
            <w:rFonts w:ascii="Verdana" w:eastAsia="DejaVu Sans" w:hAnsi="Verdana" w:cs="Lohit Hindi"/>
            <w:kern w:val="0"/>
            <w:sz w:val="14"/>
            <w:szCs w:val="14"/>
            <w:u w:val="single"/>
            <w:lang w:eastAsia="nl-NL"/>
            <w14:ligatures w14:val="none"/>
          </w:rPr>
          <w:t>Handreiking gebruikelijkloonregeling | Richtlijn | Rijksoverheid.nl</w:t>
        </w:r>
      </w:hyperlink>
      <w:r w:rsidR="00B5343A" w:rsidRPr="00A725B7">
        <w:rPr>
          <w:rFonts w:ascii="Verdana" w:hAnsi="Verdana"/>
          <w:sz w:val="14"/>
          <w:szCs w:val="14"/>
        </w:rPr>
        <w:t xml:space="preserve"> </w:t>
      </w:r>
    </w:p>
  </w:footnote>
  <w:footnote w:id="7">
    <w:p w14:paraId="063BC850" w14:textId="77777777" w:rsidR="00246800" w:rsidRPr="00A725B7" w:rsidRDefault="00246800">
      <w:pPr>
        <w:pStyle w:val="Voetnoottekst"/>
        <w:rPr>
          <w:rFonts w:ascii="Verdana" w:eastAsia="DejaVu Sans" w:hAnsi="Verdana" w:cs="Lohit Hindi"/>
          <w:kern w:val="0"/>
          <w:sz w:val="14"/>
          <w:szCs w:val="14"/>
          <w:u w:val="single"/>
          <w:lang w:eastAsia="nl-NL"/>
          <w14:ligatures w14:val="none"/>
        </w:rPr>
      </w:pPr>
      <w:r w:rsidRPr="00A725B7">
        <w:rPr>
          <w:rStyle w:val="Voetnootmarkering"/>
          <w:rFonts w:ascii="Verdana" w:hAnsi="Verdana"/>
          <w:sz w:val="14"/>
          <w:szCs w:val="14"/>
        </w:rPr>
        <w:footnoteRef/>
      </w:r>
      <w:r w:rsidRPr="00A725B7">
        <w:rPr>
          <w:rFonts w:ascii="Verdana" w:hAnsi="Verdana"/>
          <w:sz w:val="14"/>
          <w:szCs w:val="14"/>
        </w:rPr>
        <w:t xml:space="preserve"> </w:t>
      </w:r>
      <w:hyperlink r:id="rId4" w:history="1">
        <w:r w:rsidRPr="00A725B7">
          <w:rPr>
            <w:rFonts w:ascii="Verdana" w:eastAsia="DejaVu Sans" w:hAnsi="Verdana" w:cs="Lohit Hindi"/>
            <w:kern w:val="0"/>
            <w:sz w:val="14"/>
            <w:szCs w:val="14"/>
            <w:u w:val="single"/>
            <w:lang w:eastAsia="nl-NL"/>
            <w14:ligatures w14:val="none"/>
          </w:rPr>
          <w:t>Checklist vooroverleg gebruikelijk loon | Belastingdienst</w:t>
        </w:r>
      </w:hyperlink>
      <w:r w:rsidR="00B5343A" w:rsidRPr="00A725B7">
        <w:rPr>
          <w:rFonts w:ascii="Verdana" w:eastAsia="DejaVu Sans" w:hAnsi="Verdana" w:cs="Lohit Hindi"/>
          <w:kern w:val="0"/>
          <w:sz w:val="14"/>
          <w:szCs w:val="14"/>
          <w:u w:val="single"/>
          <w:lang w:eastAsia="nl-NL"/>
          <w14:ligatures w14:val="none"/>
        </w:rPr>
        <w:t xml:space="preserve">; </w:t>
      </w:r>
      <w:r w:rsidRPr="00A725B7">
        <w:rPr>
          <w:rFonts w:ascii="Verdana" w:eastAsia="DejaVu Sans" w:hAnsi="Verdana" w:cs="Lohit Hindi"/>
          <w:kern w:val="0"/>
          <w:sz w:val="14"/>
          <w:szCs w:val="14"/>
          <w:u w:val="single"/>
          <w:lang w:eastAsia="nl-NL"/>
          <w14:ligatures w14:val="none"/>
        </w:rPr>
        <w:t xml:space="preserve"> </w:t>
      </w:r>
      <w:hyperlink r:id="rId5" w:history="1">
        <w:r w:rsidRPr="00A725B7">
          <w:rPr>
            <w:rFonts w:ascii="Verdana" w:eastAsia="DejaVu Sans" w:hAnsi="Verdana" w:cs="Lohit Hindi"/>
            <w:kern w:val="0"/>
            <w:sz w:val="14"/>
            <w:szCs w:val="14"/>
            <w:u w:val="single"/>
            <w:lang w:eastAsia="nl-NL"/>
            <w14:ligatures w14:val="none"/>
          </w:rPr>
          <w:t>Verzoek Vooroverleg</w:t>
        </w:r>
      </w:hyperlink>
      <w:r w:rsidRPr="00A725B7">
        <w:rPr>
          <w:rFonts w:ascii="Verdana" w:eastAsia="DejaVu Sans" w:hAnsi="Verdana" w:cs="Lohit Hindi"/>
          <w:kern w:val="0"/>
          <w:sz w:val="14"/>
          <w:szCs w:val="14"/>
          <w:u w:val="single"/>
          <w:lang w:eastAsia="nl-NL"/>
          <w14:ligatures w14:val="none"/>
        </w:rPr>
        <w:t>.</w:t>
      </w:r>
    </w:p>
  </w:footnote>
  <w:footnote w:id="8">
    <w:p w14:paraId="3E80692C" w14:textId="77777777" w:rsidR="009453BD" w:rsidRPr="003139B5" w:rsidRDefault="009453BD">
      <w:pPr>
        <w:pStyle w:val="Voetnoottekst"/>
        <w:rPr>
          <w:rFonts w:ascii="Verdana" w:hAnsi="Verdana"/>
          <w:sz w:val="14"/>
          <w:szCs w:val="14"/>
        </w:rPr>
      </w:pPr>
      <w:r w:rsidRPr="009453BD">
        <w:rPr>
          <w:rStyle w:val="Voetnootmarkering"/>
          <w:rFonts w:ascii="Verdana" w:hAnsi="Verdana"/>
          <w:sz w:val="14"/>
          <w:szCs w:val="14"/>
        </w:rPr>
        <w:footnoteRef/>
      </w:r>
      <w:r w:rsidRPr="009453BD">
        <w:rPr>
          <w:rFonts w:ascii="Verdana" w:hAnsi="Verdana"/>
          <w:sz w:val="14"/>
          <w:szCs w:val="14"/>
        </w:rPr>
        <w:t xml:space="preserve"> </w:t>
      </w:r>
      <w:hyperlink r:id="rId6" w:history="1">
        <w:r w:rsidR="00246800" w:rsidRPr="003139B5">
          <w:rPr>
            <w:rStyle w:val="Hyperlink"/>
            <w:rFonts w:ascii="Verdana" w:hAnsi="Verdana"/>
            <w:color w:val="auto"/>
            <w:sz w:val="14"/>
            <w:szCs w:val="14"/>
          </w:rPr>
          <w:t>https://www.rijksoverheid.nl/documenten/richtlijnen/2023/04/26/handreiking-gebruikelijkloonregeling</w:t>
        </w:r>
      </w:hyperlink>
      <w:r w:rsidR="00246800" w:rsidRPr="003139B5">
        <w:rPr>
          <w:rFonts w:ascii="Verdana" w:hAnsi="Verdana"/>
          <w:sz w:val="14"/>
          <w:szCs w:val="14"/>
        </w:rPr>
        <w:t xml:space="preserve">. </w:t>
      </w:r>
    </w:p>
  </w:footnote>
  <w:footnote w:id="9">
    <w:p w14:paraId="5F4F9B18" w14:textId="77777777" w:rsidR="00B21079" w:rsidRPr="00B21079" w:rsidRDefault="00B21079">
      <w:pPr>
        <w:pStyle w:val="Voetnoottekst"/>
        <w:rPr>
          <w:rFonts w:ascii="Verdana" w:hAnsi="Verdana"/>
          <w:sz w:val="14"/>
          <w:szCs w:val="14"/>
        </w:rPr>
      </w:pPr>
      <w:r w:rsidRPr="003139B5">
        <w:rPr>
          <w:rStyle w:val="Voetnootmarkering"/>
          <w:rFonts w:ascii="Verdana" w:hAnsi="Verdana"/>
          <w:sz w:val="14"/>
          <w:szCs w:val="14"/>
        </w:rPr>
        <w:footnoteRef/>
      </w:r>
      <w:r w:rsidRPr="003139B5">
        <w:rPr>
          <w:rFonts w:ascii="Verdana" w:hAnsi="Verdana"/>
          <w:sz w:val="14"/>
          <w:szCs w:val="14"/>
        </w:rPr>
        <w:t xml:space="preserve"> Een geautomatiseerde selectie instrument beoordeelt op basis van de selectieregels of een aangifte direct geaccepteerd kan worden. Als dat niet het geval is, wordt de aangifte uitgeworpen en kan deze handmatig worden behandeld door een medewerker van de Belastingdienst. Bij de uitgeworpen aan</w:t>
      </w:r>
      <w:r w:rsidRPr="00B21079">
        <w:rPr>
          <w:rFonts w:ascii="Verdana" w:hAnsi="Verdana"/>
          <w:sz w:val="14"/>
          <w:szCs w:val="14"/>
        </w:rPr>
        <w:t>giften vermeldt het algoritme de onderwerpen waaraan aandacht besteed moet worden. De behandeling kan zowel leiden tot een correctie in het voordeel als in het nadeel van de burger.</w:t>
      </w:r>
    </w:p>
  </w:footnote>
  <w:footnote w:id="10">
    <w:p w14:paraId="0BFDC6F5" w14:textId="77777777" w:rsidR="008F3BEB" w:rsidRPr="00F63E3D" w:rsidRDefault="008F3BEB" w:rsidP="008F3BEB">
      <w:pPr>
        <w:pStyle w:val="Voetnoottekst"/>
        <w:rPr>
          <w:rFonts w:ascii="Verdana" w:hAnsi="Verdana"/>
          <w:sz w:val="14"/>
          <w:szCs w:val="14"/>
        </w:rPr>
      </w:pPr>
      <w:r w:rsidRPr="00E950AE">
        <w:rPr>
          <w:rStyle w:val="Voetnootmarkering"/>
          <w:rFonts w:ascii="Verdana" w:hAnsi="Verdana"/>
          <w:sz w:val="14"/>
          <w:szCs w:val="14"/>
        </w:rPr>
        <w:footnoteRef/>
      </w:r>
      <w:r w:rsidRPr="00E950AE">
        <w:rPr>
          <w:rFonts w:ascii="Verdana" w:hAnsi="Verdana"/>
          <w:sz w:val="14"/>
          <w:szCs w:val="14"/>
        </w:rPr>
        <w:t xml:space="preserve"> </w:t>
      </w:r>
      <w:r w:rsidRPr="00F63E3D">
        <w:rPr>
          <w:rFonts w:ascii="Verdana" w:hAnsi="Verdana"/>
          <w:sz w:val="14"/>
          <w:szCs w:val="14"/>
        </w:rPr>
        <w:t>Zie hoofdstuk 5 van de Handreiking gebruikelijkloonregeling (</w:t>
      </w:r>
      <w:hyperlink r:id="rId7" w:history="1">
        <w:r w:rsidRPr="00F63E3D">
          <w:rPr>
            <w:rStyle w:val="Hyperlink"/>
            <w:rFonts w:ascii="Verdana" w:hAnsi="Verdana"/>
            <w:color w:val="auto"/>
            <w:sz w:val="14"/>
            <w:szCs w:val="14"/>
          </w:rPr>
          <w:t>https://www.rijksoverheid.nl/documenten/richtlijnen/2023/04/26/handreiking-gebruikelijkloonregeling</w:t>
        </w:r>
      </w:hyperlink>
      <w:r w:rsidRPr="00F63E3D">
        <w:rPr>
          <w:rFonts w:ascii="Verdana" w:hAnsi="Verdana"/>
          <w:sz w:val="14"/>
          <w:szCs w:val="14"/>
        </w:rPr>
        <w:t xml:space="preserve">). </w:t>
      </w:r>
    </w:p>
  </w:footnote>
  <w:footnote w:id="11">
    <w:p w14:paraId="21C65350" w14:textId="77777777" w:rsidR="008F3BEB" w:rsidRPr="008F3BEB" w:rsidRDefault="008F3BEB">
      <w:pPr>
        <w:pStyle w:val="Voetnoottekst"/>
        <w:rPr>
          <w:rFonts w:ascii="Verdana" w:hAnsi="Verdana"/>
          <w:sz w:val="14"/>
          <w:szCs w:val="14"/>
        </w:rPr>
      </w:pPr>
      <w:r w:rsidRPr="00F63E3D">
        <w:rPr>
          <w:rStyle w:val="Voetnootmarkering"/>
          <w:rFonts w:ascii="Verdana" w:hAnsi="Verdana"/>
          <w:sz w:val="14"/>
          <w:szCs w:val="14"/>
        </w:rPr>
        <w:footnoteRef/>
      </w:r>
      <w:r w:rsidRPr="00F63E3D">
        <w:rPr>
          <w:rFonts w:ascii="Verdana" w:hAnsi="Verdana"/>
          <w:sz w:val="14"/>
          <w:szCs w:val="14"/>
        </w:rPr>
        <w:t xml:space="preserve"> Allereerst moet aansluiting worden gezocht bij wat de markt biedt voor de verrichte arbeid. Bij een standaard marktvergelijking wordt gekeken naar de aspecten branche, grootte van het bedrijf (uitgedrukt in bijvoorbeeld het aantal werknemers of omzet), het werkpakket of</w:t>
      </w:r>
      <w:r w:rsidRPr="00F63E3D">
        <w:rPr>
          <w:rFonts w:ascii="Verdana" w:hAnsi="Verdana" w:cs="Avenir Next LT Pro"/>
          <w:sz w:val="14"/>
          <w:szCs w:val="14"/>
        </w:rPr>
        <w:t xml:space="preserve"> </w:t>
      </w:r>
      <w:r w:rsidRPr="00F63E3D">
        <w:rPr>
          <w:rFonts w:ascii="Verdana" w:hAnsi="Verdana"/>
          <w:sz w:val="14"/>
          <w:szCs w:val="14"/>
        </w:rPr>
        <w:t>de verantwoordelijkheden.</w:t>
      </w:r>
      <w:r w:rsidRPr="00F63E3D">
        <w:rPr>
          <w:rFonts w:ascii="Verdana" w:hAnsi="Verdana" w:cs="Avenir Next LT Pro"/>
          <w:sz w:val="14"/>
          <w:szCs w:val="14"/>
        </w:rPr>
        <w:t xml:space="preserve"> </w:t>
      </w:r>
      <w:r w:rsidRPr="00F63E3D">
        <w:rPr>
          <w:rFonts w:ascii="Verdana" w:hAnsi="Verdana"/>
          <w:sz w:val="14"/>
          <w:szCs w:val="14"/>
        </w:rPr>
        <w:t xml:space="preserve">In situaties waarbij een markvergelijking niet eenvoudig is te maken, wordt in de handreiking ook gesteund op kenmerken die generiek een rol spelen bij de functiewaarderingmethoden zoals </w:t>
      </w:r>
      <w:r w:rsidRPr="008F3BEB">
        <w:rPr>
          <w:rFonts w:ascii="Verdana" w:hAnsi="Verdana"/>
          <w:sz w:val="14"/>
          <w:szCs w:val="14"/>
        </w:rPr>
        <w:t>de aard van het werk, de omvang van de werkzaamheden, complexiteit, samenloop van hoogwaardige techniek met commerciële/management capaciteiten, schaarste, eindbeslissingsbevoegdheid en tijdsbeslag.</w:t>
      </w:r>
    </w:p>
  </w:footnote>
  <w:footnote w:id="12">
    <w:p w14:paraId="5076E147" w14:textId="77777777" w:rsidR="00A90D2F" w:rsidRPr="00F63E3D" w:rsidRDefault="00A90D2F">
      <w:pPr>
        <w:pStyle w:val="Voetnoottekst"/>
        <w:rPr>
          <w:rFonts w:ascii="Verdana" w:hAnsi="Verdana"/>
          <w:sz w:val="14"/>
          <w:szCs w:val="14"/>
        </w:rPr>
      </w:pPr>
      <w:r w:rsidRPr="00A90D2F">
        <w:rPr>
          <w:rStyle w:val="Voetnootmarkering"/>
          <w:rFonts w:ascii="Verdana" w:hAnsi="Verdana"/>
          <w:sz w:val="14"/>
          <w:szCs w:val="14"/>
        </w:rPr>
        <w:footnoteRef/>
      </w:r>
      <w:r>
        <w:t xml:space="preserve"> </w:t>
      </w:r>
      <w:r w:rsidRPr="00F63E3D">
        <w:rPr>
          <w:rFonts w:ascii="Verdana" w:hAnsi="Verdana"/>
          <w:sz w:val="14"/>
          <w:szCs w:val="14"/>
        </w:rPr>
        <w:t>Als de opbrengsten van de bv bijna volledig komen uit de persoonlijke arbeid van de dga, kan het gebruikelijk</w:t>
      </w:r>
      <w:r w:rsidRPr="00F63E3D">
        <w:rPr>
          <w:rFonts w:ascii="Verdana" w:hAnsi="Verdana"/>
          <w:sz w:val="14"/>
          <w:szCs w:val="14"/>
          <w:shd w:val="clear" w:color="auto" w:fill="FFFFFF"/>
        </w:rPr>
        <w:t xml:space="preserve"> </w:t>
      </w:r>
      <w:r w:rsidRPr="00F63E3D">
        <w:rPr>
          <w:rFonts w:ascii="Verdana" w:hAnsi="Verdana"/>
          <w:sz w:val="14"/>
          <w:szCs w:val="14"/>
        </w:rPr>
        <w:t xml:space="preserve">loon worden vastgesteld op 75% x (de omzet van de </w:t>
      </w:r>
      <w:r w:rsidR="008F3BEB" w:rsidRPr="00F63E3D">
        <w:rPr>
          <w:rFonts w:ascii="Verdana" w:hAnsi="Verdana"/>
          <w:sz w:val="14"/>
          <w:szCs w:val="14"/>
        </w:rPr>
        <w:t>bv</w:t>
      </w:r>
      <w:r w:rsidRPr="00F63E3D">
        <w:rPr>
          <w:rFonts w:ascii="Verdana" w:hAnsi="Verdana"/>
          <w:sz w:val="14"/>
          <w:szCs w:val="14"/>
        </w:rPr>
        <w:t xml:space="preserve"> -/- de kosten).</w:t>
      </w:r>
    </w:p>
  </w:footnote>
  <w:footnote w:id="13">
    <w:p w14:paraId="7BAD49FD" w14:textId="77777777" w:rsidR="00C93D5D" w:rsidRPr="00F63E3D" w:rsidRDefault="00C93D5D">
      <w:pPr>
        <w:pStyle w:val="Voetnoottekst"/>
        <w:rPr>
          <w:rFonts w:ascii="Verdana" w:hAnsi="Verdana"/>
          <w:sz w:val="14"/>
          <w:szCs w:val="14"/>
        </w:rPr>
      </w:pPr>
      <w:r w:rsidRPr="00F63E3D">
        <w:rPr>
          <w:rFonts w:ascii="Verdana" w:hAnsi="Verdana"/>
          <w:sz w:val="14"/>
          <w:szCs w:val="14"/>
          <w:vertAlign w:val="superscript"/>
        </w:rPr>
        <w:footnoteRef/>
      </w:r>
      <w:r w:rsidRPr="00F63E3D">
        <w:rPr>
          <w:rFonts w:ascii="Verdana" w:hAnsi="Verdana"/>
          <w:sz w:val="14"/>
          <w:szCs w:val="14"/>
        </w:rPr>
        <w:t xml:space="preserve"> Hoge Raad 24 juni 2016, ECLI:NL:HR:2016:1269. </w:t>
      </w:r>
    </w:p>
  </w:footnote>
  <w:footnote w:id="14">
    <w:p w14:paraId="41FC7003" w14:textId="77777777" w:rsidR="00D925AD" w:rsidRPr="00F63E3D" w:rsidRDefault="00D925AD" w:rsidP="00D925AD">
      <w:pPr>
        <w:pStyle w:val="Voetnoottekst"/>
        <w:rPr>
          <w:rFonts w:ascii="Verdana" w:hAnsi="Verdana"/>
          <w:sz w:val="14"/>
          <w:szCs w:val="14"/>
        </w:rPr>
      </w:pPr>
      <w:r w:rsidRPr="00F63E3D">
        <w:rPr>
          <w:rStyle w:val="Voetnootmarkering"/>
          <w:rFonts w:ascii="Verdana" w:hAnsi="Verdana"/>
          <w:sz w:val="14"/>
          <w:szCs w:val="14"/>
        </w:rPr>
        <w:footnoteRef/>
      </w:r>
      <w:r w:rsidRPr="00F63E3D">
        <w:rPr>
          <w:rFonts w:ascii="Verdana" w:hAnsi="Verdana"/>
          <w:sz w:val="14"/>
          <w:szCs w:val="14"/>
        </w:rPr>
        <w:t xml:space="preserve"> Kamerstukken II, 2014-2015, 34 002, nr. 76, blz. 75 en </w:t>
      </w:r>
      <w:r w:rsidRPr="00F63E3D">
        <w:rPr>
          <w:rFonts w:ascii="Verdana" w:hAnsi="Verdana"/>
          <w:i/>
          <w:iCs/>
          <w:sz w:val="14"/>
          <w:szCs w:val="14"/>
        </w:rPr>
        <w:t>V, </w:t>
      </w:r>
      <w:hyperlink r:id="rId8" w:tgtFrame="_blank" w:history="1">
        <w:r w:rsidRPr="00F63E3D">
          <w:rPr>
            <w:rStyle w:val="Hyperlink"/>
            <w:rFonts w:ascii="Verdana" w:hAnsi="Verdana"/>
            <w:i/>
            <w:iCs/>
            <w:color w:val="auto"/>
            <w:sz w:val="14"/>
            <w:szCs w:val="14"/>
          </w:rPr>
          <w:t>Kamerstukken I 2014/15, 34002, G</w:t>
        </w:r>
      </w:hyperlink>
      <w:r w:rsidRPr="00F63E3D">
        <w:rPr>
          <w:rFonts w:ascii="Verdana" w:hAnsi="Verdana"/>
          <w:i/>
          <w:iCs/>
          <w:sz w:val="14"/>
          <w:szCs w:val="14"/>
        </w:rPr>
        <w:t>, p. 5.</w:t>
      </w:r>
      <w:r w:rsidRPr="00F63E3D">
        <w:rPr>
          <w:rFonts w:ascii="Verdana" w:hAnsi="Verdana"/>
          <w:sz w:val="14"/>
          <w:szCs w:val="14"/>
        </w:rPr>
        <w:t xml:space="preserve">  </w:t>
      </w:r>
    </w:p>
  </w:footnote>
  <w:footnote w:id="15">
    <w:p w14:paraId="0C61FBBC" w14:textId="77777777" w:rsidR="00027031" w:rsidRPr="00027031" w:rsidRDefault="00027031">
      <w:pPr>
        <w:pStyle w:val="Voetnoottekst"/>
        <w:rPr>
          <w:rFonts w:ascii="Verdana" w:hAnsi="Verdana"/>
          <w:sz w:val="14"/>
          <w:szCs w:val="14"/>
        </w:rPr>
      </w:pPr>
      <w:r w:rsidRPr="00F63E3D">
        <w:rPr>
          <w:rStyle w:val="Voetnootmarkering"/>
          <w:rFonts w:ascii="Verdana" w:hAnsi="Verdana"/>
          <w:sz w:val="14"/>
          <w:szCs w:val="14"/>
        </w:rPr>
        <w:footnoteRef/>
      </w:r>
      <w:r w:rsidRPr="00F63E3D">
        <w:rPr>
          <w:rFonts w:ascii="Verdana" w:hAnsi="Verdana"/>
          <w:sz w:val="14"/>
          <w:szCs w:val="14"/>
        </w:rPr>
        <w:t xml:space="preserve"> Bij het haalbaarheidsonderzoek wordt ook gekeken naar de benodigde IV-capaciteit</w:t>
      </w:r>
      <w:r>
        <w:rPr>
          <w:rFonts w:ascii="Verdana" w:hAnsi="Verdana"/>
          <w:sz w:val="14"/>
          <w:szCs w:val="14"/>
        </w:rPr>
        <w:t>.</w:t>
      </w:r>
    </w:p>
  </w:footnote>
  <w:footnote w:id="16">
    <w:p w14:paraId="26030A34" w14:textId="77777777" w:rsidR="00CA0C70" w:rsidRPr="00F63E3D" w:rsidRDefault="00CA0C70" w:rsidP="00CA0C70">
      <w:pPr>
        <w:pStyle w:val="Voetnoottekst"/>
        <w:rPr>
          <w:rFonts w:ascii="Verdana" w:hAnsi="Verdana"/>
          <w:sz w:val="14"/>
          <w:szCs w:val="14"/>
        </w:rPr>
      </w:pPr>
      <w:r w:rsidRPr="00E950AE">
        <w:rPr>
          <w:rStyle w:val="Voetnootmarkering"/>
          <w:rFonts w:ascii="Verdana" w:hAnsi="Verdana"/>
          <w:sz w:val="14"/>
          <w:szCs w:val="14"/>
        </w:rPr>
        <w:footnoteRef/>
      </w:r>
      <w:r w:rsidRPr="00E950AE">
        <w:rPr>
          <w:rFonts w:ascii="Verdana" w:hAnsi="Verdana"/>
          <w:sz w:val="14"/>
          <w:szCs w:val="14"/>
        </w:rPr>
        <w:t xml:space="preserve"> </w:t>
      </w:r>
      <w:r w:rsidRPr="00F63E3D">
        <w:rPr>
          <w:rFonts w:ascii="Verdana" w:hAnsi="Verdana"/>
          <w:sz w:val="14"/>
          <w:szCs w:val="14"/>
        </w:rPr>
        <w:t>De WAZ zou in werking treden op 1 januari 1998, waardoor voor 1997 met een overgangsbepaling de hoogte van het normbedrag voor 1997 op een vast bedrag werd vastgesteld (Wet van 13 december 1996, Stb. 1996, 652 (herziening regime ter zake van winst uit aanmerkelijk belang c.a.)</w:t>
      </w:r>
    </w:p>
  </w:footnote>
  <w:footnote w:id="17">
    <w:p w14:paraId="5DAB3B7D" w14:textId="77777777" w:rsidR="00CA0C70" w:rsidRPr="00F63E3D" w:rsidRDefault="00CA0C70" w:rsidP="00CA0C70">
      <w:pPr>
        <w:pStyle w:val="Voetnoottekst"/>
        <w:rPr>
          <w:rFonts w:ascii="Verdana" w:hAnsi="Verdana"/>
          <w:sz w:val="14"/>
          <w:szCs w:val="14"/>
        </w:rPr>
      </w:pPr>
      <w:r w:rsidRPr="00F63E3D">
        <w:rPr>
          <w:rStyle w:val="Voetnootmarkering"/>
          <w:rFonts w:ascii="Verdana" w:hAnsi="Verdana"/>
          <w:sz w:val="14"/>
          <w:szCs w:val="14"/>
        </w:rPr>
        <w:footnoteRef/>
      </w:r>
      <w:r w:rsidRPr="00F63E3D">
        <w:rPr>
          <w:rFonts w:ascii="Verdana" w:hAnsi="Verdana"/>
          <w:sz w:val="14"/>
          <w:szCs w:val="14"/>
        </w:rPr>
        <w:t xml:space="preserve"> NvW, Kamerstukken II 1996/97, 24 761, nr. 8, p. 23.</w:t>
      </w:r>
    </w:p>
  </w:footnote>
  <w:footnote w:id="18">
    <w:p w14:paraId="0D161902" w14:textId="77777777" w:rsidR="00CA0C70" w:rsidRPr="00F63E3D" w:rsidRDefault="00CA0C70" w:rsidP="00CA0C70">
      <w:pPr>
        <w:pStyle w:val="Voetnoottekst"/>
        <w:rPr>
          <w:rFonts w:ascii="Verdana" w:hAnsi="Verdana"/>
          <w:sz w:val="14"/>
          <w:szCs w:val="14"/>
        </w:rPr>
      </w:pPr>
      <w:r w:rsidRPr="00F63E3D">
        <w:rPr>
          <w:rStyle w:val="Voetnootmarkering"/>
          <w:rFonts w:ascii="Verdana" w:hAnsi="Verdana"/>
          <w:sz w:val="14"/>
          <w:szCs w:val="14"/>
        </w:rPr>
        <w:footnoteRef/>
      </w:r>
      <w:r w:rsidRPr="00F63E3D">
        <w:rPr>
          <w:rFonts w:ascii="Verdana" w:hAnsi="Verdana"/>
          <w:sz w:val="14"/>
          <w:szCs w:val="14"/>
        </w:rPr>
        <w:t xml:space="preserve"> MvT, </w:t>
      </w:r>
      <w:hyperlink r:id="rId9" w:tgtFrame="_blank" w:history="1">
        <w:r w:rsidRPr="00F63E3D">
          <w:rPr>
            <w:rStyle w:val="Hyperlink"/>
            <w:rFonts w:ascii="Verdana" w:hAnsi="Verdana"/>
            <w:color w:val="auto"/>
            <w:sz w:val="14"/>
            <w:szCs w:val="14"/>
          </w:rPr>
          <w:t>Kamerstukken II 2004/05, 30 200, nr. 3</w:t>
        </w:r>
      </w:hyperlink>
      <w:r w:rsidRPr="00F63E3D">
        <w:rPr>
          <w:rFonts w:ascii="Verdana" w:hAnsi="Verdana"/>
          <w:sz w:val="14"/>
          <w:szCs w:val="14"/>
        </w:rPr>
        <w:t>, p. 7-</w:t>
      </w:r>
      <w:proofErr w:type="gramStart"/>
      <w:r w:rsidRPr="00F63E3D">
        <w:rPr>
          <w:rFonts w:ascii="Verdana" w:hAnsi="Verdana"/>
          <w:sz w:val="14"/>
          <w:szCs w:val="14"/>
        </w:rPr>
        <w:t>8..</w:t>
      </w:r>
      <w:proofErr w:type="gramEnd"/>
    </w:p>
  </w:footnote>
  <w:footnote w:id="19">
    <w:p w14:paraId="23CA191A" w14:textId="77777777" w:rsidR="00CA0C70" w:rsidRPr="00F63E3D" w:rsidRDefault="00CA0C70" w:rsidP="00CA0C70">
      <w:pPr>
        <w:pStyle w:val="Voetnoottekst"/>
        <w:rPr>
          <w:rFonts w:ascii="Verdana" w:hAnsi="Verdana"/>
          <w:sz w:val="14"/>
          <w:szCs w:val="14"/>
        </w:rPr>
      </w:pPr>
      <w:r w:rsidRPr="00E950AE">
        <w:rPr>
          <w:rStyle w:val="Voetnootmarkering"/>
          <w:rFonts w:ascii="Verdana" w:hAnsi="Verdana"/>
          <w:sz w:val="14"/>
          <w:szCs w:val="14"/>
        </w:rPr>
        <w:footnoteRef/>
      </w:r>
      <w:r w:rsidRPr="00E950AE">
        <w:rPr>
          <w:rFonts w:ascii="Verdana" w:hAnsi="Verdana"/>
          <w:sz w:val="14"/>
          <w:szCs w:val="14"/>
        </w:rPr>
        <w:t xml:space="preserve"> </w:t>
      </w:r>
      <w:r w:rsidRPr="00F63E3D">
        <w:rPr>
          <w:rFonts w:ascii="Verdana" w:hAnsi="Verdana"/>
          <w:sz w:val="14"/>
          <w:szCs w:val="14"/>
        </w:rPr>
        <w:t xml:space="preserve">De tabelcorrectiefactor (artikel 10.2 van de Wet inkomstenbelasting 2001) is de verhouding van het gemiddelde van de prijsindexcijfers van de achttiende tot en met de zevende aan het kalenderjaar voorafgaande maand, tot het gemiddelde van de prijsindexcijfers van de dertigste tot en met de negentiende aan het kalenderjaar voorafgaande maand. PM in 2026 wordt de tcf gedeeltelijk toegepast. </w:t>
      </w:r>
    </w:p>
  </w:footnote>
  <w:footnote w:id="20">
    <w:p w14:paraId="1B31B6D7" w14:textId="77777777" w:rsidR="00CA0C70" w:rsidRPr="00F63E3D" w:rsidRDefault="00CA0C70" w:rsidP="00CA0C70">
      <w:pPr>
        <w:pStyle w:val="Voetnoottekst"/>
        <w:rPr>
          <w:rFonts w:ascii="Verdana" w:hAnsi="Verdana"/>
          <w:sz w:val="14"/>
          <w:szCs w:val="14"/>
        </w:rPr>
      </w:pPr>
      <w:r w:rsidRPr="00F63E3D">
        <w:rPr>
          <w:rStyle w:val="Voetnootmarkering"/>
          <w:rFonts w:ascii="Verdana" w:hAnsi="Verdana"/>
          <w:sz w:val="14"/>
          <w:szCs w:val="14"/>
        </w:rPr>
        <w:footnoteRef/>
      </w:r>
      <w:r w:rsidRPr="00F63E3D">
        <w:rPr>
          <w:rFonts w:ascii="Verdana" w:hAnsi="Verdana"/>
          <w:sz w:val="14"/>
          <w:szCs w:val="14"/>
        </w:rPr>
        <w:t xml:space="preserve"> </w:t>
      </w:r>
      <w:hyperlink r:id="rId10" w:history="1">
        <w:r w:rsidRPr="00F63E3D">
          <w:rPr>
            <w:rFonts w:ascii="Verdana" w:hAnsi="Verdana" w:cs="Segoe UI"/>
            <w:sz w:val="14"/>
            <w:szCs w:val="14"/>
            <w:u w:val="single"/>
          </w:rPr>
          <w:t>Kamerstukken II 2008/09, 31 705</w:t>
        </w:r>
      </w:hyperlink>
      <w:r w:rsidRPr="00F63E3D">
        <w:rPr>
          <w:rFonts w:ascii="Verdana" w:hAnsi="Verdana" w:cs="Arial"/>
          <w:sz w:val="14"/>
          <w:szCs w:val="14"/>
        </w:rPr>
        <w:t xml:space="preserve"> (Notitie Fiscale positie directeur-grootaandeelhouder)</w:t>
      </w:r>
    </w:p>
  </w:footnote>
  <w:footnote w:id="21">
    <w:p w14:paraId="5D401904" w14:textId="77777777" w:rsidR="00CA0C70" w:rsidRPr="00F63E3D" w:rsidRDefault="00CA0C70" w:rsidP="00CA0C70">
      <w:pPr>
        <w:pStyle w:val="Voetnoottekst"/>
        <w:rPr>
          <w:rFonts w:ascii="Verdana" w:hAnsi="Verdana"/>
          <w:sz w:val="14"/>
          <w:szCs w:val="14"/>
        </w:rPr>
      </w:pPr>
      <w:r w:rsidRPr="00F63E3D">
        <w:rPr>
          <w:rStyle w:val="Voetnootmarkering"/>
          <w:rFonts w:ascii="Verdana" w:hAnsi="Verdana"/>
          <w:sz w:val="16"/>
          <w:szCs w:val="16"/>
        </w:rPr>
        <w:footnoteRef/>
      </w:r>
      <w:r w:rsidRPr="00F63E3D">
        <w:rPr>
          <w:rFonts w:ascii="Verdana" w:hAnsi="Verdana"/>
          <w:sz w:val="16"/>
          <w:szCs w:val="16"/>
        </w:rPr>
        <w:t xml:space="preserve"> </w:t>
      </w:r>
      <w:hyperlink r:id="rId11" w:history="1">
        <w:r w:rsidRPr="00F63E3D">
          <w:rPr>
            <w:rFonts w:ascii="Verdana" w:hAnsi="Verdana" w:cs="Segoe UI"/>
            <w:sz w:val="14"/>
            <w:szCs w:val="14"/>
            <w:u w:val="single"/>
          </w:rPr>
          <w:t>Kamerstukken II 2008/09, 31 705</w:t>
        </w:r>
      </w:hyperlink>
      <w:r w:rsidRPr="00F63E3D">
        <w:rPr>
          <w:rFonts w:ascii="Verdana" w:hAnsi="Verdana" w:cs="Arial"/>
          <w:sz w:val="14"/>
          <w:szCs w:val="14"/>
        </w:rPr>
        <w:t>, 19</w:t>
      </w:r>
    </w:p>
  </w:footnote>
  <w:footnote w:id="22">
    <w:p w14:paraId="7F0C9028" w14:textId="77777777" w:rsidR="00CA0C70" w:rsidRPr="00F63E3D" w:rsidRDefault="00CA0C70" w:rsidP="00CA0C70">
      <w:pPr>
        <w:pStyle w:val="Voetnoottekst"/>
        <w:rPr>
          <w:rFonts w:ascii="Verdana" w:hAnsi="Verdana"/>
          <w:sz w:val="14"/>
          <w:szCs w:val="14"/>
        </w:rPr>
      </w:pPr>
      <w:r w:rsidRPr="00F63E3D">
        <w:rPr>
          <w:rStyle w:val="Voetnootmarkering"/>
          <w:rFonts w:ascii="Verdana" w:hAnsi="Verdana"/>
          <w:sz w:val="14"/>
          <w:szCs w:val="14"/>
        </w:rPr>
        <w:footnoteRef/>
      </w:r>
      <w:r w:rsidRPr="00F63E3D">
        <w:rPr>
          <w:rFonts w:ascii="Verdana" w:hAnsi="Verdana"/>
          <w:sz w:val="14"/>
          <w:szCs w:val="14"/>
        </w:rPr>
        <w:t xml:space="preserve"> </w:t>
      </w:r>
      <w:hyperlink r:id="rId12" w:tgtFrame="_blank" w:history="1">
        <w:r w:rsidRPr="00F63E3D">
          <w:rPr>
            <w:rStyle w:val="Hyperlink"/>
            <w:rFonts w:ascii="Verdana" w:hAnsi="Verdana"/>
            <w:color w:val="auto"/>
            <w:sz w:val="14"/>
            <w:szCs w:val="14"/>
          </w:rPr>
          <w:t>Kamerstukken II 2009/10, 31 705, nr. 23</w:t>
        </w:r>
      </w:hyperlink>
      <w:r w:rsidRPr="00F63E3D">
        <w:rPr>
          <w:rFonts w:ascii="Verdana" w:hAnsi="Verdana"/>
          <w:sz w:val="14"/>
          <w:szCs w:val="14"/>
        </w:rPr>
        <w:t>, p. 39–43 (Verslag van een schriftelijk overleg).</w:t>
      </w:r>
    </w:p>
  </w:footnote>
  <w:footnote w:id="23">
    <w:p w14:paraId="20034957" w14:textId="77777777" w:rsidR="00CA0C70" w:rsidRPr="00F63E3D" w:rsidRDefault="00CA0C70" w:rsidP="00CA0C70">
      <w:pPr>
        <w:pStyle w:val="Voetnoottekst"/>
        <w:rPr>
          <w:rFonts w:ascii="Verdana" w:hAnsi="Verdana"/>
          <w:sz w:val="14"/>
          <w:szCs w:val="14"/>
        </w:rPr>
      </w:pPr>
      <w:r w:rsidRPr="00F63E3D">
        <w:rPr>
          <w:rStyle w:val="Voetnootmarkering"/>
          <w:rFonts w:ascii="Verdana" w:hAnsi="Verdana"/>
          <w:sz w:val="14"/>
          <w:szCs w:val="14"/>
        </w:rPr>
        <w:footnoteRef/>
      </w:r>
      <w:r w:rsidRPr="00F63E3D">
        <w:rPr>
          <w:rFonts w:ascii="Verdana" w:hAnsi="Verdana"/>
          <w:sz w:val="14"/>
          <w:szCs w:val="14"/>
        </w:rPr>
        <w:t xml:space="preserve"> </w:t>
      </w:r>
      <w:hyperlink r:id="rId13" w:tgtFrame="_blank" w:history="1">
        <w:r w:rsidRPr="00F63E3D">
          <w:rPr>
            <w:rStyle w:val="Hyperlink"/>
            <w:rFonts w:ascii="Verdana" w:hAnsi="Verdana"/>
            <w:color w:val="auto"/>
            <w:sz w:val="14"/>
            <w:szCs w:val="14"/>
          </w:rPr>
          <w:t>Kamerstukken II 2009/10, 31 705, nr. 23</w:t>
        </w:r>
      </w:hyperlink>
      <w:r w:rsidRPr="00F63E3D">
        <w:rPr>
          <w:rFonts w:ascii="Verdana" w:hAnsi="Verdana"/>
          <w:sz w:val="14"/>
          <w:szCs w:val="14"/>
        </w:rPr>
        <w:t>, (Verslag van een schriftelijk overleg).</w:t>
      </w:r>
    </w:p>
  </w:footnote>
  <w:footnote w:id="24">
    <w:p w14:paraId="39215D5B" w14:textId="77777777" w:rsidR="00CA0C70" w:rsidRPr="003A6074" w:rsidRDefault="00CA0C70" w:rsidP="00CA0C70">
      <w:pPr>
        <w:pStyle w:val="Voetnoottekst"/>
        <w:rPr>
          <w:rFonts w:ascii="Verdana" w:hAnsi="Verdana"/>
          <w:sz w:val="14"/>
          <w:szCs w:val="14"/>
        </w:rPr>
      </w:pPr>
      <w:r w:rsidRPr="003A6074">
        <w:rPr>
          <w:rStyle w:val="Voetnootmarkering"/>
          <w:rFonts w:ascii="Verdana" w:hAnsi="Verdana"/>
          <w:sz w:val="14"/>
          <w:szCs w:val="14"/>
        </w:rPr>
        <w:footnoteRef/>
      </w:r>
      <w:r w:rsidRPr="003A6074">
        <w:rPr>
          <w:rFonts w:ascii="Verdana" w:hAnsi="Verdana"/>
          <w:sz w:val="14"/>
          <w:szCs w:val="14"/>
        </w:rPr>
        <w:t xml:space="preserve"> Artikel 12a Wet LB 1964 is van toepassing </w:t>
      </w:r>
      <w:proofErr w:type="gramStart"/>
      <w:r w:rsidRPr="003A6074">
        <w:rPr>
          <w:rFonts w:ascii="Verdana" w:hAnsi="Verdana"/>
          <w:sz w:val="14"/>
          <w:szCs w:val="14"/>
        </w:rPr>
        <w:t>indien</w:t>
      </w:r>
      <w:proofErr w:type="gramEnd"/>
      <w:r w:rsidRPr="003A6074">
        <w:rPr>
          <w:rFonts w:ascii="Verdana" w:hAnsi="Verdana"/>
          <w:sz w:val="14"/>
          <w:szCs w:val="14"/>
        </w:rPr>
        <w:t xml:space="preserve"> de arbeid verricht ten behoeve van een lichaam waarin hij of zijn partner een aanmerkelijk belang heeft. Met lichaam wordt bijvoorbeeld een bv bedoeld, maar dit kan ook een coöperatie of een open fonds voor gemene rekening betreffen.</w:t>
      </w:r>
    </w:p>
  </w:footnote>
  <w:footnote w:id="25">
    <w:p w14:paraId="5007423A" w14:textId="77777777" w:rsidR="00CA0C70" w:rsidRPr="003A6074" w:rsidRDefault="00CA0C70" w:rsidP="00CA0C70">
      <w:pPr>
        <w:pStyle w:val="Voetnoottekst"/>
        <w:rPr>
          <w:rFonts w:ascii="Verdana" w:hAnsi="Verdana"/>
          <w:sz w:val="14"/>
          <w:szCs w:val="14"/>
        </w:rPr>
      </w:pPr>
      <w:r w:rsidRPr="003A6074">
        <w:rPr>
          <w:rStyle w:val="Voetnootmarkering"/>
          <w:rFonts w:ascii="Verdana" w:hAnsi="Verdana"/>
          <w:sz w:val="14"/>
          <w:szCs w:val="14"/>
        </w:rPr>
        <w:footnoteRef/>
      </w:r>
      <w:r w:rsidRPr="003A6074">
        <w:rPr>
          <w:rFonts w:ascii="Verdana" w:hAnsi="Verdana"/>
          <w:sz w:val="14"/>
          <w:szCs w:val="14"/>
        </w:rPr>
        <w:t xml:space="preserve"> Het betreft hier de loonsom van een bedrijf met ook andere werknemers dan alleen de dga, anders zou de loonsom immers per definitie gelijk zijn aan het gebruikelijk loon.</w:t>
      </w:r>
    </w:p>
  </w:footnote>
  <w:footnote w:id="26">
    <w:p w14:paraId="41848090" w14:textId="77777777" w:rsidR="00CA0C70" w:rsidRPr="00A728DE" w:rsidRDefault="00CA0C70" w:rsidP="00CA0C70">
      <w:pPr>
        <w:pStyle w:val="Voetnoottekst"/>
        <w:rPr>
          <w:rFonts w:ascii="Verdana" w:hAnsi="Verdana"/>
          <w:sz w:val="14"/>
          <w:szCs w:val="14"/>
          <w:lang w:val="en-US"/>
        </w:rPr>
      </w:pPr>
      <w:r w:rsidRPr="003A6074">
        <w:rPr>
          <w:rStyle w:val="Voetnootmarkering"/>
          <w:rFonts w:ascii="Verdana" w:hAnsi="Verdana"/>
          <w:sz w:val="14"/>
          <w:szCs w:val="14"/>
        </w:rPr>
        <w:footnoteRef/>
      </w:r>
      <w:r w:rsidRPr="003A6074">
        <w:rPr>
          <w:rFonts w:ascii="Verdana" w:hAnsi="Verdana"/>
          <w:sz w:val="14"/>
          <w:szCs w:val="14"/>
        </w:rPr>
        <w:t xml:space="preserve"> </w:t>
      </w:r>
      <w:r w:rsidR="00A728DE">
        <w:rPr>
          <w:rFonts w:ascii="Verdana" w:hAnsi="Verdana"/>
          <w:sz w:val="14"/>
          <w:szCs w:val="14"/>
        </w:rPr>
        <w:t>SEO</w:t>
      </w:r>
      <w:r w:rsidRPr="003A6074">
        <w:rPr>
          <w:rFonts w:ascii="Verdana" w:hAnsi="Verdana"/>
          <w:sz w:val="14"/>
          <w:szCs w:val="14"/>
        </w:rPr>
        <w:t xml:space="preserve"> verwij</w:t>
      </w:r>
      <w:r w:rsidR="00A728DE">
        <w:rPr>
          <w:rFonts w:ascii="Verdana" w:hAnsi="Verdana"/>
          <w:sz w:val="14"/>
          <w:szCs w:val="14"/>
        </w:rPr>
        <w:t>st</w:t>
      </w:r>
      <w:r w:rsidRPr="003A6074">
        <w:rPr>
          <w:rFonts w:ascii="Verdana" w:hAnsi="Verdana"/>
          <w:sz w:val="14"/>
          <w:szCs w:val="14"/>
        </w:rPr>
        <w:t xml:space="preserve"> </w:t>
      </w:r>
      <w:r w:rsidR="00A728DE">
        <w:rPr>
          <w:rFonts w:ascii="Verdana" w:hAnsi="Verdana"/>
          <w:sz w:val="14"/>
          <w:szCs w:val="14"/>
        </w:rPr>
        <w:t xml:space="preserve">in dit verband naar </w:t>
      </w:r>
      <w:r w:rsidR="00A728DE" w:rsidRPr="00A728DE">
        <w:rPr>
          <w:rFonts w:ascii="Verdana" w:hAnsi="Verdana"/>
          <w:sz w:val="14"/>
          <w:szCs w:val="14"/>
        </w:rPr>
        <w:t xml:space="preserve">Tosi et al. </w:t>
      </w:r>
      <w:r w:rsidR="00A728DE" w:rsidRPr="00A728DE">
        <w:rPr>
          <w:rFonts w:ascii="Verdana" w:hAnsi="Verdana"/>
          <w:sz w:val="14"/>
          <w:szCs w:val="14"/>
          <w:lang w:val="en-US"/>
        </w:rPr>
        <w:t>(2000): How Much Does Performance Matter A Meta-Analysis of CEO Pay Studies</w:t>
      </w:r>
    </w:p>
  </w:footnote>
  <w:footnote w:id="27">
    <w:p w14:paraId="1344F7D2" w14:textId="77777777" w:rsidR="007464DC" w:rsidRPr="007464DC" w:rsidRDefault="007464DC">
      <w:pPr>
        <w:pStyle w:val="Voetnoottekst"/>
        <w:rPr>
          <w:rFonts w:ascii="Verdana" w:hAnsi="Verdana"/>
          <w:sz w:val="14"/>
          <w:szCs w:val="14"/>
        </w:rPr>
      </w:pPr>
      <w:r w:rsidRPr="007464DC">
        <w:rPr>
          <w:rStyle w:val="Voetnootmarkering"/>
          <w:rFonts w:ascii="Verdana" w:hAnsi="Verdana"/>
          <w:sz w:val="14"/>
          <w:szCs w:val="14"/>
        </w:rPr>
        <w:footnoteRef/>
      </w:r>
      <w:r w:rsidRPr="007464DC">
        <w:rPr>
          <w:rFonts w:ascii="Verdana" w:hAnsi="Verdana"/>
          <w:sz w:val="14"/>
          <w:szCs w:val="14"/>
        </w:rPr>
        <w:t xml:space="preserve"> </w:t>
      </w:r>
      <w:r w:rsidR="00A728DE">
        <w:rPr>
          <w:rFonts w:ascii="Verdana" w:hAnsi="Verdana"/>
          <w:sz w:val="14"/>
          <w:szCs w:val="14"/>
        </w:rPr>
        <w:t xml:space="preserve">Zie tabel 7.2 op </w:t>
      </w:r>
      <w:r w:rsidRPr="007464DC">
        <w:rPr>
          <w:rFonts w:ascii="Verdana" w:hAnsi="Verdana"/>
          <w:sz w:val="14"/>
          <w:szCs w:val="14"/>
        </w:rPr>
        <w:t xml:space="preserve">pagina </w:t>
      </w:r>
      <w:r w:rsidR="00A728DE">
        <w:rPr>
          <w:rFonts w:ascii="Verdana" w:hAnsi="Verdana"/>
          <w:sz w:val="14"/>
          <w:szCs w:val="14"/>
        </w:rPr>
        <w:t>62 van het evaluatierapport</w:t>
      </w:r>
      <w:r w:rsidR="00465AD8">
        <w:rPr>
          <w:rFonts w:ascii="Verdana" w:hAnsi="Verdana"/>
          <w:sz w:val="14"/>
          <w:szCs w:val="14"/>
        </w:rPr>
        <w:t>.</w:t>
      </w:r>
    </w:p>
  </w:footnote>
  <w:footnote w:id="28">
    <w:p w14:paraId="57E3EF28" w14:textId="77777777" w:rsidR="00AC2399" w:rsidRPr="003D0276" w:rsidRDefault="00AC2399">
      <w:pPr>
        <w:pStyle w:val="Voetnoottekst"/>
        <w:rPr>
          <w:rFonts w:ascii="Verdana" w:hAnsi="Verdana"/>
          <w:sz w:val="14"/>
          <w:szCs w:val="14"/>
        </w:rPr>
      </w:pPr>
      <w:r w:rsidRPr="003D0276">
        <w:rPr>
          <w:rStyle w:val="Voetnootmarkering"/>
          <w:rFonts w:ascii="Verdana" w:hAnsi="Verdana"/>
          <w:sz w:val="14"/>
          <w:szCs w:val="14"/>
        </w:rPr>
        <w:footnoteRef/>
      </w:r>
      <w:r w:rsidR="003D0276" w:rsidRPr="003D0276">
        <w:rPr>
          <w:rFonts w:ascii="Verdana" w:hAnsi="Verdana"/>
          <w:sz w:val="14"/>
          <w:szCs w:val="14"/>
        </w:rPr>
        <w:t xml:space="preserve"> Het rapport van de evaluatie is op 15 mei naar de Tweede Kamer gestuurd. In 2025 bedroeg het normbedrag € 56.000. Op basis van wettelijke ind</w:t>
      </w:r>
      <w:r w:rsidR="003D0276">
        <w:rPr>
          <w:rFonts w:ascii="Verdana" w:hAnsi="Verdana"/>
          <w:sz w:val="14"/>
          <w:szCs w:val="14"/>
        </w:rPr>
        <w:t>e</w:t>
      </w:r>
      <w:r w:rsidR="003D0276" w:rsidRPr="003D0276">
        <w:rPr>
          <w:rFonts w:ascii="Verdana" w:hAnsi="Verdana"/>
          <w:sz w:val="14"/>
          <w:szCs w:val="14"/>
        </w:rPr>
        <w:t>x</w:t>
      </w:r>
      <w:r w:rsidR="003D0276">
        <w:rPr>
          <w:rFonts w:ascii="Verdana" w:hAnsi="Verdana"/>
          <w:sz w:val="14"/>
          <w:szCs w:val="14"/>
        </w:rPr>
        <w:t>a</w:t>
      </w:r>
      <w:r w:rsidR="003D0276" w:rsidRPr="003D0276">
        <w:rPr>
          <w:rFonts w:ascii="Verdana" w:hAnsi="Verdana"/>
          <w:sz w:val="14"/>
          <w:szCs w:val="14"/>
        </w:rPr>
        <w:t>tie bedraagt het normbedrag in 2026 €58.000</w:t>
      </w:r>
      <w:r w:rsidR="00465AD8">
        <w:rPr>
          <w:rFonts w:ascii="Verdana" w:hAnsi="Verdana"/>
          <w:sz w:val="14"/>
          <w:szCs w:val="14"/>
        </w:rPr>
        <w:t>.</w:t>
      </w:r>
    </w:p>
  </w:footnote>
  <w:footnote w:id="29">
    <w:p w14:paraId="5E5AB064" w14:textId="77777777" w:rsidR="003A214A" w:rsidRPr="00043C98" w:rsidRDefault="003A214A" w:rsidP="003A214A">
      <w:pPr>
        <w:pStyle w:val="pf0"/>
        <w:spacing w:before="0" w:beforeAutospacing="0" w:after="0" w:afterAutospacing="0"/>
        <w:rPr>
          <w:rFonts w:ascii="Verdana" w:hAnsi="Verdana" w:cs="Arial"/>
          <w:sz w:val="14"/>
          <w:szCs w:val="14"/>
        </w:rPr>
      </w:pPr>
      <w:r w:rsidRPr="003A6074">
        <w:rPr>
          <w:rStyle w:val="Voetnootmarkering"/>
          <w:rFonts w:ascii="Verdana" w:hAnsi="Verdana"/>
          <w:sz w:val="14"/>
          <w:szCs w:val="14"/>
        </w:rPr>
        <w:footnoteRef/>
      </w:r>
      <w:r w:rsidRPr="003A6074">
        <w:rPr>
          <w:rFonts w:ascii="Verdana" w:hAnsi="Verdana"/>
          <w:sz w:val="14"/>
          <w:szCs w:val="14"/>
        </w:rPr>
        <w:t xml:space="preserve"> Dit is het overzicht met daarin de jaarloongegevens per medewerker die vervolgens gesommeerd kunnen worden. Deze </w:t>
      </w:r>
      <w:r w:rsidRPr="00043C98">
        <w:rPr>
          <w:rFonts w:ascii="Verdana" w:hAnsi="Verdana"/>
          <w:sz w:val="14"/>
          <w:szCs w:val="14"/>
        </w:rPr>
        <w:t xml:space="preserve">gegevens worden momenteel </w:t>
      </w:r>
      <w:proofErr w:type="gramStart"/>
      <w:r w:rsidRPr="00043C98">
        <w:rPr>
          <w:rFonts w:ascii="Verdana" w:hAnsi="Verdana"/>
          <w:sz w:val="14"/>
          <w:szCs w:val="14"/>
        </w:rPr>
        <w:t>reeds</w:t>
      </w:r>
      <w:proofErr w:type="gramEnd"/>
      <w:r w:rsidRPr="00043C98">
        <w:rPr>
          <w:rFonts w:ascii="Verdana" w:hAnsi="Verdana"/>
          <w:sz w:val="14"/>
          <w:szCs w:val="14"/>
        </w:rPr>
        <w:t xml:space="preserve"> door inhoudingsplichtigen geïnventariseerd, maar zijn geen grond voor belastingheffing. Dit vergt daarom aanvullende wetgeving.</w:t>
      </w:r>
      <w:r w:rsidRPr="00043C98">
        <w:rPr>
          <w:rFonts w:ascii="Verdana" w:hAnsi="Verdana" w:cs="Segoe UI"/>
          <w:sz w:val="14"/>
          <w:szCs w:val="14"/>
        </w:rPr>
        <w:t xml:space="preserve"> </w:t>
      </w:r>
      <w:r>
        <w:rPr>
          <w:rFonts w:ascii="Verdana" w:hAnsi="Verdana" w:cs="Segoe UI"/>
          <w:sz w:val="14"/>
          <w:szCs w:val="14"/>
        </w:rPr>
        <w:t>De</w:t>
      </w:r>
      <w:r w:rsidRPr="00043C98">
        <w:rPr>
          <w:rFonts w:ascii="Verdana" w:hAnsi="Verdana" w:cs="Segoe UI"/>
          <w:sz w:val="14"/>
          <w:szCs w:val="14"/>
        </w:rPr>
        <w:t xml:space="preserve"> gegevens uit de verzamelloonstaat </w:t>
      </w:r>
      <w:r>
        <w:rPr>
          <w:rFonts w:ascii="Verdana" w:hAnsi="Verdana" w:cs="Segoe UI"/>
          <w:sz w:val="14"/>
          <w:szCs w:val="14"/>
        </w:rPr>
        <w:t xml:space="preserve">zijn </w:t>
      </w:r>
      <w:r w:rsidRPr="00043C98">
        <w:rPr>
          <w:rFonts w:ascii="Verdana" w:hAnsi="Verdana" w:cs="Segoe UI"/>
          <w:sz w:val="14"/>
          <w:szCs w:val="14"/>
        </w:rPr>
        <w:t xml:space="preserve">wel behulpzaam voor </w:t>
      </w:r>
      <w:r>
        <w:rPr>
          <w:rFonts w:ascii="Verdana" w:hAnsi="Verdana" w:cs="Segoe UI"/>
          <w:sz w:val="14"/>
          <w:szCs w:val="14"/>
        </w:rPr>
        <w:t xml:space="preserve">de </w:t>
      </w:r>
      <w:r w:rsidRPr="00043C98">
        <w:rPr>
          <w:rFonts w:ascii="Verdana" w:hAnsi="Verdana" w:cs="Segoe UI"/>
          <w:sz w:val="14"/>
          <w:szCs w:val="14"/>
        </w:rPr>
        <w:t xml:space="preserve">inhoudingsplichtige bij bijv. het berekenen van de vrije ruimte voor de WKR. De vrije ruimte wordt berekend op basis van het totale fiscale loon en daarvoor kan aangesloten worden op het gezamenlijke bedrag van kolom 14 van de verzamelloonstaat. </w:t>
      </w:r>
    </w:p>
    <w:p w14:paraId="582DC484" w14:textId="77777777" w:rsidR="003A214A" w:rsidRPr="003A6074" w:rsidRDefault="003A214A" w:rsidP="003A214A">
      <w:pPr>
        <w:pStyle w:val="Voetnoottekst"/>
        <w:rPr>
          <w:rFonts w:ascii="Verdana" w:hAnsi="Verdana"/>
          <w:sz w:val="14"/>
          <w:szCs w:val="14"/>
        </w:rPr>
      </w:pPr>
    </w:p>
  </w:footnote>
  <w:footnote w:id="30">
    <w:p w14:paraId="6ED8F423" w14:textId="77777777" w:rsidR="002763BB" w:rsidRPr="00DB271D" w:rsidRDefault="002763BB" w:rsidP="002763BB">
      <w:pPr>
        <w:pStyle w:val="Voetnoottekst"/>
        <w:rPr>
          <w:rFonts w:ascii="Verdana" w:hAnsi="Verdana"/>
          <w:sz w:val="14"/>
          <w:szCs w:val="14"/>
        </w:rPr>
      </w:pPr>
      <w:r w:rsidRPr="00DB271D">
        <w:rPr>
          <w:rStyle w:val="Voetnootmarkering"/>
          <w:rFonts w:ascii="Verdana" w:hAnsi="Verdana"/>
          <w:sz w:val="14"/>
          <w:szCs w:val="14"/>
        </w:rPr>
        <w:footnoteRef/>
      </w:r>
      <w:r w:rsidR="00FD74FE">
        <w:rPr>
          <w:rFonts w:ascii="Verdana" w:hAnsi="Verdana"/>
          <w:sz w:val="14"/>
          <w:szCs w:val="14"/>
        </w:rPr>
        <w:t xml:space="preserve"> Het gaat om</w:t>
      </w:r>
      <w:r w:rsidRPr="00DB271D">
        <w:rPr>
          <w:rFonts w:ascii="Verdana" w:hAnsi="Verdana"/>
          <w:sz w:val="14"/>
          <w:szCs w:val="14"/>
        </w:rPr>
        <w:t xml:space="preserve"> 160.981 dga’s met minimaal drie werknemers op een totaal aantal van 359.062, zie pagina 86 van het evaluatierapport.</w:t>
      </w:r>
    </w:p>
  </w:footnote>
  <w:footnote w:id="31">
    <w:p w14:paraId="141ACA0B" w14:textId="77777777" w:rsidR="00DA38D8" w:rsidRPr="00182BF9" w:rsidRDefault="00DA38D8">
      <w:pPr>
        <w:pStyle w:val="Voetnoottekst"/>
        <w:rPr>
          <w:rFonts w:ascii="Verdana" w:hAnsi="Verdana"/>
          <w:sz w:val="14"/>
          <w:szCs w:val="14"/>
        </w:rPr>
      </w:pPr>
      <w:r w:rsidRPr="00182BF9">
        <w:rPr>
          <w:rStyle w:val="Voetnootmarkering"/>
          <w:rFonts w:ascii="Verdana" w:hAnsi="Verdana"/>
          <w:sz w:val="14"/>
          <w:szCs w:val="14"/>
        </w:rPr>
        <w:footnoteRef/>
      </w:r>
      <w:r w:rsidRPr="00182BF9">
        <w:rPr>
          <w:rFonts w:ascii="Verdana" w:hAnsi="Verdana"/>
          <w:sz w:val="14"/>
          <w:szCs w:val="14"/>
        </w:rPr>
        <w:t xml:space="preserve"> </w:t>
      </w:r>
      <w:r w:rsidRPr="00182BF9">
        <w:rPr>
          <w:rFonts w:ascii="Verdana" w:hAnsi="Verdana" w:cs="Lohit Hindi"/>
          <w:color w:val="000000"/>
          <w:sz w:val="14"/>
          <w:szCs w:val="14"/>
        </w:rPr>
        <w:t xml:space="preserve">Tussen de </w:t>
      </w:r>
      <w:r w:rsidRPr="00182BF9">
        <w:rPr>
          <w:rFonts w:ascii="Verdana" w:hAnsi="Verdana"/>
          <w:sz w:val="14"/>
          <w:szCs w:val="14"/>
        </w:rPr>
        <w:t xml:space="preserve">€ </w:t>
      </w:r>
      <w:r w:rsidRPr="00182BF9">
        <w:rPr>
          <w:rFonts w:ascii="Verdana" w:hAnsi="Verdana" w:cs="Lohit Hindi"/>
          <w:color w:val="000000"/>
          <w:sz w:val="14"/>
          <w:szCs w:val="14"/>
        </w:rPr>
        <w:t xml:space="preserve">70.000 en </w:t>
      </w:r>
      <w:r w:rsidRPr="00182BF9">
        <w:rPr>
          <w:rFonts w:ascii="Verdana" w:hAnsi="Verdana"/>
          <w:sz w:val="14"/>
          <w:szCs w:val="14"/>
        </w:rPr>
        <w:t xml:space="preserve">€ </w:t>
      </w:r>
      <w:r w:rsidRPr="00182BF9">
        <w:rPr>
          <w:rFonts w:ascii="Verdana" w:hAnsi="Verdana" w:cs="Lohit Hindi"/>
          <w:color w:val="000000"/>
          <w:sz w:val="14"/>
          <w:szCs w:val="14"/>
        </w:rPr>
        <w:t>110.000 euro liggen het voorspelde loon</w:t>
      </w:r>
      <w:r w:rsidRPr="00182BF9">
        <w:rPr>
          <w:rFonts w:ascii="Verdana" w:hAnsi="Verdana"/>
          <w:sz w:val="14"/>
          <w:szCs w:val="14"/>
        </w:rPr>
        <w:t xml:space="preserve"> uit de loonvergelijking </w:t>
      </w:r>
      <w:r w:rsidRPr="00182BF9">
        <w:rPr>
          <w:rFonts w:ascii="Verdana" w:hAnsi="Verdana" w:cs="Lohit Hindi"/>
          <w:color w:val="000000"/>
          <w:sz w:val="14"/>
          <w:szCs w:val="14"/>
        </w:rPr>
        <w:t>en het daadwerkelijk in aanmerking genomen loon gemiddeld genomen dicht bij elkaar.</w:t>
      </w:r>
    </w:p>
  </w:footnote>
  <w:footnote w:id="32">
    <w:p w14:paraId="62C5CE0D" w14:textId="77777777" w:rsidR="00A41F51" w:rsidRPr="00A728DE" w:rsidRDefault="00A41F51">
      <w:pPr>
        <w:pStyle w:val="Voetnoottekst"/>
        <w:rPr>
          <w:rFonts w:ascii="Verdana" w:hAnsi="Verdana" w:cs="Lohit Hindi"/>
          <w:color w:val="000000"/>
          <w:sz w:val="14"/>
          <w:szCs w:val="14"/>
        </w:rPr>
      </w:pPr>
      <w:r w:rsidRPr="00182BF9">
        <w:rPr>
          <w:rStyle w:val="Voetnootmarkering"/>
          <w:rFonts w:ascii="Verdana" w:hAnsi="Verdana"/>
          <w:sz w:val="14"/>
          <w:szCs w:val="14"/>
        </w:rPr>
        <w:footnoteRef/>
      </w:r>
      <w:r w:rsidRPr="00182BF9">
        <w:rPr>
          <w:rFonts w:ascii="Verdana" w:hAnsi="Verdana"/>
          <w:sz w:val="14"/>
          <w:szCs w:val="14"/>
        </w:rPr>
        <w:t xml:space="preserve"> </w:t>
      </w:r>
      <w:r w:rsidR="00A728DE" w:rsidRPr="00A728DE">
        <w:rPr>
          <w:rFonts w:ascii="Verdana" w:hAnsi="Verdana" w:cs="Lohit Hindi"/>
          <w:color w:val="000000"/>
          <w:sz w:val="14"/>
          <w:szCs w:val="14"/>
        </w:rPr>
        <w:t>Wet van 13 december 1996 tot wijziging van enige belastingwetten (herziening regime ter zake van winst uit aanmerkelijk belang, consumptieve rente en vermogensbelasting), Staatsblad 1996, nr. 652. P.</w:t>
      </w:r>
      <w:r w:rsidR="00A728DE" w:rsidRPr="00A728DE">
        <w:rPr>
          <w:rFonts w:ascii="Verdana" w:hAnsi="Verdana" w:cs="Lohit Hindi"/>
          <w:sz w:val="14"/>
          <w:szCs w:val="14"/>
        </w:rPr>
        <w:t>23.</w:t>
      </w:r>
      <w:r w:rsidR="00A728DE" w:rsidRPr="00A728DE">
        <w:rPr>
          <w:rFonts w:ascii="Verdana" w:hAnsi="Verdana"/>
          <w:sz w:val="14"/>
          <w:szCs w:val="14"/>
        </w:rPr>
        <w:t xml:space="preserve"> </w:t>
      </w:r>
      <w:hyperlink r:id="rId14" w:history="1">
        <w:r w:rsidR="00A728DE" w:rsidRPr="00A728DE">
          <w:rPr>
            <w:rStyle w:val="Hyperlink"/>
            <w:rFonts w:ascii="Verdana" w:hAnsi="Verdana"/>
            <w:color w:val="auto"/>
            <w:sz w:val="14"/>
            <w:szCs w:val="14"/>
          </w:rPr>
          <w:t>https://zoek.officielebekendmakingen.nl/stb-1996-652.pdf</w:t>
        </w:r>
      </w:hyperlink>
      <w:r w:rsidR="00A728DE">
        <w:rPr>
          <w:rFonts w:ascii="Verdana" w:hAnsi="Verdana"/>
          <w:sz w:val="14"/>
          <w:szCs w:val="14"/>
        </w:rPr>
        <w:t>.</w:t>
      </w:r>
    </w:p>
  </w:footnote>
  <w:footnote w:id="33">
    <w:p w14:paraId="597EC28E" w14:textId="77777777" w:rsidR="001059FC" w:rsidRPr="007574B3" w:rsidRDefault="001059FC" w:rsidP="007574B3">
      <w:pPr>
        <w:autoSpaceDE w:val="0"/>
        <w:adjustRightInd w:val="0"/>
        <w:spacing w:line="240" w:lineRule="auto"/>
        <w:textAlignment w:val="auto"/>
        <w:rPr>
          <w:rFonts w:cs="Avenir Next LT Pro"/>
          <w:color w:val="auto"/>
          <w:sz w:val="14"/>
          <w:szCs w:val="14"/>
        </w:rPr>
      </w:pPr>
      <w:r w:rsidRPr="00182BF9">
        <w:rPr>
          <w:rStyle w:val="Voetnootmarkering"/>
          <w:sz w:val="14"/>
          <w:szCs w:val="14"/>
        </w:rPr>
        <w:footnoteRef/>
      </w:r>
      <w:r w:rsidRPr="00182BF9">
        <w:rPr>
          <w:sz w:val="14"/>
          <w:szCs w:val="14"/>
        </w:rPr>
        <w:t xml:space="preserve"> </w:t>
      </w:r>
      <w:r w:rsidR="007574B3" w:rsidRPr="00182BF9">
        <w:rPr>
          <w:sz w:val="14"/>
          <w:szCs w:val="14"/>
        </w:rPr>
        <w:t xml:space="preserve">Zie het eindrapport van de Commissie belastingstelsel en toeslagen (Commissie Dijkhuizen) </w:t>
      </w:r>
      <w:r w:rsidR="00A728DE">
        <w:rPr>
          <w:sz w:val="14"/>
          <w:szCs w:val="14"/>
        </w:rPr>
        <w:t>‘Naar een activerende</w:t>
      </w:r>
      <w:r w:rsidR="00AE626E">
        <w:rPr>
          <w:sz w:val="14"/>
          <w:szCs w:val="14"/>
        </w:rPr>
        <w:t>r</w:t>
      </w:r>
      <w:r w:rsidR="00A728DE">
        <w:rPr>
          <w:sz w:val="14"/>
          <w:szCs w:val="14"/>
        </w:rPr>
        <w:t xml:space="preserve"> </w:t>
      </w:r>
      <w:proofErr w:type="gramStart"/>
      <w:r w:rsidR="00A728DE">
        <w:rPr>
          <w:sz w:val="14"/>
          <w:szCs w:val="14"/>
        </w:rPr>
        <w:t>belastingstelsel</w:t>
      </w:r>
      <w:r w:rsidR="00AE626E">
        <w:rPr>
          <w:sz w:val="14"/>
          <w:szCs w:val="14"/>
        </w:rPr>
        <w:t>,</w:t>
      </w:r>
      <w:r w:rsidR="007574B3" w:rsidRPr="00182BF9">
        <w:rPr>
          <w:sz w:val="14"/>
          <w:szCs w:val="14"/>
        </w:rPr>
        <w:t>t</w:t>
      </w:r>
      <w:proofErr w:type="gramEnd"/>
      <w:r w:rsidR="007574B3" w:rsidRPr="00182BF9">
        <w:rPr>
          <w:sz w:val="14"/>
          <w:szCs w:val="14"/>
        </w:rPr>
        <w:t xml:space="preserve"> 2013</w:t>
      </w:r>
      <w:r w:rsidR="00A728DE">
        <w:rPr>
          <w:sz w:val="14"/>
          <w:szCs w:val="14"/>
        </w:rPr>
        <w:t>.</w:t>
      </w:r>
      <w:r w:rsidR="007574B3" w:rsidRPr="00182BF9">
        <w:rPr>
          <w:sz w:val="14"/>
          <w:szCs w:val="14"/>
        </w:rPr>
        <w:t xml:space="preserve"> </w:t>
      </w:r>
      <w:r w:rsidR="007574B3" w:rsidRPr="00182BF9">
        <w:rPr>
          <w:rFonts w:cs="Avenir Next LT Pro"/>
          <w:color w:val="auto"/>
          <w:sz w:val="14"/>
          <w:szCs w:val="14"/>
        </w:rPr>
        <w:t xml:space="preserve">Dit werd onder andere geadviseerd in het rapport van de IBO Vermogensverdeling uit 2022 en in </w:t>
      </w:r>
      <w:r w:rsidR="00AE626E">
        <w:rPr>
          <w:rFonts w:cs="Avenir Next LT Pro"/>
          <w:color w:val="auto"/>
          <w:sz w:val="14"/>
          <w:szCs w:val="14"/>
        </w:rPr>
        <w:t>de</w:t>
      </w:r>
      <w:r w:rsidR="007574B3" w:rsidRPr="00182BF9">
        <w:rPr>
          <w:rFonts w:cs="Avenir Next LT Pro"/>
          <w:color w:val="auto"/>
          <w:sz w:val="14"/>
          <w:szCs w:val="14"/>
        </w:rPr>
        <w:t xml:space="preserve"> </w:t>
      </w:r>
      <w:r w:rsidR="00AE626E">
        <w:rPr>
          <w:rFonts w:cs="Avenir Next LT Pro"/>
          <w:color w:val="auto"/>
          <w:sz w:val="14"/>
          <w:szCs w:val="14"/>
        </w:rPr>
        <w:t>‘</w:t>
      </w:r>
      <w:r w:rsidR="007574B3" w:rsidRPr="00182BF9">
        <w:rPr>
          <w:rFonts w:cs="Avenir Next LT Pro"/>
          <w:color w:val="auto"/>
          <w:sz w:val="14"/>
          <w:szCs w:val="14"/>
        </w:rPr>
        <w:t>Bouwstenen voor een beter belastingstelsel</w:t>
      </w:r>
      <w:proofErr w:type="gramStart"/>
      <w:r w:rsidR="00AE626E">
        <w:rPr>
          <w:rFonts w:cs="Avenir Next LT Pro"/>
          <w:color w:val="auto"/>
          <w:sz w:val="14"/>
          <w:szCs w:val="14"/>
        </w:rPr>
        <w:t xml:space="preserve">’, </w:t>
      </w:r>
      <w:r w:rsidR="007574B3" w:rsidRPr="00182BF9">
        <w:rPr>
          <w:rFonts w:cs="Avenir Next LT Pro"/>
          <w:color w:val="auto"/>
          <w:sz w:val="14"/>
          <w:szCs w:val="14"/>
        </w:rPr>
        <w:t xml:space="preserve"> 2020</w:t>
      </w:r>
      <w:proofErr w:type="gramEnd"/>
      <w:r w:rsidR="007574B3">
        <w:rPr>
          <w:rFonts w:cs="Avenir Next LT Pro"/>
          <w:color w:val="auto"/>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E93C" w14:textId="77777777" w:rsidR="00273218" w:rsidRDefault="002C53A7">
    <w:r>
      <w:rPr>
        <w:noProof/>
      </w:rPr>
      <mc:AlternateContent>
        <mc:Choice Requires="wps">
          <w:drawing>
            <wp:anchor distT="0" distB="0" distL="0" distR="0" simplePos="0" relativeHeight="251658240" behindDoc="0" locked="1" layoutInCell="1" allowOverlap="1" wp14:anchorId="17801CAC" wp14:editId="28D8A7C3">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1291F40" w14:textId="77777777" w:rsidR="00273218" w:rsidRDefault="002C53A7">
                          <w:pPr>
                            <w:pStyle w:val="StandaardReferentiegegevensKop"/>
                          </w:pPr>
                          <w:r>
                            <w:t>Ons kenmerk</w:t>
                          </w:r>
                        </w:p>
                        <w:p w14:paraId="41A0AEFE" w14:textId="77777777" w:rsidR="00C64DE2" w:rsidRDefault="00F655FC">
                          <w:pPr>
                            <w:pStyle w:val="StandaardReferentiegegevens"/>
                          </w:pPr>
                          <w:fldSimple w:instr=" DOCPROPERTY  &quot;Kenmerk&quot;  \* MERGEFORMAT ">
                            <w:r w:rsidR="00896B3A">
                              <w:t>2026-0000028123</w:t>
                            </w:r>
                          </w:fldSimple>
                        </w:p>
                      </w:txbxContent>
                    </wps:txbx>
                    <wps:bodyPr vert="horz" wrap="square" lIns="0" tIns="0" rIns="0" bIns="0" anchor="t" anchorCtr="0"/>
                  </wps:wsp>
                </a:graphicData>
              </a:graphic>
            </wp:anchor>
          </w:drawing>
        </mc:Choice>
        <mc:Fallback>
          <w:pict>
            <v:shapetype w14:anchorId="17801CA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1291F40" w14:textId="77777777" w:rsidR="00273218" w:rsidRDefault="002C53A7">
                    <w:pPr>
                      <w:pStyle w:val="StandaardReferentiegegevensKop"/>
                    </w:pPr>
                    <w:r>
                      <w:t>Ons kenmerk</w:t>
                    </w:r>
                  </w:p>
                  <w:p w14:paraId="41A0AEFE" w14:textId="77777777" w:rsidR="00C64DE2" w:rsidRDefault="00F655FC">
                    <w:pPr>
                      <w:pStyle w:val="StandaardReferentiegegevens"/>
                    </w:pPr>
                    <w:fldSimple w:instr=" DOCPROPERTY  &quot;Kenmerk&quot;  \* MERGEFORMAT ">
                      <w:r w:rsidR="00896B3A">
                        <w:t>2026-0000028123</w:t>
                      </w:r>
                    </w:fldSimple>
                  </w:p>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1AA89CF0" wp14:editId="51996666">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6BCD5F" w14:textId="77777777" w:rsidR="00A92FA7" w:rsidRDefault="00896B3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AA89CF0"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76BCD5F" w14:textId="77777777" w:rsidR="00A92FA7" w:rsidRDefault="00896B3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2" behindDoc="0" locked="1" layoutInCell="1" allowOverlap="1" wp14:anchorId="04FA2E46" wp14:editId="0CCDF765">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0A36162" w14:textId="77777777" w:rsidR="00A92FA7" w:rsidRDefault="00896B3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4FA2E46"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0A36162" w14:textId="77777777" w:rsidR="00A92FA7" w:rsidRDefault="00896B3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DBF3" w14:textId="77777777" w:rsidR="00273218" w:rsidRDefault="002C53A7">
    <w:pPr>
      <w:spacing w:after="7029" w:line="14" w:lineRule="exact"/>
    </w:pPr>
    <w:r>
      <w:rPr>
        <w:noProof/>
      </w:rPr>
      <mc:AlternateContent>
        <mc:Choice Requires="wps">
          <w:drawing>
            <wp:anchor distT="0" distB="0" distL="0" distR="0" simplePos="0" relativeHeight="251658243" behindDoc="0" locked="1" layoutInCell="1" allowOverlap="1" wp14:anchorId="54988780" wp14:editId="7A9320F9">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94743FD" w14:textId="77777777" w:rsidR="00273218" w:rsidRDefault="002C53A7">
                          <w:pPr>
                            <w:spacing w:line="240" w:lineRule="auto"/>
                          </w:pPr>
                          <w:r>
                            <w:rPr>
                              <w:noProof/>
                            </w:rPr>
                            <w:drawing>
                              <wp:inline distT="0" distB="0" distL="0" distR="0" wp14:anchorId="2C522511" wp14:editId="6664C12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498878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94743FD" w14:textId="77777777" w:rsidR="00273218" w:rsidRDefault="002C53A7">
                    <w:pPr>
                      <w:spacing w:line="240" w:lineRule="auto"/>
                    </w:pPr>
                    <w:r>
                      <w:rPr>
                        <w:noProof/>
                      </w:rPr>
                      <w:drawing>
                        <wp:inline distT="0" distB="0" distL="0" distR="0" wp14:anchorId="2C522511" wp14:editId="6664C12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4" behindDoc="0" locked="1" layoutInCell="1" allowOverlap="1" wp14:anchorId="7964EABD" wp14:editId="2F8E3F49">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86164A3" w14:textId="77777777" w:rsidR="002C53A7" w:rsidRDefault="002C53A7"/>
                      </w:txbxContent>
                    </wps:txbx>
                    <wps:bodyPr vert="horz" wrap="square" lIns="0" tIns="0" rIns="0" bIns="0" anchor="t" anchorCtr="0"/>
                  </wps:wsp>
                </a:graphicData>
              </a:graphic>
            </wp:anchor>
          </w:drawing>
        </mc:Choice>
        <mc:Fallback>
          <w:pict>
            <v:shape w14:anchorId="7964EABD"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86164A3" w14:textId="77777777" w:rsidR="002C53A7" w:rsidRDefault="002C53A7"/>
                </w:txbxContent>
              </v:textbox>
              <w10:wrap anchorx="page"/>
              <w10:anchorlock/>
            </v:shape>
          </w:pict>
        </mc:Fallback>
      </mc:AlternateContent>
    </w:r>
    <w:r>
      <w:rPr>
        <w:noProof/>
      </w:rPr>
      <mc:AlternateContent>
        <mc:Choice Requires="wps">
          <w:drawing>
            <wp:anchor distT="0" distB="0" distL="0" distR="0" simplePos="0" relativeHeight="251658245" behindDoc="0" locked="1" layoutInCell="1" allowOverlap="1" wp14:anchorId="7F1E9946" wp14:editId="53EB16C1">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78358DA" w14:textId="77777777" w:rsidR="00273218" w:rsidRDefault="002C53A7">
                          <w:pPr>
                            <w:pStyle w:val="StandaardReferentiegegevens"/>
                          </w:pPr>
                          <w:r>
                            <w:t>Korte Voorhout 7</w:t>
                          </w:r>
                        </w:p>
                        <w:p w14:paraId="14F4861B" w14:textId="77777777" w:rsidR="00273218" w:rsidRDefault="002C53A7">
                          <w:pPr>
                            <w:pStyle w:val="StandaardReferentiegegevens"/>
                          </w:pPr>
                          <w:r>
                            <w:t>2511 CW  'S-GRAVENHAGE</w:t>
                          </w:r>
                        </w:p>
                        <w:p w14:paraId="03C9644C" w14:textId="77777777" w:rsidR="00273218" w:rsidRDefault="002C53A7">
                          <w:pPr>
                            <w:pStyle w:val="StandaardReferentiegegevens"/>
                          </w:pPr>
                          <w:r>
                            <w:t>POSTBUS 20201</w:t>
                          </w:r>
                        </w:p>
                        <w:p w14:paraId="60196AB5" w14:textId="77777777" w:rsidR="00273218" w:rsidRPr="000A78ED" w:rsidRDefault="002C53A7">
                          <w:pPr>
                            <w:pStyle w:val="StandaardReferentiegegevens"/>
                            <w:rPr>
                              <w:lang w:val="es-ES"/>
                            </w:rPr>
                          </w:pPr>
                          <w:r w:rsidRPr="000A78ED">
                            <w:rPr>
                              <w:lang w:val="es-ES"/>
                            </w:rPr>
                            <w:t xml:space="preserve">2500 </w:t>
                          </w:r>
                          <w:proofErr w:type="gramStart"/>
                          <w:r w:rsidRPr="000A78ED">
                            <w:rPr>
                              <w:lang w:val="es-ES"/>
                            </w:rPr>
                            <w:t>EE  '</w:t>
                          </w:r>
                          <w:proofErr w:type="gramEnd"/>
                          <w:r w:rsidRPr="000A78ED">
                            <w:rPr>
                              <w:lang w:val="es-ES"/>
                            </w:rPr>
                            <w:t>S-GRAVENHAGE</w:t>
                          </w:r>
                        </w:p>
                        <w:p w14:paraId="4A1F9D4F" w14:textId="77777777" w:rsidR="00273218" w:rsidRPr="000A78ED" w:rsidRDefault="002C53A7">
                          <w:pPr>
                            <w:pStyle w:val="StandaardReferentiegegevens"/>
                            <w:rPr>
                              <w:lang w:val="es-ES"/>
                            </w:rPr>
                          </w:pPr>
                          <w:r w:rsidRPr="000A78ED">
                            <w:rPr>
                              <w:lang w:val="es-ES"/>
                            </w:rPr>
                            <w:t>www.rijksoverheid.nl/fin</w:t>
                          </w:r>
                        </w:p>
                        <w:p w14:paraId="39E2CDB2" w14:textId="77777777" w:rsidR="00273218" w:rsidRPr="000A78ED" w:rsidRDefault="00273218">
                          <w:pPr>
                            <w:pStyle w:val="WitregelW2"/>
                            <w:rPr>
                              <w:lang w:val="es-ES"/>
                            </w:rPr>
                          </w:pPr>
                        </w:p>
                        <w:p w14:paraId="4CF9F204" w14:textId="77777777" w:rsidR="00273218" w:rsidRDefault="002C53A7">
                          <w:pPr>
                            <w:pStyle w:val="StandaardReferentiegegevensKop"/>
                          </w:pPr>
                          <w:r>
                            <w:t>Ons kenmerk</w:t>
                          </w:r>
                        </w:p>
                        <w:p w14:paraId="2BC660D1" w14:textId="77777777" w:rsidR="00C64DE2" w:rsidRDefault="00F655FC">
                          <w:pPr>
                            <w:pStyle w:val="StandaardReferentiegegevens"/>
                          </w:pPr>
                          <w:fldSimple w:instr=" DOCPROPERTY  &quot;Kenmerk&quot;  \* MERGEFORMAT ">
                            <w:r w:rsidR="00896B3A">
                              <w:t>2026-0000028123</w:t>
                            </w:r>
                          </w:fldSimple>
                        </w:p>
                        <w:p w14:paraId="747CF1D6" w14:textId="77777777" w:rsidR="00273218" w:rsidRDefault="00273218">
                          <w:pPr>
                            <w:pStyle w:val="WitregelW1"/>
                          </w:pPr>
                        </w:p>
                        <w:p w14:paraId="78569C9E" w14:textId="77777777" w:rsidR="00273218" w:rsidRDefault="002C53A7">
                          <w:pPr>
                            <w:pStyle w:val="StandaardReferentiegegevensKop"/>
                          </w:pPr>
                          <w:r>
                            <w:t>Uw brief (kenmerk)</w:t>
                          </w:r>
                        </w:p>
                        <w:p w14:paraId="2DC35F99" w14:textId="77777777" w:rsidR="00A92FA7" w:rsidRDefault="00896B3A">
                          <w:pPr>
                            <w:pStyle w:val="StandaardReferentiegegevens"/>
                          </w:pPr>
                          <w:r>
                            <w:fldChar w:fldCharType="begin"/>
                          </w:r>
                          <w:r>
                            <w:instrText xml:space="preserve"> DOCPROPERTY  "UwKenmerk"  \* MERGEFORMAT </w:instrText>
                          </w:r>
                          <w:r>
                            <w:fldChar w:fldCharType="end"/>
                          </w:r>
                        </w:p>
                        <w:p w14:paraId="3B373059" w14:textId="77777777" w:rsidR="00273218" w:rsidRDefault="00273218">
                          <w:pPr>
                            <w:pStyle w:val="WitregelW1"/>
                          </w:pPr>
                        </w:p>
                        <w:p w14:paraId="4F468FE9" w14:textId="77777777" w:rsidR="00273218" w:rsidRDefault="002C53A7">
                          <w:pPr>
                            <w:pStyle w:val="StandaardReferentiegegevensKop"/>
                          </w:pPr>
                          <w:r>
                            <w:t>Bijlagen</w:t>
                          </w:r>
                        </w:p>
                        <w:p w14:paraId="610BC5B8" w14:textId="77777777" w:rsidR="00273218" w:rsidRDefault="002C53A7">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7F1E9946"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78358DA" w14:textId="77777777" w:rsidR="00273218" w:rsidRDefault="002C53A7">
                    <w:pPr>
                      <w:pStyle w:val="StandaardReferentiegegevens"/>
                    </w:pPr>
                    <w:r>
                      <w:t>Korte Voorhout 7</w:t>
                    </w:r>
                  </w:p>
                  <w:p w14:paraId="14F4861B" w14:textId="77777777" w:rsidR="00273218" w:rsidRDefault="002C53A7">
                    <w:pPr>
                      <w:pStyle w:val="StandaardReferentiegegevens"/>
                    </w:pPr>
                    <w:r>
                      <w:t>2511 CW  'S-GRAVENHAGE</w:t>
                    </w:r>
                  </w:p>
                  <w:p w14:paraId="03C9644C" w14:textId="77777777" w:rsidR="00273218" w:rsidRDefault="002C53A7">
                    <w:pPr>
                      <w:pStyle w:val="StandaardReferentiegegevens"/>
                    </w:pPr>
                    <w:r>
                      <w:t>POSTBUS 20201</w:t>
                    </w:r>
                  </w:p>
                  <w:p w14:paraId="60196AB5" w14:textId="77777777" w:rsidR="00273218" w:rsidRPr="000A78ED" w:rsidRDefault="002C53A7">
                    <w:pPr>
                      <w:pStyle w:val="StandaardReferentiegegevens"/>
                      <w:rPr>
                        <w:lang w:val="es-ES"/>
                      </w:rPr>
                    </w:pPr>
                    <w:r w:rsidRPr="000A78ED">
                      <w:rPr>
                        <w:lang w:val="es-ES"/>
                      </w:rPr>
                      <w:t xml:space="preserve">2500 </w:t>
                    </w:r>
                    <w:proofErr w:type="gramStart"/>
                    <w:r w:rsidRPr="000A78ED">
                      <w:rPr>
                        <w:lang w:val="es-ES"/>
                      </w:rPr>
                      <w:t>EE  '</w:t>
                    </w:r>
                    <w:proofErr w:type="gramEnd"/>
                    <w:r w:rsidRPr="000A78ED">
                      <w:rPr>
                        <w:lang w:val="es-ES"/>
                      </w:rPr>
                      <w:t>S-GRAVENHAGE</w:t>
                    </w:r>
                  </w:p>
                  <w:p w14:paraId="4A1F9D4F" w14:textId="77777777" w:rsidR="00273218" w:rsidRPr="000A78ED" w:rsidRDefault="002C53A7">
                    <w:pPr>
                      <w:pStyle w:val="StandaardReferentiegegevens"/>
                      <w:rPr>
                        <w:lang w:val="es-ES"/>
                      </w:rPr>
                    </w:pPr>
                    <w:r w:rsidRPr="000A78ED">
                      <w:rPr>
                        <w:lang w:val="es-ES"/>
                      </w:rPr>
                      <w:t>www.rijksoverheid.nl/fin</w:t>
                    </w:r>
                  </w:p>
                  <w:p w14:paraId="39E2CDB2" w14:textId="77777777" w:rsidR="00273218" w:rsidRPr="000A78ED" w:rsidRDefault="00273218">
                    <w:pPr>
                      <w:pStyle w:val="WitregelW2"/>
                      <w:rPr>
                        <w:lang w:val="es-ES"/>
                      </w:rPr>
                    </w:pPr>
                  </w:p>
                  <w:p w14:paraId="4CF9F204" w14:textId="77777777" w:rsidR="00273218" w:rsidRDefault="002C53A7">
                    <w:pPr>
                      <w:pStyle w:val="StandaardReferentiegegevensKop"/>
                    </w:pPr>
                    <w:r>
                      <w:t>Ons kenmerk</w:t>
                    </w:r>
                  </w:p>
                  <w:p w14:paraId="2BC660D1" w14:textId="77777777" w:rsidR="00C64DE2" w:rsidRDefault="00F655FC">
                    <w:pPr>
                      <w:pStyle w:val="StandaardReferentiegegevens"/>
                    </w:pPr>
                    <w:fldSimple w:instr=" DOCPROPERTY  &quot;Kenmerk&quot;  \* MERGEFORMAT ">
                      <w:r w:rsidR="00896B3A">
                        <w:t>2026-0000028123</w:t>
                      </w:r>
                    </w:fldSimple>
                  </w:p>
                  <w:p w14:paraId="747CF1D6" w14:textId="77777777" w:rsidR="00273218" w:rsidRDefault="00273218">
                    <w:pPr>
                      <w:pStyle w:val="WitregelW1"/>
                    </w:pPr>
                  </w:p>
                  <w:p w14:paraId="78569C9E" w14:textId="77777777" w:rsidR="00273218" w:rsidRDefault="002C53A7">
                    <w:pPr>
                      <w:pStyle w:val="StandaardReferentiegegevensKop"/>
                    </w:pPr>
                    <w:r>
                      <w:t>Uw brief (kenmerk)</w:t>
                    </w:r>
                  </w:p>
                  <w:p w14:paraId="2DC35F99" w14:textId="77777777" w:rsidR="00A92FA7" w:rsidRDefault="00896B3A">
                    <w:pPr>
                      <w:pStyle w:val="StandaardReferentiegegevens"/>
                    </w:pPr>
                    <w:r>
                      <w:fldChar w:fldCharType="begin"/>
                    </w:r>
                    <w:r>
                      <w:instrText xml:space="preserve"> DOCPROPERTY  "UwKenmerk"  \* MERGEFORMAT </w:instrText>
                    </w:r>
                    <w:r>
                      <w:fldChar w:fldCharType="end"/>
                    </w:r>
                  </w:p>
                  <w:p w14:paraId="3B373059" w14:textId="77777777" w:rsidR="00273218" w:rsidRDefault="00273218">
                    <w:pPr>
                      <w:pStyle w:val="WitregelW1"/>
                    </w:pPr>
                  </w:p>
                  <w:p w14:paraId="4F468FE9" w14:textId="77777777" w:rsidR="00273218" w:rsidRDefault="002C53A7">
                    <w:pPr>
                      <w:pStyle w:val="StandaardReferentiegegevensKop"/>
                    </w:pPr>
                    <w:r>
                      <w:t>Bijlagen</w:t>
                    </w:r>
                  </w:p>
                  <w:p w14:paraId="610BC5B8" w14:textId="77777777" w:rsidR="00273218" w:rsidRDefault="002C53A7">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6" behindDoc="0" locked="1" layoutInCell="1" allowOverlap="1" wp14:anchorId="7CD4BB8F" wp14:editId="082C47CD">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844C075" w14:textId="77777777" w:rsidR="00273218" w:rsidRDefault="002C53A7">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CD4BB8F"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844C075" w14:textId="77777777" w:rsidR="00273218" w:rsidRDefault="002C53A7">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8247" behindDoc="0" locked="1" layoutInCell="1" allowOverlap="1" wp14:anchorId="25CB37D9" wp14:editId="002A5867">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A97D70B" w14:textId="77777777" w:rsidR="00A92FA7" w:rsidRDefault="00896B3A">
                          <w:pPr>
                            <w:pStyle w:val="Rubricering"/>
                          </w:pPr>
                          <w:r>
                            <w:fldChar w:fldCharType="begin"/>
                          </w:r>
                          <w:r>
                            <w:instrText xml:space="preserve"> DOCPROPERTY  "Rubricering"  \* MERGEFORMAT </w:instrText>
                          </w:r>
                          <w:r>
                            <w:fldChar w:fldCharType="end"/>
                          </w:r>
                        </w:p>
                        <w:p w14:paraId="3E218B07" w14:textId="77777777" w:rsidR="00896B3A" w:rsidRDefault="002C53A7">
                          <w:r>
                            <w:fldChar w:fldCharType="begin"/>
                          </w:r>
                          <w:r w:rsidR="00896B3A">
                            <w:instrText xml:space="preserve"> DOCPROPERTY  "Aan"  \* MERGEFORMAT </w:instrText>
                          </w:r>
                          <w:r>
                            <w:fldChar w:fldCharType="separate"/>
                          </w:r>
                          <w:r w:rsidR="00896B3A">
                            <w:t>Voorzitter van de Tweede Kamer der Staten-Generaal</w:t>
                          </w:r>
                        </w:p>
                        <w:p w14:paraId="27DF50B4" w14:textId="77777777" w:rsidR="00896B3A" w:rsidRDefault="00896B3A">
                          <w:r>
                            <w:t>Postbus 20018</w:t>
                          </w:r>
                        </w:p>
                        <w:p w14:paraId="3D27D5F8" w14:textId="77777777" w:rsidR="00896B3A" w:rsidRDefault="00896B3A">
                          <w:r>
                            <w:t>2500 EA  DEN HAAG</w:t>
                          </w:r>
                        </w:p>
                        <w:p w14:paraId="3C4856FF" w14:textId="77777777" w:rsidR="00896B3A" w:rsidRDefault="00896B3A"/>
                        <w:p w14:paraId="3E3E4E8D" w14:textId="77777777" w:rsidR="00273218" w:rsidRDefault="002C53A7">
                          <w:r>
                            <w:fldChar w:fldCharType="end"/>
                          </w:r>
                        </w:p>
                      </w:txbxContent>
                    </wps:txbx>
                    <wps:bodyPr vert="horz" wrap="square" lIns="0" tIns="0" rIns="0" bIns="0" anchor="t" anchorCtr="0"/>
                  </wps:wsp>
                </a:graphicData>
              </a:graphic>
            </wp:anchor>
          </w:drawing>
        </mc:Choice>
        <mc:Fallback>
          <w:pict>
            <v:shape w14:anchorId="25CB37D9"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A97D70B" w14:textId="77777777" w:rsidR="00A92FA7" w:rsidRDefault="00896B3A">
                    <w:pPr>
                      <w:pStyle w:val="Rubricering"/>
                    </w:pPr>
                    <w:r>
                      <w:fldChar w:fldCharType="begin"/>
                    </w:r>
                    <w:r>
                      <w:instrText xml:space="preserve"> DOCPROPERTY  "Rubricering"  \* MERGEFORMAT </w:instrText>
                    </w:r>
                    <w:r>
                      <w:fldChar w:fldCharType="end"/>
                    </w:r>
                  </w:p>
                  <w:p w14:paraId="3E218B07" w14:textId="77777777" w:rsidR="00896B3A" w:rsidRDefault="002C53A7">
                    <w:r>
                      <w:fldChar w:fldCharType="begin"/>
                    </w:r>
                    <w:r w:rsidR="00896B3A">
                      <w:instrText xml:space="preserve"> DOCPROPERTY  "Aan"  \* MERGEFORMAT </w:instrText>
                    </w:r>
                    <w:r>
                      <w:fldChar w:fldCharType="separate"/>
                    </w:r>
                    <w:r w:rsidR="00896B3A">
                      <w:t>Voorzitter van de Tweede Kamer der Staten-Generaal</w:t>
                    </w:r>
                  </w:p>
                  <w:p w14:paraId="27DF50B4" w14:textId="77777777" w:rsidR="00896B3A" w:rsidRDefault="00896B3A">
                    <w:r>
                      <w:t>Postbus 20018</w:t>
                    </w:r>
                  </w:p>
                  <w:p w14:paraId="3D27D5F8" w14:textId="77777777" w:rsidR="00896B3A" w:rsidRDefault="00896B3A">
                    <w:r>
                      <w:t>2500 EA  DEN HAAG</w:t>
                    </w:r>
                  </w:p>
                  <w:p w14:paraId="3C4856FF" w14:textId="77777777" w:rsidR="00896B3A" w:rsidRDefault="00896B3A"/>
                  <w:p w14:paraId="3E3E4E8D" w14:textId="77777777" w:rsidR="00273218" w:rsidRDefault="002C53A7">
                    <w:r>
                      <w:fldChar w:fldCharType="end"/>
                    </w:r>
                  </w:p>
                </w:txbxContent>
              </v:textbox>
              <w10:wrap anchorx="page"/>
              <w10:anchorlock/>
            </v:shape>
          </w:pict>
        </mc:Fallback>
      </mc:AlternateContent>
    </w:r>
    <w:r>
      <w:rPr>
        <w:noProof/>
      </w:rPr>
      <mc:AlternateContent>
        <mc:Choice Requires="wps">
          <w:drawing>
            <wp:anchor distT="0" distB="0" distL="0" distR="0" simplePos="0" relativeHeight="251658248" behindDoc="0" locked="1" layoutInCell="1" allowOverlap="1" wp14:anchorId="738E0F5A" wp14:editId="2BEFE8C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1FCA68F" w14:textId="77777777" w:rsidR="00A92FA7" w:rsidRDefault="00896B3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38E0F5A"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1FCA68F" w14:textId="77777777" w:rsidR="00A92FA7" w:rsidRDefault="00896B3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9" behindDoc="0" locked="1" layoutInCell="1" allowOverlap="1" wp14:anchorId="2DC216E6" wp14:editId="09F55205">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73218" w14:paraId="5EBB32B8" w14:textId="77777777">
                            <w:trPr>
                              <w:trHeight w:val="200"/>
                            </w:trPr>
                            <w:tc>
                              <w:tcPr>
                                <w:tcW w:w="1140" w:type="dxa"/>
                              </w:tcPr>
                              <w:p w14:paraId="05AC0D6A" w14:textId="77777777" w:rsidR="00273218" w:rsidRDefault="00273218"/>
                            </w:tc>
                            <w:tc>
                              <w:tcPr>
                                <w:tcW w:w="5400" w:type="dxa"/>
                              </w:tcPr>
                              <w:p w14:paraId="348B4AA4" w14:textId="77777777" w:rsidR="00273218" w:rsidRDefault="00273218"/>
                            </w:tc>
                          </w:tr>
                          <w:tr w:rsidR="00273218" w14:paraId="0FE66309" w14:textId="77777777">
                            <w:trPr>
                              <w:trHeight w:val="240"/>
                            </w:trPr>
                            <w:tc>
                              <w:tcPr>
                                <w:tcW w:w="1140" w:type="dxa"/>
                              </w:tcPr>
                              <w:p w14:paraId="4E959F13" w14:textId="77777777" w:rsidR="00273218" w:rsidRDefault="002C53A7">
                                <w:r>
                                  <w:t>Datum</w:t>
                                </w:r>
                              </w:p>
                            </w:tc>
                            <w:tc>
                              <w:tcPr>
                                <w:tcW w:w="5400" w:type="dxa"/>
                              </w:tcPr>
                              <w:p w14:paraId="5D047AC3" w14:textId="2AACBCD2" w:rsidR="00273218" w:rsidRDefault="00896B3A">
                                <w:r>
                                  <w:t>3 maart 2026</w:t>
                                </w:r>
                              </w:p>
                            </w:tc>
                          </w:tr>
                          <w:tr w:rsidR="00273218" w14:paraId="7F303E89" w14:textId="77777777">
                            <w:trPr>
                              <w:trHeight w:val="240"/>
                            </w:trPr>
                            <w:tc>
                              <w:tcPr>
                                <w:tcW w:w="1140" w:type="dxa"/>
                              </w:tcPr>
                              <w:p w14:paraId="1471FBBB" w14:textId="77777777" w:rsidR="00273218" w:rsidRDefault="002C53A7">
                                <w:r>
                                  <w:t>Betreft</w:t>
                                </w:r>
                              </w:p>
                            </w:tc>
                            <w:tc>
                              <w:tcPr>
                                <w:tcW w:w="5400" w:type="dxa"/>
                              </w:tcPr>
                              <w:p w14:paraId="73D2F5E5" w14:textId="77777777" w:rsidR="00A92FA7" w:rsidRDefault="00896B3A">
                                <w:r>
                                  <w:fldChar w:fldCharType="begin"/>
                                </w:r>
                                <w:r>
                                  <w:instrText xml:space="preserve"> DOCPROPERTY  "Onderwerp"  \* MERGEFORMAT </w:instrText>
                                </w:r>
                                <w:r>
                                  <w:fldChar w:fldCharType="separate"/>
                                </w:r>
                                <w:r>
                                  <w:t xml:space="preserve">Vervolgonderzoek evaluatie </w:t>
                                </w:r>
                                <w:proofErr w:type="spellStart"/>
                                <w:r>
                                  <w:t>gebruikelijkloonregeling</w:t>
                                </w:r>
                                <w:proofErr w:type="spellEnd"/>
                                <w:r>
                                  <w:fldChar w:fldCharType="end"/>
                                </w:r>
                              </w:p>
                            </w:tc>
                          </w:tr>
                          <w:tr w:rsidR="00273218" w14:paraId="2A4D6D91" w14:textId="77777777">
                            <w:trPr>
                              <w:trHeight w:val="200"/>
                            </w:trPr>
                            <w:tc>
                              <w:tcPr>
                                <w:tcW w:w="1140" w:type="dxa"/>
                              </w:tcPr>
                              <w:p w14:paraId="78DC00C8" w14:textId="77777777" w:rsidR="00273218" w:rsidRDefault="00273218"/>
                            </w:tc>
                            <w:tc>
                              <w:tcPr>
                                <w:tcW w:w="4738" w:type="dxa"/>
                              </w:tcPr>
                              <w:p w14:paraId="2B16F1F7" w14:textId="77777777" w:rsidR="00273218" w:rsidRDefault="00273218"/>
                            </w:tc>
                          </w:tr>
                        </w:tbl>
                        <w:p w14:paraId="77712F89" w14:textId="77777777" w:rsidR="002C53A7" w:rsidRDefault="002C53A7"/>
                      </w:txbxContent>
                    </wps:txbx>
                    <wps:bodyPr vert="horz" wrap="square" lIns="0" tIns="0" rIns="0" bIns="0" anchor="t" anchorCtr="0"/>
                  </wps:wsp>
                </a:graphicData>
              </a:graphic>
            </wp:anchor>
          </w:drawing>
        </mc:Choice>
        <mc:Fallback>
          <w:pict>
            <v:shape w14:anchorId="2DC216E6"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73218" w14:paraId="5EBB32B8" w14:textId="77777777">
                      <w:trPr>
                        <w:trHeight w:val="200"/>
                      </w:trPr>
                      <w:tc>
                        <w:tcPr>
                          <w:tcW w:w="1140" w:type="dxa"/>
                        </w:tcPr>
                        <w:p w14:paraId="05AC0D6A" w14:textId="77777777" w:rsidR="00273218" w:rsidRDefault="00273218"/>
                      </w:tc>
                      <w:tc>
                        <w:tcPr>
                          <w:tcW w:w="5400" w:type="dxa"/>
                        </w:tcPr>
                        <w:p w14:paraId="348B4AA4" w14:textId="77777777" w:rsidR="00273218" w:rsidRDefault="00273218"/>
                      </w:tc>
                    </w:tr>
                    <w:tr w:rsidR="00273218" w14:paraId="0FE66309" w14:textId="77777777">
                      <w:trPr>
                        <w:trHeight w:val="240"/>
                      </w:trPr>
                      <w:tc>
                        <w:tcPr>
                          <w:tcW w:w="1140" w:type="dxa"/>
                        </w:tcPr>
                        <w:p w14:paraId="4E959F13" w14:textId="77777777" w:rsidR="00273218" w:rsidRDefault="002C53A7">
                          <w:r>
                            <w:t>Datum</w:t>
                          </w:r>
                        </w:p>
                      </w:tc>
                      <w:tc>
                        <w:tcPr>
                          <w:tcW w:w="5400" w:type="dxa"/>
                        </w:tcPr>
                        <w:p w14:paraId="5D047AC3" w14:textId="2AACBCD2" w:rsidR="00273218" w:rsidRDefault="00896B3A">
                          <w:r>
                            <w:t>3 maart 2026</w:t>
                          </w:r>
                        </w:p>
                      </w:tc>
                    </w:tr>
                    <w:tr w:rsidR="00273218" w14:paraId="7F303E89" w14:textId="77777777">
                      <w:trPr>
                        <w:trHeight w:val="240"/>
                      </w:trPr>
                      <w:tc>
                        <w:tcPr>
                          <w:tcW w:w="1140" w:type="dxa"/>
                        </w:tcPr>
                        <w:p w14:paraId="1471FBBB" w14:textId="77777777" w:rsidR="00273218" w:rsidRDefault="002C53A7">
                          <w:r>
                            <w:t>Betreft</w:t>
                          </w:r>
                        </w:p>
                      </w:tc>
                      <w:tc>
                        <w:tcPr>
                          <w:tcW w:w="5400" w:type="dxa"/>
                        </w:tcPr>
                        <w:p w14:paraId="73D2F5E5" w14:textId="77777777" w:rsidR="00A92FA7" w:rsidRDefault="00896B3A">
                          <w:r>
                            <w:fldChar w:fldCharType="begin"/>
                          </w:r>
                          <w:r>
                            <w:instrText xml:space="preserve"> DOCPROPERTY  "Onderwerp"  \* MERGEFORMAT </w:instrText>
                          </w:r>
                          <w:r>
                            <w:fldChar w:fldCharType="separate"/>
                          </w:r>
                          <w:r>
                            <w:t xml:space="preserve">Vervolgonderzoek evaluatie </w:t>
                          </w:r>
                          <w:proofErr w:type="spellStart"/>
                          <w:r>
                            <w:t>gebruikelijkloonregeling</w:t>
                          </w:r>
                          <w:proofErr w:type="spellEnd"/>
                          <w:r>
                            <w:fldChar w:fldCharType="end"/>
                          </w:r>
                        </w:p>
                      </w:tc>
                    </w:tr>
                    <w:tr w:rsidR="00273218" w14:paraId="2A4D6D91" w14:textId="77777777">
                      <w:trPr>
                        <w:trHeight w:val="200"/>
                      </w:trPr>
                      <w:tc>
                        <w:tcPr>
                          <w:tcW w:w="1140" w:type="dxa"/>
                        </w:tcPr>
                        <w:p w14:paraId="78DC00C8" w14:textId="77777777" w:rsidR="00273218" w:rsidRDefault="00273218"/>
                      </w:tc>
                      <w:tc>
                        <w:tcPr>
                          <w:tcW w:w="4738" w:type="dxa"/>
                        </w:tcPr>
                        <w:p w14:paraId="2B16F1F7" w14:textId="77777777" w:rsidR="00273218" w:rsidRDefault="00273218"/>
                      </w:tc>
                    </w:tr>
                  </w:tbl>
                  <w:p w14:paraId="77712F89" w14:textId="77777777" w:rsidR="002C53A7" w:rsidRDefault="002C53A7"/>
                </w:txbxContent>
              </v:textbox>
              <w10:wrap anchorx="page"/>
              <w10:anchorlock/>
            </v:shape>
          </w:pict>
        </mc:Fallback>
      </mc:AlternateContent>
    </w:r>
    <w:r>
      <w:rPr>
        <w:noProof/>
      </w:rPr>
      <mc:AlternateContent>
        <mc:Choice Requires="wps">
          <w:drawing>
            <wp:anchor distT="0" distB="0" distL="0" distR="0" simplePos="0" relativeHeight="251658250" behindDoc="0" locked="1" layoutInCell="1" allowOverlap="1" wp14:anchorId="235842D7" wp14:editId="0C08EE5A">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734E8A3" w14:textId="77777777" w:rsidR="00A92FA7" w:rsidRDefault="00896B3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35842D7"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734E8A3" w14:textId="77777777" w:rsidR="00A92FA7" w:rsidRDefault="00896B3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51" behindDoc="0" locked="1" layoutInCell="1" allowOverlap="1" wp14:anchorId="4DACA7AB" wp14:editId="73A93511">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0C7B452" w14:textId="77777777" w:rsidR="002C53A7" w:rsidRDefault="002C53A7"/>
                      </w:txbxContent>
                    </wps:txbx>
                    <wps:bodyPr vert="horz" wrap="square" lIns="0" tIns="0" rIns="0" bIns="0" anchor="t" anchorCtr="0"/>
                  </wps:wsp>
                </a:graphicData>
              </a:graphic>
            </wp:anchor>
          </w:drawing>
        </mc:Choice>
        <mc:Fallback>
          <w:pict>
            <v:shape w14:anchorId="4DACA7AB"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0C7B452" w14:textId="77777777" w:rsidR="002C53A7" w:rsidRDefault="002C53A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2008EF"/>
    <w:multiLevelType w:val="multilevel"/>
    <w:tmpl w:val="59B4CE1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A160D5E"/>
    <w:multiLevelType w:val="multilevel"/>
    <w:tmpl w:val="E135641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80460"/>
    <w:multiLevelType w:val="hybridMultilevel"/>
    <w:tmpl w:val="F34ADCEC"/>
    <w:lvl w:ilvl="0" w:tplc="EBA46F56">
      <w:start w:val="1"/>
      <w:numFmt w:val="bullet"/>
      <w:lvlText w:val=""/>
      <w:lvlJc w:val="left"/>
      <w:pPr>
        <w:ind w:left="720" w:hanging="360"/>
      </w:pPr>
      <w:rPr>
        <w:rFonts w:ascii="Symbol" w:hAnsi="Symbol"/>
      </w:rPr>
    </w:lvl>
    <w:lvl w:ilvl="1" w:tplc="93CC6E6A">
      <w:start w:val="1"/>
      <w:numFmt w:val="bullet"/>
      <w:lvlText w:val=""/>
      <w:lvlJc w:val="left"/>
      <w:pPr>
        <w:ind w:left="720" w:hanging="360"/>
      </w:pPr>
      <w:rPr>
        <w:rFonts w:ascii="Symbol" w:hAnsi="Symbol"/>
      </w:rPr>
    </w:lvl>
    <w:lvl w:ilvl="2" w:tplc="7B2249BE">
      <w:start w:val="1"/>
      <w:numFmt w:val="bullet"/>
      <w:lvlText w:val=""/>
      <w:lvlJc w:val="left"/>
      <w:pPr>
        <w:ind w:left="720" w:hanging="360"/>
      </w:pPr>
      <w:rPr>
        <w:rFonts w:ascii="Symbol" w:hAnsi="Symbol"/>
      </w:rPr>
    </w:lvl>
    <w:lvl w:ilvl="3" w:tplc="4EA6965C">
      <w:start w:val="1"/>
      <w:numFmt w:val="bullet"/>
      <w:lvlText w:val=""/>
      <w:lvlJc w:val="left"/>
      <w:pPr>
        <w:ind w:left="720" w:hanging="360"/>
      </w:pPr>
      <w:rPr>
        <w:rFonts w:ascii="Symbol" w:hAnsi="Symbol"/>
      </w:rPr>
    </w:lvl>
    <w:lvl w:ilvl="4" w:tplc="C3B6A4D8">
      <w:start w:val="1"/>
      <w:numFmt w:val="bullet"/>
      <w:lvlText w:val=""/>
      <w:lvlJc w:val="left"/>
      <w:pPr>
        <w:ind w:left="720" w:hanging="360"/>
      </w:pPr>
      <w:rPr>
        <w:rFonts w:ascii="Symbol" w:hAnsi="Symbol"/>
      </w:rPr>
    </w:lvl>
    <w:lvl w:ilvl="5" w:tplc="83746856">
      <w:start w:val="1"/>
      <w:numFmt w:val="bullet"/>
      <w:lvlText w:val=""/>
      <w:lvlJc w:val="left"/>
      <w:pPr>
        <w:ind w:left="720" w:hanging="360"/>
      </w:pPr>
      <w:rPr>
        <w:rFonts w:ascii="Symbol" w:hAnsi="Symbol"/>
      </w:rPr>
    </w:lvl>
    <w:lvl w:ilvl="6" w:tplc="46FCAAF8">
      <w:start w:val="1"/>
      <w:numFmt w:val="bullet"/>
      <w:lvlText w:val=""/>
      <w:lvlJc w:val="left"/>
      <w:pPr>
        <w:ind w:left="720" w:hanging="360"/>
      </w:pPr>
      <w:rPr>
        <w:rFonts w:ascii="Symbol" w:hAnsi="Symbol"/>
      </w:rPr>
    </w:lvl>
    <w:lvl w:ilvl="7" w:tplc="7A5ECC7C">
      <w:start w:val="1"/>
      <w:numFmt w:val="bullet"/>
      <w:lvlText w:val=""/>
      <w:lvlJc w:val="left"/>
      <w:pPr>
        <w:ind w:left="720" w:hanging="360"/>
      </w:pPr>
      <w:rPr>
        <w:rFonts w:ascii="Symbol" w:hAnsi="Symbol"/>
      </w:rPr>
    </w:lvl>
    <w:lvl w:ilvl="8" w:tplc="33107684">
      <w:start w:val="1"/>
      <w:numFmt w:val="bullet"/>
      <w:lvlText w:val=""/>
      <w:lvlJc w:val="left"/>
      <w:pPr>
        <w:ind w:left="720" w:hanging="360"/>
      </w:pPr>
      <w:rPr>
        <w:rFonts w:ascii="Symbol" w:hAnsi="Symbol"/>
      </w:rPr>
    </w:lvl>
  </w:abstractNum>
  <w:abstractNum w:abstractNumId="3" w15:restartNumberingAfterBreak="0">
    <w:nsid w:val="0F259ED0"/>
    <w:multiLevelType w:val="multilevel"/>
    <w:tmpl w:val="D09693F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37F1E46"/>
    <w:multiLevelType w:val="hybridMultilevel"/>
    <w:tmpl w:val="4C362F66"/>
    <w:lvl w:ilvl="0" w:tplc="A9E4036E">
      <w:start w:val="1"/>
      <w:numFmt w:val="decimal"/>
      <w:lvlText w:val="%1."/>
      <w:lvlJc w:val="left"/>
      <w:pPr>
        <w:ind w:left="720" w:hanging="360"/>
      </w:pPr>
      <w:rPr>
        <w:rFonts w:ascii="Verdana" w:eastAsia="DejaVu Sans" w:hAnsi="Verdana" w:cs="Avenir Next LT Pro"/>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B2D221"/>
    <w:multiLevelType w:val="multilevel"/>
    <w:tmpl w:val="6CBC3BA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ED2E4E"/>
    <w:multiLevelType w:val="hybridMultilevel"/>
    <w:tmpl w:val="75303788"/>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5941D9"/>
    <w:multiLevelType w:val="hybridMultilevel"/>
    <w:tmpl w:val="EB8847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61035F"/>
    <w:multiLevelType w:val="hybridMultilevel"/>
    <w:tmpl w:val="EFAC5D1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BC7D8E1"/>
    <w:multiLevelType w:val="multilevel"/>
    <w:tmpl w:val="28719EC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8C7A5D"/>
    <w:multiLevelType w:val="hybridMultilevel"/>
    <w:tmpl w:val="B89A91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43B2FAA"/>
    <w:multiLevelType w:val="hybridMultilevel"/>
    <w:tmpl w:val="84DA125A"/>
    <w:lvl w:ilvl="0" w:tplc="5DF60004">
      <w:start w:val="1"/>
      <w:numFmt w:val="bullet"/>
      <w:lvlText w:val=""/>
      <w:lvlJc w:val="left"/>
      <w:pPr>
        <w:ind w:left="1440" w:hanging="360"/>
      </w:pPr>
      <w:rPr>
        <w:rFonts w:ascii="Symbol" w:hAnsi="Symbol"/>
      </w:rPr>
    </w:lvl>
    <w:lvl w:ilvl="1" w:tplc="0FD84BB0">
      <w:start w:val="1"/>
      <w:numFmt w:val="bullet"/>
      <w:lvlText w:val=""/>
      <w:lvlJc w:val="left"/>
      <w:pPr>
        <w:ind w:left="1440" w:hanging="360"/>
      </w:pPr>
      <w:rPr>
        <w:rFonts w:ascii="Symbol" w:hAnsi="Symbol"/>
      </w:rPr>
    </w:lvl>
    <w:lvl w:ilvl="2" w:tplc="FAA07E5C">
      <w:start w:val="1"/>
      <w:numFmt w:val="bullet"/>
      <w:lvlText w:val=""/>
      <w:lvlJc w:val="left"/>
      <w:pPr>
        <w:ind w:left="1440" w:hanging="360"/>
      </w:pPr>
      <w:rPr>
        <w:rFonts w:ascii="Symbol" w:hAnsi="Symbol"/>
      </w:rPr>
    </w:lvl>
    <w:lvl w:ilvl="3" w:tplc="23CA5166">
      <w:start w:val="1"/>
      <w:numFmt w:val="bullet"/>
      <w:lvlText w:val=""/>
      <w:lvlJc w:val="left"/>
      <w:pPr>
        <w:ind w:left="1440" w:hanging="360"/>
      </w:pPr>
      <w:rPr>
        <w:rFonts w:ascii="Symbol" w:hAnsi="Symbol"/>
      </w:rPr>
    </w:lvl>
    <w:lvl w:ilvl="4" w:tplc="2A22D022">
      <w:start w:val="1"/>
      <w:numFmt w:val="bullet"/>
      <w:lvlText w:val=""/>
      <w:lvlJc w:val="left"/>
      <w:pPr>
        <w:ind w:left="1440" w:hanging="360"/>
      </w:pPr>
      <w:rPr>
        <w:rFonts w:ascii="Symbol" w:hAnsi="Symbol"/>
      </w:rPr>
    </w:lvl>
    <w:lvl w:ilvl="5" w:tplc="46BE5ACC">
      <w:start w:val="1"/>
      <w:numFmt w:val="bullet"/>
      <w:lvlText w:val=""/>
      <w:lvlJc w:val="left"/>
      <w:pPr>
        <w:ind w:left="1440" w:hanging="360"/>
      </w:pPr>
      <w:rPr>
        <w:rFonts w:ascii="Symbol" w:hAnsi="Symbol"/>
      </w:rPr>
    </w:lvl>
    <w:lvl w:ilvl="6" w:tplc="D3807C8A">
      <w:start w:val="1"/>
      <w:numFmt w:val="bullet"/>
      <w:lvlText w:val=""/>
      <w:lvlJc w:val="left"/>
      <w:pPr>
        <w:ind w:left="1440" w:hanging="360"/>
      </w:pPr>
      <w:rPr>
        <w:rFonts w:ascii="Symbol" w:hAnsi="Symbol"/>
      </w:rPr>
    </w:lvl>
    <w:lvl w:ilvl="7" w:tplc="23C49FF2">
      <w:start w:val="1"/>
      <w:numFmt w:val="bullet"/>
      <w:lvlText w:val=""/>
      <w:lvlJc w:val="left"/>
      <w:pPr>
        <w:ind w:left="1440" w:hanging="360"/>
      </w:pPr>
      <w:rPr>
        <w:rFonts w:ascii="Symbol" w:hAnsi="Symbol"/>
      </w:rPr>
    </w:lvl>
    <w:lvl w:ilvl="8" w:tplc="7BA03194">
      <w:start w:val="1"/>
      <w:numFmt w:val="bullet"/>
      <w:lvlText w:val=""/>
      <w:lvlJc w:val="left"/>
      <w:pPr>
        <w:ind w:left="1440" w:hanging="360"/>
      </w:pPr>
      <w:rPr>
        <w:rFonts w:ascii="Symbol" w:hAnsi="Symbol"/>
      </w:rPr>
    </w:lvl>
  </w:abstractNum>
  <w:abstractNum w:abstractNumId="13"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B27F8D"/>
    <w:multiLevelType w:val="hybridMultilevel"/>
    <w:tmpl w:val="3954D8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89F9E54"/>
    <w:multiLevelType w:val="multilevel"/>
    <w:tmpl w:val="636516B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B66EF6"/>
    <w:multiLevelType w:val="hybridMultilevel"/>
    <w:tmpl w:val="6B4CB4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3D21A94"/>
    <w:multiLevelType w:val="hybridMultilevel"/>
    <w:tmpl w:val="5E36BB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6909801">
    <w:abstractNumId w:val="10"/>
  </w:num>
  <w:num w:numId="2" w16cid:durableId="1223444944">
    <w:abstractNumId w:val="5"/>
  </w:num>
  <w:num w:numId="3" w16cid:durableId="1521353609">
    <w:abstractNumId w:val="3"/>
  </w:num>
  <w:num w:numId="4" w16cid:durableId="1805542195">
    <w:abstractNumId w:val="0"/>
  </w:num>
  <w:num w:numId="5" w16cid:durableId="109128620">
    <w:abstractNumId w:val="1"/>
  </w:num>
  <w:num w:numId="6" w16cid:durableId="1336149261">
    <w:abstractNumId w:val="15"/>
  </w:num>
  <w:num w:numId="7" w16cid:durableId="1767381325">
    <w:abstractNumId w:val="14"/>
  </w:num>
  <w:num w:numId="8" w16cid:durableId="1194805382">
    <w:abstractNumId w:val="11"/>
  </w:num>
  <w:num w:numId="9" w16cid:durableId="2098624511">
    <w:abstractNumId w:val="8"/>
  </w:num>
  <w:num w:numId="10" w16cid:durableId="605582322">
    <w:abstractNumId w:val="9"/>
  </w:num>
  <w:num w:numId="11" w16cid:durableId="127281275">
    <w:abstractNumId w:val="16"/>
  </w:num>
  <w:num w:numId="12" w16cid:durableId="337738688">
    <w:abstractNumId w:val="6"/>
  </w:num>
  <w:num w:numId="13" w16cid:durableId="986473222">
    <w:abstractNumId w:val="7"/>
  </w:num>
  <w:num w:numId="14" w16cid:durableId="215288052">
    <w:abstractNumId w:val="4"/>
  </w:num>
  <w:num w:numId="15" w16cid:durableId="1184201828">
    <w:abstractNumId w:val="13"/>
  </w:num>
  <w:num w:numId="16" w16cid:durableId="1139570846">
    <w:abstractNumId w:val="12"/>
  </w:num>
  <w:num w:numId="17" w16cid:durableId="696274159">
    <w:abstractNumId w:val="17"/>
  </w:num>
  <w:num w:numId="18" w16cid:durableId="332800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8"/>
    <w:rsid w:val="00021649"/>
    <w:rsid w:val="00024682"/>
    <w:rsid w:val="00027031"/>
    <w:rsid w:val="0003571A"/>
    <w:rsid w:val="00037124"/>
    <w:rsid w:val="00047054"/>
    <w:rsid w:val="00075A0B"/>
    <w:rsid w:val="000A7110"/>
    <w:rsid w:val="000A7143"/>
    <w:rsid w:val="000A78ED"/>
    <w:rsid w:val="000D6849"/>
    <w:rsid w:val="000E1FDA"/>
    <w:rsid w:val="000F4277"/>
    <w:rsid w:val="000F54D0"/>
    <w:rsid w:val="000F6614"/>
    <w:rsid w:val="00103606"/>
    <w:rsid w:val="001059FC"/>
    <w:rsid w:val="0011137D"/>
    <w:rsid w:val="00120770"/>
    <w:rsid w:val="00122B40"/>
    <w:rsid w:val="0012369D"/>
    <w:rsid w:val="00124A90"/>
    <w:rsid w:val="00126012"/>
    <w:rsid w:val="00136ABF"/>
    <w:rsid w:val="00154688"/>
    <w:rsid w:val="001614EF"/>
    <w:rsid w:val="001648C7"/>
    <w:rsid w:val="00182BF9"/>
    <w:rsid w:val="0019378E"/>
    <w:rsid w:val="00193D92"/>
    <w:rsid w:val="001B1D42"/>
    <w:rsid w:val="001E1D84"/>
    <w:rsid w:val="001F5C16"/>
    <w:rsid w:val="00210656"/>
    <w:rsid w:val="00213D94"/>
    <w:rsid w:val="0021400C"/>
    <w:rsid w:val="00217478"/>
    <w:rsid w:val="00222C04"/>
    <w:rsid w:val="00246800"/>
    <w:rsid w:val="00273218"/>
    <w:rsid w:val="002763BB"/>
    <w:rsid w:val="0029760F"/>
    <w:rsid w:val="002A4A9E"/>
    <w:rsid w:val="002B49CE"/>
    <w:rsid w:val="002C3666"/>
    <w:rsid w:val="002C4251"/>
    <w:rsid w:val="002C53A7"/>
    <w:rsid w:val="003026E1"/>
    <w:rsid w:val="003139B5"/>
    <w:rsid w:val="00320373"/>
    <w:rsid w:val="00334A8E"/>
    <w:rsid w:val="00334FD1"/>
    <w:rsid w:val="00336049"/>
    <w:rsid w:val="0035452A"/>
    <w:rsid w:val="003662D2"/>
    <w:rsid w:val="00383E2B"/>
    <w:rsid w:val="00394339"/>
    <w:rsid w:val="00394C98"/>
    <w:rsid w:val="003957A8"/>
    <w:rsid w:val="003A214A"/>
    <w:rsid w:val="003A64BA"/>
    <w:rsid w:val="003B1E73"/>
    <w:rsid w:val="003C22D6"/>
    <w:rsid w:val="003D0276"/>
    <w:rsid w:val="003E152F"/>
    <w:rsid w:val="0040158D"/>
    <w:rsid w:val="004018D9"/>
    <w:rsid w:val="00407DA2"/>
    <w:rsid w:val="00434ABB"/>
    <w:rsid w:val="0045345E"/>
    <w:rsid w:val="00455A03"/>
    <w:rsid w:val="00460E8D"/>
    <w:rsid w:val="00465AD8"/>
    <w:rsid w:val="00487530"/>
    <w:rsid w:val="004A7F01"/>
    <w:rsid w:val="004C7078"/>
    <w:rsid w:val="004E2FC1"/>
    <w:rsid w:val="004F2A05"/>
    <w:rsid w:val="005162E0"/>
    <w:rsid w:val="005323F8"/>
    <w:rsid w:val="005511F6"/>
    <w:rsid w:val="00563802"/>
    <w:rsid w:val="00574220"/>
    <w:rsid w:val="00574389"/>
    <w:rsid w:val="00581691"/>
    <w:rsid w:val="005904AA"/>
    <w:rsid w:val="005911EB"/>
    <w:rsid w:val="00591C6F"/>
    <w:rsid w:val="005941F8"/>
    <w:rsid w:val="005A536A"/>
    <w:rsid w:val="00601310"/>
    <w:rsid w:val="00625C1F"/>
    <w:rsid w:val="0065441A"/>
    <w:rsid w:val="006665E3"/>
    <w:rsid w:val="00670BD5"/>
    <w:rsid w:val="006912A4"/>
    <w:rsid w:val="00693DA3"/>
    <w:rsid w:val="006A060E"/>
    <w:rsid w:val="006A2FA2"/>
    <w:rsid w:val="006E6D38"/>
    <w:rsid w:val="006F418A"/>
    <w:rsid w:val="00702E2A"/>
    <w:rsid w:val="00707AC9"/>
    <w:rsid w:val="00724758"/>
    <w:rsid w:val="007464DC"/>
    <w:rsid w:val="0075302F"/>
    <w:rsid w:val="007574B3"/>
    <w:rsid w:val="00771E53"/>
    <w:rsid w:val="007730DB"/>
    <w:rsid w:val="00773AE9"/>
    <w:rsid w:val="00777534"/>
    <w:rsid w:val="007A68B7"/>
    <w:rsid w:val="007B01BC"/>
    <w:rsid w:val="007C745B"/>
    <w:rsid w:val="007D4728"/>
    <w:rsid w:val="007D62F2"/>
    <w:rsid w:val="007F5701"/>
    <w:rsid w:val="007F6899"/>
    <w:rsid w:val="00812B07"/>
    <w:rsid w:val="00830A92"/>
    <w:rsid w:val="00843EF3"/>
    <w:rsid w:val="00850D07"/>
    <w:rsid w:val="00867B8F"/>
    <w:rsid w:val="00875E2A"/>
    <w:rsid w:val="00883F71"/>
    <w:rsid w:val="00885BDD"/>
    <w:rsid w:val="00896B3A"/>
    <w:rsid w:val="008B2C37"/>
    <w:rsid w:val="008F3BEB"/>
    <w:rsid w:val="008F6F7B"/>
    <w:rsid w:val="00907471"/>
    <w:rsid w:val="009246B0"/>
    <w:rsid w:val="009313E7"/>
    <w:rsid w:val="009373A0"/>
    <w:rsid w:val="009453BD"/>
    <w:rsid w:val="009464B8"/>
    <w:rsid w:val="0097042F"/>
    <w:rsid w:val="00971010"/>
    <w:rsid w:val="00974B13"/>
    <w:rsid w:val="00985836"/>
    <w:rsid w:val="009C3E7F"/>
    <w:rsid w:val="009C77B2"/>
    <w:rsid w:val="009F3835"/>
    <w:rsid w:val="009F7CEA"/>
    <w:rsid w:val="00A067BD"/>
    <w:rsid w:val="00A11600"/>
    <w:rsid w:val="00A11EED"/>
    <w:rsid w:val="00A21212"/>
    <w:rsid w:val="00A41F51"/>
    <w:rsid w:val="00A51054"/>
    <w:rsid w:val="00A549B2"/>
    <w:rsid w:val="00A60E3F"/>
    <w:rsid w:val="00A636DA"/>
    <w:rsid w:val="00A725B7"/>
    <w:rsid w:val="00A728DE"/>
    <w:rsid w:val="00A90D2F"/>
    <w:rsid w:val="00A92FA7"/>
    <w:rsid w:val="00AA51C3"/>
    <w:rsid w:val="00AA6948"/>
    <w:rsid w:val="00AB4279"/>
    <w:rsid w:val="00AB47A2"/>
    <w:rsid w:val="00AC2399"/>
    <w:rsid w:val="00AD1E8D"/>
    <w:rsid w:val="00AE6162"/>
    <w:rsid w:val="00AE626E"/>
    <w:rsid w:val="00AE6531"/>
    <w:rsid w:val="00AF7269"/>
    <w:rsid w:val="00AF7AE2"/>
    <w:rsid w:val="00B21079"/>
    <w:rsid w:val="00B24947"/>
    <w:rsid w:val="00B35A26"/>
    <w:rsid w:val="00B4124B"/>
    <w:rsid w:val="00B45427"/>
    <w:rsid w:val="00B5274B"/>
    <w:rsid w:val="00B5343A"/>
    <w:rsid w:val="00B6703A"/>
    <w:rsid w:val="00B7666D"/>
    <w:rsid w:val="00B9441C"/>
    <w:rsid w:val="00BA04E8"/>
    <w:rsid w:val="00BA416B"/>
    <w:rsid w:val="00BB7FCC"/>
    <w:rsid w:val="00BC2110"/>
    <w:rsid w:val="00BC4161"/>
    <w:rsid w:val="00BF7197"/>
    <w:rsid w:val="00C1182A"/>
    <w:rsid w:val="00C368FD"/>
    <w:rsid w:val="00C430F9"/>
    <w:rsid w:val="00C64DE2"/>
    <w:rsid w:val="00C71363"/>
    <w:rsid w:val="00C748F0"/>
    <w:rsid w:val="00C93D5D"/>
    <w:rsid w:val="00C9533D"/>
    <w:rsid w:val="00CA0C70"/>
    <w:rsid w:val="00CB0FEB"/>
    <w:rsid w:val="00CB70D6"/>
    <w:rsid w:val="00CC46C3"/>
    <w:rsid w:val="00CC6412"/>
    <w:rsid w:val="00CD1FCA"/>
    <w:rsid w:val="00CD3CBC"/>
    <w:rsid w:val="00CD47D1"/>
    <w:rsid w:val="00D05EAD"/>
    <w:rsid w:val="00D10A98"/>
    <w:rsid w:val="00D16F31"/>
    <w:rsid w:val="00D228E9"/>
    <w:rsid w:val="00D27462"/>
    <w:rsid w:val="00D40A0B"/>
    <w:rsid w:val="00D569A8"/>
    <w:rsid w:val="00D571CE"/>
    <w:rsid w:val="00D6297E"/>
    <w:rsid w:val="00D64F98"/>
    <w:rsid w:val="00D65082"/>
    <w:rsid w:val="00D67E99"/>
    <w:rsid w:val="00D7323D"/>
    <w:rsid w:val="00D925AD"/>
    <w:rsid w:val="00DA38D8"/>
    <w:rsid w:val="00DA47D6"/>
    <w:rsid w:val="00DA55E5"/>
    <w:rsid w:val="00DB27A4"/>
    <w:rsid w:val="00DB2CC1"/>
    <w:rsid w:val="00DD6885"/>
    <w:rsid w:val="00DF2908"/>
    <w:rsid w:val="00E07E7B"/>
    <w:rsid w:val="00E1729B"/>
    <w:rsid w:val="00E234A9"/>
    <w:rsid w:val="00E269BD"/>
    <w:rsid w:val="00E30F49"/>
    <w:rsid w:val="00E340D9"/>
    <w:rsid w:val="00E4033C"/>
    <w:rsid w:val="00E42131"/>
    <w:rsid w:val="00E62262"/>
    <w:rsid w:val="00E63BB6"/>
    <w:rsid w:val="00E66A51"/>
    <w:rsid w:val="00E950AE"/>
    <w:rsid w:val="00EA5FD2"/>
    <w:rsid w:val="00EC3BD8"/>
    <w:rsid w:val="00ED7745"/>
    <w:rsid w:val="00EE4E22"/>
    <w:rsid w:val="00F1190E"/>
    <w:rsid w:val="00F12D4F"/>
    <w:rsid w:val="00F13790"/>
    <w:rsid w:val="00F21339"/>
    <w:rsid w:val="00F22415"/>
    <w:rsid w:val="00F23E70"/>
    <w:rsid w:val="00F252C9"/>
    <w:rsid w:val="00F279F6"/>
    <w:rsid w:val="00F63B92"/>
    <w:rsid w:val="00F63E3D"/>
    <w:rsid w:val="00F6408B"/>
    <w:rsid w:val="00F655FC"/>
    <w:rsid w:val="00F71B6D"/>
    <w:rsid w:val="00F83BCD"/>
    <w:rsid w:val="00F92ABF"/>
    <w:rsid w:val="00F92DE5"/>
    <w:rsid w:val="00FA505C"/>
    <w:rsid w:val="00FB3F8A"/>
    <w:rsid w:val="00FC0A0B"/>
    <w:rsid w:val="00FC2A8A"/>
    <w:rsid w:val="00FC6D42"/>
    <w:rsid w:val="00FD3C51"/>
    <w:rsid w:val="00FD6A4A"/>
    <w:rsid w:val="00FD74FE"/>
    <w:rsid w:val="00FE13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11378"/>
  <w15:docId w15:val="{9C5ABE2C-6EEB-4561-9A50-E77A8776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4">
    <w:name w:val="heading 4"/>
    <w:basedOn w:val="Standaard"/>
    <w:next w:val="Standaard"/>
    <w:link w:val="Kop4Char"/>
    <w:uiPriority w:val="9"/>
    <w:semiHidden/>
    <w:rsid w:val="00A725B7"/>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0A78E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A78ED"/>
    <w:rPr>
      <w:rFonts w:ascii="Verdana" w:hAnsi="Verdana"/>
      <w:color w:val="000000"/>
      <w:sz w:val="18"/>
      <w:szCs w:val="18"/>
    </w:rPr>
  </w:style>
  <w:style w:type="paragraph" w:styleId="Voettekst">
    <w:name w:val="footer"/>
    <w:basedOn w:val="Standaard"/>
    <w:link w:val="VoettekstChar"/>
    <w:uiPriority w:val="99"/>
    <w:unhideWhenUsed/>
    <w:rsid w:val="000A78E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78ED"/>
    <w:rPr>
      <w:rFonts w:ascii="Verdana" w:hAnsi="Verdana"/>
      <w:color w:val="000000"/>
      <w:sz w:val="18"/>
      <w:szCs w:val="18"/>
    </w:rPr>
  </w:style>
  <w:style w:type="paragraph" w:styleId="Voetnoottekst">
    <w:name w:val="footnote text"/>
    <w:basedOn w:val="Standaard"/>
    <w:link w:val="VoetnoottekstChar"/>
    <w:uiPriority w:val="99"/>
    <w:unhideWhenUsed/>
    <w:rsid w:val="00974B1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974B1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974B13"/>
    <w:rPr>
      <w:vertAlign w:val="superscript"/>
    </w:rPr>
  </w:style>
  <w:style w:type="character" w:customStyle="1" w:styleId="cf01">
    <w:name w:val="cf01"/>
    <w:basedOn w:val="Standaardalinea-lettertype"/>
    <w:rsid w:val="006912A4"/>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6912A4"/>
    <w:rPr>
      <w:sz w:val="16"/>
      <w:szCs w:val="16"/>
    </w:rPr>
  </w:style>
  <w:style w:type="paragraph" w:styleId="Tekstopmerking">
    <w:name w:val="annotation text"/>
    <w:basedOn w:val="Standaard"/>
    <w:link w:val="TekstopmerkingChar"/>
    <w:uiPriority w:val="99"/>
    <w:unhideWhenUsed/>
    <w:rsid w:val="006912A4"/>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6912A4"/>
    <w:rPr>
      <w:rFonts w:ascii="Verdana" w:eastAsiaTheme="minorHAnsi" w:hAnsi="Verdana" w:cstheme="minorBidi"/>
      <w:kern w:val="2"/>
      <w:lang w:eastAsia="en-US"/>
      <w14:ligatures w14:val="standardContextual"/>
    </w:rPr>
  </w:style>
  <w:style w:type="paragraph" w:styleId="Geenafstand">
    <w:name w:val="No Spacing"/>
    <w:uiPriority w:val="1"/>
    <w:qFormat/>
    <w:rsid w:val="00B5274B"/>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wknlverwijzing">
    <w:name w:val="wknl_verwijzing"/>
    <w:basedOn w:val="Standaardalinea-lettertype"/>
    <w:rsid w:val="00B5274B"/>
  </w:style>
  <w:style w:type="paragraph" w:styleId="Lijstalinea">
    <w:name w:val="List Paragraph"/>
    <w:basedOn w:val="Standaard"/>
    <w:uiPriority w:val="34"/>
    <w:qFormat/>
    <w:rsid w:val="004018D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830A92"/>
    <w:pPr>
      <w:autoSpaceDN w:val="0"/>
      <w:textAlignment w:val="baseline"/>
    </w:pPr>
    <w:rPr>
      <w:rFonts w:eastAsia="DejaVu Sans"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830A92"/>
    <w:rPr>
      <w:rFonts w:ascii="Verdana" w:eastAsiaTheme="minorHAnsi" w:hAnsi="Verdana" w:cstheme="minorBidi"/>
      <w:b/>
      <w:bCs/>
      <w:color w:val="000000"/>
      <w:kern w:val="2"/>
      <w:lang w:eastAsia="en-US"/>
      <w14:ligatures w14:val="standardContextual"/>
    </w:rPr>
  </w:style>
  <w:style w:type="paragraph" w:customStyle="1" w:styleId="pf0">
    <w:name w:val="pf0"/>
    <w:basedOn w:val="Standaard"/>
    <w:rsid w:val="00CA0C7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AB4279"/>
    <w:pPr>
      <w:autoSpaceDE w:val="0"/>
      <w:adjustRightInd w:val="0"/>
      <w:textAlignment w:val="auto"/>
    </w:pPr>
    <w:rPr>
      <w:rFonts w:ascii="CEJME M+ Univers" w:eastAsiaTheme="minorHAnsi" w:hAnsi="CEJME M+ Univers" w:cs="CEJME M+ Univers"/>
      <w:color w:val="000000"/>
      <w:sz w:val="24"/>
      <w:szCs w:val="24"/>
      <w:lang w:eastAsia="en-US"/>
      <w14:ligatures w14:val="standardContextual"/>
    </w:rPr>
  </w:style>
  <w:style w:type="character" w:styleId="Onopgelostemelding">
    <w:name w:val="Unresolved Mention"/>
    <w:basedOn w:val="Standaardalinea-lettertype"/>
    <w:uiPriority w:val="99"/>
    <w:semiHidden/>
    <w:unhideWhenUsed/>
    <w:rsid w:val="00CB0FEB"/>
    <w:rPr>
      <w:color w:val="605E5C"/>
      <w:shd w:val="clear" w:color="auto" w:fill="E1DFDD"/>
    </w:rPr>
  </w:style>
  <w:style w:type="character" w:styleId="GevolgdeHyperlink">
    <w:name w:val="FollowedHyperlink"/>
    <w:basedOn w:val="Standaardalinea-lettertype"/>
    <w:uiPriority w:val="99"/>
    <w:semiHidden/>
    <w:unhideWhenUsed/>
    <w:rsid w:val="00B5343A"/>
    <w:rPr>
      <w:color w:val="96607D" w:themeColor="followedHyperlink"/>
      <w:u w:val="single"/>
    </w:rPr>
  </w:style>
  <w:style w:type="character" w:customStyle="1" w:styleId="Kop4Char">
    <w:name w:val="Kop 4 Char"/>
    <w:basedOn w:val="Standaardalinea-lettertype"/>
    <w:link w:val="Kop4"/>
    <w:uiPriority w:val="9"/>
    <w:semiHidden/>
    <w:rsid w:val="00A725B7"/>
    <w:rPr>
      <w:rFonts w:asciiTheme="majorHAnsi" w:eastAsiaTheme="majorEastAsia" w:hAnsiTheme="majorHAnsi" w:cstheme="majorBidi"/>
      <w:i/>
      <w:iCs/>
      <w:color w:val="0F4761" w:themeColor="accent1" w:themeShade="BF"/>
      <w:sz w:val="18"/>
      <w:szCs w:val="18"/>
    </w:rPr>
  </w:style>
  <w:style w:type="paragraph" w:styleId="Revisie">
    <w:name w:val="Revision"/>
    <w:hidden/>
    <w:uiPriority w:val="99"/>
    <w:semiHidden/>
    <w:rsid w:val="001614E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37389">
      <w:bodyDiv w:val="1"/>
      <w:marLeft w:val="0"/>
      <w:marRight w:val="0"/>
      <w:marTop w:val="0"/>
      <w:marBottom w:val="0"/>
      <w:divBdr>
        <w:top w:val="none" w:sz="0" w:space="0" w:color="auto"/>
        <w:left w:val="none" w:sz="0" w:space="0" w:color="auto"/>
        <w:bottom w:val="none" w:sz="0" w:space="0" w:color="auto"/>
        <w:right w:val="none" w:sz="0" w:space="0" w:color="auto"/>
      </w:divBdr>
    </w:div>
    <w:div w:id="1298608468">
      <w:bodyDiv w:val="1"/>
      <w:marLeft w:val="0"/>
      <w:marRight w:val="0"/>
      <w:marTop w:val="0"/>
      <w:marBottom w:val="0"/>
      <w:divBdr>
        <w:top w:val="none" w:sz="0" w:space="0" w:color="auto"/>
        <w:left w:val="none" w:sz="0" w:space="0" w:color="auto"/>
        <w:bottom w:val="none" w:sz="0" w:space="0" w:color="auto"/>
        <w:right w:val="none" w:sz="0" w:space="0" w:color="auto"/>
      </w:divBdr>
    </w:div>
    <w:div w:id="1776246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4002G.html" TargetMode="External"/><Relationship Id="rId13" Type="http://schemas.openxmlformats.org/officeDocument/2006/relationships/hyperlink" Target="https://zoek.officielebekendmakingen.nl/kst-31705-23.html" TargetMode="External"/><Relationship Id="rId3" Type="http://schemas.openxmlformats.org/officeDocument/2006/relationships/hyperlink" Target="https://www.rijksoverheid.nl/documenten/richtlijnen/2023/04/26/handreiking-gebruikelijkloonregeling" TargetMode="External"/><Relationship Id="rId7" Type="http://schemas.openxmlformats.org/officeDocument/2006/relationships/hyperlink" Target="https://www.rijksoverheid.nl/documenten/richtlijnen/2023/04/26/handreiking-gebruikelijkloonregeling" TargetMode="External"/><Relationship Id="rId12" Type="http://schemas.openxmlformats.org/officeDocument/2006/relationships/hyperlink" Target="https://zoek.officielebekendmakingen.nl/kst-31705-23.html" TargetMode="External"/><Relationship Id="rId2" Type="http://schemas.openxmlformats.org/officeDocument/2006/relationships/hyperlink" Target="https://open.overheid.nl/Details/ronl-57ded8a3b426d9001140319c30fb5a2f1c5fdccc/1?hit=1&amp;text=handhavingsstrategie+belastingdienst" TargetMode="External"/><Relationship Id="rId1" Type="http://schemas.openxmlformats.org/officeDocument/2006/relationships/hyperlink" Target="https://www.inview.nl/openCitation/id223070fce69bac5cc4d6023fd1866453" TargetMode="External"/><Relationship Id="rId6" Type="http://schemas.openxmlformats.org/officeDocument/2006/relationships/hyperlink" Target="https://www.rijksoverheid.nl/documenten/richtlijnen/2023/04/26/handreiking-gebruikelijkloonregeling" TargetMode="External"/><Relationship Id="rId11" Type="http://schemas.openxmlformats.org/officeDocument/2006/relationships/hyperlink" Target="file:///\\frd.shsdir.nl\orgData\FIN\DGFZ\AFP\Analyse\A03.%20Medewerkers%20varia\Archief\Jolanda%20Timmerman\IBO%20Vemogensverdeling\Evaluatie%20gebruikelijk%20loon\vervolgonderzoek\input%20AV%20over%20beleidsopties\Kamerstukken%20II&#160;2008\09,%2031%20705,%20nr.%2019" TargetMode="External"/><Relationship Id="rId5" Type="http://schemas.openxmlformats.org/officeDocument/2006/relationships/hyperlink" Target="https://download.belastingdienst.nl/belastingdienst/docs/verzoek-vooroverleg-al1101z9fol.pdf" TargetMode="External"/><Relationship Id="rId10" Type="http://schemas.openxmlformats.org/officeDocument/2006/relationships/hyperlink" Target="file:///\\frd.shsdir.nl\orgData\FIN\DGFZ\AFP\Analyse\A03.%20Medewerkers%20varia\Archief\Jolanda%20Timmerman\IBO%20Vemogensverdeling\Evaluatie%20gebruikelijk%20loon\vervolgonderzoek\input%20AV%20over%20beleidsopties\Kamerstukken%20II&#160;2008\09,%2031%20705,%20nr.%2019" TargetMode="External"/><Relationship Id="rId4" Type="http://schemas.openxmlformats.org/officeDocument/2006/relationships/hyperlink" Target="https://www.belastingdienst.nl/wps/wcm/connect/bldcontentnl/themaoverstijgend/brochures_en_publicaties/checklist-vooroverleg-gebruikelijk-loon" TargetMode="External"/><Relationship Id="rId9" Type="http://schemas.openxmlformats.org/officeDocument/2006/relationships/hyperlink" Target="https://zoek.officielebekendmakingen.nl/kst-30200-3.html" TargetMode="External"/><Relationship Id="rId14" Type="http://schemas.openxmlformats.org/officeDocument/2006/relationships/hyperlink" Target="https://zoek.officielebekendmakingen.nl/stb-1996-65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6839</ap:Words>
  <ap:Characters>37619</ap:Characters>
  <ap:DocSecurity>0</ap:DocSecurity>
  <ap:Lines>313</ap:Lines>
  <ap:Paragraphs>88</ap:Paragraphs>
  <ap:ScaleCrop>false</ap:ScaleCrop>
  <ap:HeadingPairs>
    <vt:vector baseType="variant" size="2">
      <vt:variant>
        <vt:lpstr>Titel</vt:lpstr>
      </vt:variant>
      <vt:variant>
        <vt:i4>1</vt:i4>
      </vt:variant>
    </vt:vector>
  </ap:HeadingPairs>
  <ap:TitlesOfParts>
    <vt:vector baseType="lpstr" size="1">
      <vt:lpstr>Brief aan Eerste of Tweede Kamer - Vervolgonderzoek evaluatie gebruikelijkloonregeling</vt:lpstr>
    </vt:vector>
  </ap:TitlesOfParts>
  <ap:LinksUpToDate>false</ap:LinksUpToDate>
  <ap:CharactersWithSpaces>44370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2026-01-21T07:45:00.0000000Z</lastPrinted>
  <dcterms:created xsi:type="dcterms:W3CDTF">2026-03-03T17:35:00.0000000Z</dcterms:created>
  <dcterms:modified xsi:type="dcterms:W3CDTF">2026-03-03T17:35:00.0000000Z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Vervolgonderzoek evaluatie gebruikelijkloonregeling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6 januari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2026-0000028123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Vervolgonderzoek evaluatie gebruikelijkloonregeling</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2026-01-07T09:38:07Z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b19d5320-7eb0-4049-9b66-48b8edd1da1a</vt:lpwstr>
  </property>
  <property fmtid="{D5CDD505-2E9C-101B-9397-08002B2CF9AE}" pid="37" name="MSIP_Label_b2aa6e22-2c82-48c6-bf24-1790f4b9c128_ContentBits">
    <vt:lpwstr>0</vt:lpwstr>
  </property>
</Properties>
</file>