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2026Z04231</w:t>
        <w:br/>
      </w:r>
      <w:proofErr w:type="spellEnd"/>
    </w:p>
    <w:p>
      <w:pPr>
        <w:pStyle w:val="Normal"/>
        <w:rPr>
          <w:b w:val="1"/>
          <w:bCs w:val="1"/>
        </w:rPr>
      </w:pPr>
      <w:r w:rsidR="250AE766">
        <w:rPr>
          <w:b w:val="0"/>
          <w:bCs w:val="0"/>
        </w:rPr>
        <w:t>(ingezonden 4 maart 2026)</w:t>
        <w:br/>
      </w:r>
    </w:p>
    <w:p>
      <w:r>
        <w:t xml:space="preserve">Vragen van de leden Moorman, Abdi en Tseggai (allen GroenLinks-PvdA) aan de minister van Onderwijs, Cultuur en Wetenschap over de financiële envelop voor onderwijs</w:t>
      </w:r>
      <w:r>
        <w:br/>
      </w:r>
    </w:p>
    <w:p>
      <w:pPr>
        <w:pStyle w:val="ListParagraph"/>
        <w:numPr>
          <w:ilvl w:val="0"/>
          <w:numId w:val="100498790"/>
        </w:numPr>
        <w:ind w:left="360"/>
      </w:pPr>
      <w:r>
        <w:t xml:space="preserve">Erkent u dat de verdeling van de envelop voor onderwijs al klaar is, zoals valt te lezen in de beslisnota horende bij de beantwoording van de feitelijke vragen over het coalitieakkoord ‘Aan de slag’, maar dat deze van de minister van Financiën niet mag worden gedeeld met de Kamer? Zo ja, waarom mag deze informatie niet met de Kamer worden gedeeld? Kunt u deze verdeling alsnog aan de Kamer doen toekomen? [1]</w:t>
      </w:r>
      <w:r>
        <w:br/>
      </w:r>
    </w:p>
    <w:p>
      <w:pPr>
        <w:pStyle w:val="ListParagraph"/>
        <w:numPr>
          <w:ilvl w:val="0"/>
          <w:numId w:val="100498790"/>
        </w:numPr>
        <w:ind w:left="360"/>
      </w:pPr>
      <w:r>
        <w:t xml:space="preserve">Klopt het dat het geld dat naar Onderwijs, Cultuur en Wetenschap (OCW) gaat in de jaren 2027, 2028, 2029 en 2030 de bezuinigingen van kabinet Schoof niet dekken? Klopt het dat er de facto dan alsnog bezuinigd wordt op de begroting van OCW gezien er sprake is van een netto-krimp? Klopt het dat de uitspraak ‘we gaan investeren in onderwijs’ van het lid Paternotte dan feitelijk onjuist is? [2][3][4]</w:t>
      </w:r>
      <w:r>
        <w:br/>
      </w:r>
    </w:p>
    <w:p>
      <w:pPr>
        <w:pStyle w:val="ListParagraph"/>
        <w:numPr>
          <w:ilvl w:val="0"/>
          <w:numId w:val="100498790"/>
        </w:numPr>
        <w:ind w:left="360"/>
      </w:pPr>
      <w:r>
        <w:t xml:space="preserve">Gezien er te weinig geld gaat naar de begroting van OCW om alle bezuinigingen van het kabinet Schoof terug te draaien, kunt u puntsgewijs per bezuiniging aangeven of deze helemaal, gedeeltelijk of niet wordt teruggedraaid:</w:t>
      </w:r>
      <w:r>
        <w:br/>
      </w:r>
      <w:r>
        <w:t xml:space="preserve">- Bezuiniging maatschappelijke diensttijd,</w:t>
      </w:r>
      <w:r>
        <w:br/>
      </w:r>
      <w:r>
        <w:t xml:space="preserve">- HLA 23. Afschaffen brede brugklas en beperken S&amp;O,</w:t>
      </w:r>
      <w:r>
        <w:br/>
      </w:r>
      <w:r>
        <w:t xml:space="preserve">- HLA 24. Alternatieve invulling bijstelling sectorplannen hoger onderwijs en wetenschap,</w:t>
      </w:r>
      <w:r>
        <w:br/>
      </w:r>
      <w:r>
        <w:t xml:space="preserve">- HLA 26. Terugdraaien groei apparaat rijksoverheid,</w:t>
      </w:r>
      <w:r>
        <w:br/>
      </w:r>
      <w:r>
        <w:t xml:space="preserve">- HLA 29. SPUK naar GF en PF met 10% budgetkorting,</w:t>
      </w:r>
      <w:r>
        <w:br/>
      </w:r>
      <w:r>
        <w:t xml:space="preserve">- HLA 34. Gerichte keuzes ontwikkelingssamenwerking,</w:t>
      </w:r>
      <w:r>
        <w:br/>
      </w:r>
      <w:r>
        <w:t xml:space="preserve">- HLA 35. Verlaging non-ODA-middelen,</w:t>
      </w:r>
      <w:r>
        <w:br/>
      </w:r>
      <w:r>
        <w:t xml:space="preserve">- HLA 40. Generieke taakstelling subsidies rijksbreed,</w:t>
      </w:r>
      <w:r>
        <w:br/>
      </w:r>
      <w:r>
        <w:t xml:space="preserve">- HLA 41. Verminderen internationale studenten (via bestuurlijk akkoord),</w:t>
      </w:r>
      <w:r>
        <w:br/>
      </w:r>
      <w:r>
        <w:t xml:space="preserve">- HLA 42. Hervorming Nederlandse Publieke Omroep NPO,</w:t>
      </w:r>
      <w:r>
        <w:br/>
      </w:r>
      <w:r>
        <w:t xml:space="preserve">- HLA 43. Alternatieve invulling afschaffen OV-vergoeding buitenland studerenden,</w:t>
      </w:r>
      <w:r>
        <w:br/>
      </w:r>
      <w:r>
        <w:t xml:space="preserve">- HLA 69. Fonds Onderzoek Wetenschap,</w:t>
      </w:r>
      <w:r>
        <w:br/>
      </w:r>
      <w:r>
        <w:t xml:space="preserve">- Verlaging rijksmediabijdrag e landelijke publieke omroep,</w:t>
      </w:r>
      <w:r>
        <w:br/>
      </w:r>
      <w:r>
        <w:t xml:space="preserve">- Inhouden loonbijstelling externe inhuur tranche 2025,</w:t>
      </w:r>
      <w:r>
        <w:br/>
      </w:r>
      <w:r>
        <w:t xml:space="preserve">- Amendement Kent taakstelling externe inhuur,</w:t>
      </w:r>
      <w:r>
        <w:br/>
      </w:r>
      <w:r>
        <w:t xml:space="preserve">- Rijksbrede halvering prijsbijstelling tranche 2025?</w:t>
      </w:r>
      <w:r>
        <w:br/>
      </w:r>
    </w:p>
    <w:p>
      <w:pPr>
        <w:pStyle w:val="ListParagraph"/>
        <w:numPr>
          <w:ilvl w:val="0"/>
          <w:numId w:val="100498790"/>
        </w:numPr>
        <w:ind w:left="360"/>
      </w:pPr>
      <w:r>
        <w:t xml:space="preserve">Wanneer er bij de vorige vraag sprake is van gedeeltelijk of niet terugdraaien van de voorgenomen bezuiniging, kunt u motiveren waarom u hiervoor kiest?</w:t>
      </w:r>
      <w:r>
        <w:br/>
      </w:r>
    </w:p>
    <w:p>
      <w:pPr>
        <w:pStyle w:val="ListParagraph"/>
        <w:numPr>
          <w:ilvl w:val="0"/>
          <w:numId w:val="100498790"/>
        </w:numPr>
        <w:ind w:left="360"/>
      </w:pPr>
      <w:r>
        <w:t xml:space="preserve">Welk deel van de middelen in de envelop onderwijs is gereserveerd voor het verhogen van de uitwonende basisbeurs? Met welk bedrag gaat de uitwonende beurs per maand omhoog en per wanneer?</w:t>
      </w:r>
      <w:r>
        <w:br/>
      </w:r>
    </w:p>
    <w:p>
      <w:pPr>
        <w:pStyle w:val="ListParagraph"/>
        <w:numPr>
          <w:ilvl w:val="0"/>
          <w:numId w:val="100498790"/>
        </w:numPr>
        <w:ind w:left="360"/>
      </w:pPr>
      <w:r>
        <w:t xml:space="preserve">Welk deel van de middelen in de envelop onderwijs is gereserveerd voor nieuwe beleidsposten op de OCW-begroting? Welke nieuwe beleidsposten zullen dit zijn?</w:t>
      </w:r>
      <w:r>
        <w:br/>
      </w:r>
    </w:p>
    <w:p>
      <w:pPr>
        <w:pStyle w:val="ListParagraph"/>
        <w:numPr>
          <w:ilvl w:val="0"/>
          <w:numId w:val="100498790"/>
        </w:numPr>
        <w:ind w:left="360"/>
      </w:pPr>
      <w:r>
        <w:t xml:space="preserve">Kunt u deze vragen met spoed maar in ieder geval binnen drie weken beantwoorden zodat de Kamer goed geïnformeerd het debat kan voeren?</w:t>
      </w:r>
      <w:r>
        <w:br/>
      </w:r>
    </w:p>
    <w:p>
      <w:r>
        <w:t xml:space="preserve">[1] Kamerstuk 36848, nr. 55.</w:t>
      </w:r>
      <w:r>
        <w:br/>
      </w:r>
    </w:p>
    <w:p>
      <w:r>
        <w:t xml:space="preserve">[2] Aanhangsel Handelingen II, vergaderjaar 2025-2026, nr. 149.</w:t>
      </w:r>
      <w:r>
        <w:br/>
      </w:r>
    </w:p>
    <w:p>
      <w:r>
        <w:t xml:space="preserve">[3] Coalitieakkoord ‘Aan de slag!’, Budgettaire tabel.</w:t>
      </w:r>
      <w:r>
        <w:br/>
      </w:r>
    </w:p>
    <w:p>
      <w:r>
        <w:t xml:space="preserve">[4] Handelingen II, vergaderjaar 2025-2026, nr. 44.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7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790">
    <w:abstractNumId w:val="1004987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