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2026Z04237</w:t>
        <w:br/>
      </w:r>
      <w:proofErr w:type="spellEnd"/>
    </w:p>
    <w:p>
      <w:pPr>
        <w:pStyle w:val="Normal"/>
        <w:rPr>
          <w:b w:val="1"/>
          <w:bCs w:val="1"/>
        </w:rPr>
      </w:pPr>
      <w:r w:rsidR="250AE766">
        <w:rPr>
          <w:b w:val="0"/>
          <w:bCs w:val="0"/>
        </w:rPr>
        <w:t>(ingezonden 4 maart 2026)</w:t>
        <w:br/>
      </w:r>
    </w:p>
    <w:p>
      <w:r>
        <w:t xml:space="preserve">Vragen van het lid Van der Plas (BBB) aan de staatssecretaris van Landbouw, Visserij, Voedselkwaliteit en Natuur over gedelegeerde verordening van de Europese Commissie van 2 februari 2026 tot wijziging van Bijlage III bij Verordening (EG) nr. 853/2004 inzake noodslacht van gedomesticeerde hoefdieren buiten het slachthuis en de uitstel daarvan door de NVWA</w:t>
      </w:r>
      <w:r>
        <w:br/>
      </w:r>
    </w:p>
    <w:p>
      <w:r>
        <w:t xml:space="preserve"> </w:t>
      </w:r>
      <w:r>
        <w:br/>
      </w:r>
    </w:p>
    <w:p>
      <w:pPr>
        <w:pStyle w:val="ListParagraph"/>
        <w:numPr>
          <w:ilvl w:val="0"/>
          <w:numId w:val="100498980"/>
        </w:numPr>
        <w:ind w:left="360"/>
      </w:pPr>
      <w:r>
        <w:t xml:space="preserve">Heeft u kennisgenomen van de gedelegeerde verordening van de Europese Commissie (EC) van 2 februari 2026 tot wijziging van Bijlage III bij Verordening (EG) nr. 853/2004 inzake noodslacht van gedomesticeerde hoefdieren buiten het slachthuis (Kamerstuk 28286, nr. 1429)? 1)</w:t>
      </w:r>
      <w:r>
        <w:br/>
      </w:r>
    </w:p>
    <w:p>
      <w:pPr>
        <w:pStyle w:val="ListParagraph"/>
        <w:numPr>
          <w:ilvl w:val="0"/>
          <w:numId w:val="100498980"/>
        </w:numPr>
        <w:ind w:left="360"/>
      </w:pPr>
      <w:r>
        <w:t xml:space="preserve">Klopt het dat deze wijziging expliciet beoogt interpretatieverschillen tussen lidstaten te harmoniseren en te voorkomen dat vlees van dieren die niet transportwaardig zijn, maar geen risico vormen voor de volksgezondheid, onnodig uit de voedselketen verdwijnt?</w:t>
      </w:r>
      <w:r>
        <w:br/>
      </w:r>
    </w:p>
    <w:p>
      <w:pPr>
        <w:pStyle w:val="ListParagraph"/>
        <w:numPr>
          <w:ilvl w:val="0"/>
          <w:numId w:val="100498980"/>
        </w:numPr>
        <w:ind w:left="360"/>
      </w:pPr>
      <w:r>
        <w:t xml:space="preserve">Kunt u bevestigen dat deze verordening rechtstreeks van toepassing is in alle lidstaten en geen omzetting in nationale regelgeving vereist?</w:t>
      </w:r>
      <w:r>
        <w:br/>
      </w:r>
    </w:p>
    <w:p>
      <w:pPr>
        <w:pStyle w:val="ListParagraph"/>
        <w:numPr>
          <w:ilvl w:val="0"/>
          <w:numId w:val="100498980"/>
        </w:numPr>
        <w:ind w:left="360"/>
      </w:pPr>
      <w:r>
        <w:t xml:space="preserve">Waarom bent u voornemens om middels een aanpassing van het Besluit aanwijzing dierenartsen ex. artt. 30 en 31 Verordening officiële controles de aanwijzing van practici als officiële dierenarts te beperken tot slechts een deel van de gevallen die op grond van de aanpassing van de Verordening (EG) nr. 853/2004 straks in aanmerking komt voor noodslacht?</w:t>
      </w:r>
      <w:r>
        <w:br/>
      </w:r>
    </w:p>
    <w:p>
      <w:pPr>
        <w:pStyle w:val="ListParagraph"/>
        <w:numPr>
          <w:ilvl w:val="0"/>
          <w:numId w:val="100498980"/>
        </w:numPr>
        <w:ind w:left="360"/>
      </w:pPr>
      <w:r>
        <w:t xml:space="preserve">Waarom kiest de Nederlandse Voedsel- en Warenautoriteit (NVWA) ervoor om de toepassing van deze verruiming feitelijk uit te stellen, terwijl de EC juist harmonisatie en ruimere toepassing beoogt?</w:t>
      </w:r>
      <w:r>
        <w:br/>
      </w:r>
    </w:p>
    <w:p>
      <w:pPr>
        <w:pStyle w:val="ListParagraph"/>
        <w:numPr>
          <w:ilvl w:val="0"/>
          <w:numId w:val="100498980"/>
        </w:numPr>
        <w:ind w:left="360"/>
      </w:pPr>
      <w:r>
        <w:t xml:space="preserve">Op welke juridische grondslag kan een ministerieel besluit de feitelijke werking van een rechtstreeks toepasselijke Europese verordening beperken?</w:t>
      </w:r>
      <w:r>
        <w:br/>
      </w:r>
    </w:p>
    <w:p>
      <w:pPr>
        <w:pStyle w:val="ListParagraph"/>
        <w:numPr>
          <w:ilvl w:val="0"/>
          <w:numId w:val="100498980"/>
        </w:numPr>
        <w:ind w:left="360"/>
      </w:pPr>
      <w:r>
        <w:t xml:space="preserve">Begrijpt u dat het beperken van noodslacht tot uitsluitend 'ongeval'-situaties, terwijl dat criterium in de Europese regelgeving juist is losgelaten, de indruk wekt dat Nederland restrictiever beleid voert dan Europees vereist en dat daarmee dus een nieuwe nationale kop op Europees beleid ontstaat?</w:t>
      </w:r>
      <w:r>
        <w:br/>
      </w:r>
    </w:p>
    <w:p>
      <w:pPr>
        <w:pStyle w:val="ListParagraph"/>
        <w:numPr>
          <w:ilvl w:val="0"/>
          <w:numId w:val="100498980"/>
        </w:numPr>
        <w:ind w:left="360"/>
      </w:pPr>
      <w:r>
        <w:t xml:space="preserve">Zo ja, hoe verhoudt dan het toevoegen van een nationale beperking bovenop rechtstreeks toepasbare Europese regelgeving zich tot de plannen van het huidige kabinet om regeldruk te verminderen, in het bijzonder voor ondernemers in de agrarische sector?</w:t>
      </w:r>
      <w:r>
        <w:br/>
      </w:r>
    </w:p>
    <w:p>
      <w:pPr>
        <w:pStyle w:val="ListParagraph"/>
        <w:numPr>
          <w:ilvl w:val="0"/>
          <w:numId w:val="100498980"/>
        </w:numPr>
        <w:ind w:left="360"/>
      </w:pPr>
      <w:r>
        <w:t xml:space="preserve">Zo ja, kunt u dan toelichten waarom ondanks de, in het coalitieakkoord beschreven, ambitie om nationale koppen te schrappen, mogelijk een nieuwe nationale kop op Europese beleid wordt gezet?</w:t>
      </w:r>
      <w:r>
        <w:br/>
      </w:r>
    </w:p>
    <w:p>
      <w:pPr>
        <w:pStyle w:val="ListParagraph"/>
        <w:numPr>
          <w:ilvl w:val="0"/>
          <w:numId w:val="100498980"/>
        </w:numPr>
        <w:ind w:left="360"/>
      </w:pPr>
      <w:r>
        <w:t xml:space="preserve">Waarom wekt de NVWA in het hun nieuwsbericht van 23 februari 2026 de indruk dat slechts dierenartsen in dienst van de NVWA officiële dierenarts zijn, terwijl het aan de minister is om te bepalen welke dierenartsen worden aangewezen als officiële dierenarts en de minister middels het Besluit aanwijzing dierenartsen ex artt. 30 en 31 Verordening officiële controles er ook expliciet voor heeft gekozen om practici aan te wijzen als officiële dierenarts? 2)</w:t>
      </w:r>
      <w:r>
        <w:br/>
      </w:r>
    </w:p>
    <w:p>
      <w:pPr>
        <w:pStyle w:val="ListParagraph"/>
        <w:numPr>
          <w:ilvl w:val="0"/>
          <w:numId w:val="100498980"/>
        </w:numPr>
        <w:ind w:left="360"/>
      </w:pPr>
      <w:r>
        <w:t xml:space="preserve">Bent u bereid om te onderzoeken of in Nederland praktiserend dierenartsen voor meer taken als officiële dierenarts kunnen worden aangewezen en welk effect dit zou hebben op de kosten voor het uitvoeren van deze taken in vergelijking met de kosten die de NVWA in rekening brengt?</w:t>
      </w:r>
      <w:r>
        <w:br/>
      </w:r>
    </w:p>
    <w:p>
      <w:pPr>
        <w:pStyle w:val="ListParagraph"/>
        <w:numPr>
          <w:ilvl w:val="0"/>
          <w:numId w:val="100498980"/>
        </w:numPr>
        <w:ind w:left="360"/>
      </w:pPr>
      <w:r>
        <w:t xml:space="preserve">Waaruit blijkt dat praktiserend dierenartsen (die geregistreerd staan in het Diergeneeskunderegister en geborgd zijn via de Stichting Geborgde Dierenarts) hun verantwoordelijkheid voor voedselveiligheid niet adequaat zouden kunnen dragen en de NVWA kan stellen dat de voedselveiligheid nog niet zou zijn voldoende geborgd onder de nieuwe werkwijze?</w:t>
      </w:r>
      <w:r>
        <w:br/>
      </w:r>
    </w:p>
    <w:p>
      <w:pPr>
        <w:pStyle w:val="ListParagraph"/>
        <w:numPr>
          <w:ilvl w:val="0"/>
          <w:numId w:val="100498980"/>
        </w:numPr>
        <w:ind w:left="360"/>
      </w:pPr>
      <w:r>
        <w:t xml:space="preserve">Impliceert het standpunt van de NVWA dat hun vertrouwen in deze geborgde dierenartsen tekortschiet? Zo nee, waarom worden hun bevoegdheden dan tijdelijk beperkt?</w:t>
      </w:r>
      <w:r>
        <w:br/>
      </w:r>
    </w:p>
    <w:p>
      <w:pPr>
        <w:pStyle w:val="ListParagraph"/>
        <w:numPr>
          <w:ilvl w:val="0"/>
          <w:numId w:val="100498980"/>
        </w:numPr>
        <w:ind w:left="360"/>
      </w:pPr>
      <w:r>
        <w:t xml:space="preserve">Deelt u de opvatting dat als voedselveiligheid het grootste issue zou zijn, dat juist kan worden geborgd door samen met de Stichting Geborgde Dierenarts aanvullende instructies te organiseren, in plaats van de verruiming uit te stellen?</w:t>
      </w:r>
      <w:r>
        <w:br/>
      </w:r>
    </w:p>
    <w:p>
      <w:pPr>
        <w:pStyle w:val="ListParagraph"/>
        <w:numPr>
          <w:ilvl w:val="0"/>
          <w:numId w:val="100498980"/>
        </w:numPr>
        <w:ind w:left="360"/>
      </w:pPr>
      <w:r>
        <w:t xml:space="preserve">Speelt het capaciteitsprobleem bij de NVWA een rol bij het uitstellen van de verruimde toepassing? Zo ja, waarom wordt dit organisatorische probleem afgewenteld op veehouders, de veelogistieke sector en praktiserend dierenartsen?</w:t>
      </w:r>
      <w:r>
        <w:br/>
      </w:r>
    </w:p>
    <w:p>
      <w:pPr>
        <w:pStyle w:val="ListParagraph"/>
        <w:numPr>
          <w:ilvl w:val="0"/>
          <w:numId w:val="100498980"/>
        </w:numPr>
        <w:ind w:left="360"/>
      </w:pPr>
      <w:r>
        <w:t xml:space="preserve">Welke concrete stappen zet u om ervoor te zorgen dat de nieuwe Europese regels niet pas “in de tweede helft van 2026”, maar zo spoedig mogelijk in de praktijk worden gebracht?</w:t>
      </w:r>
      <w:r>
        <w:br/>
      </w:r>
    </w:p>
    <w:p>
      <w:pPr>
        <w:pStyle w:val="ListParagraph"/>
        <w:numPr>
          <w:ilvl w:val="0"/>
          <w:numId w:val="100498980"/>
        </w:numPr>
        <w:ind w:left="360"/>
      </w:pPr>
      <w:r>
        <w:t xml:space="preserve">Bent u bereid om in overleg met de sector en de Stichting Geborgde Dierenarts binnen drie maanden een uitvoerbare implementatie vast te stellen, zodat dieren die niet transportwaardig zijn maar wel geschikt voor consumptie, niet langer onnodig uit de voedselketen verdwijnen?</w:t>
      </w:r>
      <w:r>
        <w:br/>
      </w:r>
    </w:p>
    <w:p>
      <w:pPr>
        <w:pStyle w:val="ListParagraph"/>
        <w:numPr>
          <w:ilvl w:val="0"/>
          <w:numId w:val="100498980"/>
        </w:numPr>
        <w:ind w:left="360"/>
      </w:pPr>
      <w:r>
        <w:t xml:space="preserve">Kunt u een overzicht ter beschikking stellen aan de Kamer van de Ante-Mortum (AM)-keuringskosten door officiële dierenartsen in dienst van de overheid voor noodslachting en de Mobiele Dodingsunit (MDU) in Nederland en de aangrenzende Duitse en Belgische regio's? Hoe kunnen de verschillen in kosten worden verklaard, als die er zijn?</w:t>
      </w:r>
      <w:r>
        <w:br/>
      </w:r>
    </w:p>
    <w:p>
      <w:r>
        <w:t xml:space="preserve"> </w:t>
      </w:r>
      <w:r>
        <w:br/>
      </w:r>
    </w:p>
    <w:p>
      <w:r>
        <w:t xml:space="preserve">1) SGD, 23 februari 2026, 'Wetswijziging noodslacht: huidige werkwijze blijft voorlopig gelden' (https://www.imail2u.nl/webversie?m=9923&amp;c=263264&amp;h=SmH7vGwy%2bJtzaErz6akVnJ0HrAVpbWFpbDJ1d2Vi)</w:t>
      </w:r>
      <w:r>
        <w:br/>
      </w:r>
    </w:p>
    <w:p>
      <w:r>
        <w:t xml:space="preserve">2) NVWA, 23 februari 2026, 'Wetswijziging noodslacht: huidige werkwijze blijft voorlopig gelden' (https://www.nvwa.nl/actueel/nieuws/2026/02/23/wetswijziging-noodslacht-huidige-werkwijze-blijft-voorlopig-gelden)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7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790">
    <w:abstractNumId w:val="1004987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