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D8" w:rsidP="003B3AD8" w:rsidRDefault="003B3AD8" w14:paraId="372013F0" w14:textId="77777777">
      <w:bookmarkStart w:name="_GoBack" w:id="0"/>
      <w:bookmarkEnd w:id="0"/>
      <w:r>
        <w:t>Geachte voorzitter,</w:t>
      </w:r>
    </w:p>
    <w:p w:rsidR="003B3AD8" w:rsidP="003B3AD8" w:rsidRDefault="003B3AD8" w14:paraId="64A9B5ED" w14:textId="77777777"/>
    <w:p w:rsidR="002B3202" w:rsidP="003B3AD8" w:rsidRDefault="003B3AD8" w14:paraId="3C5244AE" w14:textId="7F173C8A">
      <w:r>
        <w:t xml:space="preserve">In de beroepsprocedure over de gunning van de </w:t>
      </w:r>
      <w:r w:rsidR="00693402">
        <w:t>H</w:t>
      </w:r>
      <w:r>
        <w:t xml:space="preserve">oofdrailnetconcessie 2025-2033 (hierna: HRN-concessie) heeft het College van Beroep voor het bedrijfsleven (CBb) in een tussenuitspraak van 9 september </w:t>
      </w:r>
      <w:r w:rsidR="00961081">
        <w:t>2025</w:t>
      </w:r>
      <w:r>
        <w:rPr>
          <w:rStyle w:val="FootnoteReference"/>
        </w:rPr>
        <w:footnoteReference w:id="1"/>
      </w:r>
      <w:r>
        <w:t xml:space="preserve"> mij opgedragen om de onderhandelingen met Arriva over de Noordelijke </w:t>
      </w:r>
      <w:r w:rsidR="00FE3A77">
        <w:t>l</w:t>
      </w:r>
      <w:r>
        <w:t>ijnen te hervatten en uiterlijk op 8 december 2025 de uitkomst daarvan aan het College te melden.</w:t>
      </w:r>
      <w:r w:rsidR="00FE3A77">
        <w:t xml:space="preserve"> Het betreft de stoptreindiensten tussen Zwolle – Groningen en Zwolle – Leeuwarden. </w:t>
      </w:r>
      <w:r w:rsidR="00F37915">
        <w:t xml:space="preserve">In mijn brief van </w:t>
      </w:r>
      <w:r w:rsidR="00961081">
        <w:t>die datum</w:t>
      </w:r>
      <w:r>
        <w:t xml:space="preserve"> heb ik uw Kamer geïnformeerd over de voortgang van de gesprekken</w:t>
      </w:r>
      <w:r w:rsidR="006D63D6">
        <w:t>.</w:t>
      </w:r>
      <w:r>
        <w:rPr>
          <w:rStyle w:val="FootnoteReference"/>
        </w:rPr>
        <w:footnoteReference w:id="2"/>
      </w:r>
      <w:r>
        <w:t xml:space="preserve"> Met deze brief breng ik uw Kamer op de hoogte over </w:t>
      </w:r>
      <w:r w:rsidR="00693402">
        <w:t xml:space="preserve">de </w:t>
      </w:r>
      <w:r w:rsidR="00F37915">
        <w:t xml:space="preserve">uitkomst </w:t>
      </w:r>
      <w:r>
        <w:t>van d</w:t>
      </w:r>
      <w:r w:rsidR="00F37915">
        <w:t>i</w:t>
      </w:r>
      <w:r>
        <w:t xml:space="preserve">e gesprekken. </w:t>
      </w:r>
      <w:r w:rsidR="00194F79">
        <w:t>Daarnaast breng ik uw Kamer op de hoogte van de stand van zaken over de</w:t>
      </w:r>
      <w:r w:rsidR="00F92398">
        <w:t xml:space="preserve"> Europese </w:t>
      </w:r>
      <w:r w:rsidR="00194F79">
        <w:t>infractieprocedure over de HRN-concessie.</w:t>
      </w:r>
      <w:r>
        <w:t xml:space="preserve"> </w:t>
      </w:r>
    </w:p>
    <w:p w:rsidR="003B3AD8" w:rsidP="003B3AD8" w:rsidRDefault="003B3AD8" w14:paraId="0B26D21F" w14:textId="77777777"/>
    <w:p w:rsidRPr="006D63D6" w:rsidR="003B3AD8" w:rsidP="003B3AD8" w:rsidRDefault="006D63D6" w14:paraId="08D25E3D" w14:textId="4B80B6AE">
      <w:pPr>
        <w:rPr>
          <w:i/>
          <w:iCs/>
        </w:rPr>
      </w:pPr>
      <w:r w:rsidRPr="006D63D6">
        <w:rPr>
          <w:i/>
          <w:iCs/>
        </w:rPr>
        <w:t>Aanloop</w:t>
      </w:r>
    </w:p>
    <w:p w:rsidR="00124995" w:rsidP="00124995" w:rsidRDefault="00F37915" w14:paraId="37F508BE" w14:textId="254F39D4">
      <w:r>
        <w:t>Bij de gunning van de HRN-concessie i</w:t>
      </w:r>
      <w:r w:rsidR="00B119C7">
        <w:t xml:space="preserve">n 2023 heeft </w:t>
      </w:r>
      <w:r w:rsidR="00481F1A">
        <w:t>de toenmalige staatssecretaris</w:t>
      </w:r>
      <w:r w:rsidRPr="00B119C7" w:rsidR="00B119C7">
        <w:t xml:space="preserve"> geconcludeerd dat opentoegangvervoer op de</w:t>
      </w:r>
      <w:r w:rsidR="00B119C7">
        <w:t xml:space="preserve"> </w:t>
      </w:r>
      <w:r w:rsidRPr="00B119C7" w:rsidR="00B119C7">
        <w:t xml:space="preserve">trajecten </w:t>
      </w:r>
      <w:r w:rsidR="00B119C7">
        <w:t xml:space="preserve">Zwolle – Groningen en Zwolle – Leeuwarden </w:t>
      </w:r>
      <w:r w:rsidR="00124995">
        <w:t xml:space="preserve">niet met </w:t>
      </w:r>
      <w:r w:rsidRPr="00124995" w:rsidR="00124995">
        <w:t xml:space="preserve">voldoende mate van zekerheid kon voorzien in de vereiste continuïteit voor de reizigers en </w:t>
      </w:r>
      <w:r w:rsidR="00693402">
        <w:t xml:space="preserve">in de garantie </w:t>
      </w:r>
      <w:r w:rsidRPr="00124995" w:rsidR="00124995">
        <w:t>dat het vervoer gedurende de duur van de HRN-concessie 2025 – 2033 niet zou worden afgeschaald</w:t>
      </w:r>
      <w:r w:rsidR="00124995">
        <w:t xml:space="preserve">. </w:t>
      </w:r>
      <w:r w:rsidR="00FE3A77">
        <w:t xml:space="preserve">Daarop is </w:t>
      </w:r>
      <w:r w:rsidRPr="00124995" w:rsidR="00124995">
        <w:t>het besluit genomen om de stoptreindiensten onderdeel te laten blijven van de HRN-concessie die aan de NS is gegund</w:t>
      </w:r>
      <w:r w:rsidR="00124995">
        <w:t>.</w:t>
      </w:r>
      <w:r w:rsidR="00124995">
        <w:rPr>
          <w:rStyle w:val="FootnoteReference"/>
        </w:rPr>
        <w:footnoteReference w:id="3"/>
      </w:r>
      <w:r w:rsidRPr="00124995" w:rsidR="00124995">
        <w:t xml:space="preserve"> </w:t>
      </w:r>
    </w:p>
    <w:p w:rsidR="00124995" w:rsidP="00124995" w:rsidRDefault="00124995" w14:paraId="4E5D3A7D" w14:textId="77777777"/>
    <w:p w:rsidRPr="00124995" w:rsidR="00124995" w:rsidP="00124995" w:rsidRDefault="00124995" w14:paraId="30B6A006" w14:textId="54872317">
      <w:pPr>
        <w:rPr>
          <w:i/>
          <w:iCs/>
        </w:rPr>
      </w:pPr>
      <w:r w:rsidRPr="00124995">
        <w:rPr>
          <w:i/>
          <w:iCs/>
        </w:rPr>
        <w:t>Gesprekken met Arriva</w:t>
      </w:r>
    </w:p>
    <w:p w:rsidR="006807B6" w:rsidP="003B3AD8" w:rsidRDefault="00124995" w14:paraId="1CD8C65C" w14:textId="03BCA12E">
      <w:r>
        <w:t>Zoals ik in mijn brief van 8 december 2025 heb aangegeven h</w:t>
      </w:r>
      <w:r w:rsidRPr="00124995">
        <w:t xml:space="preserve">eeft mijn ministerie contact gezocht met Arriva en een reeks gesprekken gevoerd met </w:t>
      </w:r>
      <w:r w:rsidR="00481F1A">
        <w:t>haar</w:t>
      </w:r>
      <w:r w:rsidRPr="00124995">
        <w:t xml:space="preserve"> over </w:t>
      </w:r>
      <w:r w:rsidR="00481F1A">
        <w:t>haar</w:t>
      </w:r>
      <w:r w:rsidRPr="00124995">
        <w:t xml:space="preserve"> </w:t>
      </w:r>
      <w:r w:rsidR="00481F1A">
        <w:t>opentoegang</w:t>
      </w:r>
      <w:r w:rsidRPr="00124995">
        <w:t xml:space="preserve">melding uit 2022 voor </w:t>
      </w:r>
      <w:r w:rsidR="00481F1A">
        <w:t>stop</w:t>
      </w:r>
      <w:r w:rsidRPr="00124995">
        <w:t xml:space="preserve">treindiensten op de </w:t>
      </w:r>
      <w:r w:rsidR="00481F1A">
        <w:t>n</w:t>
      </w:r>
      <w:r w:rsidRPr="00124995">
        <w:t xml:space="preserve">oordelijke </w:t>
      </w:r>
      <w:r w:rsidR="00481F1A">
        <w:t>l</w:t>
      </w:r>
      <w:r w:rsidRPr="00124995">
        <w:t>ijnen.</w:t>
      </w:r>
      <w:r>
        <w:t xml:space="preserve"> </w:t>
      </w:r>
      <w:r w:rsidR="00C27E20">
        <w:t>Het is mijn ministerie en Arriva niet gelukt om binnen de door het CBb gestelde deadline tot a</w:t>
      </w:r>
      <w:r>
        <w:t>fronding van de gesprekken te komen. De afgelopen maanden zijn de gesprekken voortgezet</w:t>
      </w:r>
      <w:r w:rsidR="00693402">
        <w:t>, waarbij</w:t>
      </w:r>
      <w:r w:rsidR="006807B6">
        <w:t xml:space="preserve"> </w:t>
      </w:r>
      <w:r w:rsidR="00693402">
        <w:t xml:space="preserve">Arriva </w:t>
      </w:r>
      <w:r w:rsidR="006807B6">
        <w:t xml:space="preserve">een </w:t>
      </w:r>
      <w:r w:rsidR="0018567C">
        <w:t xml:space="preserve">geactualiseerd </w:t>
      </w:r>
      <w:r w:rsidR="006807B6">
        <w:t xml:space="preserve">aanbod </w:t>
      </w:r>
      <w:r w:rsidR="00693402">
        <w:t>heeft gedaan</w:t>
      </w:r>
      <w:r w:rsidR="00557128">
        <w:t>, d</w:t>
      </w:r>
      <w:r w:rsidR="00693402">
        <w:t>at</w:t>
      </w:r>
      <w:r w:rsidR="00557128">
        <w:t xml:space="preserve"> ontvangen is op 14 januari 2026</w:t>
      </w:r>
      <w:r>
        <w:t xml:space="preserve">. </w:t>
      </w:r>
    </w:p>
    <w:p w:rsidR="006807B6" w:rsidP="003B3AD8" w:rsidRDefault="006807B6" w14:paraId="39434563" w14:textId="77777777"/>
    <w:p w:rsidR="00802734" w:rsidP="003B3AD8" w:rsidRDefault="00124995" w14:paraId="2CE05CD8" w14:textId="77777777">
      <w:r>
        <w:lastRenderedPageBreak/>
        <w:t>In</w:t>
      </w:r>
      <w:r w:rsidR="006A7809">
        <w:t xml:space="preserve"> </w:t>
      </w:r>
      <w:r w:rsidR="00557128">
        <w:t>de</w:t>
      </w:r>
      <w:r>
        <w:t xml:space="preserve"> gesprekken </w:t>
      </w:r>
      <w:r w:rsidR="00802734">
        <w:t xml:space="preserve">met Arriva </w:t>
      </w:r>
      <w:r w:rsidR="00660BAF">
        <w:t xml:space="preserve">stond </w:t>
      </w:r>
      <w:r>
        <w:t xml:space="preserve">de beschikbaarheid van </w:t>
      </w:r>
      <w:r w:rsidR="00F37915">
        <w:t xml:space="preserve">rijdend </w:t>
      </w:r>
      <w:r>
        <w:t xml:space="preserve">materieel </w:t>
      </w:r>
      <w:r w:rsidR="00660BAF">
        <w:t xml:space="preserve">centraal. Arriva heeft aangegeven </w:t>
      </w:r>
      <w:r w:rsidRPr="00660BAF" w:rsidR="00660BAF">
        <w:t xml:space="preserve">niet over materieel te kunnen beschikken </w:t>
      </w:r>
      <w:r w:rsidR="00481F1A">
        <w:t>voor</w:t>
      </w:r>
      <w:r w:rsidRPr="00660BAF" w:rsidR="00660BAF">
        <w:t xml:space="preserve"> de periode tussen de beoogde oplevering van de geëlektrificeerde Maaslijn in 2027 (waar het beoogde materieel voor</w:t>
      </w:r>
      <w:r w:rsidR="00481F1A">
        <w:t xml:space="preserve"> de noordelijke stoptreinendiensten voor is aangeschaft</w:t>
      </w:r>
      <w:r w:rsidRPr="00660BAF" w:rsidR="00660BAF">
        <w:t>) en de</w:t>
      </w:r>
      <w:r w:rsidR="00481F1A">
        <w:t xml:space="preserve"> eventuele</w:t>
      </w:r>
      <w:r w:rsidRPr="00660BAF" w:rsidR="00660BAF">
        <w:t xml:space="preserve"> levering van nieuw </w:t>
      </w:r>
      <w:r w:rsidR="00481F1A">
        <w:t xml:space="preserve">te bestellen </w:t>
      </w:r>
      <w:r w:rsidRPr="00660BAF" w:rsidR="00660BAF">
        <w:t>materieel. Naar verwachting</w:t>
      </w:r>
      <w:r w:rsidR="00FE3A77">
        <w:t xml:space="preserve"> van Arriva</w:t>
      </w:r>
      <w:r w:rsidRPr="00660BAF" w:rsidR="00660BAF">
        <w:t xml:space="preserve"> duurt het bestellen van nieuw materieel </w:t>
      </w:r>
      <w:r w:rsidR="00660BAF">
        <w:t>drie</w:t>
      </w:r>
      <w:r w:rsidRPr="00660BAF" w:rsidR="00660BAF">
        <w:t xml:space="preserve"> jaar vanaf het moment van bestelling</w:t>
      </w:r>
      <w:r w:rsidR="00FE3A77">
        <w:t>. E</w:t>
      </w:r>
      <w:r w:rsidRPr="00660BAF" w:rsidR="00660BAF">
        <w:t>r zou dus niet eerder</w:t>
      </w:r>
      <w:r w:rsidR="00660BAF">
        <w:t xml:space="preserve"> dan in 2029</w:t>
      </w:r>
      <w:r w:rsidRPr="00660BAF" w:rsidR="00660BAF">
        <w:t xml:space="preserve"> nieuw materieel </w:t>
      </w:r>
      <w:r w:rsidR="00660BAF">
        <w:t xml:space="preserve">kunnen </w:t>
      </w:r>
      <w:r w:rsidRPr="00660BAF" w:rsidR="00660BAF">
        <w:t>instromen</w:t>
      </w:r>
      <w:r w:rsidR="00660BAF">
        <w:t xml:space="preserve">. </w:t>
      </w:r>
    </w:p>
    <w:p w:rsidR="00802734" w:rsidP="003B3AD8" w:rsidRDefault="00802734" w14:paraId="7005E5D7" w14:textId="77777777"/>
    <w:p w:rsidR="006807B6" w:rsidP="003B3AD8" w:rsidRDefault="00660BAF" w14:paraId="19B36C91" w14:textId="1E9D3ED5">
      <w:r>
        <w:t>Als mogelijke oplossing heeft Arriva v</w:t>
      </w:r>
      <w:r w:rsidRPr="00660BAF">
        <w:t>oorgesteld</w:t>
      </w:r>
      <w:r>
        <w:t xml:space="preserve"> dat het ministerie bij NS zou kunnen afdwingen </w:t>
      </w:r>
      <w:r w:rsidRPr="00660BAF">
        <w:t>dat NS materieel overdraagt of ervoor zorgt dat Arriva tijdelijk gebruik kan maken van materieel</w:t>
      </w:r>
      <w:r>
        <w:t xml:space="preserve"> van NS. </w:t>
      </w:r>
      <w:bookmarkStart w:name="_Hlk221201463" w:id="1"/>
      <w:r w:rsidR="000153A4">
        <w:t>Die mogelijkheid past niet bij h</w:t>
      </w:r>
      <w:r w:rsidRPr="00660BAF">
        <w:t xml:space="preserve">et uitgangspunt </w:t>
      </w:r>
      <w:r w:rsidR="000153A4">
        <w:t>van</w:t>
      </w:r>
      <w:r w:rsidRPr="00660BAF">
        <w:t xml:space="preserve"> het aanbieden van treindiensten in open toegang</w:t>
      </w:r>
      <w:r w:rsidR="000153A4">
        <w:t>, namelijk</w:t>
      </w:r>
      <w:r w:rsidRPr="00660BAF">
        <w:t xml:space="preserve"> dat een vervoerder dat op eigen initiatief doet en voor eigen rekening en risico. </w:t>
      </w:r>
      <w:r w:rsidR="00802734">
        <w:t>Opentoegangvervoerders kunnen geen beroep doen op d</w:t>
      </w:r>
      <w:r w:rsidRPr="00660BAF">
        <w:t xml:space="preserve">e overheid </w:t>
      </w:r>
      <w:r w:rsidR="00802734">
        <w:t xml:space="preserve">voor het beschikbaar stellen van financiering, materieel en personeel. </w:t>
      </w:r>
      <w:r w:rsidRPr="00660BAF">
        <w:t xml:space="preserve">Bovendien </w:t>
      </w:r>
      <w:r w:rsidR="006807B6">
        <w:t>kan ik NS niet dwingen materieel beschikbaar te stellen voor de uitvoering van opentoegangdiensten</w:t>
      </w:r>
      <w:r w:rsidR="000153A4">
        <w:t xml:space="preserve"> door een andere vervoerde</w:t>
      </w:r>
      <w:r w:rsidR="00FE3A77">
        <w:t>r</w:t>
      </w:r>
      <w:r w:rsidR="006807B6">
        <w:t xml:space="preserve">. </w:t>
      </w:r>
    </w:p>
    <w:bookmarkEnd w:id="1"/>
    <w:p w:rsidR="006807B6" w:rsidP="003B3AD8" w:rsidRDefault="006807B6" w14:paraId="7B84ACCD" w14:textId="77777777"/>
    <w:p w:rsidR="006807B6" w:rsidP="003B3AD8" w:rsidRDefault="00557128" w14:paraId="69A303DA" w14:textId="314C8CE6">
      <w:r>
        <w:t xml:space="preserve">Op basis van de gevoerde gesprekken en het </w:t>
      </w:r>
      <w:r w:rsidR="0018567C">
        <w:t xml:space="preserve">geactualiseerde </w:t>
      </w:r>
      <w:r>
        <w:t xml:space="preserve">aanbod </w:t>
      </w:r>
      <w:r w:rsidR="006807B6">
        <w:t xml:space="preserve">ben </w:t>
      </w:r>
      <w:r>
        <w:t xml:space="preserve">ik </w:t>
      </w:r>
      <w:r w:rsidR="006807B6">
        <w:t xml:space="preserve">tot de conclusie gekomen dat Arriva geen </w:t>
      </w:r>
      <w:r w:rsidR="000153A4">
        <w:t>zekerheid</w:t>
      </w:r>
      <w:r w:rsidR="006807B6">
        <w:t xml:space="preserve"> biedt dat Arriva gedurende de looptijd van de HRN-concessie </w:t>
      </w:r>
      <w:r>
        <w:t xml:space="preserve">deze </w:t>
      </w:r>
      <w:r w:rsidR="006807B6">
        <w:t xml:space="preserve">treindiensten in open toegang kan rijden op de Noordelijke Lijnen. Het </w:t>
      </w:r>
      <w:r w:rsidR="0018567C">
        <w:t xml:space="preserve">geactualiseerde </w:t>
      </w:r>
      <w:r w:rsidR="006807B6">
        <w:t xml:space="preserve">aanbod is daarmee onvoldoende om </w:t>
      </w:r>
      <w:r w:rsidR="00802734">
        <w:t>het</w:t>
      </w:r>
      <w:r w:rsidR="006807B6">
        <w:t xml:space="preserve"> </w:t>
      </w:r>
      <w:r w:rsidR="00802734">
        <w:t>kabinets</w:t>
      </w:r>
      <w:r w:rsidR="006807B6">
        <w:t xml:space="preserve">besluit </w:t>
      </w:r>
      <w:r w:rsidR="00802734">
        <w:t xml:space="preserve">uit 2023 om </w:t>
      </w:r>
      <w:r w:rsidR="006807B6">
        <w:t>de stoptreindiensten</w:t>
      </w:r>
      <w:r>
        <w:t xml:space="preserve"> </w:t>
      </w:r>
      <w:r w:rsidR="00802734">
        <w:t xml:space="preserve">in </w:t>
      </w:r>
      <w:r w:rsidR="006807B6">
        <w:t xml:space="preserve">de HRN-concessie </w:t>
      </w:r>
      <w:r w:rsidR="00802734">
        <w:t xml:space="preserve">op </w:t>
      </w:r>
      <w:r w:rsidR="006807B6">
        <w:t xml:space="preserve">te </w:t>
      </w:r>
      <w:r w:rsidR="00802734">
        <w:t>nemen te heroverwegen</w:t>
      </w:r>
      <w:r w:rsidR="006807B6">
        <w:t xml:space="preserve">. Dit </w:t>
      </w:r>
      <w:r w:rsidR="000153A4">
        <w:t xml:space="preserve">heb ik </w:t>
      </w:r>
      <w:r w:rsidR="006807B6">
        <w:t>ook aan het CBb laten weten.</w:t>
      </w:r>
    </w:p>
    <w:p w:rsidR="003B3AD8" w:rsidP="003B3AD8" w:rsidRDefault="003B3AD8" w14:paraId="1BCEA10D" w14:textId="77777777"/>
    <w:p w:rsidR="006D63D6" w:rsidP="003B3AD8" w:rsidRDefault="006807B6" w14:paraId="27ADF251" w14:textId="626F2AD9">
      <w:pPr>
        <w:rPr>
          <w:i/>
          <w:iCs/>
        </w:rPr>
      </w:pPr>
      <w:r>
        <w:rPr>
          <w:i/>
          <w:iCs/>
        </w:rPr>
        <w:t>Vervolg</w:t>
      </w:r>
    </w:p>
    <w:p w:rsidR="007E3246" w:rsidP="003B3AD8" w:rsidRDefault="00CA5044" w14:paraId="5580B55D" w14:textId="68B2427A">
      <w:r>
        <w:t xml:space="preserve">Het in de HRN-concessie laten van de stoptreindiensten betekent niet ik geen kansen zie voor </w:t>
      </w:r>
      <w:r w:rsidR="006D5CDA">
        <w:t>opentoegangaanbod</w:t>
      </w:r>
      <w:r>
        <w:t xml:space="preserve"> in de toekomst. </w:t>
      </w:r>
      <w:r w:rsidRPr="007E3246" w:rsidR="007E3246">
        <w:t>Daarom zal ik met Arriva</w:t>
      </w:r>
      <w:r w:rsidR="00481F1A">
        <w:t xml:space="preserve">, </w:t>
      </w:r>
      <w:r w:rsidRPr="007E3246" w:rsidR="007E3246">
        <w:t>andere aanbieders</w:t>
      </w:r>
      <w:r w:rsidR="00481F1A">
        <w:t xml:space="preserve"> en de regio</w:t>
      </w:r>
      <w:r w:rsidRPr="007E3246" w:rsidR="007E3246">
        <w:t xml:space="preserve"> in gesprek blijven</w:t>
      </w:r>
      <w:r w:rsidR="006D5CDA">
        <w:t xml:space="preserve">. </w:t>
      </w:r>
      <w:r w:rsidR="00557128">
        <w:t xml:space="preserve">Bij </w:t>
      </w:r>
      <w:r>
        <w:t>de m</w:t>
      </w:r>
      <w:r w:rsidR="00557128">
        <w:t>idterm</w:t>
      </w:r>
      <w:r>
        <w:t xml:space="preserve"> </w:t>
      </w:r>
      <w:r w:rsidR="00557128">
        <w:t xml:space="preserve">review zal ik </w:t>
      </w:r>
      <w:r w:rsidR="006D5CDA">
        <w:t xml:space="preserve">tevens </w:t>
      </w:r>
      <w:r w:rsidR="00557128">
        <w:t xml:space="preserve">nadrukkelijk stilstaan bij </w:t>
      </w:r>
      <w:r w:rsidR="002C4281">
        <w:t xml:space="preserve">de </w:t>
      </w:r>
      <w:r w:rsidR="00D95FC6">
        <w:t>mogelijkheid</w:t>
      </w:r>
      <w:r>
        <w:t xml:space="preserve"> </w:t>
      </w:r>
      <w:r w:rsidR="00D95FC6">
        <w:t xml:space="preserve">om </w:t>
      </w:r>
      <w:r w:rsidRPr="007E3246" w:rsidR="007E3246">
        <w:t xml:space="preserve">de huidige </w:t>
      </w:r>
      <w:r w:rsidR="007E3246">
        <w:t>stoptrein</w:t>
      </w:r>
      <w:r w:rsidRPr="007E3246" w:rsidR="007E3246">
        <w:t xml:space="preserve">diensten uit de </w:t>
      </w:r>
      <w:r w:rsidR="00481F1A">
        <w:t>HRN-</w:t>
      </w:r>
      <w:r w:rsidRPr="007E3246" w:rsidR="007E3246">
        <w:t xml:space="preserve">concessie te halen en </w:t>
      </w:r>
      <w:r w:rsidR="00481F1A">
        <w:t>de</w:t>
      </w:r>
      <w:r w:rsidRPr="007E3246" w:rsidR="007E3246">
        <w:t xml:space="preserve">ze bijvoorbeeld </w:t>
      </w:r>
      <w:r w:rsidR="00481F1A">
        <w:t>te decentraliseren</w:t>
      </w:r>
      <w:r w:rsidRPr="007E3246" w:rsidR="007E3246">
        <w:t xml:space="preserve">. </w:t>
      </w:r>
    </w:p>
    <w:p w:rsidR="006807B6" w:rsidP="003B3AD8" w:rsidRDefault="006807B6" w14:paraId="7C14E50F" w14:textId="77777777"/>
    <w:p w:rsidR="006807B6" w:rsidP="003B3AD8" w:rsidRDefault="006807B6" w14:paraId="66D33060" w14:textId="29ED8D4B">
      <w:r>
        <w:t xml:space="preserve">Tijdens het CD </w:t>
      </w:r>
      <w:r w:rsidR="00BF0952">
        <w:t>S</w:t>
      </w:r>
      <w:r>
        <w:t>poor van 18 december</w:t>
      </w:r>
      <w:r w:rsidR="00376447">
        <w:t xml:space="preserve"> 2025</w:t>
      </w:r>
      <w:r>
        <w:t xml:space="preserve"> is </w:t>
      </w:r>
      <w:r w:rsidR="00557128">
        <w:t xml:space="preserve">door Kamerlid </w:t>
      </w:r>
      <w:r w:rsidR="00376447">
        <w:t xml:space="preserve">De Hoop </w:t>
      </w:r>
      <w:r w:rsidR="00557128">
        <w:t>(</w:t>
      </w:r>
      <w:r w:rsidR="00376447">
        <w:t>GroenLinks-PvdA</w:t>
      </w:r>
      <w:r w:rsidR="00557128">
        <w:t xml:space="preserve">) </w:t>
      </w:r>
      <w:r>
        <w:t xml:space="preserve">gevraagd in de gesprekken met Arriva </w:t>
      </w:r>
      <w:r w:rsidR="00557128">
        <w:t>stil te staan bij</w:t>
      </w:r>
      <w:r>
        <w:t xml:space="preserve"> de wederzijdse erkenning van abonnementen</w:t>
      </w:r>
      <w:r w:rsidR="00376447">
        <w:t xml:space="preserve">. En heeft Kamerlid </w:t>
      </w:r>
      <w:r w:rsidRPr="00376447" w:rsidR="00376447">
        <w:t xml:space="preserve">Boelsma – Hoekstra </w:t>
      </w:r>
      <w:r w:rsidR="00376447">
        <w:t>(CDA) gevraagd</w:t>
      </w:r>
      <w:r>
        <w:t xml:space="preserve"> een vergelijking te maken van het aanbod van Arriva met </w:t>
      </w:r>
      <w:r w:rsidRPr="006807B6">
        <w:t>hetgeen NS nu levert op het gebied van dienstregeling, frequentie, punctualiteit, zitplaatskans en de borging daarvan.</w:t>
      </w:r>
      <w:r>
        <w:t xml:space="preserve"> In de gesprekken met Arriva </w:t>
      </w:r>
      <w:r w:rsidR="000A20E1">
        <w:t>zijn deze aspecten vanwege</w:t>
      </w:r>
      <w:r w:rsidR="00557128">
        <w:t xml:space="preserve"> </w:t>
      </w:r>
      <w:r w:rsidR="00083259">
        <w:t xml:space="preserve">de </w:t>
      </w:r>
      <w:r w:rsidR="00557128">
        <w:t>te grote onzekerheden met betrekking tot materieel niet</w:t>
      </w:r>
      <w:r w:rsidR="00CA5044">
        <w:t xml:space="preserve"> </w:t>
      </w:r>
      <w:r w:rsidR="00557128">
        <w:t>a</w:t>
      </w:r>
      <w:r>
        <w:t>an de</w:t>
      </w:r>
      <w:r w:rsidR="000A20E1">
        <w:t xml:space="preserve"> orde gekomen</w:t>
      </w:r>
      <w:r>
        <w:t xml:space="preserve">. </w:t>
      </w:r>
    </w:p>
    <w:p w:rsidR="006D63D6" w:rsidP="003B3AD8" w:rsidRDefault="006D63D6" w14:paraId="4035DCE2" w14:textId="77777777"/>
    <w:p w:rsidRPr="00194F79" w:rsidR="002B3202" w:rsidRDefault="00194F79" w14:paraId="3B218A59" w14:textId="76F33912">
      <w:pPr>
        <w:pStyle w:val="WitregelW1bodytekst"/>
        <w:rPr>
          <w:i/>
          <w:iCs/>
        </w:rPr>
      </w:pPr>
      <w:r w:rsidRPr="00194F79">
        <w:rPr>
          <w:i/>
          <w:iCs/>
        </w:rPr>
        <w:t>Europese infractieprocedure</w:t>
      </w:r>
    </w:p>
    <w:p w:rsidR="00194F79" w:rsidP="00194F79" w:rsidRDefault="00194F79" w14:paraId="6937FFEC" w14:textId="4348C9DB">
      <w:r w:rsidRPr="00116761">
        <w:t xml:space="preserve">Tijdens de procedurevergadering van de Vaste commissie voor Infrastructuur en Waterstaat op </w:t>
      </w:r>
      <w:r>
        <w:t>4 februari</w:t>
      </w:r>
      <w:r w:rsidRPr="00116761">
        <w:t xml:space="preserve"> jl. heeft </w:t>
      </w:r>
      <w:r>
        <w:t>de commissie</w:t>
      </w:r>
      <w:r w:rsidRPr="00116761">
        <w:t xml:space="preserve"> gevraagd om een Kamerbrief over</w:t>
      </w:r>
      <w:r>
        <w:t xml:space="preserve"> de stand van zaken over de infractieprocedure over de HRN-concessie</w:t>
      </w:r>
      <w:r>
        <w:rPr>
          <w:rStyle w:val="FootnoteReference"/>
        </w:rPr>
        <w:footnoteReference w:id="4"/>
      </w:r>
      <w:r>
        <w:t>.</w:t>
      </w:r>
    </w:p>
    <w:p w:rsidRPr="00116761" w:rsidR="00194F79" w:rsidP="00194F79" w:rsidRDefault="00194F79" w14:paraId="2461F613" w14:textId="3F8C48AE">
      <w:r w:rsidRPr="00116761">
        <w:t>Zoals eerder met de Kamer gedeeld, heeft de Europese Commissie in juli</w:t>
      </w:r>
      <w:r>
        <w:t xml:space="preserve"> 2025 </w:t>
      </w:r>
      <w:r w:rsidRPr="00116761">
        <w:t xml:space="preserve">aangekondigd dat zij de inbreukprocedure tegen Nederland bij het </w:t>
      </w:r>
      <w:r>
        <w:t>Hof van Justitie van de Europese Unie (</w:t>
      </w:r>
      <w:r w:rsidRPr="00116761">
        <w:t>EU-Hof</w:t>
      </w:r>
      <w:r>
        <w:t>)</w:t>
      </w:r>
      <w:r w:rsidRPr="00116761">
        <w:t xml:space="preserve"> aanhangig zal maken</w:t>
      </w:r>
      <w:r>
        <w:rPr>
          <w:rStyle w:val="FootnoteReference"/>
        </w:rPr>
        <w:footnoteReference w:id="5"/>
      </w:r>
      <w:r w:rsidRPr="00116761">
        <w:t xml:space="preserve">. </w:t>
      </w:r>
      <w:r>
        <w:t>Inmiddels</w:t>
      </w:r>
      <w:r w:rsidRPr="00116761">
        <w:t xml:space="preserve"> heeft Nederland </w:t>
      </w:r>
      <w:r>
        <w:t xml:space="preserve">het </w:t>
      </w:r>
      <w:r w:rsidRPr="00116761">
        <w:t xml:space="preserve">verzoekschrift met de </w:t>
      </w:r>
      <w:r w:rsidR="00D37C15">
        <w:t>argument</w:t>
      </w:r>
      <w:r w:rsidRPr="00116761">
        <w:t xml:space="preserve">en van de Commissie ontvangen. </w:t>
      </w:r>
      <w:r>
        <w:t xml:space="preserve">Nederland bestudeert het verzoekschrift en dient uiterlijk 23 maart een reactie </w:t>
      </w:r>
      <w:r w:rsidRPr="001E29FE">
        <w:t>op het verzoekschrift</w:t>
      </w:r>
      <w:r>
        <w:t xml:space="preserve"> in te dienen bij het EU-Hof. </w:t>
      </w:r>
      <w:r w:rsidR="00D37C15">
        <w:t>O</w:t>
      </w:r>
      <w:r>
        <w:t>p 9 februari 2026 i</w:t>
      </w:r>
      <w:r w:rsidR="00D37C15">
        <w:t>s de bekendmaking van deze zaak in</w:t>
      </w:r>
      <w:r>
        <w:t xml:space="preserve"> het publicatieblad</w:t>
      </w:r>
      <w:r w:rsidR="00D37C15">
        <w:t xml:space="preserve"> van de Europese Unie</w:t>
      </w:r>
      <w:r>
        <w:rPr>
          <w:rStyle w:val="FootnoteReference"/>
        </w:rPr>
        <w:footnoteReference w:id="6"/>
      </w:r>
      <w:r>
        <w:t xml:space="preserve"> gepubliceerd.</w:t>
      </w:r>
      <w:r w:rsidRPr="00BD4572">
        <w:t xml:space="preserve"> </w:t>
      </w:r>
      <w:r w:rsidRPr="00413311">
        <w:t xml:space="preserve">Het verzoekschrift </w:t>
      </w:r>
      <w:r w:rsidR="00D37C15">
        <w:t xml:space="preserve">van de Europese Commissie </w:t>
      </w:r>
      <w:r w:rsidRPr="00413311">
        <w:t xml:space="preserve">en de bijlagen zijn processtukken. </w:t>
      </w:r>
      <w:r w:rsidR="00D37C15">
        <w:t>Deze zijn niet openbaar. Een samenvatting van het verzoekschrift is gepubliceerd in het Publicatieblad van de Europese Unie.</w:t>
      </w:r>
      <w:r w:rsidRPr="00413311" w:rsidR="00D37C15">
        <w:t xml:space="preserve"> </w:t>
      </w:r>
      <w:r w:rsidRPr="001F12F1">
        <w:t>Een procedure bij het EU-Hof duurt gemiddeld anderhalf jaar.</w:t>
      </w:r>
    </w:p>
    <w:p w:rsidR="00194F79" w:rsidP="00194F79" w:rsidRDefault="00194F79" w14:paraId="3AAFC619" w14:textId="77777777"/>
    <w:p w:rsidRPr="00194F79" w:rsidR="00194F79" w:rsidP="00194F79" w:rsidRDefault="00194F79" w14:paraId="61F1F601" w14:textId="11773000">
      <w:pPr>
        <w:rPr>
          <w:i/>
          <w:iCs/>
        </w:rPr>
      </w:pPr>
      <w:r w:rsidRPr="00194F79">
        <w:rPr>
          <w:i/>
          <w:iCs/>
        </w:rPr>
        <w:t xml:space="preserve">Relatie met juridische procedure </w:t>
      </w:r>
      <w:r w:rsidR="00D37C15">
        <w:rPr>
          <w:i/>
          <w:iCs/>
        </w:rPr>
        <w:t>bij</w:t>
      </w:r>
      <w:r w:rsidRPr="00194F79">
        <w:rPr>
          <w:i/>
          <w:iCs/>
        </w:rPr>
        <w:t xml:space="preserve"> het CBb</w:t>
      </w:r>
    </w:p>
    <w:p w:rsidRPr="00116761" w:rsidR="00194F79" w:rsidP="00194F79" w:rsidRDefault="00194F79" w14:paraId="1A7779DA" w14:textId="77777777">
      <w:r>
        <w:t xml:space="preserve">Zoals eerder met de Kamer gedeeld over de tussenuitspraak van het CBb in de beroepsprocedure over de gunning van de HRN-concessie, heeft het CBb de zaak doorverwezen naar het EU-Hof om antwoord te krijgen </w:t>
      </w:r>
      <w:r w:rsidRPr="004713D4">
        <w:t>op de prejudiciële vragen die het CBb in de tussenuitspraak stelt over de uitleg van het EU-recht</w:t>
      </w:r>
      <w:r>
        <w:rPr>
          <w:rStyle w:val="FootnoteReference"/>
        </w:rPr>
        <w:footnoteReference w:id="7"/>
      </w:r>
      <w:r>
        <w:t xml:space="preserve">. Het is </w:t>
      </w:r>
      <w:r w:rsidRPr="00116761">
        <w:t>mogelijk dat zowel de inbreukprocedure als de prejudiciële procedure naar aanleiding van de vragen van het CBb in dezelfde periode door het EU-Hof behandeld worden. Het zijn niettemin twee afzonderlijke procedures met eigen procedureregels.</w:t>
      </w:r>
      <w:r>
        <w:t xml:space="preserve"> </w:t>
      </w:r>
    </w:p>
    <w:p w:rsidRPr="00194F79" w:rsidR="00194F79" w:rsidP="00194F79" w:rsidRDefault="00194F79" w14:paraId="793A25F0" w14:textId="77777777"/>
    <w:p w:rsidR="002B3202" w:rsidRDefault="00A66F7D" w14:paraId="10C54895" w14:textId="77777777">
      <w:pPr>
        <w:pStyle w:val="Slotzin"/>
      </w:pPr>
      <w:r>
        <w:t>Hoogachtend,</w:t>
      </w:r>
    </w:p>
    <w:p w:rsidR="002B3202" w:rsidRDefault="00A66F7D" w14:paraId="7B7E4435" w14:textId="4FE7C8D6">
      <w:pPr>
        <w:pStyle w:val="OndertekeningArea1"/>
      </w:pPr>
      <w:r>
        <w:t>DE STAATSSECRETARIS VAN INFRASTRUCTUUR EN WATERSTAAT,</w:t>
      </w:r>
    </w:p>
    <w:p w:rsidR="002B3202" w:rsidRDefault="002B3202" w14:paraId="360B9B6B" w14:textId="77777777"/>
    <w:p w:rsidR="002B3202" w:rsidRDefault="002B3202" w14:paraId="76561C94" w14:textId="77777777"/>
    <w:p w:rsidR="002B3202" w:rsidRDefault="002B3202" w14:paraId="60934942" w14:textId="77777777"/>
    <w:p w:rsidR="002B3202" w:rsidRDefault="002B3202" w14:paraId="0D6E4D9C" w14:textId="77777777"/>
    <w:p w:rsidR="00B119C7" w:rsidRDefault="00A66F7D" w14:paraId="738716C1" w14:textId="5E63CF20">
      <w:r>
        <w:t>A</w:t>
      </w:r>
      <w:r w:rsidR="00D548EF">
        <w:t>nnet Bertram</w:t>
      </w:r>
      <w:r>
        <w:t xml:space="preserve"> </w:t>
      </w:r>
    </w:p>
    <w:p w:rsidR="00B119C7" w:rsidRDefault="00B119C7" w14:paraId="0A2EB3D5" w14:textId="77777777"/>
    <w:sectPr w:rsidR="00B119C7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5699E" w14:textId="77777777" w:rsidR="004D4C81" w:rsidRDefault="004D4C81">
      <w:pPr>
        <w:spacing w:line="240" w:lineRule="auto"/>
      </w:pPr>
      <w:r>
        <w:separator/>
      </w:r>
    </w:p>
  </w:endnote>
  <w:endnote w:type="continuationSeparator" w:id="0">
    <w:p w14:paraId="27756DB2" w14:textId="77777777" w:rsidR="004D4C81" w:rsidRDefault="004D4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5DC6E" w14:textId="77777777" w:rsidR="004D4C81" w:rsidRDefault="004D4C81">
      <w:pPr>
        <w:spacing w:line="240" w:lineRule="auto"/>
      </w:pPr>
      <w:r>
        <w:separator/>
      </w:r>
    </w:p>
  </w:footnote>
  <w:footnote w:type="continuationSeparator" w:id="0">
    <w:p w14:paraId="218BD32D" w14:textId="77777777" w:rsidR="004D4C81" w:rsidRDefault="004D4C81">
      <w:pPr>
        <w:spacing w:line="240" w:lineRule="auto"/>
      </w:pPr>
      <w:r>
        <w:continuationSeparator/>
      </w:r>
    </w:p>
  </w:footnote>
  <w:footnote w:id="1">
    <w:p w14:paraId="2233261B" w14:textId="1719F45A" w:rsidR="003B3AD8" w:rsidRPr="003B3AD8" w:rsidRDefault="003B3AD8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3B3AD8">
        <w:rPr>
          <w:sz w:val="16"/>
          <w:szCs w:val="16"/>
        </w:rPr>
        <w:t>ECLI:NL:CBB:2025:456</w:t>
      </w:r>
    </w:p>
  </w:footnote>
  <w:footnote w:id="2">
    <w:p w14:paraId="71B990D3" w14:textId="75FDDDD8" w:rsidR="003B3AD8" w:rsidRPr="00124995" w:rsidRDefault="003B3AD8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4E0846">
        <w:rPr>
          <w:sz w:val="16"/>
          <w:szCs w:val="16"/>
        </w:rPr>
        <w:t>Kamerstukken II 2025/26, 29 984, nr. 12</w:t>
      </w:r>
      <w:r>
        <w:rPr>
          <w:sz w:val="16"/>
          <w:szCs w:val="16"/>
        </w:rPr>
        <w:t>68</w:t>
      </w:r>
      <w:r w:rsidRPr="004E0846">
        <w:rPr>
          <w:sz w:val="16"/>
          <w:szCs w:val="16"/>
        </w:rPr>
        <w:t xml:space="preserve">, d.d. </w:t>
      </w:r>
      <w:r>
        <w:rPr>
          <w:sz w:val="16"/>
          <w:szCs w:val="16"/>
        </w:rPr>
        <w:t>8 december</w:t>
      </w:r>
      <w:r w:rsidRPr="004E0846">
        <w:rPr>
          <w:sz w:val="16"/>
          <w:szCs w:val="16"/>
        </w:rPr>
        <w:t xml:space="preserve"> 2025</w:t>
      </w:r>
      <w:r w:rsidR="00124995">
        <w:rPr>
          <w:sz w:val="16"/>
          <w:szCs w:val="16"/>
        </w:rPr>
        <w:t>.</w:t>
      </w:r>
    </w:p>
  </w:footnote>
  <w:footnote w:id="3">
    <w:p w14:paraId="7F157909" w14:textId="2734AD71" w:rsidR="00124995" w:rsidRDefault="001249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E0846">
        <w:rPr>
          <w:sz w:val="16"/>
          <w:szCs w:val="16"/>
        </w:rPr>
        <w:t>Kamerstukken II 2025/26, 29 984, nr. 1176, d.d. 21 december 2023.</w:t>
      </w:r>
    </w:p>
  </w:footnote>
  <w:footnote w:id="4">
    <w:p w14:paraId="2EA67F2B" w14:textId="77777777" w:rsidR="00194F79" w:rsidRDefault="00194F79" w:rsidP="00194F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6761">
        <w:rPr>
          <w:sz w:val="16"/>
          <w:szCs w:val="16"/>
        </w:rPr>
        <w:t>2026Z02334/2026D05320</w:t>
      </w:r>
    </w:p>
  </w:footnote>
  <w:footnote w:id="5">
    <w:p w14:paraId="446952E3" w14:textId="77777777" w:rsidR="00194F79" w:rsidRPr="00116761" w:rsidRDefault="00194F79" w:rsidP="00194F79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16761">
        <w:rPr>
          <w:sz w:val="16"/>
          <w:szCs w:val="16"/>
        </w:rPr>
        <w:t>Tweede Kamer, Vergaderjaar 2024-2025, Kamerstuk 29 984, nr. 1261</w:t>
      </w:r>
    </w:p>
  </w:footnote>
  <w:footnote w:id="6">
    <w:p w14:paraId="179DA622" w14:textId="3EBDAEB5" w:rsidR="00194F79" w:rsidRDefault="00194F79" w:rsidP="00194F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F1071" w:rsidRPr="00E4107F">
        <w:rPr>
          <w:sz w:val="16"/>
          <w:szCs w:val="16"/>
        </w:rPr>
        <w:t>Zie in het Publicatieblad van de Europese Unie</w:t>
      </w:r>
      <w:r w:rsidR="007F1071">
        <w:rPr>
          <w:sz w:val="16"/>
          <w:szCs w:val="16"/>
        </w:rPr>
        <w:t xml:space="preserve"> van 9 februari 2026</w:t>
      </w:r>
      <w:r w:rsidR="007F1071" w:rsidRPr="00E4107F">
        <w:rPr>
          <w:sz w:val="16"/>
          <w:szCs w:val="16"/>
        </w:rPr>
        <w:t>: Zaak C-823/25: Beroep ingesteld op 12 december 2025 – Europese Commissie tegen Koninkrijk der Nederlanden</w:t>
      </w:r>
      <w:r w:rsidR="007F1071">
        <w:rPr>
          <w:sz w:val="16"/>
          <w:szCs w:val="16"/>
        </w:rPr>
        <w:t xml:space="preserve"> (</w:t>
      </w:r>
      <w:hyperlink r:id="rId1" w:history="1">
        <w:r w:rsidR="007F1071" w:rsidRPr="005F737A">
          <w:rPr>
            <w:rStyle w:val="Hyperlink"/>
            <w:sz w:val="16"/>
            <w:szCs w:val="16"/>
          </w:rPr>
          <w:t>EUR-Lex - 62025CN0823 - NL - EUR-Lex</w:t>
        </w:r>
      </w:hyperlink>
      <w:r w:rsidR="007F1071">
        <w:rPr>
          <w:sz w:val="16"/>
          <w:szCs w:val="16"/>
        </w:rPr>
        <w:t>)</w:t>
      </w:r>
    </w:p>
  </w:footnote>
  <w:footnote w:id="7">
    <w:p w14:paraId="748A72D7" w14:textId="77777777" w:rsidR="00194F79" w:rsidRPr="00116761" w:rsidRDefault="00194F79" w:rsidP="00194F79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16761">
        <w:rPr>
          <w:sz w:val="16"/>
          <w:szCs w:val="16"/>
        </w:rPr>
        <w:t>Tweede Kamer, Vergaderjaar 202</w:t>
      </w:r>
      <w:r>
        <w:rPr>
          <w:sz w:val="16"/>
          <w:szCs w:val="16"/>
        </w:rPr>
        <w:t>5</w:t>
      </w:r>
      <w:r w:rsidRPr="00116761">
        <w:rPr>
          <w:sz w:val="16"/>
          <w:szCs w:val="16"/>
        </w:rPr>
        <w:t>-202</w:t>
      </w:r>
      <w:r>
        <w:rPr>
          <w:sz w:val="16"/>
          <w:szCs w:val="16"/>
        </w:rPr>
        <w:t>6</w:t>
      </w:r>
      <w:r w:rsidRPr="00116761">
        <w:rPr>
          <w:sz w:val="16"/>
          <w:szCs w:val="16"/>
        </w:rPr>
        <w:t>, Kamerstuk</w:t>
      </w:r>
      <w:r>
        <w:rPr>
          <w:sz w:val="16"/>
          <w:szCs w:val="16"/>
        </w:rPr>
        <w:t xml:space="preserve"> </w:t>
      </w:r>
      <w:r w:rsidRPr="00116761">
        <w:rPr>
          <w:sz w:val="16"/>
          <w:szCs w:val="16"/>
        </w:rPr>
        <w:t>29 984, nr. 126</w:t>
      </w:r>
      <w:r>
        <w:rPr>
          <w:sz w:val="16"/>
          <w:szCs w:val="16"/>
        </w:rPr>
        <w:t>2</w:t>
      </w:r>
    </w:p>
    <w:p w14:paraId="7E64895A" w14:textId="77777777" w:rsidR="00194F79" w:rsidRDefault="00194F79" w:rsidP="00194F7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BD83A" w14:textId="77777777" w:rsidR="002B3202" w:rsidRDefault="00A66F7D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1CE3399" wp14:editId="1E9E42F6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7845D" w14:textId="77777777" w:rsidR="002B3202" w:rsidRDefault="00A66F7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C54A5BB" w14:textId="77777777" w:rsidR="00A107CB" w:rsidRDefault="00A107CB" w:rsidP="00A107CB"/>
                        <w:p w14:paraId="214C14DB" w14:textId="77777777" w:rsidR="00A107CB" w:rsidRPr="00A107CB" w:rsidRDefault="00A107CB" w:rsidP="00A107CB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107C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7EC8E4C1" w14:textId="77777777" w:rsidR="00A107CB" w:rsidRPr="00A107CB" w:rsidRDefault="00A107CB" w:rsidP="00A107CB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A107CB">
                            <w:rPr>
                              <w:sz w:val="13"/>
                              <w:szCs w:val="13"/>
                            </w:rPr>
                            <w:t>IENW/BSK-2026/23301</w:t>
                          </w:r>
                        </w:p>
                        <w:p w14:paraId="3291E006" w14:textId="77777777" w:rsidR="00A107CB" w:rsidRPr="00A107CB" w:rsidRDefault="00A107CB" w:rsidP="00A107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CE3399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0D7845D" w14:textId="77777777" w:rsidR="002B3202" w:rsidRDefault="00A66F7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C54A5BB" w14:textId="77777777" w:rsidR="00A107CB" w:rsidRDefault="00A107CB" w:rsidP="00A107CB"/>
                  <w:p w14:paraId="214C14DB" w14:textId="77777777" w:rsidR="00A107CB" w:rsidRPr="00A107CB" w:rsidRDefault="00A107CB" w:rsidP="00A107CB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107CB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7EC8E4C1" w14:textId="77777777" w:rsidR="00A107CB" w:rsidRPr="00A107CB" w:rsidRDefault="00A107CB" w:rsidP="00A107CB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A107CB">
                      <w:rPr>
                        <w:sz w:val="13"/>
                        <w:szCs w:val="13"/>
                      </w:rPr>
                      <w:t>IENW/BSK-2026/23301</w:t>
                    </w:r>
                  </w:p>
                  <w:p w14:paraId="3291E006" w14:textId="77777777" w:rsidR="00A107CB" w:rsidRPr="00A107CB" w:rsidRDefault="00A107CB" w:rsidP="00A107C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87B8AB2" wp14:editId="76849265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3CF15E" w14:textId="77777777" w:rsidR="002B3202" w:rsidRDefault="00A66F7D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B3A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B3A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7B8AB2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53CF15E" w14:textId="77777777" w:rsidR="002B3202" w:rsidRDefault="00A66F7D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B3A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B3A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6F134AF" wp14:editId="7E7F117C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08E375" w14:textId="77777777" w:rsidR="00A66F7D" w:rsidRDefault="00A66F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F134AF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808E375" w14:textId="77777777" w:rsidR="00A66F7D" w:rsidRDefault="00A66F7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BCEC22C" wp14:editId="75FC0333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6B46D0" w14:textId="77777777" w:rsidR="00A66F7D" w:rsidRDefault="00A66F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EC22C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76B46D0" w14:textId="77777777" w:rsidR="00A66F7D" w:rsidRDefault="00A66F7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B9CFC" w14:textId="77777777" w:rsidR="002B3202" w:rsidRDefault="00A66F7D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013A70C" wp14:editId="6CFC6A5F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DD4953" w14:textId="77777777" w:rsidR="00A66F7D" w:rsidRDefault="00A66F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13A70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FDD4953" w14:textId="77777777" w:rsidR="00A66F7D" w:rsidRDefault="00A66F7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A89B7BF" wp14:editId="005AF05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87080" w14:textId="64FC8E39" w:rsidR="002B3202" w:rsidRDefault="00A66F7D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66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66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89B7BF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2487080" w14:textId="64FC8E39" w:rsidR="002B3202" w:rsidRDefault="00A66F7D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66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66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BC2AD78" wp14:editId="36859E1A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74467" w14:textId="77777777" w:rsidR="002B3202" w:rsidRDefault="00A66F7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098159C" w14:textId="77777777" w:rsidR="002B3202" w:rsidRDefault="002B3202">
                          <w:pPr>
                            <w:pStyle w:val="WitregelW1"/>
                          </w:pPr>
                        </w:p>
                        <w:p w14:paraId="2581D49F" w14:textId="77777777" w:rsidR="002B3202" w:rsidRDefault="00A66F7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0C68E2A" w14:textId="19B36EA6" w:rsidR="002B3202" w:rsidRPr="003B3AD8" w:rsidRDefault="00A66F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B3AD8">
                            <w:rPr>
                              <w:lang w:val="de-DE"/>
                            </w:rPr>
                            <w:t xml:space="preserve">2515 </w:t>
                          </w:r>
                          <w:r w:rsidR="00A107CB" w:rsidRPr="003B3AD8">
                            <w:rPr>
                              <w:lang w:val="de-DE"/>
                            </w:rPr>
                            <w:t>XP Den</w:t>
                          </w:r>
                          <w:r w:rsidRPr="003B3AD8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C488FC9" w14:textId="77777777" w:rsidR="002B3202" w:rsidRPr="003B3AD8" w:rsidRDefault="00A66F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B3AD8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6C10A81" w14:textId="77777777" w:rsidR="002B3202" w:rsidRPr="003B3AD8" w:rsidRDefault="00A66F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B3AD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6BCDF2B" w14:textId="77777777" w:rsidR="002B3202" w:rsidRPr="003B3AD8" w:rsidRDefault="002B320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6CA221A" w14:textId="77777777" w:rsidR="002B3202" w:rsidRPr="003B3AD8" w:rsidRDefault="00A66F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B3AD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38B2319" w14:textId="77777777" w:rsidR="002B3202" w:rsidRDefault="00A66F7D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5B75870" w14:textId="77777777" w:rsidR="00A107CB" w:rsidRDefault="00A107CB" w:rsidP="00A107CB"/>
                        <w:p w14:paraId="1BB7A066" w14:textId="6329CAD4" w:rsidR="00A107CB" w:rsidRPr="00A107CB" w:rsidRDefault="00A107CB" w:rsidP="00A107CB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107C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060220A6" w14:textId="1B5FCDE2" w:rsidR="00A107CB" w:rsidRPr="00A107CB" w:rsidRDefault="00A107CB" w:rsidP="00A107CB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A107CB">
                            <w:rPr>
                              <w:sz w:val="13"/>
                              <w:szCs w:val="13"/>
                            </w:rPr>
                            <w:t>IENW/BSK-2026/23301</w:t>
                          </w:r>
                        </w:p>
                        <w:p w14:paraId="111056D6" w14:textId="77777777" w:rsidR="00A107CB" w:rsidRPr="00A107CB" w:rsidRDefault="00A107CB" w:rsidP="00A107CB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FF0C11E" w14:textId="5888CF19" w:rsidR="00A107CB" w:rsidRPr="00A107CB" w:rsidRDefault="00A107CB" w:rsidP="00A107CB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107C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ECDCE55" w14:textId="18717A0F" w:rsidR="00A107CB" w:rsidRPr="00A107CB" w:rsidRDefault="00A107CB" w:rsidP="00A107CB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A107CB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C2AD78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DC74467" w14:textId="77777777" w:rsidR="002B3202" w:rsidRDefault="00A66F7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098159C" w14:textId="77777777" w:rsidR="002B3202" w:rsidRDefault="002B3202">
                    <w:pPr>
                      <w:pStyle w:val="WitregelW1"/>
                    </w:pPr>
                  </w:p>
                  <w:p w14:paraId="2581D49F" w14:textId="77777777" w:rsidR="002B3202" w:rsidRDefault="00A66F7D">
                    <w:pPr>
                      <w:pStyle w:val="Afzendgegevens"/>
                    </w:pPr>
                    <w:r>
                      <w:t>Rijnstraat 8</w:t>
                    </w:r>
                  </w:p>
                  <w:p w14:paraId="00C68E2A" w14:textId="19B36EA6" w:rsidR="002B3202" w:rsidRPr="003B3AD8" w:rsidRDefault="00A66F7D">
                    <w:pPr>
                      <w:pStyle w:val="Afzendgegevens"/>
                      <w:rPr>
                        <w:lang w:val="de-DE"/>
                      </w:rPr>
                    </w:pPr>
                    <w:r w:rsidRPr="003B3AD8">
                      <w:rPr>
                        <w:lang w:val="de-DE"/>
                      </w:rPr>
                      <w:t xml:space="preserve">2515 </w:t>
                    </w:r>
                    <w:r w:rsidR="00A107CB" w:rsidRPr="003B3AD8">
                      <w:rPr>
                        <w:lang w:val="de-DE"/>
                      </w:rPr>
                      <w:t>XP Den</w:t>
                    </w:r>
                    <w:r w:rsidRPr="003B3AD8">
                      <w:rPr>
                        <w:lang w:val="de-DE"/>
                      </w:rPr>
                      <w:t xml:space="preserve"> Haag</w:t>
                    </w:r>
                  </w:p>
                  <w:p w14:paraId="5C488FC9" w14:textId="77777777" w:rsidR="002B3202" w:rsidRPr="003B3AD8" w:rsidRDefault="00A66F7D">
                    <w:pPr>
                      <w:pStyle w:val="Afzendgegevens"/>
                      <w:rPr>
                        <w:lang w:val="de-DE"/>
                      </w:rPr>
                    </w:pPr>
                    <w:r w:rsidRPr="003B3AD8">
                      <w:rPr>
                        <w:lang w:val="de-DE"/>
                      </w:rPr>
                      <w:t>Postbus 20901</w:t>
                    </w:r>
                  </w:p>
                  <w:p w14:paraId="66C10A81" w14:textId="77777777" w:rsidR="002B3202" w:rsidRPr="003B3AD8" w:rsidRDefault="00A66F7D">
                    <w:pPr>
                      <w:pStyle w:val="Afzendgegevens"/>
                      <w:rPr>
                        <w:lang w:val="de-DE"/>
                      </w:rPr>
                    </w:pPr>
                    <w:r w:rsidRPr="003B3AD8">
                      <w:rPr>
                        <w:lang w:val="de-DE"/>
                      </w:rPr>
                      <w:t>2500 EX Den Haag</w:t>
                    </w:r>
                  </w:p>
                  <w:p w14:paraId="16BCDF2B" w14:textId="77777777" w:rsidR="002B3202" w:rsidRPr="003B3AD8" w:rsidRDefault="002B320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6CA221A" w14:textId="77777777" w:rsidR="002B3202" w:rsidRPr="003B3AD8" w:rsidRDefault="00A66F7D">
                    <w:pPr>
                      <w:pStyle w:val="Afzendgegevens"/>
                      <w:rPr>
                        <w:lang w:val="de-DE"/>
                      </w:rPr>
                    </w:pPr>
                    <w:r w:rsidRPr="003B3AD8">
                      <w:rPr>
                        <w:lang w:val="de-DE"/>
                      </w:rPr>
                      <w:t>T   070-456 0000</w:t>
                    </w:r>
                  </w:p>
                  <w:p w14:paraId="738B2319" w14:textId="77777777" w:rsidR="002B3202" w:rsidRDefault="00A66F7D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5B75870" w14:textId="77777777" w:rsidR="00A107CB" w:rsidRDefault="00A107CB" w:rsidP="00A107CB"/>
                  <w:p w14:paraId="1BB7A066" w14:textId="6329CAD4" w:rsidR="00A107CB" w:rsidRPr="00A107CB" w:rsidRDefault="00A107CB" w:rsidP="00A107CB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107CB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060220A6" w14:textId="1B5FCDE2" w:rsidR="00A107CB" w:rsidRPr="00A107CB" w:rsidRDefault="00A107CB" w:rsidP="00A107CB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A107CB">
                      <w:rPr>
                        <w:sz w:val="13"/>
                        <w:szCs w:val="13"/>
                      </w:rPr>
                      <w:t>IENW/BSK-2026/23301</w:t>
                    </w:r>
                  </w:p>
                  <w:p w14:paraId="111056D6" w14:textId="77777777" w:rsidR="00A107CB" w:rsidRPr="00A107CB" w:rsidRDefault="00A107CB" w:rsidP="00A107CB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3FF0C11E" w14:textId="5888CF19" w:rsidR="00A107CB" w:rsidRPr="00A107CB" w:rsidRDefault="00A107CB" w:rsidP="00A107CB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107CB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ECDCE55" w14:textId="18717A0F" w:rsidR="00A107CB" w:rsidRPr="00A107CB" w:rsidRDefault="00A107CB" w:rsidP="00A107CB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A107CB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F0F1493" wp14:editId="40953008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57BF0" w14:textId="77777777" w:rsidR="002B3202" w:rsidRDefault="00A66F7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418A652" wp14:editId="50B168C9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0F1493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8357BF0" w14:textId="77777777" w:rsidR="002B3202" w:rsidRDefault="00A66F7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418A652" wp14:editId="50B168C9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6607A93" wp14:editId="2E4B20C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4F186" w14:textId="77777777" w:rsidR="002B3202" w:rsidRDefault="00A66F7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10DCE6C" wp14:editId="49B4D22F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07A93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444F186" w14:textId="77777777" w:rsidR="002B3202" w:rsidRDefault="00A66F7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10DCE6C" wp14:editId="49B4D22F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3368303" wp14:editId="2D4CCD7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1FFBFA" w14:textId="77777777" w:rsidR="002B3202" w:rsidRDefault="00A66F7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368303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A1FFBFA" w14:textId="77777777" w:rsidR="002B3202" w:rsidRDefault="00A66F7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67299ED" wp14:editId="2588218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A9B02" w14:textId="77777777" w:rsidR="002B3202" w:rsidRDefault="00A66F7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7299ED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09DA9B02" w14:textId="77777777" w:rsidR="002B3202" w:rsidRDefault="00A66F7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27BA27E" wp14:editId="55B2276D">
              <wp:simplePos x="0" y="0"/>
              <wp:positionH relativeFrom="margin">
                <wp:align>left</wp:align>
              </wp:positionH>
              <wp:positionV relativeFrom="paragraph">
                <wp:posOffset>3635375</wp:posOffset>
              </wp:positionV>
              <wp:extent cx="4198620" cy="79692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8620" cy="796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B3202" w14:paraId="6A72A60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3AC6662" w14:textId="77777777" w:rsidR="002B3202" w:rsidRDefault="002B3202"/>
                            </w:tc>
                            <w:tc>
                              <w:tcPr>
                                <w:tcW w:w="5400" w:type="dxa"/>
                              </w:tcPr>
                              <w:p w14:paraId="27E07EF1" w14:textId="77777777" w:rsidR="002B3202" w:rsidRDefault="002B3202"/>
                            </w:tc>
                          </w:tr>
                          <w:tr w:rsidR="002B3202" w14:paraId="52CB4F4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579F59" w14:textId="77777777" w:rsidR="002B3202" w:rsidRDefault="00A66F7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890680" w14:textId="172CD09F" w:rsidR="002B3202" w:rsidRDefault="00D548EF">
                                <w:r>
                                  <w:t>5 maart 2026</w:t>
                                </w:r>
                              </w:p>
                            </w:tc>
                          </w:tr>
                          <w:tr w:rsidR="002B3202" w14:paraId="5E9296D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ADAE36" w14:textId="77777777" w:rsidR="002B3202" w:rsidRDefault="00A66F7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012FC7" w14:textId="7C2E3330" w:rsidR="002B3202" w:rsidRDefault="00861F2C">
                                <w:r>
                                  <w:t>Conclusie</w:t>
                                </w:r>
                                <w:r w:rsidR="00A66F7D">
                                  <w:t xml:space="preserve"> gesprek met Arriva over de Noordelijke Lijnen naar aanleiding van CBb tussenuitspraak</w:t>
                                </w:r>
                                <w:r w:rsidR="00DE3DFE">
                                  <w:t>; Europese infractieprocedure HRN-concessie</w:t>
                                </w:r>
                              </w:p>
                            </w:tc>
                          </w:tr>
                          <w:tr w:rsidR="002B3202" w14:paraId="0702FA2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B0D29A" w14:textId="77777777" w:rsidR="002B3202" w:rsidRDefault="002B3202"/>
                            </w:tc>
                            <w:tc>
                              <w:tcPr>
                                <w:tcW w:w="5400" w:type="dxa"/>
                              </w:tcPr>
                              <w:p w14:paraId="728C2F64" w14:textId="77777777" w:rsidR="002B3202" w:rsidRDefault="002B3202"/>
                            </w:tc>
                          </w:tr>
                        </w:tbl>
                        <w:p w14:paraId="18446B17" w14:textId="77777777" w:rsidR="00A66F7D" w:rsidRDefault="00A66F7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7BA27E" id="7266255e-823c-11ee-8554-0242ac120003" o:spid="_x0000_s1037" type="#_x0000_t202" style="position:absolute;margin-left:0;margin-top:286.25pt;width:330.6pt;height:62.75pt;z-index:2516628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B3202" w14:paraId="6A72A60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3AC6662" w14:textId="77777777" w:rsidR="002B3202" w:rsidRDefault="002B3202"/>
                      </w:tc>
                      <w:tc>
                        <w:tcPr>
                          <w:tcW w:w="5400" w:type="dxa"/>
                        </w:tcPr>
                        <w:p w14:paraId="27E07EF1" w14:textId="77777777" w:rsidR="002B3202" w:rsidRDefault="002B3202"/>
                      </w:tc>
                    </w:tr>
                    <w:tr w:rsidR="002B3202" w14:paraId="52CB4F4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579F59" w14:textId="77777777" w:rsidR="002B3202" w:rsidRDefault="00A66F7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890680" w14:textId="172CD09F" w:rsidR="002B3202" w:rsidRDefault="00D548EF">
                          <w:r>
                            <w:t>5 maart 2026</w:t>
                          </w:r>
                        </w:p>
                      </w:tc>
                    </w:tr>
                    <w:tr w:rsidR="002B3202" w14:paraId="5E9296D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ADAE36" w14:textId="77777777" w:rsidR="002B3202" w:rsidRDefault="00A66F7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012FC7" w14:textId="7C2E3330" w:rsidR="002B3202" w:rsidRDefault="00861F2C">
                          <w:r>
                            <w:t>Conclusie</w:t>
                          </w:r>
                          <w:r w:rsidR="00A66F7D">
                            <w:t xml:space="preserve"> gesprek met Arriva over de Noordelijke Lijnen naar aanleiding van CBb tussenuitspraak</w:t>
                          </w:r>
                          <w:r w:rsidR="00DE3DFE">
                            <w:t>; Europese infractieprocedure HRN-concessie</w:t>
                          </w:r>
                        </w:p>
                      </w:tc>
                    </w:tr>
                    <w:tr w:rsidR="002B3202" w14:paraId="0702FA2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B0D29A" w14:textId="77777777" w:rsidR="002B3202" w:rsidRDefault="002B3202"/>
                      </w:tc>
                      <w:tc>
                        <w:tcPr>
                          <w:tcW w:w="5400" w:type="dxa"/>
                        </w:tcPr>
                        <w:p w14:paraId="728C2F64" w14:textId="77777777" w:rsidR="002B3202" w:rsidRDefault="002B3202"/>
                      </w:tc>
                    </w:tr>
                  </w:tbl>
                  <w:p w14:paraId="18446B17" w14:textId="77777777" w:rsidR="00A66F7D" w:rsidRDefault="00A66F7D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521C24D" wp14:editId="6B27CC5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E5340" w14:textId="77777777" w:rsidR="00A66F7D" w:rsidRDefault="00A66F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21C24D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B0E5340" w14:textId="77777777" w:rsidR="00A66F7D" w:rsidRDefault="00A66F7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1DECF3"/>
    <w:multiLevelType w:val="multilevel"/>
    <w:tmpl w:val="A6BA9654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D25600"/>
    <w:multiLevelType w:val="multilevel"/>
    <w:tmpl w:val="269CB197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9156F4F"/>
    <w:multiLevelType w:val="multilevel"/>
    <w:tmpl w:val="5F10FA3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A3F94850"/>
    <w:multiLevelType w:val="multilevel"/>
    <w:tmpl w:val="27E74D05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DACB0D"/>
    <w:multiLevelType w:val="multilevel"/>
    <w:tmpl w:val="EA717D9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5265DC8"/>
    <w:multiLevelType w:val="multilevel"/>
    <w:tmpl w:val="F22F5A20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B61725E"/>
    <w:multiLevelType w:val="multilevel"/>
    <w:tmpl w:val="6DA32EB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183B9AF"/>
    <w:multiLevelType w:val="multilevel"/>
    <w:tmpl w:val="7A9E28A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B201B93"/>
    <w:multiLevelType w:val="multilevel"/>
    <w:tmpl w:val="B958D42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32DF5A0"/>
    <w:multiLevelType w:val="multilevel"/>
    <w:tmpl w:val="C4EA9AD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BEF6EAB"/>
    <w:multiLevelType w:val="multilevel"/>
    <w:tmpl w:val="1E9641E8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DE66CFD"/>
    <w:multiLevelType w:val="multilevel"/>
    <w:tmpl w:val="E8318B5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7DB88F2"/>
    <w:multiLevelType w:val="multilevel"/>
    <w:tmpl w:val="9FD631D9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552530"/>
    <w:multiLevelType w:val="multilevel"/>
    <w:tmpl w:val="43655A4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1C4490"/>
    <w:multiLevelType w:val="multilevel"/>
    <w:tmpl w:val="5162365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E7A0AD"/>
    <w:multiLevelType w:val="multilevel"/>
    <w:tmpl w:val="3A4BF3B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AFCA8B3"/>
    <w:multiLevelType w:val="multilevel"/>
    <w:tmpl w:val="A5DB55D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5E7F1B"/>
    <w:multiLevelType w:val="multilevel"/>
    <w:tmpl w:val="F04C5CA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13CFFD"/>
    <w:multiLevelType w:val="multilevel"/>
    <w:tmpl w:val="F0F86F82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466EE4"/>
    <w:multiLevelType w:val="multilevel"/>
    <w:tmpl w:val="9A86BB5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2B5ECF"/>
    <w:multiLevelType w:val="multilevel"/>
    <w:tmpl w:val="150ED609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466786"/>
    <w:multiLevelType w:val="multilevel"/>
    <w:tmpl w:val="FBE9A33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DEABD6"/>
    <w:multiLevelType w:val="multilevel"/>
    <w:tmpl w:val="4752CB2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"/>
  </w:num>
  <w:num w:numId="6">
    <w:abstractNumId w:val="7"/>
  </w:num>
  <w:num w:numId="7">
    <w:abstractNumId w:val="15"/>
  </w:num>
  <w:num w:numId="8">
    <w:abstractNumId w:val="9"/>
  </w:num>
  <w:num w:numId="9">
    <w:abstractNumId w:val="5"/>
  </w:num>
  <w:num w:numId="10">
    <w:abstractNumId w:val="12"/>
  </w:num>
  <w:num w:numId="11">
    <w:abstractNumId w:val="13"/>
  </w:num>
  <w:num w:numId="12">
    <w:abstractNumId w:val="22"/>
  </w:num>
  <w:num w:numId="13">
    <w:abstractNumId w:val="8"/>
  </w:num>
  <w:num w:numId="14">
    <w:abstractNumId w:val="4"/>
  </w:num>
  <w:num w:numId="15">
    <w:abstractNumId w:val="14"/>
  </w:num>
  <w:num w:numId="16">
    <w:abstractNumId w:val="18"/>
  </w:num>
  <w:num w:numId="17">
    <w:abstractNumId w:val="11"/>
  </w:num>
  <w:num w:numId="18">
    <w:abstractNumId w:val="20"/>
  </w:num>
  <w:num w:numId="19">
    <w:abstractNumId w:val="0"/>
  </w:num>
  <w:num w:numId="20">
    <w:abstractNumId w:val="17"/>
  </w:num>
  <w:num w:numId="21">
    <w:abstractNumId w:val="6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D8"/>
    <w:rsid w:val="000153A4"/>
    <w:rsid w:val="00046735"/>
    <w:rsid w:val="00071114"/>
    <w:rsid w:val="00083259"/>
    <w:rsid w:val="000A20E1"/>
    <w:rsid w:val="000D6E71"/>
    <w:rsid w:val="00117185"/>
    <w:rsid w:val="00124995"/>
    <w:rsid w:val="00153D93"/>
    <w:rsid w:val="00182905"/>
    <w:rsid w:val="001843EB"/>
    <w:rsid w:val="0018567C"/>
    <w:rsid w:val="00194F79"/>
    <w:rsid w:val="001D72B4"/>
    <w:rsid w:val="0028671A"/>
    <w:rsid w:val="002977FE"/>
    <w:rsid w:val="002B3202"/>
    <w:rsid w:val="002C4281"/>
    <w:rsid w:val="00373B94"/>
    <w:rsid w:val="00376447"/>
    <w:rsid w:val="003B3AD8"/>
    <w:rsid w:val="003B6829"/>
    <w:rsid w:val="003F1CF0"/>
    <w:rsid w:val="00450B0F"/>
    <w:rsid w:val="00471D46"/>
    <w:rsid w:val="0047333C"/>
    <w:rsid w:val="00481F1A"/>
    <w:rsid w:val="00492706"/>
    <w:rsid w:val="004D4C81"/>
    <w:rsid w:val="00506C8B"/>
    <w:rsid w:val="00510287"/>
    <w:rsid w:val="00557128"/>
    <w:rsid w:val="005B027E"/>
    <w:rsid w:val="00660BAF"/>
    <w:rsid w:val="00667D39"/>
    <w:rsid w:val="006807B6"/>
    <w:rsid w:val="00693402"/>
    <w:rsid w:val="0069696B"/>
    <w:rsid w:val="006A7809"/>
    <w:rsid w:val="006D5CDA"/>
    <w:rsid w:val="006D63D6"/>
    <w:rsid w:val="0077353E"/>
    <w:rsid w:val="007736A9"/>
    <w:rsid w:val="00791E17"/>
    <w:rsid w:val="007933F1"/>
    <w:rsid w:val="007C0F88"/>
    <w:rsid w:val="007E3246"/>
    <w:rsid w:val="007F1071"/>
    <w:rsid w:val="00802734"/>
    <w:rsid w:val="00805AE9"/>
    <w:rsid w:val="00810159"/>
    <w:rsid w:val="00855E73"/>
    <w:rsid w:val="00860523"/>
    <w:rsid w:val="00861F2C"/>
    <w:rsid w:val="008F7FFA"/>
    <w:rsid w:val="00927711"/>
    <w:rsid w:val="009411F8"/>
    <w:rsid w:val="00961081"/>
    <w:rsid w:val="00971023"/>
    <w:rsid w:val="009A1472"/>
    <w:rsid w:val="009B3D75"/>
    <w:rsid w:val="00A107CB"/>
    <w:rsid w:val="00A466C1"/>
    <w:rsid w:val="00A66F7D"/>
    <w:rsid w:val="00B119C7"/>
    <w:rsid w:val="00BC03EF"/>
    <w:rsid w:val="00BC03F9"/>
    <w:rsid w:val="00BF0952"/>
    <w:rsid w:val="00C27E20"/>
    <w:rsid w:val="00C417A6"/>
    <w:rsid w:val="00C52C15"/>
    <w:rsid w:val="00C77490"/>
    <w:rsid w:val="00CA473E"/>
    <w:rsid w:val="00CA5044"/>
    <w:rsid w:val="00CC5045"/>
    <w:rsid w:val="00CD75BD"/>
    <w:rsid w:val="00CE195F"/>
    <w:rsid w:val="00D33C87"/>
    <w:rsid w:val="00D37C15"/>
    <w:rsid w:val="00D548EF"/>
    <w:rsid w:val="00D95FC6"/>
    <w:rsid w:val="00DA382B"/>
    <w:rsid w:val="00DC15F7"/>
    <w:rsid w:val="00DE3DFE"/>
    <w:rsid w:val="00E822C0"/>
    <w:rsid w:val="00F057F8"/>
    <w:rsid w:val="00F12646"/>
    <w:rsid w:val="00F23103"/>
    <w:rsid w:val="00F30692"/>
    <w:rsid w:val="00F37915"/>
    <w:rsid w:val="00F86BB0"/>
    <w:rsid w:val="00F92398"/>
    <w:rsid w:val="00FE3A77"/>
    <w:rsid w:val="00FE55B0"/>
    <w:rsid w:val="00FF4320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F8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B3AD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AD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B3AD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AD8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3AD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AD8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B3AD8"/>
    <w:rPr>
      <w:vertAlign w:val="superscript"/>
    </w:rPr>
  </w:style>
  <w:style w:type="paragraph" w:styleId="Revision">
    <w:name w:val="Revision"/>
    <w:hidden/>
    <w:uiPriority w:val="99"/>
    <w:semiHidden/>
    <w:rsid w:val="0055712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7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12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128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NL/TXT/?uri=OJ:C_20260063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927</ap:Words>
  <ap:Characters>5290</ap:Characters>
  <ap:DocSecurity>0</ap:DocSecurity>
  <ap:Lines>44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Afronding gesprek met Arriva over de Noordelijke Lijnen naar aanleiding van CBb tussenuitspraak</vt:lpstr>
    </vt:vector>
  </ap:TitlesOfParts>
  <ap:LinksUpToDate>false</ap:LinksUpToDate>
  <ap:CharactersWithSpaces>6205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2026-03-05T08:53:00.0000000Z</dcterms:created>
  <dcterms:modified xsi:type="dcterms:W3CDTF">2026-03-05T08:53:00.0000000Z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Afronding gesprek met Arriva over de Noordelijke Lijnen naar aanleiding van CBb tussenuitspraak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B.J.L. Clabbers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