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2026Z04538</w:t>
        <w:br/>
      </w:r>
      <w:proofErr w:type="spellEnd"/>
    </w:p>
    <w:p>
      <w:pPr>
        <w:pStyle w:val="Normal"/>
        <w:rPr>
          <w:b w:val="1"/>
          <w:bCs w:val="1"/>
        </w:rPr>
      </w:pPr>
      <w:r w:rsidR="250AE766">
        <w:rPr>
          <w:b w:val="0"/>
          <w:bCs w:val="0"/>
        </w:rPr>
        <w:t>(ingezonden 6 maart 2026)</w:t>
        <w:br/>
      </w:r>
    </w:p>
    <w:p>
      <w:r>
        <w:t xml:space="preserve">Vragen van het lid Van Leijen (D66) aan de minister van Infrastructuur en Waterstaat over het bericht dat fietslampen te hoog en te fel zijn afgesteld, wat kan leiden tot gevaarlijke verkeerssituaties.</w:t>
      </w:r>
      <w:r>
        <w:br/>
      </w:r>
    </w:p>
    <w:p>
      <w:pPr>
        <w:pStyle w:val="ListParagraph"/>
        <w:numPr>
          <w:ilvl w:val="0"/>
          <w:numId w:val="100499270"/>
        </w:numPr>
        <w:ind w:left="360"/>
      </w:pPr>
      <w:r>
        <w:t xml:space="preserve">Bent u bekend met de signalen dat weggebruikers steeds vaker hinder en gevaar ondervinden van te felle of verkeerd afgestelde (led-)verlichting op fietsen? 1)</w:t>
      </w:r>
      <w:r>
        <w:br/>
      </w:r>
    </w:p>
    <w:p>
      <w:pPr>
        <w:pStyle w:val="ListParagraph"/>
        <w:numPr>
          <w:ilvl w:val="0"/>
          <w:numId w:val="100499270"/>
        </w:numPr>
        <w:ind w:left="360"/>
      </w:pPr>
      <w:r>
        <w:t xml:space="preserve">In hoeverre erkent u dat het tijdelijk wegvallen van zicht door felle fietsverlichting een specifiek risico vormt voor andere kwetsbare verkeersdeelnemers, zoals voetgangers en oudere fietsers, en hoe verhoudt dit zich tot de ambities uit het Strategisch Plan Verkeersveiligheid?</w:t>
      </w:r>
      <w:r>
        <w:br/>
      </w:r>
    </w:p>
    <w:p>
      <w:pPr>
        <w:pStyle w:val="ListParagraph"/>
        <w:numPr>
          <w:ilvl w:val="0"/>
          <w:numId w:val="100499270"/>
        </w:numPr>
        <w:ind w:left="360"/>
      </w:pPr>
      <w:r>
        <w:t xml:space="preserve">Kunt u toelichten of de huidige wettelijke kaders voor de maximale lichtopbrengst en de afstelling van de lichtbundel nog wel volstaan, gezien de technologische sprongen die de afgelopen jaren zijn gemaakt in de fietsindustrie?</w:t>
      </w:r>
      <w:r>
        <w:br/>
      </w:r>
    </w:p>
    <w:p>
      <w:pPr>
        <w:pStyle w:val="ListParagraph"/>
        <w:numPr>
          <w:ilvl w:val="0"/>
          <w:numId w:val="100499270"/>
        </w:numPr>
        <w:ind w:left="360"/>
      </w:pPr>
      <w:r>
        <w:t xml:space="preserve">In hoeverre vindt er momenteel handhaving plaats op de kwaliteit en afstelling van fietsverlichting, en acht u de huidige handhavingscapaciteit op dit specifieke punt voldoende?</w:t>
      </w:r>
      <w:r>
        <w:br/>
      </w:r>
    </w:p>
    <w:p>
      <w:pPr>
        <w:pStyle w:val="ListParagraph"/>
        <w:numPr>
          <w:ilvl w:val="0"/>
          <w:numId w:val="100499270"/>
        </w:numPr>
        <w:ind w:left="360"/>
      </w:pPr>
      <w:r>
        <w:t xml:space="preserve">Bent u bereid om in gesprek te gaan met fabrikanten en brancheorganisaties (zoals de RAI Vereniging) om strengere afspraken te maken over de standaardinstellingen en de maximale lichtopbrengst van lampen op nieuwe (elektrische) fietsen?</w:t>
      </w:r>
      <w:r>
        <w:br/>
      </w:r>
    </w:p>
    <w:p>
      <w:pPr>
        <w:pStyle w:val="ListParagraph"/>
        <w:numPr>
          <w:ilvl w:val="0"/>
          <w:numId w:val="100499270"/>
        </w:numPr>
        <w:ind w:left="360"/>
      </w:pPr>
      <w:r>
        <w:t xml:space="preserve">Zijn er momenteel data beschikbaar over het aantal verkeersongevallen waarbij verblinding door fietsverlichting een rol speelde? Zo nee, bent u bereid dit te laten onderzoeken?</w:t>
      </w:r>
      <w:r>
        <w:br/>
      </w:r>
    </w:p>
    <w:p>
      <w:pPr>
        <w:pStyle w:val="ListParagraph"/>
        <w:numPr>
          <w:ilvl w:val="0"/>
          <w:numId w:val="100499270"/>
        </w:numPr>
        <w:ind w:left="360"/>
      </w:pPr>
      <w:r>
        <w:t xml:space="preserve">Ziet u een rol voor een publiekscampagne om fietsers bewust te maken van het belang van een correcte afstelling van hun koplamp, vergelijkbaar met campagnes voor autoverlichting?</w:t>
      </w:r>
      <w:r>
        <w:br/>
      </w:r>
    </w:p>
    <w:p>
      <w:pPr>
        <w:pStyle w:val="ListParagraph"/>
        <w:numPr>
          <w:ilvl w:val="0"/>
          <w:numId w:val="100499270"/>
        </w:numPr>
        <w:ind w:left="360"/>
      </w:pPr>
      <w:r>
        <w:t xml:space="preserve">Hoe beoordeelt u de Duitse StVZO-normen, waarbij een scherpe horizontale afbakening van de lichtbundel verplicht is om verblinding te voorkomen? 2)</w:t>
      </w:r>
      <w:r>
        <w:br/>
      </w:r>
    </w:p>
    <w:p>
      <w:pPr>
        <w:pStyle w:val="ListParagraph"/>
        <w:numPr>
          <w:ilvl w:val="0"/>
          <w:numId w:val="100499270"/>
        </w:numPr>
        <w:ind w:left="360"/>
      </w:pPr>
      <w:r>
        <w:t xml:space="preserve">Bent u bereid om te verkennen of het overnemen van (delen van) de Duitse normering in de Nederlandse wetgeving een effectieve bijdrage kan leveren aan het terugdringen van verblinding op de fietspaden?</w:t>
      </w:r>
      <w:r>
        <w:br/>
      </w:r>
    </w:p>
    <w:p>
      <w:pPr>
        <w:pStyle w:val="ListParagraph"/>
        <w:numPr>
          <w:ilvl w:val="0"/>
          <w:numId w:val="100499270"/>
        </w:numPr>
        <w:ind w:left="360"/>
      </w:pPr>
      <w:r>
        <w:t xml:space="preserve">Bent u bereid om de regelgeving rondom verlichtingstechnieken voor micromobiliteit structureel te laten toetsen aan de snelle innovaties in de sector, en kunt u aangeven op welke termijn u de Kamer kunt informeren over een eventuele modernisering van de toelatingseisen voor (e-bike) verlichting?</w:t>
      </w:r>
      <w:r>
        <w:br/>
      </w:r>
    </w:p>
    <w:p>
      <w:r>
        <w:t xml:space="preserve"> </w:t>
      </w:r>
      <w:r>
        <w:br/>
      </w:r>
    </w:p>
    <w:p>
      <w:r>
        <w:t xml:space="preserve">1) LUBACH, 25 februari 2026, Wat te doen tegen verblindende fietsverlichting? | LUBACH </w:t>
      </w:r>
      <w:r>
        <w:br/>
      </w:r>
    </w:p>
    <w:p>
      <w:r>
        <w:t xml:space="preserve">2) Fietsersbond, Verblindende fietslampen - Fietsersbond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