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4437" w:rsidP="005D4437" w:rsidRDefault="005D4437" w14:paraId="4289F2BE" w14:textId="77777777">
      <w:pPr>
        <w:rPr>
          <w:b/>
          <w:bCs/>
          <w:color w:val="auto"/>
          <w:sz w:val="16"/>
          <w:szCs w:val="16"/>
        </w:rPr>
      </w:pPr>
      <w:r w:rsidRPr="000C324F">
        <w:rPr>
          <w:b/>
          <w:bCs/>
          <w:color w:val="auto"/>
          <w:sz w:val="16"/>
          <w:szCs w:val="16"/>
        </w:rPr>
        <w:t xml:space="preserve">Overzicht moties </w:t>
      </w:r>
    </w:p>
    <w:p w:rsidRPr="000C324F" w:rsidR="004153F7" w:rsidP="005D4437" w:rsidRDefault="004153F7" w14:paraId="095B5281" w14:textId="77777777">
      <w:pPr>
        <w:rPr>
          <w:b/>
          <w:bCs/>
          <w:color w:val="auto"/>
          <w:sz w:val="16"/>
          <w:szCs w:val="16"/>
        </w:rPr>
      </w:pPr>
    </w:p>
    <w:tbl>
      <w:tblPr>
        <w:tblStyle w:val="Tabelraster"/>
        <w:tblW w:w="7508" w:type="dxa"/>
        <w:tblInd w:w="0" w:type="dxa"/>
        <w:tblLayout w:type="fixed"/>
        <w:tblLook w:val="04A0" w:firstRow="1" w:lastRow="0" w:firstColumn="1" w:lastColumn="0" w:noHBand="0" w:noVBand="1"/>
      </w:tblPr>
      <w:tblGrid>
        <w:gridCol w:w="1271"/>
        <w:gridCol w:w="1276"/>
        <w:gridCol w:w="1843"/>
        <w:gridCol w:w="1701"/>
        <w:gridCol w:w="1417"/>
      </w:tblGrid>
      <w:tr w:rsidRPr="000C324F" w:rsidR="005D4437" w:rsidTr="00030B43" w14:paraId="0F1A24E2" w14:textId="77777777">
        <w:trPr>
          <w:trHeight w:val="405"/>
        </w:trPr>
        <w:tc>
          <w:tcPr>
            <w:tcW w:w="1271" w:type="dxa"/>
          </w:tcPr>
          <w:p w:rsidRPr="000C324F" w:rsidR="005D4437" w:rsidP="006821D4" w:rsidRDefault="005D4437" w14:paraId="4132470E" w14:textId="77777777">
            <w:pPr>
              <w:rPr>
                <w:i/>
                <w:iCs/>
                <w:color w:val="auto"/>
                <w:sz w:val="16"/>
                <w:szCs w:val="16"/>
              </w:rPr>
            </w:pPr>
            <w:r w:rsidRPr="000C324F">
              <w:rPr>
                <w:i/>
                <w:iCs/>
                <w:color w:val="auto"/>
                <w:sz w:val="16"/>
                <w:szCs w:val="16"/>
              </w:rPr>
              <w:t>Lid/leden</w:t>
            </w:r>
          </w:p>
        </w:tc>
        <w:tc>
          <w:tcPr>
            <w:tcW w:w="1276" w:type="dxa"/>
          </w:tcPr>
          <w:p w:rsidRPr="003D6597" w:rsidR="005D4437" w:rsidP="006821D4" w:rsidRDefault="005D4437" w14:paraId="40DCAA5E" w14:textId="77777777">
            <w:pPr>
              <w:rPr>
                <w:color w:val="auto"/>
                <w:sz w:val="16"/>
                <w:szCs w:val="16"/>
              </w:rPr>
            </w:pPr>
            <w:r w:rsidRPr="003D6597">
              <w:rPr>
                <w:color w:val="auto"/>
                <w:sz w:val="16"/>
                <w:szCs w:val="16"/>
              </w:rPr>
              <w:t>Kamerstuk nr.</w:t>
            </w:r>
          </w:p>
        </w:tc>
        <w:tc>
          <w:tcPr>
            <w:tcW w:w="1843" w:type="dxa"/>
          </w:tcPr>
          <w:p w:rsidRPr="003D6597" w:rsidR="005D4437" w:rsidP="006821D4" w:rsidRDefault="005D4437" w14:paraId="6C80C085" w14:textId="77777777">
            <w:pPr>
              <w:rPr>
                <w:color w:val="auto"/>
                <w:sz w:val="16"/>
                <w:szCs w:val="16"/>
              </w:rPr>
            </w:pPr>
            <w:r w:rsidRPr="003D6597">
              <w:rPr>
                <w:color w:val="auto"/>
                <w:sz w:val="16"/>
                <w:szCs w:val="16"/>
              </w:rPr>
              <w:t>Omschrijving</w:t>
            </w:r>
          </w:p>
        </w:tc>
        <w:tc>
          <w:tcPr>
            <w:tcW w:w="1701" w:type="dxa"/>
          </w:tcPr>
          <w:p w:rsidRPr="000C324F" w:rsidR="005D4437" w:rsidP="006821D4" w:rsidRDefault="005D4437" w14:paraId="2266AF7F" w14:textId="77777777">
            <w:pPr>
              <w:rPr>
                <w:i/>
                <w:iCs/>
                <w:color w:val="auto"/>
                <w:sz w:val="16"/>
                <w:szCs w:val="16"/>
              </w:rPr>
            </w:pPr>
            <w:r w:rsidRPr="000C324F">
              <w:rPr>
                <w:i/>
                <w:iCs/>
                <w:color w:val="auto"/>
                <w:sz w:val="16"/>
                <w:szCs w:val="16"/>
              </w:rPr>
              <w:t>Voortgang</w:t>
            </w:r>
          </w:p>
        </w:tc>
        <w:tc>
          <w:tcPr>
            <w:tcW w:w="1417" w:type="dxa"/>
          </w:tcPr>
          <w:p w:rsidRPr="000C324F" w:rsidR="005D4437" w:rsidP="006821D4" w:rsidRDefault="005D4437" w14:paraId="5867544E" w14:textId="77777777">
            <w:pPr>
              <w:rPr>
                <w:i/>
                <w:iCs/>
                <w:color w:val="auto"/>
                <w:sz w:val="16"/>
                <w:szCs w:val="16"/>
              </w:rPr>
            </w:pPr>
            <w:r w:rsidRPr="000C324F">
              <w:rPr>
                <w:i/>
                <w:iCs/>
                <w:color w:val="auto"/>
                <w:sz w:val="16"/>
                <w:szCs w:val="16"/>
              </w:rPr>
              <w:t>Vindplaats afdoening</w:t>
            </w:r>
          </w:p>
        </w:tc>
      </w:tr>
      <w:tr w:rsidRPr="000C324F" w:rsidR="005D4437" w:rsidTr="00030B43" w14:paraId="0D50196B" w14:textId="77777777">
        <w:trPr>
          <w:trHeight w:val="1827"/>
        </w:trPr>
        <w:tc>
          <w:tcPr>
            <w:tcW w:w="1271" w:type="dxa"/>
          </w:tcPr>
          <w:p w:rsidRPr="000C324F" w:rsidR="005D4437" w:rsidP="006821D4" w:rsidRDefault="005D4437" w14:paraId="3A17FCB3" w14:textId="77777777">
            <w:pPr>
              <w:rPr>
                <w:color w:val="auto"/>
                <w:sz w:val="16"/>
                <w:szCs w:val="16"/>
              </w:rPr>
            </w:pPr>
            <w:proofErr w:type="spellStart"/>
            <w:r w:rsidRPr="000C324F">
              <w:rPr>
                <w:color w:val="auto"/>
                <w:sz w:val="16"/>
                <w:szCs w:val="16"/>
              </w:rPr>
              <w:t>Ellian</w:t>
            </w:r>
            <w:proofErr w:type="spellEnd"/>
            <w:r w:rsidRPr="000C324F">
              <w:rPr>
                <w:color w:val="auto"/>
                <w:sz w:val="16"/>
                <w:szCs w:val="16"/>
              </w:rPr>
              <w:t xml:space="preserve"> (VVD)</w:t>
            </w:r>
          </w:p>
        </w:tc>
        <w:tc>
          <w:tcPr>
            <w:tcW w:w="1276" w:type="dxa"/>
          </w:tcPr>
          <w:p w:rsidRPr="000C324F" w:rsidR="005D4437" w:rsidP="006821D4" w:rsidRDefault="005D4437" w14:paraId="45462B28" w14:textId="77777777">
            <w:pPr>
              <w:rPr>
                <w:i/>
                <w:iCs/>
                <w:color w:val="auto"/>
                <w:sz w:val="16"/>
                <w:szCs w:val="16"/>
              </w:rPr>
            </w:pPr>
            <w:r w:rsidRPr="000C324F">
              <w:rPr>
                <w:color w:val="auto"/>
                <w:sz w:val="16"/>
                <w:szCs w:val="16"/>
              </w:rPr>
              <w:t xml:space="preserve">Kamerstuk </w:t>
            </w:r>
            <w:r w:rsidRPr="000C324F">
              <w:rPr>
                <w:rFonts w:eastAsia="Times New Roman" w:cs="Arial"/>
                <w:color w:val="auto"/>
                <w:sz w:val="16"/>
                <w:szCs w:val="16"/>
              </w:rPr>
              <w:t>24 587, nr. 1043</w:t>
            </w:r>
          </w:p>
        </w:tc>
        <w:tc>
          <w:tcPr>
            <w:tcW w:w="1843" w:type="dxa"/>
          </w:tcPr>
          <w:p w:rsidRPr="000C324F" w:rsidR="005D4437" w:rsidP="006821D4" w:rsidRDefault="005D4437" w14:paraId="2FF265FD" w14:textId="77777777">
            <w:pPr>
              <w:rPr>
                <w:color w:val="auto"/>
                <w:sz w:val="16"/>
                <w:szCs w:val="16"/>
              </w:rPr>
            </w:pPr>
            <w:r w:rsidRPr="000C324F">
              <w:rPr>
                <w:color w:val="auto"/>
                <w:sz w:val="16"/>
                <w:szCs w:val="16"/>
              </w:rPr>
              <w:t>Verzoekt de regering om direct te verkennen of dergelijke schepen op korte termijn ingezet zouden kunnen worden om capaciteit voor het gevangeniswezen te creëren, en de Kamer over de uitkomsten te informeren voor het zomerreces</w:t>
            </w:r>
          </w:p>
        </w:tc>
        <w:tc>
          <w:tcPr>
            <w:tcW w:w="1701" w:type="dxa"/>
          </w:tcPr>
          <w:p w:rsidRPr="000C324F" w:rsidR="005D4437" w:rsidP="006821D4" w:rsidRDefault="005D4437" w14:paraId="013F6731" w14:textId="77777777">
            <w:pPr>
              <w:rPr>
                <w:color w:val="auto"/>
                <w:sz w:val="16"/>
                <w:szCs w:val="16"/>
              </w:rPr>
            </w:pPr>
            <w:r w:rsidRPr="000C324F">
              <w:rPr>
                <w:color w:val="auto"/>
                <w:sz w:val="16"/>
                <w:szCs w:val="16"/>
              </w:rPr>
              <w:t>DJI verkent wat de mogelijkheden zijn om detentieboten in te zetten. Uw Kamer wordt via de voortgangsrapportages op de hoogte gehouden.</w:t>
            </w:r>
          </w:p>
        </w:tc>
        <w:tc>
          <w:tcPr>
            <w:tcW w:w="1417" w:type="dxa"/>
          </w:tcPr>
          <w:p w:rsidRPr="000C324F" w:rsidR="005D4437" w:rsidP="006821D4" w:rsidRDefault="005D4437" w14:paraId="786672D4" w14:textId="77777777">
            <w:pPr>
              <w:rPr>
                <w:color w:val="auto"/>
                <w:sz w:val="16"/>
                <w:szCs w:val="16"/>
              </w:rPr>
            </w:pPr>
            <w:r>
              <w:rPr>
                <w:color w:val="auto"/>
                <w:sz w:val="16"/>
                <w:szCs w:val="16"/>
              </w:rPr>
              <w:t>-</w:t>
            </w:r>
          </w:p>
        </w:tc>
      </w:tr>
      <w:tr w:rsidRPr="000C324F" w:rsidR="005D4437" w:rsidTr="00030B43" w14:paraId="2E0BB99D" w14:textId="77777777">
        <w:trPr>
          <w:trHeight w:val="812"/>
        </w:trPr>
        <w:tc>
          <w:tcPr>
            <w:tcW w:w="1271" w:type="dxa"/>
          </w:tcPr>
          <w:p w:rsidRPr="000C324F" w:rsidR="005D4437" w:rsidP="006821D4" w:rsidRDefault="005D4437" w14:paraId="1D6DEF6E" w14:textId="77777777">
            <w:pPr>
              <w:rPr>
                <w:color w:val="auto"/>
                <w:sz w:val="16"/>
                <w:szCs w:val="16"/>
              </w:rPr>
            </w:pPr>
            <w:r w:rsidRPr="000C324F">
              <w:rPr>
                <w:color w:val="auto"/>
                <w:sz w:val="16"/>
                <w:szCs w:val="16"/>
              </w:rPr>
              <w:t>Eerdmans (JA21)</w:t>
            </w:r>
          </w:p>
        </w:tc>
        <w:tc>
          <w:tcPr>
            <w:tcW w:w="1276" w:type="dxa"/>
          </w:tcPr>
          <w:p w:rsidRPr="000C324F" w:rsidR="005D4437" w:rsidP="006821D4" w:rsidRDefault="005D4437" w14:paraId="1D8702BD" w14:textId="77777777">
            <w:pPr>
              <w:rPr>
                <w:color w:val="auto"/>
                <w:sz w:val="16"/>
                <w:szCs w:val="16"/>
              </w:rPr>
            </w:pPr>
            <w:r w:rsidRPr="000C324F">
              <w:rPr>
                <w:color w:val="auto"/>
                <w:sz w:val="16"/>
                <w:szCs w:val="16"/>
              </w:rPr>
              <w:t>Kamerstuk</w:t>
            </w:r>
            <w:r w:rsidRPr="000C324F">
              <w:rPr>
                <w:rFonts w:eastAsia="Times New Roman" w:cs="Arial"/>
                <w:color w:val="auto"/>
                <w:sz w:val="16"/>
                <w:szCs w:val="16"/>
              </w:rPr>
              <w:t xml:space="preserve"> 24 587, nr. 24</w:t>
            </w:r>
          </w:p>
        </w:tc>
        <w:tc>
          <w:tcPr>
            <w:tcW w:w="1843" w:type="dxa"/>
          </w:tcPr>
          <w:p w:rsidRPr="000C324F" w:rsidR="005D4437" w:rsidP="006821D4" w:rsidRDefault="005D4437" w14:paraId="5F80D3D7" w14:textId="77777777">
            <w:pPr>
              <w:rPr>
                <w:color w:val="auto"/>
                <w:sz w:val="16"/>
                <w:szCs w:val="16"/>
              </w:rPr>
            </w:pPr>
            <w:r w:rsidRPr="000C324F">
              <w:rPr>
                <w:color w:val="auto"/>
                <w:sz w:val="16"/>
                <w:szCs w:val="16"/>
              </w:rPr>
              <w:t>Verzoekt het kabinet werk te maken van een wervingsplan voor DJI-personeel met als doel om het werken bij DJI zo aantrekkelijk mogelijk te maken.</w:t>
            </w:r>
          </w:p>
        </w:tc>
        <w:tc>
          <w:tcPr>
            <w:tcW w:w="1701" w:type="dxa"/>
          </w:tcPr>
          <w:p w:rsidRPr="000C324F" w:rsidR="005D4437" w:rsidP="006821D4" w:rsidRDefault="007A2057" w14:paraId="6C4BCE5F" w14:textId="67BD43AE">
            <w:pPr>
              <w:rPr>
                <w:color w:val="auto"/>
                <w:sz w:val="16"/>
                <w:szCs w:val="16"/>
              </w:rPr>
            </w:pPr>
            <w:r w:rsidRPr="007A2057">
              <w:rPr>
                <w:color w:val="auto"/>
                <w:sz w:val="16"/>
                <w:szCs w:val="16"/>
              </w:rPr>
              <w:t>Over de voortgang wordt uw Kamer bij de volgende voortgangsbrief geïnformeerd.</w:t>
            </w:r>
          </w:p>
        </w:tc>
        <w:tc>
          <w:tcPr>
            <w:tcW w:w="1417" w:type="dxa"/>
          </w:tcPr>
          <w:p w:rsidRPr="000C324F" w:rsidR="005D4437" w:rsidP="006821D4" w:rsidRDefault="005D4437" w14:paraId="3339089A" w14:textId="77777777">
            <w:pPr>
              <w:rPr>
                <w:color w:val="auto"/>
                <w:sz w:val="16"/>
                <w:szCs w:val="16"/>
              </w:rPr>
            </w:pPr>
            <w:r>
              <w:rPr>
                <w:color w:val="auto"/>
                <w:sz w:val="16"/>
                <w:szCs w:val="16"/>
              </w:rPr>
              <w:t>-</w:t>
            </w:r>
          </w:p>
        </w:tc>
      </w:tr>
      <w:tr w:rsidRPr="000C324F" w:rsidR="005D4437" w:rsidTr="00030B43" w14:paraId="3FA0FECD" w14:textId="77777777">
        <w:trPr>
          <w:trHeight w:val="812"/>
        </w:trPr>
        <w:tc>
          <w:tcPr>
            <w:tcW w:w="1271" w:type="dxa"/>
          </w:tcPr>
          <w:p w:rsidRPr="000C324F" w:rsidR="005D4437" w:rsidP="006821D4" w:rsidRDefault="005D4437" w14:paraId="12DC8252" w14:textId="77777777">
            <w:pPr>
              <w:rPr>
                <w:color w:val="auto"/>
                <w:sz w:val="16"/>
                <w:szCs w:val="16"/>
              </w:rPr>
            </w:pPr>
            <w:r>
              <w:rPr>
                <w:color w:val="auto"/>
                <w:sz w:val="16"/>
                <w:szCs w:val="16"/>
              </w:rPr>
              <w:t>Lid Schilder</w:t>
            </w:r>
          </w:p>
        </w:tc>
        <w:tc>
          <w:tcPr>
            <w:tcW w:w="1276" w:type="dxa"/>
          </w:tcPr>
          <w:p w:rsidRPr="000C324F" w:rsidR="005D4437" w:rsidP="006821D4" w:rsidRDefault="005D4437" w14:paraId="308045CD" w14:textId="77777777">
            <w:pPr>
              <w:rPr>
                <w:color w:val="auto"/>
                <w:sz w:val="16"/>
                <w:szCs w:val="16"/>
              </w:rPr>
            </w:pPr>
            <w:r>
              <w:rPr>
                <w:color w:val="auto"/>
                <w:sz w:val="16"/>
                <w:szCs w:val="16"/>
              </w:rPr>
              <w:t xml:space="preserve">Kamerstuk </w:t>
            </w:r>
            <w:r w:rsidRPr="001B0337">
              <w:rPr>
                <w:color w:val="auto"/>
                <w:sz w:val="16"/>
                <w:szCs w:val="16"/>
              </w:rPr>
              <w:t>36800-VI-127</w:t>
            </w:r>
          </w:p>
        </w:tc>
        <w:tc>
          <w:tcPr>
            <w:tcW w:w="1843" w:type="dxa"/>
          </w:tcPr>
          <w:p w:rsidRPr="000C324F" w:rsidR="005D4437" w:rsidP="006821D4" w:rsidRDefault="005D4437" w14:paraId="4402A449" w14:textId="77777777">
            <w:pPr>
              <w:rPr>
                <w:color w:val="auto"/>
                <w:sz w:val="16"/>
                <w:szCs w:val="16"/>
              </w:rPr>
            </w:pPr>
            <w:r>
              <w:rPr>
                <w:color w:val="auto"/>
                <w:sz w:val="16"/>
                <w:szCs w:val="16"/>
              </w:rPr>
              <w:t>Ve</w:t>
            </w:r>
            <w:r w:rsidRPr="00550727">
              <w:rPr>
                <w:color w:val="auto"/>
                <w:sz w:val="16"/>
                <w:szCs w:val="16"/>
              </w:rPr>
              <w:t xml:space="preserve">rzoekt de regering om de </w:t>
            </w:r>
            <w:proofErr w:type="spellStart"/>
            <w:r w:rsidRPr="00550727">
              <w:rPr>
                <w:color w:val="auto"/>
                <w:sz w:val="16"/>
                <w:szCs w:val="16"/>
              </w:rPr>
              <w:t>eenpersoonscel</w:t>
            </w:r>
            <w:proofErr w:type="spellEnd"/>
            <w:r w:rsidRPr="00550727">
              <w:rPr>
                <w:color w:val="auto"/>
                <w:sz w:val="16"/>
                <w:szCs w:val="16"/>
              </w:rPr>
              <w:t xml:space="preserve"> niet langer als uitgangspunt te hanteren,</w:t>
            </w:r>
            <w:r w:rsidRPr="00550727">
              <w:rPr>
                <w:color w:val="auto"/>
                <w:sz w:val="16"/>
                <w:szCs w:val="16"/>
              </w:rPr>
              <w:br/>
              <w:t xml:space="preserve">maar het beleid zodanig te wijzigen dat </w:t>
            </w:r>
            <w:proofErr w:type="spellStart"/>
            <w:r w:rsidRPr="00550727">
              <w:rPr>
                <w:color w:val="auto"/>
                <w:sz w:val="16"/>
                <w:szCs w:val="16"/>
              </w:rPr>
              <w:t>meerpersoonscellen</w:t>
            </w:r>
            <w:proofErr w:type="spellEnd"/>
            <w:r w:rsidRPr="00550727">
              <w:rPr>
                <w:color w:val="auto"/>
                <w:sz w:val="16"/>
                <w:szCs w:val="16"/>
              </w:rPr>
              <w:t xml:space="preserve"> de norm worden waar dit</w:t>
            </w:r>
            <w:r w:rsidRPr="00550727">
              <w:rPr>
                <w:color w:val="auto"/>
                <w:sz w:val="16"/>
                <w:szCs w:val="16"/>
              </w:rPr>
              <w:br/>
              <w:t>veilig en verantwoord kan, en de Kamer binnen drie maanden te informeren over de concrete</w:t>
            </w:r>
            <w:r w:rsidRPr="00550727">
              <w:rPr>
                <w:color w:val="auto"/>
                <w:sz w:val="16"/>
                <w:szCs w:val="16"/>
              </w:rPr>
              <w:br/>
              <w:t>uitwerking, doelstellingen en planning</w:t>
            </w:r>
            <w:r>
              <w:rPr>
                <w:color w:val="auto"/>
                <w:sz w:val="16"/>
                <w:szCs w:val="16"/>
              </w:rPr>
              <w:t>.</w:t>
            </w:r>
          </w:p>
        </w:tc>
        <w:tc>
          <w:tcPr>
            <w:tcW w:w="1701" w:type="dxa"/>
          </w:tcPr>
          <w:p w:rsidRPr="000C324F" w:rsidR="005D4437" w:rsidP="006821D4" w:rsidRDefault="007A2057" w14:paraId="3465640E" w14:textId="447887A8">
            <w:pPr>
              <w:rPr>
                <w:color w:val="auto"/>
                <w:sz w:val="16"/>
                <w:szCs w:val="16"/>
              </w:rPr>
            </w:pPr>
            <w:r>
              <w:rPr>
                <w:rStyle w:val="Verwijzingopmerking"/>
              </w:rPr>
              <w:t>O</w:t>
            </w:r>
            <w:r w:rsidRPr="007A2057">
              <w:rPr>
                <w:color w:val="auto"/>
                <w:sz w:val="16"/>
                <w:szCs w:val="16"/>
              </w:rPr>
              <w:t>ver de voortgang wordt uw Kamer bij de volgende voortgangsbrief geïnformeerd.</w:t>
            </w:r>
          </w:p>
        </w:tc>
        <w:tc>
          <w:tcPr>
            <w:tcW w:w="1417" w:type="dxa"/>
          </w:tcPr>
          <w:p w:rsidR="005D4437" w:rsidP="006821D4" w:rsidRDefault="005D4437" w14:paraId="30BC3744" w14:textId="77777777">
            <w:pPr>
              <w:rPr>
                <w:color w:val="auto"/>
                <w:sz w:val="16"/>
                <w:szCs w:val="16"/>
              </w:rPr>
            </w:pPr>
          </w:p>
        </w:tc>
      </w:tr>
      <w:tr w:rsidRPr="000C324F" w:rsidR="005D4437" w:rsidTr="00030B43" w14:paraId="16F8F4EC" w14:textId="77777777">
        <w:trPr>
          <w:trHeight w:val="812"/>
        </w:trPr>
        <w:tc>
          <w:tcPr>
            <w:tcW w:w="1271" w:type="dxa"/>
          </w:tcPr>
          <w:p w:rsidR="005D4437" w:rsidP="006821D4" w:rsidRDefault="005D4437" w14:paraId="1E5BC2CF" w14:textId="77777777">
            <w:pPr>
              <w:rPr>
                <w:color w:val="auto"/>
                <w:sz w:val="16"/>
                <w:szCs w:val="16"/>
              </w:rPr>
            </w:pPr>
            <w:proofErr w:type="spellStart"/>
            <w:r>
              <w:rPr>
                <w:color w:val="auto"/>
                <w:sz w:val="16"/>
                <w:szCs w:val="16"/>
              </w:rPr>
              <w:t>Ellian</w:t>
            </w:r>
            <w:proofErr w:type="spellEnd"/>
            <w:r>
              <w:rPr>
                <w:color w:val="auto"/>
                <w:sz w:val="16"/>
                <w:szCs w:val="16"/>
              </w:rPr>
              <w:t xml:space="preserve"> (VVD)</w:t>
            </w:r>
          </w:p>
        </w:tc>
        <w:tc>
          <w:tcPr>
            <w:tcW w:w="1276" w:type="dxa"/>
          </w:tcPr>
          <w:p w:rsidR="005D4437" w:rsidP="006821D4" w:rsidRDefault="005D4437" w14:paraId="414D4BDA" w14:textId="77777777">
            <w:pPr>
              <w:rPr>
                <w:color w:val="auto"/>
                <w:sz w:val="16"/>
                <w:szCs w:val="16"/>
              </w:rPr>
            </w:pPr>
            <w:r>
              <w:rPr>
                <w:color w:val="auto"/>
                <w:sz w:val="16"/>
                <w:szCs w:val="16"/>
              </w:rPr>
              <w:t>Kamerstuk 3</w:t>
            </w:r>
            <w:r w:rsidRPr="00E826C4">
              <w:rPr>
                <w:color w:val="auto"/>
                <w:sz w:val="16"/>
                <w:szCs w:val="16"/>
              </w:rPr>
              <w:t>6 800 VI</w:t>
            </w:r>
            <w:r>
              <w:rPr>
                <w:color w:val="auto"/>
                <w:sz w:val="16"/>
                <w:szCs w:val="16"/>
              </w:rPr>
              <w:t xml:space="preserve"> Nr. 83</w:t>
            </w:r>
          </w:p>
        </w:tc>
        <w:tc>
          <w:tcPr>
            <w:tcW w:w="1843" w:type="dxa"/>
          </w:tcPr>
          <w:p w:rsidRPr="00E826C4" w:rsidR="005D4437" w:rsidP="006821D4" w:rsidRDefault="005D4437" w14:paraId="4D63BD11" w14:textId="77777777">
            <w:pPr>
              <w:rPr>
                <w:color w:val="auto"/>
                <w:sz w:val="16"/>
                <w:szCs w:val="16"/>
              </w:rPr>
            </w:pPr>
            <w:r w:rsidRPr="00E826C4">
              <w:rPr>
                <w:color w:val="auto"/>
                <w:sz w:val="16"/>
                <w:szCs w:val="16"/>
              </w:rPr>
              <w:t>Verzoekt de regering om voorbereidingen te treffen die nodig zijn voor heropening zoals planvorming, het aanvragen van vergunningen en het inrichten van een projectteam</w:t>
            </w:r>
            <w:r>
              <w:rPr>
                <w:color w:val="auto"/>
                <w:sz w:val="16"/>
                <w:szCs w:val="16"/>
              </w:rPr>
              <w:t>.</w:t>
            </w:r>
          </w:p>
        </w:tc>
        <w:tc>
          <w:tcPr>
            <w:tcW w:w="1701" w:type="dxa"/>
          </w:tcPr>
          <w:p w:rsidR="005D4437" w:rsidP="006821D4" w:rsidRDefault="005D4437" w14:paraId="06590AF9" w14:textId="77777777">
            <w:pPr>
              <w:rPr>
                <w:color w:val="auto"/>
                <w:sz w:val="16"/>
                <w:szCs w:val="16"/>
              </w:rPr>
            </w:pPr>
            <w:r>
              <w:rPr>
                <w:color w:val="auto"/>
                <w:sz w:val="16"/>
                <w:szCs w:val="16"/>
              </w:rPr>
              <w:t>In uitvoering.</w:t>
            </w:r>
          </w:p>
        </w:tc>
        <w:tc>
          <w:tcPr>
            <w:tcW w:w="1417" w:type="dxa"/>
          </w:tcPr>
          <w:p w:rsidR="005D4437" w:rsidP="006821D4" w:rsidRDefault="005D4437" w14:paraId="2106A51C" w14:textId="77777777">
            <w:pPr>
              <w:rPr>
                <w:color w:val="auto"/>
                <w:sz w:val="16"/>
                <w:szCs w:val="16"/>
              </w:rPr>
            </w:pPr>
          </w:p>
        </w:tc>
      </w:tr>
    </w:tbl>
    <w:p w:rsidRPr="000C324F" w:rsidR="005D4437" w:rsidP="005D4437" w:rsidRDefault="005D4437" w14:paraId="67D8BBBA" w14:textId="77777777">
      <w:pPr>
        <w:rPr>
          <w:color w:val="auto"/>
          <w:sz w:val="16"/>
          <w:szCs w:val="16"/>
        </w:rPr>
      </w:pPr>
    </w:p>
    <w:p w:rsidR="00F317CE" w:rsidRDefault="00F317CE" w14:paraId="6DDAC58F" w14:textId="77777777">
      <w:pPr>
        <w:autoSpaceDN/>
        <w:spacing w:after="160" w:line="259" w:lineRule="auto"/>
        <w:textAlignment w:val="auto"/>
        <w:rPr>
          <w:b/>
          <w:bCs/>
          <w:color w:val="auto"/>
          <w:sz w:val="16"/>
          <w:szCs w:val="16"/>
        </w:rPr>
      </w:pPr>
      <w:r>
        <w:rPr>
          <w:b/>
          <w:bCs/>
          <w:color w:val="auto"/>
          <w:sz w:val="16"/>
          <w:szCs w:val="16"/>
        </w:rPr>
        <w:br w:type="page"/>
      </w:r>
    </w:p>
    <w:p w:rsidR="005D4437" w:rsidP="005D4437" w:rsidRDefault="005D4437" w14:paraId="00A6BF0B" w14:textId="47038A3B">
      <w:pPr>
        <w:rPr>
          <w:b/>
          <w:bCs/>
          <w:color w:val="auto"/>
          <w:sz w:val="16"/>
          <w:szCs w:val="16"/>
        </w:rPr>
      </w:pPr>
      <w:r w:rsidRPr="000C324F">
        <w:rPr>
          <w:b/>
          <w:bCs/>
          <w:color w:val="auto"/>
          <w:sz w:val="16"/>
          <w:szCs w:val="16"/>
        </w:rPr>
        <w:lastRenderedPageBreak/>
        <w:t>Overzicht toezeggingen</w:t>
      </w:r>
    </w:p>
    <w:p w:rsidRPr="000C324F" w:rsidR="00030B43" w:rsidP="005D4437" w:rsidRDefault="00030B43" w14:paraId="3FA3BA14" w14:textId="77777777">
      <w:pPr>
        <w:rPr>
          <w:b/>
          <w:bCs/>
          <w:color w:val="auto"/>
          <w:sz w:val="16"/>
          <w:szCs w:val="16"/>
        </w:rPr>
      </w:pPr>
    </w:p>
    <w:tbl>
      <w:tblPr>
        <w:tblStyle w:val="Tabelraster"/>
        <w:tblW w:w="0" w:type="auto"/>
        <w:tblInd w:w="0" w:type="dxa"/>
        <w:tblLook w:val="04A0" w:firstRow="1" w:lastRow="0" w:firstColumn="1" w:lastColumn="0" w:noHBand="0" w:noVBand="1"/>
      </w:tblPr>
      <w:tblGrid>
        <w:gridCol w:w="1174"/>
        <w:gridCol w:w="1794"/>
        <w:gridCol w:w="1782"/>
        <w:gridCol w:w="1617"/>
        <w:gridCol w:w="1501"/>
      </w:tblGrid>
      <w:tr w:rsidRPr="000C324F" w:rsidR="005D4437" w:rsidTr="007F6219" w14:paraId="3C389045" w14:textId="77777777">
        <w:tc>
          <w:tcPr>
            <w:tcW w:w="1174" w:type="dxa"/>
          </w:tcPr>
          <w:p w:rsidRPr="000C324F" w:rsidR="005D4437" w:rsidP="006821D4" w:rsidRDefault="005D4437" w14:paraId="17FBAEC3" w14:textId="77777777">
            <w:pPr>
              <w:rPr>
                <w:i/>
                <w:iCs/>
                <w:color w:val="auto"/>
                <w:sz w:val="16"/>
                <w:szCs w:val="16"/>
              </w:rPr>
            </w:pPr>
            <w:r w:rsidRPr="000C324F">
              <w:rPr>
                <w:i/>
                <w:iCs/>
                <w:color w:val="auto"/>
                <w:sz w:val="16"/>
                <w:szCs w:val="16"/>
              </w:rPr>
              <w:t>Nr.</w:t>
            </w:r>
          </w:p>
        </w:tc>
        <w:tc>
          <w:tcPr>
            <w:tcW w:w="1794" w:type="dxa"/>
          </w:tcPr>
          <w:p w:rsidRPr="000C324F" w:rsidR="005D4437" w:rsidP="006821D4" w:rsidRDefault="005D4437" w14:paraId="2D6C374C" w14:textId="77777777">
            <w:pPr>
              <w:rPr>
                <w:i/>
                <w:iCs/>
                <w:color w:val="auto"/>
                <w:sz w:val="16"/>
                <w:szCs w:val="16"/>
              </w:rPr>
            </w:pPr>
            <w:r w:rsidRPr="000C324F">
              <w:rPr>
                <w:i/>
                <w:iCs/>
                <w:color w:val="auto"/>
                <w:sz w:val="16"/>
                <w:szCs w:val="16"/>
              </w:rPr>
              <w:t>Vindplaats</w:t>
            </w:r>
          </w:p>
        </w:tc>
        <w:tc>
          <w:tcPr>
            <w:tcW w:w="1782" w:type="dxa"/>
          </w:tcPr>
          <w:p w:rsidRPr="000C324F" w:rsidR="005D4437" w:rsidP="006821D4" w:rsidRDefault="005D4437" w14:paraId="2B923664" w14:textId="77777777">
            <w:pPr>
              <w:rPr>
                <w:i/>
                <w:iCs/>
                <w:color w:val="auto"/>
                <w:sz w:val="16"/>
                <w:szCs w:val="16"/>
              </w:rPr>
            </w:pPr>
            <w:r w:rsidRPr="000C324F">
              <w:rPr>
                <w:i/>
                <w:iCs/>
                <w:color w:val="auto"/>
                <w:sz w:val="16"/>
                <w:szCs w:val="16"/>
              </w:rPr>
              <w:t>Omschrijving</w:t>
            </w:r>
          </w:p>
        </w:tc>
        <w:tc>
          <w:tcPr>
            <w:tcW w:w="1617" w:type="dxa"/>
          </w:tcPr>
          <w:p w:rsidRPr="000C324F" w:rsidR="005D4437" w:rsidP="006821D4" w:rsidRDefault="005D4437" w14:paraId="233D5902" w14:textId="77777777">
            <w:pPr>
              <w:rPr>
                <w:i/>
                <w:iCs/>
                <w:color w:val="auto"/>
                <w:sz w:val="16"/>
                <w:szCs w:val="16"/>
              </w:rPr>
            </w:pPr>
            <w:r w:rsidRPr="000C324F">
              <w:rPr>
                <w:i/>
                <w:iCs/>
                <w:color w:val="auto"/>
                <w:sz w:val="16"/>
                <w:szCs w:val="16"/>
              </w:rPr>
              <w:t xml:space="preserve">Voortgang </w:t>
            </w:r>
          </w:p>
        </w:tc>
        <w:tc>
          <w:tcPr>
            <w:tcW w:w="1501" w:type="dxa"/>
          </w:tcPr>
          <w:p w:rsidRPr="000C324F" w:rsidR="005D4437" w:rsidP="006821D4" w:rsidRDefault="005D4437" w14:paraId="038C662D" w14:textId="77777777">
            <w:pPr>
              <w:rPr>
                <w:i/>
                <w:iCs/>
                <w:color w:val="auto"/>
                <w:sz w:val="16"/>
                <w:szCs w:val="16"/>
              </w:rPr>
            </w:pPr>
            <w:r w:rsidRPr="000C324F">
              <w:rPr>
                <w:i/>
                <w:iCs/>
                <w:color w:val="auto"/>
                <w:sz w:val="16"/>
                <w:szCs w:val="16"/>
              </w:rPr>
              <w:t>Vindplaats afdoening</w:t>
            </w:r>
          </w:p>
        </w:tc>
      </w:tr>
      <w:tr w:rsidRPr="000C324F" w:rsidR="005D4437" w:rsidTr="007F6219" w14:paraId="06D209D1" w14:textId="77777777">
        <w:tc>
          <w:tcPr>
            <w:tcW w:w="1174" w:type="dxa"/>
          </w:tcPr>
          <w:p w:rsidRPr="000C324F" w:rsidR="005D4437" w:rsidP="006821D4" w:rsidRDefault="005D4437" w14:paraId="610386EF" w14:textId="77777777">
            <w:pPr>
              <w:rPr>
                <w:color w:val="auto"/>
                <w:sz w:val="16"/>
                <w:szCs w:val="16"/>
              </w:rPr>
            </w:pPr>
            <w:r w:rsidRPr="000C324F">
              <w:rPr>
                <w:rFonts w:eastAsia="Times New Roman" w:cs="Arial"/>
                <w:color w:val="auto"/>
                <w:sz w:val="16"/>
                <w:szCs w:val="16"/>
              </w:rPr>
              <w:t>TZ202404</w:t>
            </w:r>
          </w:p>
        </w:tc>
        <w:tc>
          <w:tcPr>
            <w:tcW w:w="1794" w:type="dxa"/>
          </w:tcPr>
          <w:p w:rsidRPr="000C324F" w:rsidR="005D4437" w:rsidP="006821D4" w:rsidRDefault="005D4437" w14:paraId="5F5C7B81" w14:textId="77777777">
            <w:pPr>
              <w:rPr>
                <w:color w:val="auto"/>
                <w:sz w:val="16"/>
                <w:szCs w:val="16"/>
              </w:rPr>
            </w:pPr>
            <w:r w:rsidRPr="000C324F">
              <w:rPr>
                <w:rFonts w:eastAsia="Times New Roman" w:cs="Arial"/>
                <w:color w:val="auto"/>
                <w:sz w:val="16"/>
                <w:szCs w:val="16"/>
              </w:rPr>
              <w:t>Plenair debat over het tekort aan plekken in de gevangenissen (11/4/2024)</w:t>
            </w:r>
          </w:p>
        </w:tc>
        <w:tc>
          <w:tcPr>
            <w:tcW w:w="1782" w:type="dxa"/>
          </w:tcPr>
          <w:p w:rsidRPr="000C324F" w:rsidR="005D4437" w:rsidP="006821D4" w:rsidRDefault="005D4437" w14:paraId="79FAE74A" w14:textId="77777777">
            <w:pPr>
              <w:rPr>
                <w:i/>
                <w:iCs/>
                <w:color w:val="auto"/>
                <w:sz w:val="16"/>
                <w:szCs w:val="16"/>
              </w:rPr>
            </w:pPr>
            <w:r w:rsidRPr="000C324F">
              <w:rPr>
                <w:rFonts w:eastAsia="Times New Roman" w:cs="Arial"/>
                <w:color w:val="auto"/>
                <w:sz w:val="16"/>
                <w:szCs w:val="16"/>
              </w:rPr>
              <w:t>De minister voor Rechtsbescherming zegt de Kamer toe om in de voortgangsbrief voor de zomer met een toekomstverkenning te komen en dieper in te gaan op innovatie en digitalisering.</w:t>
            </w:r>
          </w:p>
        </w:tc>
        <w:tc>
          <w:tcPr>
            <w:tcW w:w="1617" w:type="dxa"/>
          </w:tcPr>
          <w:p w:rsidRPr="000C324F" w:rsidR="005D4437" w:rsidP="006821D4" w:rsidRDefault="005D4437" w14:paraId="29880383" w14:textId="77777777">
            <w:pPr>
              <w:rPr>
                <w:color w:val="auto"/>
                <w:sz w:val="16"/>
                <w:szCs w:val="16"/>
              </w:rPr>
            </w:pPr>
            <w:r w:rsidRPr="000C324F">
              <w:rPr>
                <w:color w:val="auto"/>
                <w:sz w:val="16"/>
                <w:szCs w:val="16"/>
              </w:rPr>
              <w:t>In uitvoering.</w:t>
            </w:r>
          </w:p>
        </w:tc>
        <w:tc>
          <w:tcPr>
            <w:tcW w:w="1501" w:type="dxa"/>
          </w:tcPr>
          <w:p w:rsidRPr="000C324F" w:rsidR="005D4437" w:rsidP="006821D4" w:rsidRDefault="005D4437" w14:paraId="61FB755B" w14:textId="77777777">
            <w:pPr>
              <w:rPr>
                <w:color w:val="auto"/>
                <w:sz w:val="16"/>
                <w:szCs w:val="16"/>
              </w:rPr>
            </w:pPr>
            <w:r>
              <w:rPr>
                <w:color w:val="auto"/>
                <w:sz w:val="16"/>
                <w:szCs w:val="16"/>
              </w:rPr>
              <w:t>-</w:t>
            </w:r>
          </w:p>
        </w:tc>
      </w:tr>
      <w:tr w:rsidRPr="000C324F" w:rsidR="005D4437" w:rsidTr="007F6219" w14:paraId="4C78181D" w14:textId="77777777">
        <w:tc>
          <w:tcPr>
            <w:tcW w:w="1174" w:type="dxa"/>
          </w:tcPr>
          <w:p w:rsidRPr="000C324F" w:rsidR="005D4437" w:rsidP="006821D4" w:rsidRDefault="005D4437" w14:paraId="1AB9E47D" w14:textId="77777777">
            <w:pPr>
              <w:rPr>
                <w:rFonts w:eastAsia="Times New Roman"/>
                <w:color w:val="auto"/>
                <w:sz w:val="16"/>
                <w:szCs w:val="16"/>
              </w:rPr>
            </w:pPr>
            <w:r w:rsidRPr="000C324F">
              <w:rPr>
                <w:rFonts w:eastAsia="Times New Roman"/>
                <w:color w:val="auto"/>
                <w:sz w:val="16"/>
                <w:szCs w:val="16"/>
              </w:rPr>
              <w:t>TZ202509-149</w:t>
            </w:r>
          </w:p>
          <w:p w:rsidRPr="000C324F" w:rsidR="005D4437" w:rsidP="006821D4" w:rsidRDefault="005D4437" w14:paraId="687F5EC2" w14:textId="77777777">
            <w:pPr>
              <w:rPr>
                <w:rFonts w:eastAsia="Times New Roman"/>
                <w:color w:val="auto"/>
                <w:sz w:val="16"/>
                <w:szCs w:val="16"/>
              </w:rPr>
            </w:pPr>
          </w:p>
        </w:tc>
        <w:tc>
          <w:tcPr>
            <w:tcW w:w="1794" w:type="dxa"/>
          </w:tcPr>
          <w:p w:rsidRPr="000C324F" w:rsidR="005D4437" w:rsidP="006821D4" w:rsidRDefault="005D4437" w14:paraId="79632006" w14:textId="77777777">
            <w:pPr>
              <w:rPr>
                <w:rFonts w:eastAsia="Times New Roman"/>
                <w:color w:val="auto"/>
                <w:sz w:val="16"/>
                <w:szCs w:val="16"/>
              </w:rPr>
            </w:pPr>
          </w:p>
        </w:tc>
        <w:tc>
          <w:tcPr>
            <w:tcW w:w="1782" w:type="dxa"/>
          </w:tcPr>
          <w:p w:rsidRPr="000C324F" w:rsidR="005D4437" w:rsidP="006821D4" w:rsidRDefault="005D4437" w14:paraId="6AD0876E" w14:textId="77777777">
            <w:pPr>
              <w:rPr>
                <w:color w:val="auto"/>
                <w:sz w:val="16"/>
                <w:szCs w:val="16"/>
              </w:rPr>
            </w:pPr>
            <w:r w:rsidRPr="000C324F">
              <w:rPr>
                <w:color w:val="auto"/>
                <w:sz w:val="16"/>
                <w:szCs w:val="16"/>
              </w:rPr>
              <w:t>De staatssecretaris zal, in het geval de maatregel van eerder heenzenden zal oplopen naar meer dan veertien dagen, de Kamer hierover per ommegaande informeren.</w:t>
            </w:r>
          </w:p>
        </w:tc>
        <w:tc>
          <w:tcPr>
            <w:tcW w:w="1617" w:type="dxa"/>
          </w:tcPr>
          <w:p w:rsidRPr="000C324F" w:rsidR="005D4437" w:rsidP="006821D4" w:rsidRDefault="005D4437" w14:paraId="5CE86D89" w14:textId="77777777">
            <w:pPr>
              <w:rPr>
                <w:rFonts w:eastAsia="Times New Roman"/>
                <w:color w:val="auto"/>
                <w:sz w:val="16"/>
                <w:szCs w:val="16"/>
              </w:rPr>
            </w:pPr>
            <w:r>
              <w:rPr>
                <w:rFonts w:eastAsia="Times New Roman"/>
                <w:color w:val="auto"/>
                <w:sz w:val="16"/>
                <w:szCs w:val="16"/>
              </w:rPr>
              <w:t>In uitvoering.</w:t>
            </w:r>
          </w:p>
        </w:tc>
        <w:tc>
          <w:tcPr>
            <w:tcW w:w="1501" w:type="dxa"/>
          </w:tcPr>
          <w:p w:rsidRPr="000C324F" w:rsidR="005D4437" w:rsidP="006821D4" w:rsidRDefault="005D4437" w14:paraId="5BBF143C" w14:textId="77777777">
            <w:pPr>
              <w:tabs>
                <w:tab w:val="center" w:pos="3770"/>
              </w:tabs>
              <w:rPr>
                <w:color w:val="auto"/>
                <w:sz w:val="16"/>
                <w:szCs w:val="16"/>
              </w:rPr>
            </w:pPr>
            <w:r>
              <w:rPr>
                <w:color w:val="auto"/>
                <w:sz w:val="16"/>
                <w:szCs w:val="16"/>
              </w:rPr>
              <w:t>-</w:t>
            </w:r>
            <w:r w:rsidRPr="000C324F">
              <w:rPr>
                <w:color w:val="auto"/>
                <w:sz w:val="16"/>
                <w:szCs w:val="16"/>
              </w:rPr>
              <w:t xml:space="preserve"> </w:t>
            </w:r>
          </w:p>
        </w:tc>
      </w:tr>
      <w:tr w:rsidRPr="000C324F" w:rsidR="005D4437" w:rsidTr="007F6219" w14:paraId="54F0FF64" w14:textId="77777777">
        <w:tc>
          <w:tcPr>
            <w:tcW w:w="1174" w:type="dxa"/>
          </w:tcPr>
          <w:p w:rsidRPr="0043513B" w:rsidR="005D4437" w:rsidP="006821D4" w:rsidRDefault="005D4437" w14:paraId="3641F3F7" w14:textId="77777777">
            <w:pPr>
              <w:rPr>
                <w:rFonts w:eastAsia="Times New Roman"/>
                <w:color w:val="auto"/>
                <w:sz w:val="16"/>
                <w:szCs w:val="16"/>
              </w:rPr>
            </w:pPr>
            <w:r w:rsidRPr="0043513B">
              <w:rPr>
                <w:rFonts w:eastAsia="Times New Roman"/>
                <w:color w:val="auto"/>
                <w:sz w:val="16"/>
                <w:szCs w:val="16"/>
              </w:rPr>
              <w:t>36800-VI</w:t>
            </w:r>
          </w:p>
          <w:p w:rsidRPr="000C324F" w:rsidR="005D4437" w:rsidP="006821D4" w:rsidRDefault="005D4437" w14:paraId="1B3925FF" w14:textId="77777777">
            <w:pPr>
              <w:rPr>
                <w:rFonts w:eastAsia="Times New Roman"/>
                <w:color w:val="auto"/>
                <w:sz w:val="16"/>
                <w:szCs w:val="16"/>
              </w:rPr>
            </w:pPr>
          </w:p>
        </w:tc>
        <w:tc>
          <w:tcPr>
            <w:tcW w:w="1794" w:type="dxa"/>
          </w:tcPr>
          <w:p w:rsidRPr="000C324F" w:rsidR="005D4437" w:rsidP="006821D4" w:rsidRDefault="005D4437" w14:paraId="7A736440" w14:textId="77777777">
            <w:pPr>
              <w:rPr>
                <w:rFonts w:eastAsia="Times New Roman"/>
                <w:color w:val="auto"/>
                <w:sz w:val="16"/>
                <w:szCs w:val="16"/>
              </w:rPr>
            </w:pPr>
          </w:p>
        </w:tc>
        <w:tc>
          <w:tcPr>
            <w:tcW w:w="1782" w:type="dxa"/>
          </w:tcPr>
          <w:p w:rsidRPr="000C324F" w:rsidR="005D4437" w:rsidP="006821D4" w:rsidRDefault="005D4437" w14:paraId="37D9E96E" w14:textId="77777777">
            <w:pPr>
              <w:rPr>
                <w:color w:val="auto"/>
                <w:sz w:val="16"/>
                <w:szCs w:val="16"/>
              </w:rPr>
            </w:pPr>
            <w:r w:rsidRPr="0043513B">
              <w:rPr>
                <w:color w:val="auto"/>
                <w:sz w:val="16"/>
                <w:szCs w:val="16"/>
              </w:rPr>
              <w:t xml:space="preserve">De staatssecretaris zegt toe om met de Kamer te delen wanneer </w:t>
            </w:r>
            <w:proofErr w:type="spellStart"/>
            <w:r w:rsidRPr="0043513B">
              <w:rPr>
                <w:color w:val="auto"/>
                <w:sz w:val="16"/>
                <w:szCs w:val="16"/>
              </w:rPr>
              <w:t>PI’s</w:t>
            </w:r>
            <w:proofErr w:type="spellEnd"/>
            <w:r w:rsidRPr="0043513B">
              <w:rPr>
                <w:color w:val="auto"/>
                <w:sz w:val="16"/>
                <w:szCs w:val="16"/>
              </w:rPr>
              <w:t xml:space="preserve"> verbouwd moeten worden en welke gevolgen dat heeft voor de capaciteit</w:t>
            </w:r>
          </w:p>
        </w:tc>
        <w:tc>
          <w:tcPr>
            <w:tcW w:w="1617" w:type="dxa"/>
          </w:tcPr>
          <w:p w:rsidRPr="0043513B" w:rsidR="005D4437" w:rsidP="006821D4" w:rsidRDefault="005D4437" w14:paraId="3DDCF64E" w14:textId="77777777">
            <w:pPr>
              <w:rPr>
                <w:color w:val="auto"/>
                <w:sz w:val="16"/>
                <w:szCs w:val="16"/>
              </w:rPr>
            </w:pPr>
            <w:r w:rsidRPr="0043513B">
              <w:rPr>
                <w:color w:val="auto"/>
                <w:sz w:val="16"/>
                <w:szCs w:val="16"/>
              </w:rPr>
              <w:t>In uitvoering</w:t>
            </w:r>
          </w:p>
        </w:tc>
        <w:tc>
          <w:tcPr>
            <w:tcW w:w="1501" w:type="dxa"/>
          </w:tcPr>
          <w:p w:rsidR="005D4437" w:rsidP="006821D4" w:rsidRDefault="005D4437" w14:paraId="60E1E3E7" w14:textId="77777777">
            <w:pPr>
              <w:tabs>
                <w:tab w:val="center" w:pos="3770"/>
              </w:tabs>
              <w:rPr>
                <w:color w:val="auto"/>
                <w:sz w:val="16"/>
                <w:szCs w:val="16"/>
              </w:rPr>
            </w:pPr>
            <w:r>
              <w:rPr>
                <w:color w:val="auto"/>
                <w:sz w:val="16"/>
                <w:szCs w:val="16"/>
              </w:rPr>
              <w:t>-</w:t>
            </w:r>
          </w:p>
        </w:tc>
      </w:tr>
    </w:tbl>
    <w:p w:rsidR="005129F7" w:rsidRDefault="005129F7" w14:paraId="3F86FC2E" w14:textId="77777777"/>
    <w:sectPr w:rsidR="005129F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800001FF" w:csb1="00000000"/>
  </w:font>
  <w:font w:name="Lohit Hindi">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454B6"/>
    <w:multiLevelType w:val="multilevel"/>
    <w:tmpl w:val="16B6BBC8"/>
    <w:lvl w:ilvl="0">
      <w:start w:val="1"/>
      <w:numFmt w:val="bullet"/>
      <w:lvlText w:val=""/>
      <w:lvlJc w:val="left"/>
      <w:pPr>
        <w:tabs>
          <w:tab w:val="num" w:pos="360"/>
        </w:tabs>
        <w:ind w:left="360" w:hanging="360"/>
      </w:pPr>
      <w:rPr>
        <w:rFonts w:ascii="Symbol" w:hAnsi="Symbol" w:hint="default"/>
        <w:sz w:val="16"/>
        <w:szCs w:val="16"/>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C0E0968"/>
    <w:multiLevelType w:val="hybridMultilevel"/>
    <w:tmpl w:val="467A23E4"/>
    <w:lvl w:ilvl="0" w:tplc="E4C291BC">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1713712">
    <w:abstractNumId w:val="0"/>
  </w:num>
  <w:num w:numId="2" w16cid:durableId="696321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437"/>
    <w:rsid w:val="00030B43"/>
    <w:rsid w:val="00092217"/>
    <w:rsid w:val="00152670"/>
    <w:rsid w:val="0025240E"/>
    <w:rsid w:val="002E3AE0"/>
    <w:rsid w:val="003C7F97"/>
    <w:rsid w:val="004153F7"/>
    <w:rsid w:val="005129F7"/>
    <w:rsid w:val="005840A2"/>
    <w:rsid w:val="005D4437"/>
    <w:rsid w:val="00616314"/>
    <w:rsid w:val="00632207"/>
    <w:rsid w:val="006C6BCF"/>
    <w:rsid w:val="007A2057"/>
    <w:rsid w:val="007C6E7D"/>
    <w:rsid w:val="007F6219"/>
    <w:rsid w:val="00970BDF"/>
    <w:rsid w:val="00C06A93"/>
    <w:rsid w:val="00C1227C"/>
    <w:rsid w:val="00CC13D1"/>
    <w:rsid w:val="00D17C88"/>
    <w:rsid w:val="00E00FB3"/>
    <w:rsid w:val="00F317CE"/>
    <w:rsid w:val="00F67287"/>
    <w:rsid w:val="00FC7D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06FE"/>
  <w15:chartTrackingRefBased/>
  <w15:docId w15:val="{83EB79B0-EFC2-4638-B704-6AFB9BAF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4437"/>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5D4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4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44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44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44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443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443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443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443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44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44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44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44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44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44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44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44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4437"/>
    <w:rPr>
      <w:rFonts w:eastAsiaTheme="majorEastAsia" w:cstheme="majorBidi"/>
      <w:color w:val="272727" w:themeColor="text1" w:themeTint="D8"/>
    </w:rPr>
  </w:style>
  <w:style w:type="paragraph" w:styleId="Titel">
    <w:name w:val="Title"/>
    <w:basedOn w:val="Standaard"/>
    <w:next w:val="Standaard"/>
    <w:link w:val="TitelChar"/>
    <w:uiPriority w:val="10"/>
    <w:qFormat/>
    <w:rsid w:val="005D4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44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44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44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44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4437"/>
    <w:rPr>
      <w:i/>
      <w:iCs/>
      <w:color w:val="404040" w:themeColor="text1" w:themeTint="BF"/>
    </w:rPr>
  </w:style>
  <w:style w:type="paragraph" w:styleId="Lijstalinea">
    <w:name w:val="List Paragraph"/>
    <w:basedOn w:val="Standaard"/>
    <w:uiPriority w:val="34"/>
    <w:qFormat/>
    <w:rsid w:val="005D4437"/>
    <w:pPr>
      <w:ind w:left="720"/>
      <w:contextualSpacing/>
    </w:pPr>
  </w:style>
  <w:style w:type="character" w:styleId="Intensievebenadrukking">
    <w:name w:val="Intense Emphasis"/>
    <w:basedOn w:val="Standaardalinea-lettertype"/>
    <w:uiPriority w:val="21"/>
    <w:qFormat/>
    <w:rsid w:val="005D4437"/>
    <w:rPr>
      <w:i/>
      <w:iCs/>
      <w:color w:val="0F4761" w:themeColor="accent1" w:themeShade="BF"/>
    </w:rPr>
  </w:style>
  <w:style w:type="paragraph" w:styleId="Duidelijkcitaat">
    <w:name w:val="Intense Quote"/>
    <w:basedOn w:val="Standaard"/>
    <w:next w:val="Standaard"/>
    <w:link w:val="DuidelijkcitaatChar"/>
    <w:uiPriority w:val="30"/>
    <w:qFormat/>
    <w:rsid w:val="005D4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4437"/>
    <w:rPr>
      <w:i/>
      <w:iCs/>
      <w:color w:val="0F4761" w:themeColor="accent1" w:themeShade="BF"/>
    </w:rPr>
  </w:style>
  <w:style w:type="character" w:styleId="Intensieveverwijzing">
    <w:name w:val="Intense Reference"/>
    <w:basedOn w:val="Standaardalinea-lettertype"/>
    <w:uiPriority w:val="32"/>
    <w:qFormat/>
    <w:rsid w:val="005D4437"/>
    <w:rPr>
      <w:b/>
      <w:bCs/>
      <w:smallCaps/>
      <w:color w:val="0F4761" w:themeColor="accent1" w:themeShade="BF"/>
      <w:spacing w:val="5"/>
    </w:rPr>
  </w:style>
  <w:style w:type="table" w:styleId="Tabelraster">
    <w:name w:val="Table Grid"/>
    <w:uiPriority w:val="39"/>
    <w:rsid w:val="005D443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CC13D1"/>
    <w:rPr>
      <w:sz w:val="16"/>
      <w:szCs w:val="16"/>
    </w:rPr>
  </w:style>
  <w:style w:type="paragraph" w:styleId="Tekstopmerking">
    <w:name w:val="annotation text"/>
    <w:basedOn w:val="Standaard"/>
    <w:link w:val="TekstopmerkingChar"/>
    <w:uiPriority w:val="99"/>
    <w:unhideWhenUsed/>
    <w:rsid w:val="00CC13D1"/>
    <w:pPr>
      <w:spacing w:line="240" w:lineRule="auto"/>
    </w:pPr>
    <w:rPr>
      <w:sz w:val="20"/>
      <w:szCs w:val="20"/>
    </w:rPr>
  </w:style>
  <w:style w:type="character" w:customStyle="1" w:styleId="TekstopmerkingChar">
    <w:name w:val="Tekst opmerking Char"/>
    <w:basedOn w:val="Standaardalinea-lettertype"/>
    <w:link w:val="Tekstopmerking"/>
    <w:uiPriority w:val="99"/>
    <w:rsid w:val="00CC13D1"/>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C13D1"/>
    <w:rPr>
      <w:b/>
      <w:bCs/>
    </w:rPr>
  </w:style>
  <w:style w:type="character" w:customStyle="1" w:styleId="OnderwerpvanopmerkingChar">
    <w:name w:val="Onderwerp van opmerking Char"/>
    <w:basedOn w:val="TekstopmerkingChar"/>
    <w:link w:val="Onderwerpvanopmerking"/>
    <w:uiPriority w:val="99"/>
    <w:semiHidden/>
    <w:rsid w:val="00CC13D1"/>
    <w:rPr>
      <w:rFonts w:ascii="Verdana" w:eastAsia="DejaVu Sans" w:hAnsi="Verdana" w:cs="Lohit Hindi"/>
      <w:b/>
      <w:bCs/>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328</ap:Words>
  <ap:Characters>1807</ap:Characters>
  <ap:DocSecurity>0</ap:DocSecurity>
  <ap:Lines>15</ap:Lines>
  <ap:Paragraphs>4</ap:Paragraphs>
  <ap:ScaleCrop>false</ap:ScaleCrop>
  <ap:LinksUpToDate>false</ap:LinksUpToDate>
  <ap:CharactersWithSpaces>2131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2026-03-06T15:08:00.0000000Z</dcterms:created>
  <dcterms:modified xsi:type="dcterms:W3CDTF">2026-03-06T15:08:00.0000000Z</dcterms:modified>
  <version/>
  <category/>
</coreProperties>
</file>