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731" w:rsidR="00BF7731" w:rsidP="00BF7731" w:rsidRDefault="00B64BAC" w14:paraId="6C80E8D5" w14:textId="53492F94">
      <w:pPr>
        <w:ind w:left="2124" w:hanging="2124"/>
        <w:rPr>
          <w:rFonts w:ascii="Calibri" w:hAnsi="Calibri" w:cs="Calibri"/>
          <w:szCs w:val="22"/>
        </w:rPr>
      </w:pPr>
      <w:bookmarkStart w:name="OLE_LINK1" w:id="0"/>
      <w:bookmarkStart w:name="OLE_LINK2" w:id="1"/>
      <w:r w:rsidRPr="00BF7731">
        <w:rPr>
          <w:rFonts w:ascii="Calibri" w:hAnsi="Calibri" w:cs="Calibri"/>
          <w:bCs/>
          <w:szCs w:val="22"/>
        </w:rPr>
        <w:t>22112</w:t>
      </w:r>
      <w:r w:rsidRPr="00BF7731" w:rsidR="00BF7731">
        <w:rPr>
          <w:rFonts w:ascii="Calibri" w:hAnsi="Calibri" w:cs="Calibri"/>
          <w:bCs/>
          <w:szCs w:val="22"/>
        </w:rPr>
        <w:tab/>
      </w:r>
      <w:r w:rsidRPr="00BF7731" w:rsidR="00BF7731">
        <w:rPr>
          <w:rFonts w:ascii="Calibri" w:hAnsi="Calibri" w:cs="Calibri"/>
          <w:szCs w:val="22"/>
        </w:rPr>
        <w:t>Nieuwe Commissievoorstellen en initiatieven van de lidstaten van de Europese Unie</w:t>
      </w:r>
    </w:p>
    <w:p w:rsidRPr="00BF7731" w:rsidR="00BF7731" w:rsidP="00BF7731" w:rsidRDefault="00BF7731" w14:paraId="6E9426BB" w14:textId="77777777">
      <w:pPr>
        <w:ind w:left="2124" w:hanging="2124"/>
        <w:rPr>
          <w:rFonts w:ascii="Calibri" w:hAnsi="Calibri" w:cs="Calibri"/>
          <w:szCs w:val="22"/>
        </w:rPr>
      </w:pPr>
    </w:p>
    <w:p w:rsidRPr="00BF7731" w:rsidR="00BF7731" w:rsidP="00D80872" w:rsidRDefault="00BF7731" w14:paraId="703387FE" w14:textId="77777777">
      <w:pPr>
        <w:rPr>
          <w:rFonts w:ascii="Calibri" w:hAnsi="Calibri" w:cs="Calibri"/>
          <w:szCs w:val="22"/>
        </w:rPr>
      </w:pPr>
      <w:r w:rsidRPr="00BF7731">
        <w:rPr>
          <w:rFonts w:ascii="Calibri" w:hAnsi="Calibri" w:cs="Calibri"/>
          <w:bCs/>
          <w:szCs w:val="22"/>
        </w:rPr>
        <w:t>Nr. 4284</w:t>
      </w:r>
      <w:r w:rsidRPr="00BF7731">
        <w:rPr>
          <w:rFonts w:ascii="Calibri" w:hAnsi="Calibri" w:cs="Calibri"/>
          <w:bCs/>
          <w:szCs w:val="22"/>
        </w:rPr>
        <w:tab/>
      </w:r>
      <w:r w:rsidRPr="00BF7731">
        <w:rPr>
          <w:rFonts w:ascii="Calibri" w:hAnsi="Calibri" w:cs="Calibri"/>
          <w:bCs/>
          <w:szCs w:val="22"/>
        </w:rPr>
        <w:tab/>
        <w:t xml:space="preserve">Brief van de </w:t>
      </w:r>
      <w:r w:rsidRPr="00BF7731">
        <w:rPr>
          <w:rFonts w:ascii="Calibri" w:hAnsi="Calibri" w:cs="Calibri"/>
          <w:szCs w:val="22"/>
        </w:rPr>
        <w:t>minister van Buitenlandse Zaken</w:t>
      </w:r>
    </w:p>
    <w:p w:rsidRPr="00BF7731" w:rsidR="00BF7731" w:rsidP="00B64BAC" w:rsidRDefault="00BF7731" w14:paraId="50569EC4" w14:textId="77777777">
      <w:pPr>
        <w:rPr>
          <w:rFonts w:ascii="Calibri" w:hAnsi="Calibri" w:cs="Calibri"/>
          <w:bCs/>
          <w:szCs w:val="22"/>
        </w:rPr>
      </w:pPr>
    </w:p>
    <w:p w:rsidRPr="00BF7731" w:rsidR="00BF7731" w:rsidP="00B64BAC" w:rsidRDefault="00BF7731" w14:paraId="3960C5D7" w14:textId="77777777">
      <w:pPr>
        <w:rPr>
          <w:rFonts w:ascii="Calibri" w:hAnsi="Calibri" w:cs="Calibri"/>
          <w:bCs/>
          <w:szCs w:val="22"/>
        </w:rPr>
      </w:pPr>
      <w:r w:rsidRPr="00BF7731">
        <w:rPr>
          <w:rFonts w:ascii="Calibri" w:hAnsi="Calibri" w:cs="Calibri"/>
          <w:bCs/>
          <w:szCs w:val="22"/>
        </w:rPr>
        <w:t>Aan de Voorzitter van de Tweede Kamer der Staten-Generaal</w:t>
      </w:r>
    </w:p>
    <w:p w:rsidRPr="00BF7731" w:rsidR="00BF7731" w:rsidP="00B64BAC" w:rsidRDefault="00BF7731" w14:paraId="225FC829" w14:textId="77777777">
      <w:pPr>
        <w:rPr>
          <w:rFonts w:ascii="Calibri" w:hAnsi="Calibri" w:cs="Calibri"/>
          <w:bCs/>
          <w:szCs w:val="22"/>
        </w:rPr>
      </w:pPr>
    </w:p>
    <w:p w:rsidRPr="00BF7731" w:rsidR="00B64BAC" w:rsidP="00B64BAC" w:rsidRDefault="00BF7731" w14:paraId="097AFE30" w14:textId="4215AB20">
      <w:pPr>
        <w:rPr>
          <w:rFonts w:ascii="Calibri" w:hAnsi="Calibri" w:cs="Calibri"/>
          <w:bCs/>
          <w:szCs w:val="22"/>
        </w:rPr>
      </w:pPr>
      <w:r w:rsidRPr="00BF7731">
        <w:rPr>
          <w:rFonts w:ascii="Calibri" w:hAnsi="Calibri" w:cs="Calibri"/>
          <w:bCs/>
          <w:szCs w:val="22"/>
        </w:rPr>
        <w:t>Den Haag, 6 maart 2026</w:t>
      </w:r>
      <w:r w:rsidRPr="00BF7731">
        <w:rPr>
          <w:rFonts w:ascii="Calibri" w:hAnsi="Calibri" w:cs="Calibri"/>
          <w:bCs/>
          <w:szCs w:val="22"/>
        </w:rPr>
        <w:tab/>
      </w:r>
      <w:r w:rsidRPr="00BF7731" w:rsidR="00B64BAC">
        <w:rPr>
          <w:rFonts w:ascii="Calibri" w:hAnsi="Calibri" w:cs="Calibri"/>
          <w:bCs/>
          <w:szCs w:val="22"/>
        </w:rPr>
        <w:br/>
      </w:r>
      <w:r w:rsidRPr="00BF7731" w:rsidR="00B64BAC">
        <w:rPr>
          <w:rFonts w:ascii="Calibri" w:hAnsi="Calibri" w:cs="Calibri"/>
          <w:bCs/>
          <w:szCs w:val="22"/>
        </w:rPr>
        <w:br/>
        <w:t>Overeenkomstig de bestaande afspraken ontvangt u hierbij vier fiches die werden opgesteld door de werkgroep Beoordeling Nieuwe Commissie voorstellen (BNC).</w:t>
      </w:r>
    </w:p>
    <w:p w:rsidRPr="00BF7731" w:rsidR="00B64BAC" w:rsidP="00B64BAC" w:rsidRDefault="00B64BAC" w14:paraId="4E763255" w14:textId="77777777">
      <w:pPr>
        <w:pStyle w:val="Geenafstand"/>
        <w:rPr>
          <w:rFonts w:ascii="Calibri" w:hAnsi="Calibri" w:cs="Calibri"/>
          <w:szCs w:val="22"/>
        </w:rPr>
      </w:pPr>
    </w:p>
    <w:p w:rsidRPr="00BF7731" w:rsidR="00B64BAC" w:rsidP="00B64BAC" w:rsidRDefault="00B64BAC" w14:paraId="2775B7E1" w14:textId="5A46AFD7">
      <w:pPr>
        <w:rPr>
          <w:rFonts w:ascii="Calibri" w:hAnsi="Calibri" w:cs="Calibri"/>
          <w:szCs w:val="22"/>
        </w:rPr>
      </w:pPr>
      <w:r w:rsidRPr="00BF7731">
        <w:rPr>
          <w:rFonts w:ascii="Calibri" w:hAnsi="Calibri" w:cs="Calibri"/>
          <w:szCs w:val="22"/>
        </w:rPr>
        <w:t xml:space="preserve">Fiche: Verordening versterking </w:t>
      </w:r>
      <w:r w:rsidRPr="00BF7731">
        <w:rPr>
          <w:rFonts w:ascii="Calibri" w:hAnsi="Calibri" w:cs="Calibri"/>
          <w:i/>
          <w:iCs/>
          <w:szCs w:val="22"/>
        </w:rPr>
        <w:t xml:space="preserve">Carbon Border </w:t>
      </w:r>
      <w:proofErr w:type="spellStart"/>
      <w:r w:rsidRPr="00BF7731">
        <w:rPr>
          <w:rFonts w:ascii="Calibri" w:hAnsi="Calibri" w:cs="Calibri"/>
          <w:i/>
          <w:iCs/>
          <w:szCs w:val="22"/>
        </w:rPr>
        <w:t>Adjustment</w:t>
      </w:r>
      <w:proofErr w:type="spellEnd"/>
      <w:r w:rsidRPr="00BF7731">
        <w:rPr>
          <w:rFonts w:ascii="Calibri" w:hAnsi="Calibri" w:cs="Calibri"/>
          <w:i/>
          <w:iCs/>
          <w:szCs w:val="22"/>
        </w:rPr>
        <w:t xml:space="preserve"> </w:t>
      </w:r>
      <w:proofErr w:type="spellStart"/>
      <w:r w:rsidRPr="00BF7731">
        <w:rPr>
          <w:rFonts w:ascii="Calibri" w:hAnsi="Calibri" w:cs="Calibri"/>
          <w:i/>
          <w:iCs/>
          <w:szCs w:val="22"/>
        </w:rPr>
        <w:t>Mechanism</w:t>
      </w:r>
      <w:proofErr w:type="spellEnd"/>
      <w:r w:rsidRPr="00BF7731">
        <w:rPr>
          <w:rFonts w:ascii="Calibri" w:hAnsi="Calibri" w:cs="Calibri"/>
          <w:szCs w:val="22"/>
        </w:rPr>
        <w:t xml:space="preserve"> en verordening Tijdelijk Fonds voor Koolstofvrijmaking (Kamerstuk 22 112, nr. 4283)</w:t>
      </w:r>
    </w:p>
    <w:p w:rsidRPr="00BF7731" w:rsidR="00B64BAC" w:rsidP="00B64BAC" w:rsidRDefault="00B64BAC" w14:paraId="6A1BF3C6" w14:textId="1C2CF1EF">
      <w:pPr>
        <w:rPr>
          <w:rFonts w:ascii="Calibri" w:hAnsi="Calibri" w:cs="Calibri"/>
          <w:szCs w:val="22"/>
        </w:rPr>
      </w:pPr>
      <w:r w:rsidRPr="00BF7731">
        <w:rPr>
          <w:rFonts w:ascii="Calibri" w:hAnsi="Calibri" w:cs="Calibri"/>
          <w:szCs w:val="22"/>
        </w:rPr>
        <w:t xml:space="preserve">Fiche: Simplificatie NIS2-richtlijn </w:t>
      </w:r>
    </w:p>
    <w:p w:rsidRPr="00BF7731" w:rsidR="00B64BAC" w:rsidP="00B64BAC" w:rsidRDefault="00B64BAC" w14:paraId="4D63E63E" w14:textId="77777777">
      <w:pPr>
        <w:rPr>
          <w:rFonts w:ascii="Calibri" w:hAnsi="Calibri" w:cs="Calibri"/>
          <w:szCs w:val="22"/>
        </w:rPr>
      </w:pPr>
      <w:r w:rsidRPr="00BF7731">
        <w:rPr>
          <w:rFonts w:ascii="Calibri" w:hAnsi="Calibri" w:cs="Calibri"/>
          <w:szCs w:val="22"/>
        </w:rPr>
        <w:t xml:space="preserve">Fiche: Mededeling EU </w:t>
      </w:r>
      <w:r w:rsidRPr="00BF7731">
        <w:rPr>
          <w:rFonts w:ascii="Calibri" w:hAnsi="Calibri" w:cs="Calibri"/>
          <w:i/>
          <w:iCs/>
          <w:szCs w:val="22"/>
        </w:rPr>
        <w:t>Anti-</w:t>
      </w:r>
      <w:proofErr w:type="spellStart"/>
      <w:r w:rsidRPr="00BF7731">
        <w:rPr>
          <w:rFonts w:ascii="Calibri" w:hAnsi="Calibri" w:cs="Calibri"/>
          <w:i/>
          <w:iCs/>
          <w:szCs w:val="22"/>
        </w:rPr>
        <w:t>Racism</w:t>
      </w:r>
      <w:proofErr w:type="spellEnd"/>
      <w:r w:rsidRPr="00BF7731">
        <w:rPr>
          <w:rFonts w:ascii="Calibri" w:hAnsi="Calibri" w:cs="Calibri"/>
          <w:i/>
          <w:iCs/>
          <w:szCs w:val="22"/>
        </w:rPr>
        <w:t xml:space="preserve"> </w:t>
      </w:r>
      <w:proofErr w:type="spellStart"/>
      <w:r w:rsidRPr="00BF7731">
        <w:rPr>
          <w:rFonts w:ascii="Calibri" w:hAnsi="Calibri" w:cs="Calibri"/>
          <w:i/>
          <w:iCs/>
          <w:szCs w:val="22"/>
        </w:rPr>
        <w:t>Strategy</w:t>
      </w:r>
      <w:proofErr w:type="spellEnd"/>
      <w:r w:rsidRPr="00BF7731">
        <w:rPr>
          <w:rFonts w:ascii="Calibri" w:hAnsi="Calibri" w:cs="Calibri"/>
          <w:szCs w:val="22"/>
        </w:rPr>
        <w:t xml:space="preserve"> 2026-2030 (Kamerstuk 22 112, nr. 4285)</w:t>
      </w:r>
    </w:p>
    <w:p w:rsidRPr="00BF7731" w:rsidR="00B64BAC" w:rsidP="00B64BAC" w:rsidRDefault="00B64BAC" w14:paraId="0C84C745" w14:textId="77777777">
      <w:pPr>
        <w:rPr>
          <w:rFonts w:ascii="Calibri" w:hAnsi="Calibri" w:cs="Calibri"/>
          <w:szCs w:val="22"/>
        </w:rPr>
      </w:pPr>
      <w:r w:rsidRPr="00BF7731">
        <w:rPr>
          <w:rFonts w:ascii="Calibri" w:hAnsi="Calibri" w:cs="Calibri"/>
          <w:szCs w:val="22"/>
        </w:rPr>
        <w:t xml:space="preserve">Fiche: Herziening </w:t>
      </w:r>
      <w:r w:rsidRPr="00BF7731">
        <w:rPr>
          <w:rFonts w:ascii="Calibri" w:hAnsi="Calibri" w:cs="Calibri"/>
          <w:i/>
          <w:iCs/>
          <w:szCs w:val="22"/>
        </w:rPr>
        <w:t>Cybersecurity Act (Kamerstuk 22 12, nr. 4286)</w:t>
      </w:r>
      <w:r w:rsidRPr="00BF7731">
        <w:rPr>
          <w:rFonts w:ascii="Calibri" w:hAnsi="Calibri" w:cs="Calibri"/>
          <w:szCs w:val="22"/>
        </w:rPr>
        <w:t xml:space="preserve">  </w:t>
      </w:r>
    </w:p>
    <w:p w:rsidRPr="00BF7731" w:rsidR="00B64BAC" w:rsidP="00B64BAC" w:rsidRDefault="00B64BAC" w14:paraId="5CDD6760" w14:textId="77777777">
      <w:pPr>
        <w:rPr>
          <w:rFonts w:ascii="Calibri" w:hAnsi="Calibri" w:cs="Calibri"/>
          <w:szCs w:val="22"/>
        </w:rPr>
      </w:pPr>
    </w:p>
    <w:p w:rsidRPr="00BF7731" w:rsidR="00B64BAC" w:rsidP="00B64BAC" w:rsidRDefault="00B64BAC" w14:paraId="34D3A864" w14:textId="77777777">
      <w:pPr>
        <w:rPr>
          <w:rFonts w:ascii="Calibri" w:hAnsi="Calibri" w:cs="Calibri"/>
          <w:bCs/>
          <w:szCs w:val="22"/>
        </w:rPr>
      </w:pPr>
      <w:r w:rsidRPr="00BF7731">
        <w:rPr>
          <w:rFonts w:ascii="Calibri" w:hAnsi="Calibri" w:cs="Calibri"/>
          <w:bCs/>
          <w:szCs w:val="22"/>
        </w:rPr>
        <w:t xml:space="preserve">   </w:t>
      </w:r>
    </w:p>
    <w:p w:rsidRPr="00BF7731" w:rsidR="00B64BAC" w:rsidP="00B64BAC" w:rsidRDefault="00B64BAC" w14:paraId="36EFC7FD" w14:textId="77777777">
      <w:pPr>
        <w:rPr>
          <w:rFonts w:ascii="Calibri" w:hAnsi="Calibri" w:cs="Calibri"/>
          <w:bCs/>
          <w:szCs w:val="22"/>
        </w:rPr>
      </w:pPr>
      <w:r w:rsidRPr="00BF7731">
        <w:rPr>
          <w:rFonts w:ascii="Calibri" w:hAnsi="Calibri" w:cs="Calibri"/>
          <w:bCs/>
          <w:szCs w:val="22"/>
        </w:rPr>
        <w:t>De minister van Buitenlandse Zaken,</w:t>
      </w:r>
    </w:p>
    <w:p w:rsidRPr="00BF7731" w:rsidR="00B64BAC" w:rsidP="00B64BAC" w:rsidRDefault="00B64BAC" w14:paraId="50348263" w14:textId="27D80F93">
      <w:pPr>
        <w:pStyle w:val="Kop1"/>
        <w:numPr>
          <w:ilvl w:val="0"/>
          <w:numId w:val="0"/>
        </w:numPr>
        <w:spacing w:before="0" w:after="0" w:line="360" w:lineRule="auto"/>
        <w:rPr>
          <w:rFonts w:ascii="Calibri" w:hAnsi="Calibri" w:cs="Calibri"/>
          <w:bCs/>
          <w:sz w:val="22"/>
          <w:szCs w:val="22"/>
        </w:rPr>
      </w:pPr>
      <w:r w:rsidRPr="00BF7731">
        <w:rPr>
          <w:rFonts w:ascii="Calibri" w:hAnsi="Calibri" w:cs="Calibri"/>
          <w:b w:val="0"/>
          <w:sz w:val="22"/>
          <w:szCs w:val="22"/>
        </w:rPr>
        <w:t>T.B.W. Berendsen</w:t>
      </w:r>
    </w:p>
    <w:p w:rsidRPr="00BF7731" w:rsidR="00B64BAC" w:rsidP="00B64BAC" w:rsidRDefault="00B64BAC" w14:paraId="56B51B21" w14:textId="77777777">
      <w:pPr>
        <w:rPr>
          <w:rFonts w:ascii="Calibri" w:hAnsi="Calibri" w:cs="Calibri"/>
          <w:szCs w:val="22"/>
        </w:rPr>
      </w:pPr>
    </w:p>
    <w:p w:rsidRPr="00BF7731" w:rsidR="00B64BAC" w:rsidP="00B64BAC" w:rsidRDefault="00B64BAC" w14:paraId="02E3A8D2" w14:textId="77777777">
      <w:pPr>
        <w:rPr>
          <w:rFonts w:ascii="Calibri" w:hAnsi="Calibri" w:cs="Calibri"/>
          <w:szCs w:val="22"/>
        </w:rPr>
      </w:pPr>
    </w:p>
    <w:p w:rsidRPr="00BF7731" w:rsidR="00B64BAC" w:rsidP="00B64BAC" w:rsidRDefault="00B64BAC" w14:paraId="38EE7169" w14:textId="77777777">
      <w:pPr>
        <w:rPr>
          <w:rFonts w:ascii="Calibri" w:hAnsi="Calibri" w:cs="Calibri"/>
          <w:szCs w:val="22"/>
        </w:rPr>
      </w:pPr>
    </w:p>
    <w:p w:rsidRPr="00BF7731" w:rsidR="00B64BAC" w:rsidP="00B64BAC" w:rsidRDefault="00B64BAC" w14:paraId="3F9860BC" w14:textId="77777777">
      <w:pPr>
        <w:rPr>
          <w:rFonts w:ascii="Calibri" w:hAnsi="Calibri" w:cs="Calibri"/>
          <w:szCs w:val="22"/>
        </w:rPr>
      </w:pPr>
    </w:p>
    <w:p w:rsidRPr="00BF7731" w:rsidR="00B64BAC" w:rsidP="00B64BAC" w:rsidRDefault="00B64BAC" w14:paraId="1D21613C" w14:textId="77777777">
      <w:pPr>
        <w:rPr>
          <w:rFonts w:ascii="Calibri" w:hAnsi="Calibri" w:cs="Calibri"/>
          <w:szCs w:val="22"/>
        </w:rPr>
      </w:pPr>
    </w:p>
    <w:p w:rsidRPr="00BF7731" w:rsidR="00B64BAC" w:rsidP="00B64BAC" w:rsidRDefault="00B64BAC" w14:paraId="0F162DD4" w14:textId="77777777">
      <w:pPr>
        <w:rPr>
          <w:rFonts w:ascii="Calibri" w:hAnsi="Calibri" w:cs="Calibri"/>
          <w:szCs w:val="22"/>
        </w:rPr>
      </w:pPr>
    </w:p>
    <w:p w:rsidRPr="00BF7731" w:rsidR="00B64BAC" w:rsidP="00B64BAC" w:rsidRDefault="00B64BAC" w14:paraId="5CB9F777" w14:textId="77777777">
      <w:pPr>
        <w:rPr>
          <w:rFonts w:ascii="Calibri" w:hAnsi="Calibri" w:cs="Calibri"/>
          <w:szCs w:val="22"/>
        </w:rPr>
      </w:pPr>
    </w:p>
    <w:p w:rsidRPr="00BF7731" w:rsidR="00B64BAC" w:rsidP="00B64BAC" w:rsidRDefault="00B64BAC" w14:paraId="662DFEF7" w14:textId="77777777">
      <w:pPr>
        <w:rPr>
          <w:rFonts w:ascii="Calibri" w:hAnsi="Calibri" w:cs="Calibri"/>
          <w:szCs w:val="22"/>
        </w:rPr>
      </w:pPr>
    </w:p>
    <w:p w:rsidRPr="00BF7731" w:rsidR="00B64BAC" w:rsidP="00B64BAC" w:rsidRDefault="00B64BAC" w14:paraId="1947E94F" w14:textId="77777777">
      <w:pPr>
        <w:rPr>
          <w:rFonts w:ascii="Calibri" w:hAnsi="Calibri" w:cs="Calibri"/>
          <w:szCs w:val="22"/>
        </w:rPr>
      </w:pPr>
    </w:p>
    <w:p w:rsidRPr="00BF7731" w:rsidR="00B64BAC" w:rsidP="00B64BAC" w:rsidRDefault="00B64BAC" w14:paraId="61C9026D" w14:textId="77777777">
      <w:pPr>
        <w:rPr>
          <w:rFonts w:ascii="Calibri" w:hAnsi="Calibri" w:cs="Calibri"/>
          <w:szCs w:val="22"/>
        </w:rPr>
      </w:pPr>
    </w:p>
    <w:p w:rsidRPr="00BF7731" w:rsidR="00B64BAC" w:rsidP="00B64BAC" w:rsidRDefault="00B64BAC" w14:paraId="7A4B0250" w14:textId="77777777">
      <w:pPr>
        <w:rPr>
          <w:rFonts w:ascii="Calibri" w:hAnsi="Calibri" w:cs="Calibri"/>
          <w:szCs w:val="22"/>
        </w:rPr>
      </w:pPr>
    </w:p>
    <w:p w:rsidRPr="00BF7731" w:rsidR="00B64BAC" w:rsidP="00B64BAC" w:rsidRDefault="00B64BAC" w14:paraId="0DC0EA50" w14:textId="77777777">
      <w:pPr>
        <w:rPr>
          <w:rFonts w:ascii="Calibri" w:hAnsi="Calibri" w:cs="Calibri"/>
          <w:szCs w:val="22"/>
        </w:rPr>
      </w:pPr>
    </w:p>
    <w:p w:rsidRPr="00BF7731" w:rsidR="00B64BAC" w:rsidP="00B64BAC" w:rsidRDefault="00B64BAC" w14:paraId="6E02B7D3" w14:textId="77777777">
      <w:pPr>
        <w:rPr>
          <w:rFonts w:ascii="Calibri" w:hAnsi="Calibri" w:cs="Calibri"/>
          <w:szCs w:val="22"/>
        </w:rPr>
      </w:pPr>
    </w:p>
    <w:p w:rsidRPr="00BF7731" w:rsidR="00B64BAC" w:rsidP="00B64BAC" w:rsidRDefault="00B64BAC" w14:paraId="0467147C" w14:textId="77777777">
      <w:pPr>
        <w:rPr>
          <w:rFonts w:ascii="Calibri" w:hAnsi="Calibri" w:cs="Calibri"/>
          <w:szCs w:val="22"/>
        </w:rPr>
      </w:pPr>
    </w:p>
    <w:p w:rsidRPr="00BF7731" w:rsidR="00B64BAC" w:rsidP="00B64BAC" w:rsidRDefault="00B64BAC" w14:paraId="1428CAA2" w14:textId="77777777">
      <w:pPr>
        <w:rPr>
          <w:rFonts w:ascii="Calibri" w:hAnsi="Calibri" w:cs="Calibri"/>
          <w:szCs w:val="22"/>
        </w:rPr>
      </w:pPr>
    </w:p>
    <w:p w:rsidRPr="00BF7731" w:rsidR="00B64BAC" w:rsidP="00B64BAC" w:rsidRDefault="00B64BAC" w14:paraId="1B03A8BF" w14:textId="77777777">
      <w:pPr>
        <w:rPr>
          <w:rFonts w:ascii="Calibri" w:hAnsi="Calibri" w:cs="Calibri"/>
          <w:szCs w:val="22"/>
        </w:rPr>
      </w:pPr>
    </w:p>
    <w:p w:rsidRPr="00BF7731" w:rsidR="00B64BAC" w:rsidP="00B64BAC" w:rsidRDefault="00B64BAC" w14:paraId="5BA2A933" w14:textId="77777777">
      <w:pPr>
        <w:rPr>
          <w:rFonts w:ascii="Calibri" w:hAnsi="Calibri" w:cs="Calibri"/>
          <w:szCs w:val="22"/>
        </w:rPr>
      </w:pPr>
    </w:p>
    <w:p w:rsidRPr="00BF7731" w:rsidR="00B64BAC" w:rsidP="00B64BAC" w:rsidRDefault="00B64BAC" w14:paraId="1CC7DE4E" w14:textId="77777777">
      <w:pPr>
        <w:rPr>
          <w:rFonts w:ascii="Calibri" w:hAnsi="Calibri" w:cs="Calibri"/>
          <w:szCs w:val="22"/>
        </w:rPr>
      </w:pPr>
    </w:p>
    <w:p w:rsidRPr="00BF7731" w:rsidR="00B64BAC" w:rsidP="00B64BAC" w:rsidRDefault="00B64BAC" w14:paraId="5EC35D3F" w14:textId="77777777">
      <w:pPr>
        <w:rPr>
          <w:rFonts w:ascii="Calibri" w:hAnsi="Calibri" w:cs="Calibri"/>
          <w:szCs w:val="22"/>
        </w:rPr>
      </w:pPr>
    </w:p>
    <w:p w:rsidRPr="00BF7731" w:rsidR="00B64BAC" w:rsidP="00B64BAC" w:rsidRDefault="00B64BAC" w14:paraId="48D186A7" w14:textId="77777777">
      <w:pPr>
        <w:rPr>
          <w:rFonts w:ascii="Calibri" w:hAnsi="Calibri" w:cs="Calibri"/>
          <w:szCs w:val="22"/>
        </w:rPr>
      </w:pPr>
    </w:p>
    <w:p w:rsidRPr="00BF7731" w:rsidR="00B64BAC" w:rsidP="00B64BAC" w:rsidRDefault="00B64BAC" w14:paraId="6FC089CE" w14:textId="77777777">
      <w:pPr>
        <w:rPr>
          <w:rFonts w:ascii="Calibri" w:hAnsi="Calibri" w:cs="Calibri"/>
          <w:szCs w:val="22"/>
        </w:rPr>
      </w:pPr>
    </w:p>
    <w:p w:rsidRPr="00BF7731" w:rsidR="00B64BAC" w:rsidP="00B64BAC" w:rsidRDefault="00B64BAC" w14:paraId="18435B8E" w14:textId="77777777">
      <w:pPr>
        <w:rPr>
          <w:rFonts w:ascii="Calibri" w:hAnsi="Calibri" w:cs="Calibri"/>
          <w:szCs w:val="22"/>
        </w:rPr>
      </w:pPr>
    </w:p>
    <w:p w:rsidRPr="00BF7731" w:rsidR="00B64BAC" w:rsidP="00B64BAC" w:rsidRDefault="00B64BAC" w14:paraId="2DC37919" w14:textId="77777777">
      <w:pPr>
        <w:rPr>
          <w:rFonts w:ascii="Calibri" w:hAnsi="Calibri" w:cs="Calibri"/>
          <w:szCs w:val="22"/>
        </w:rPr>
      </w:pPr>
    </w:p>
    <w:p w:rsidRPr="00BF7731" w:rsidR="00B64BAC" w:rsidP="00B64BAC" w:rsidRDefault="00B64BAC" w14:paraId="6AADBE64" w14:textId="77777777">
      <w:pPr>
        <w:rPr>
          <w:rFonts w:ascii="Calibri" w:hAnsi="Calibri" w:cs="Calibri"/>
          <w:szCs w:val="22"/>
        </w:rPr>
      </w:pPr>
    </w:p>
    <w:p w:rsidRPr="00BF7731" w:rsidR="00B64BAC" w:rsidP="00B64BAC" w:rsidRDefault="00B64BAC" w14:paraId="61141EBD" w14:textId="77777777">
      <w:pPr>
        <w:rPr>
          <w:rFonts w:ascii="Calibri" w:hAnsi="Calibri" w:cs="Calibri"/>
          <w:szCs w:val="22"/>
        </w:rPr>
      </w:pPr>
    </w:p>
    <w:p w:rsidRPr="00BF7731" w:rsidR="00B64BAC" w:rsidP="00B64BAC" w:rsidRDefault="00B64BAC" w14:paraId="0BED3A66" w14:textId="77777777">
      <w:pPr>
        <w:rPr>
          <w:rFonts w:ascii="Calibri" w:hAnsi="Calibri" w:cs="Calibri"/>
          <w:szCs w:val="22"/>
        </w:rPr>
      </w:pPr>
    </w:p>
    <w:p w:rsidRPr="00BF7731" w:rsidR="00B64BAC" w:rsidP="00B64BAC" w:rsidRDefault="00B64BAC" w14:paraId="621BD0D6" w14:textId="77777777">
      <w:pPr>
        <w:rPr>
          <w:rFonts w:ascii="Calibri" w:hAnsi="Calibri" w:cs="Calibri"/>
          <w:szCs w:val="22"/>
        </w:rPr>
      </w:pPr>
    </w:p>
    <w:p w:rsidRPr="00BF7731" w:rsidR="00B64BAC" w:rsidP="00B64BAC" w:rsidRDefault="00B64BAC" w14:paraId="683AF817" w14:textId="77777777">
      <w:pPr>
        <w:rPr>
          <w:rFonts w:ascii="Calibri" w:hAnsi="Calibri" w:cs="Calibri"/>
          <w:szCs w:val="22"/>
        </w:rPr>
      </w:pPr>
    </w:p>
    <w:p w:rsidRPr="00BF7731" w:rsidR="00B64BAC" w:rsidP="00B64BAC" w:rsidRDefault="00B64BAC" w14:paraId="437B9A86" w14:textId="77777777">
      <w:pPr>
        <w:rPr>
          <w:rFonts w:ascii="Calibri" w:hAnsi="Calibri" w:cs="Calibri"/>
          <w:szCs w:val="22"/>
        </w:rPr>
      </w:pPr>
    </w:p>
    <w:p w:rsidRPr="00BF7731" w:rsidR="00B64BAC" w:rsidP="00B64BAC" w:rsidRDefault="00B64BAC" w14:paraId="7D9ECF2C" w14:textId="77777777">
      <w:pPr>
        <w:rPr>
          <w:rFonts w:ascii="Calibri" w:hAnsi="Calibri" w:cs="Calibri"/>
          <w:szCs w:val="22"/>
        </w:rPr>
      </w:pPr>
    </w:p>
    <w:p w:rsidRPr="00BF7731" w:rsidR="00B64BAC" w:rsidP="00B64BAC" w:rsidRDefault="00B64BAC" w14:paraId="2B6840A2" w14:textId="77777777">
      <w:pPr>
        <w:rPr>
          <w:rFonts w:ascii="Calibri" w:hAnsi="Calibri" w:cs="Calibri"/>
          <w:szCs w:val="22"/>
        </w:rPr>
      </w:pPr>
    </w:p>
    <w:p w:rsidRPr="00BF7731" w:rsidR="00B64BAC" w:rsidP="00B64BAC" w:rsidRDefault="00B64BAC" w14:paraId="45CEDFDD" w14:textId="77777777">
      <w:pPr>
        <w:rPr>
          <w:rFonts w:ascii="Calibri" w:hAnsi="Calibri" w:cs="Calibri"/>
          <w:szCs w:val="22"/>
        </w:rPr>
      </w:pPr>
    </w:p>
    <w:p w:rsidRPr="00BF7731" w:rsidR="00B64BAC" w:rsidP="00B64BAC" w:rsidRDefault="00B64BAC" w14:paraId="36014AB0" w14:textId="77777777">
      <w:pPr>
        <w:rPr>
          <w:rFonts w:ascii="Calibri" w:hAnsi="Calibri" w:cs="Calibri"/>
          <w:szCs w:val="22"/>
        </w:rPr>
      </w:pPr>
    </w:p>
    <w:p w:rsidRPr="00BF7731" w:rsidR="00B64BAC" w:rsidP="00B64BAC" w:rsidRDefault="00B64BAC" w14:paraId="5CDB8393" w14:textId="77777777">
      <w:pPr>
        <w:rPr>
          <w:rFonts w:ascii="Calibri" w:hAnsi="Calibri" w:cs="Calibri"/>
          <w:szCs w:val="22"/>
        </w:rPr>
      </w:pPr>
    </w:p>
    <w:p w:rsidRPr="00BF7731" w:rsidR="009A3B1D" w:rsidP="00DA19A2" w:rsidRDefault="008C1E1C" w14:paraId="3855D1C4" w14:textId="77ECBDA6">
      <w:pPr>
        <w:pStyle w:val="Kop1"/>
        <w:numPr>
          <w:ilvl w:val="0"/>
          <w:numId w:val="0"/>
        </w:numPr>
        <w:spacing w:before="0" w:after="0" w:line="360" w:lineRule="auto"/>
        <w:rPr>
          <w:rFonts w:ascii="Calibri" w:hAnsi="Calibri" w:cs="Calibri"/>
          <w:b w:val="0"/>
          <w:i/>
          <w:sz w:val="22"/>
          <w:szCs w:val="22"/>
        </w:rPr>
      </w:pPr>
      <w:r w:rsidRPr="00BF7731">
        <w:rPr>
          <w:rFonts w:ascii="Calibri" w:hAnsi="Calibri" w:cs="Calibri"/>
          <w:sz w:val="22"/>
          <w:szCs w:val="22"/>
        </w:rPr>
        <w:t>F</w:t>
      </w:r>
      <w:r w:rsidRPr="00BF7731" w:rsidR="009A3B1D">
        <w:rPr>
          <w:rFonts w:ascii="Calibri" w:hAnsi="Calibri" w:cs="Calibri"/>
          <w:sz w:val="22"/>
          <w:szCs w:val="22"/>
        </w:rPr>
        <w:t>iche</w:t>
      </w:r>
      <w:r w:rsidRPr="00BF7731">
        <w:rPr>
          <w:rFonts w:ascii="Calibri" w:hAnsi="Calibri" w:cs="Calibri"/>
          <w:sz w:val="22"/>
          <w:szCs w:val="22"/>
        </w:rPr>
        <w:t xml:space="preserve">: </w:t>
      </w:r>
      <w:bookmarkStart w:name="_Hlk223614945" w:id="2"/>
      <w:r w:rsidRPr="00BF7731" w:rsidR="00CC4E5B">
        <w:rPr>
          <w:rFonts w:ascii="Calibri" w:hAnsi="Calibri" w:cs="Calibri"/>
          <w:sz w:val="22"/>
          <w:szCs w:val="22"/>
        </w:rPr>
        <w:t>S</w:t>
      </w:r>
      <w:r w:rsidRPr="00BF7731" w:rsidR="0047159D">
        <w:rPr>
          <w:rFonts w:ascii="Calibri" w:hAnsi="Calibri" w:cs="Calibri"/>
          <w:sz w:val="22"/>
          <w:szCs w:val="22"/>
        </w:rPr>
        <w:t>implificatie</w:t>
      </w:r>
      <w:r w:rsidRPr="00BF7731" w:rsidR="00482439">
        <w:rPr>
          <w:rFonts w:ascii="Calibri" w:hAnsi="Calibri" w:cs="Calibri"/>
          <w:sz w:val="22"/>
          <w:szCs w:val="22"/>
        </w:rPr>
        <w:t xml:space="preserve"> NIS2-richtlijn</w:t>
      </w:r>
      <w:r w:rsidRPr="00BF7731" w:rsidR="00EC6761">
        <w:rPr>
          <w:rFonts w:ascii="Calibri" w:hAnsi="Calibri" w:cs="Calibri"/>
          <w:sz w:val="22"/>
          <w:szCs w:val="22"/>
        </w:rPr>
        <w:t xml:space="preserve"> </w:t>
      </w:r>
      <w:bookmarkEnd w:id="2"/>
    </w:p>
    <w:p w:rsidRPr="00BF7731" w:rsidR="009A3B1D" w:rsidP="00DA19A2" w:rsidRDefault="009A3B1D" w14:paraId="4F5D2405" w14:textId="77777777">
      <w:pPr>
        <w:spacing w:line="360" w:lineRule="auto"/>
        <w:rPr>
          <w:rFonts w:ascii="Calibri" w:hAnsi="Calibri" w:cs="Calibri"/>
          <w:szCs w:val="22"/>
        </w:rPr>
      </w:pPr>
    </w:p>
    <w:p w:rsidRPr="00BF7731" w:rsidR="009A3B1D" w:rsidP="00982D08" w:rsidRDefault="009A3B1D" w14:paraId="433BA929" w14:textId="77777777">
      <w:pPr>
        <w:numPr>
          <w:ilvl w:val="0"/>
          <w:numId w:val="3"/>
        </w:numPr>
        <w:spacing w:line="360" w:lineRule="auto"/>
        <w:rPr>
          <w:rFonts w:ascii="Calibri" w:hAnsi="Calibri" w:cs="Calibri"/>
          <w:b/>
          <w:szCs w:val="22"/>
        </w:rPr>
      </w:pPr>
      <w:r w:rsidRPr="00BF7731">
        <w:rPr>
          <w:rFonts w:ascii="Calibri" w:hAnsi="Calibri" w:cs="Calibri"/>
          <w:b/>
          <w:szCs w:val="22"/>
        </w:rPr>
        <w:t>Algemene gegevens</w:t>
      </w:r>
    </w:p>
    <w:p w:rsidRPr="00BF7731" w:rsidR="005A3829" w:rsidP="00982D08" w:rsidRDefault="00E45378" w14:paraId="2D11BF35" w14:textId="77777777">
      <w:pPr>
        <w:numPr>
          <w:ilvl w:val="0"/>
          <w:numId w:val="4"/>
        </w:numPr>
        <w:spacing w:line="360" w:lineRule="auto"/>
        <w:rPr>
          <w:rFonts w:ascii="Calibri" w:hAnsi="Calibri" w:cs="Calibri"/>
          <w:i/>
          <w:iCs/>
          <w:szCs w:val="22"/>
          <w:lang w:val="en-US"/>
        </w:rPr>
      </w:pPr>
      <w:r w:rsidRPr="00BF7731">
        <w:rPr>
          <w:rFonts w:ascii="Calibri" w:hAnsi="Calibri" w:cs="Calibri"/>
          <w:i/>
          <w:iCs/>
          <w:szCs w:val="22"/>
          <w:lang w:val="en-US"/>
        </w:rPr>
        <w:t xml:space="preserve">Titel </w:t>
      </w:r>
      <w:proofErr w:type="spellStart"/>
      <w:r w:rsidRPr="00BF7731">
        <w:rPr>
          <w:rFonts w:ascii="Calibri" w:hAnsi="Calibri" w:cs="Calibri"/>
          <w:i/>
          <w:iCs/>
          <w:szCs w:val="22"/>
          <w:lang w:val="en-US"/>
        </w:rPr>
        <w:t>voorstel</w:t>
      </w:r>
      <w:proofErr w:type="spellEnd"/>
    </w:p>
    <w:p w:rsidRPr="00BF7731" w:rsidR="00F74E07" w:rsidP="005A3829" w:rsidRDefault="00E45378" w14:paraId="62D55F76" w14:textId="7AABD4DB">
      <w:pPr>
        <w:spacing w:line="360" w:lineRule="auto"/>
        <w:ind w:left="360"/>
        <w:rPr>
          <w:rFonts w:ascii="Calibri" w:hAnsi="Calibri" w:cs="Calibri"/>
          <w:szCs w:val="22"/>
          <w:lang w:val="en-US"/>
        </w:rPr>
      </w:pPr>
      <w:r w:rsidRPr="00BF7731">
        <w:rPr>
          <w:rFonts w:ascii="Calibri" w:hAnsi="Calibri" w:cs="Calibri"/>
          <w:szCs w:val="22"/>
          <w:lang w:val="en-US"/>
        </w:rPr>
        <w:t>Proposal for a DIRECTIVE OF THE EUROPEAN PARLIAMENT AND OF THE COUNCIL amending Directive (EU) 2022/2555 as regards simplification measures and alignment with the [Proposal for the Cybersecurity Act 2]</w:t>
      </w:r>
    </w:p>
    <w:p w:rsidRPr="00BF7731" w:rsidR="005A3829" w:rsidP="005A3829" w:rsidRDefault="005A3829" w14:paraId="2D51FADC" w14:textId="77777777">
      <w:pPr>
        <w:spacing w:line="360" w:lineRule="auto"/>
        <w:ind w:left="360"/>
        <w:rPr>
          <w:rFonts w:ascii="Calibri" w:hAnsi="Calibri" w:cs="Calibri"/>
          <w:i/>
          <w:iCs/>
          <w:szCs w:val="22"/>
          <w:lang w:val="en-US"/>
        </w:rPr>
      </w:pPr>
    </w:p>
    <w:p w:rsidRPr="00BF7731" w:rsidR="005A3829" w:rsidP="00982D08" w:rsidRDefault="00E45378" w14:paraId="535C3105" w14:textId="77777777">
      <w:pPr>
        <w:numPr>
          <w:ilvl w:val="0"/>
          <w:numId w:val="4"/>
        </w:numPr>
        <w:spacing w:line="360" w:lineRule="auto"/>
        <w:rPr>
          <w:rFonts w:ascii="Calibri" w:hAnsi="Calibri" w:cs="Calibri"/>
          <w:i/>
          <w:iCs/>
          <w:szCs w:val="22"/>
        </w:rPr>
      </w:pPr>
      <w:r w:rsidRPr="00BF7731">
        <w:rPr>
          <w:rFonts w:ascii="Calibri" w:hAnsi="Calibri" w:cs="Calibri"/>
          <w:i/>
          <w:iCs/>
          <w:szCs w:val="22"/>
        </w:rPr>
        <w:t>Datum ontvangst Commissiedocument</w:t>
      </w:r>
    </w:p>
    <w:p w:rsidRPr="00BF7731" w:rsidR="00F74E07" w:rsidP="005A3829" w:rsidRDefault="005A3829" w14:paraId="2EBC1C57" w14:textId="0EF63438">
      <w:pPr>
        <w:spacing w:line="360" w:lineRule="auto"/>
        <w:ind w:left="360"/>
        <w:rPr>
          <w:rFonts w:ascii="Calibri" w:hAnsi="Calibri" w:cs="Calibri"/>
          <w:szCs w:val="22"/>
        </w:rPr>
      </w:pPr>
      <w:r w:rsidRPr="00BF7731">
        <w:rPr>
          <w:rFonts w:ascii="Calibri" w:hAnsi="Calibri" w:cs="Calibri"/>
          <w:szCs w:val="22"/>
        </w:rPr>
        <w:t>2</w:t>
      </w:r>
      <w:r w:rsidRPr="00BF7731" w:rsidR="00482439">
        <w:rPr>
          <w:rFonts w:ascii="Calibri" w:hAnsi="Calibri" w:cs="Calibri"/>
          <w:szCs w:val="22"/>
        </w:rPr>
        <w:t>0 januari 2026</w:t>
      </w:r>
    </w:p>
    <w:p w:rsidRPr="00BF7731" w:rsidR="005F1779" w:rsidP="005A3829" w:rsidRDefault="005F1779" w14:paraId="56B33677" w14:textId="77777777">
      <w:pPr>
        <w:spacing w:line="360" w:lineRule="auto"/>
        <w:ind w:left="360"/>
        <w:rPr>
          <w:rFonts w:ascii="Calibri" w:hAnsi="Calibri" w:cs="Calibri"/>
          <w:szCs w:val="22"/>
        </w:rPr>
      </w:pPr>
    </w:p>
    <w:p w:rsidRPr="00BF7731" w:rsidR="005A3829" w:rsidP="00982D08" w:rsidRDefault="00E45378" w14:paraId="666099A0" w14:textId="77777777">
      <w:pPr>
        <w:numPr>
          <w:ilvl w:val="0"/>
          <w:numId w:val="4"/>
        </w:numPr>
        <w:spacing w:line="360" w:lineRule="auto"/>
        <w:rPr>
          <w:rFonts w:ascii="Calibri" w:hAnsi="Calibri" w:cs="Calibri"/>
          <w:i/>
          <w:iCs/>
          <w:szCs w:val="22"/>
        </w:rPr>
      </w:pPr>
      <w:r w:rsidRPr="00BF7731">
        <w:rPr>
          <w:rFonts w:ascii="Calibri" w:hAnsi="Calibri" w:cs="Calibri"/>
          <w:i/>
          <w:iCs/>
          <w:szCs w:val="22"/>
        </w:rPr>
        <w:t>Nr. Commissiedocument</w:t>
      </w:r>
    </w:p>
    <w:p w:rsidRPr="00BF7731" w:rsidR="005F1779" w:rsidP="005A3829" w:rsidRDefault="00311E9C" w14:paraId="6EFA0191" w14:textId="0DC35233">
      <w:pPr>
        <w:spacing w:line="360" w:lineRule="auto"/>
        <w:ind w:left="360"/>
        <w:rPr>
          <w:rFonts w:ascii="Calibri" w:hAnsi="Calibri" w:cs="Calibri"/>
          <w:szCs w:val="22"/>
        </w:rPr>
      </w:pPr>
      <w:r w:rsidRPr="00BF7731">
        <w:rPr>
          <w:rFonts w:ascii="Calibri" w:hAnsi="Calibri" w:cs="Calibri"/>
          <w:szCs w:val="22"/>
        </w:rPr>
        <w:t xml:space="preserve">COM (2026) 13 </w:t>
      </w:r>
    </w:p>
    <w:p w:rsidRPr="00BF7731" w:rsidR="005A3829" w:rsidP="005A3829" w:rsidRDefault="00C85F76" w14:paraId="498EAEAE" w14:textId="002B76D0">
      <w:pPr>
        <w:numPr>
          <w:ilvl w:val="0"/>
          <w:numId w:val="4"/>
        </w:numPr>
        <w:spacing w:line="360" w:lineRule="auto"/>
        <w:rPr>
          <w:rFonts w:ascii="Calibri" w:hAnsi="Calibri" w:cs="Calibri"/>
          <w:i/>
          <w:iCs/>
          <w:szCs w:val="22"/>
          <w:lang w:val="fr-FR"/>
        </w:rPr>
      </w:pPr>
      <w:r w:rsidRPr="00BF7731">
        <w:rPr>
          <w:rFonts w:ascii="Calibri" w:hAnsi="Calibri" w:cs="Calibri"/>
          <w:i/>
          <w:iCs/>
          <w:szCs w:val="22"/>
          <w:lang w:val="fr-FR"/>
        </w:rPr>
        <w:t>EUR</w:t>
      </w:r>
      <w:r w:rsidRPr="00BF7731" w:rsidR="00F74E07">
        <w:rPr>
          <w:rFonts w:ascii="Calibri" w:hAnsi="Calibri" w:cs="Calibri"/>
          <w:i/>
          <w:iCs/>
          <w:szCs w:val="22"/>
          <w:lang w:val="fr-FR"/>
        </w:rPr>
        <w:t>-</w:t>
      </w:r>
      <w:r w:rsidRPr="00BF7731">
        <w:rPr>
          <w:rFonts w:ascii="Calibri" w:hAnsi="Calibri" w:cs="Calibri"/>
          <w:i/>
          <w:iCs/>
          <w:szCs w:val="22"/>
          <w:lang w:val="fr-FR"/>
        </w:rPr>
        <w:t>L</w:t>
      </w:r>
      <w:r w:rsidRPr="00BF7731" w:rsidR="005A3829">
        <w:rPr>
          <w:rFonts w:ascii="Calibri" w:hAnsi="Calibri" w:cs="Calibri"/>
          <w:i/>
          <w:iCs/>
          <w:szCs w:val="22"/>
          <w:lang w:val="fr-FR"/>
        </w:rPr>
        <w:t>ex</w:t>
      </w:r>
    </w:p>
    <w:p w:rsidRPr="00BF7731" w:rsidR="00F74E07" w:rsidP="005A3829" w:rsidRDefault="00482439" w14:paraId="423932B7" w14:textId="501ED2ED">
      <w:pPr>
        <w:spacing w:line="360" w:lineRule="auto"/>
        <w:ind w:left="360"/>
        <w:rPr>
          <w:rFonts w:ascii="Calibri" w:hAnsi="Calibri" w:cs="Calibri"/>
          <w:szCs w:val="22"/>
          <w:lang w:val="fr-FR"/>
        </w:rPr>
      </w:pPr>
      <w:hyperlink w:history="1" r:id="rId12">
        <w:r w:rsidRPr="00BF7731">
          <w:rPr>
            <w:rStyle w:val="Hyperlink"/>
            <w:rFonts w:ascii="Calibri" w:hAnsi="Calibri" w:cs="Calibri"/>
            <w:szCs w:val="22"/>
            <w:lang w:val="fr-FR"/>
          </w:rPr>
          <w:t>EUR-Lex - 52026PC0013 - EN - EUR-Lex</w:t>
        </w:r>
      </w:hyperlink>
    </w:p>
    <w:p w:rsidRPr="00BF7731" w:rsidR="005A3829" w:rsidP="005A3829" w:rsidRDefault="005A3829" w14:paraId="44428D3E" w14:textId="77777777">
      <w:pPr>
        <w:spacing w:line="360" w:lineRule="auto"/>
        <w:ind w:left="360"/>
        <w:rPr>
          <w:rFonts w:ascii="Calibri" w:hAnsi="Calibri" w:cs="Calibri"/>
          <w:szCs w:val="22"/>
          <w:lang w:val="fr-FR"/>
        </w:rPr>
      </w:pPr>
    </w:p>
    <w:p w:rsidRPr="00BF7731" w:rsidR="005F1779" w:rsidP="00982D08" w:rsidRDefault="00F74E07" w14:paraId="79D27760" w14:textId="77777777">
      <w:pPr>
        <w:numPr>
          <w:ilvl w:val="0"/>
          <w:numId w:val="4"/>
        </w:numPr>
        <w:spacing w:line="360" w:lineRule="auto"/>
        <w:rPr>
          <w:rFonts w:ascii="Calibri" w:hAnsi="Calibri" w:cs="Calibri"/>
          <w:i/>
          <w:iCs/>
          <w:szCs w:val="22"/>
        </w:rPr>
      </w:pPr>
      <w:r w:rsidRPr="00BF7731">
        <w:rPr>
          <w:rFonts w:ascii="Calibri" w:hAnsi="Calibri" w:cs="Calibri"/>
          <w:i/>
          <w:iCs/>
          <w:szCs w:val="22"/>
        </w:rPr>
        <w:t xml:space="preserve">Nr. impact assessment Commissie en Opinie </w:t>
      </w:r>
      <w:r w:rsidRPr="00BF7731" w:rsidR="00F30C33">
        <w:rPr>
          <w:rFonts w:ascii="Calibri" w:hAnsi="Calibri" w:cs="Calibri"/>
          <w:i/>
          <w:szCs w:val="22"/>
        </w:rPr>
        <w:t>Raad voor Regelgevingstoetsing</w:t>
      </w:r>
    </w:p>
    <w:p w:rsidRPr="00BF7731" w:rsidR="00F74E07" w:rsidP="005F1779" w:rsidRDefault="00302526" w14:paraId="275B6B27" w14:textId="485ED9B3">
      <w:pPr>
        <w:spacing w:line="360" w:lineRule="auto"/>
        <w:ind w:left="360"/>
        <w:rPr>
          <w:rFonts w:ascii="Calibri" w:hAnsi="Calibri" w:cs="Calibri"/>
          <w:iCs/>
          <w:szCs w:val="22"/>
        </w:rPr>
      </w:pPr>
      <w:r w:rsidRPr="00BF7731">
        <w:rPr>
          <w:rFonts w:ascii="Calibri" w:hAnsi="Calibri" w:cs="Calibri"/>
          <w:iCs/>
          <w:szCs w:val="22"/>
        </w:rPr>
        <w:t>SWD(2026) 11</w:t>
      </w:r>
    </w:p>
    <w:p w:rsidRPr="00BF7731" w:rsidR="005F1779" w:rsidP="005F1779" w:rsidRDefault="005F1779" w14:paraId="2D66D4CD" w14:textId="77777777">
      <w:pPr>
        <w:spacing w:line="360" w:lineRule="auto"/>
        <w:ind w:left="360"/>
        <w:rPr>
          <w:rFonts w:ascii="Calibri" w:hAnsi="Calibri" w:cs="Calibri"/>
          <w:iCs/>
          <w:szCs w:val="22"/>
        </w:rPr>
      </w:pPr>
    </w:p>
    <w:p w:rsidRPr="00BF7731" w:rsidR="005F1779" w:rsidP="00982D08" w:rsidRDefault="00F74E07" w14:paraId="5ECE9899" w14:textId="77777777">
      <w:pPr>
        <w:numPr>
          <w:ilvl w:val="0"/>
          <w:numId w:val="4"/>
        </w:numPr>
        <w:spacing w:line="360" w:lineRule="auto"/>
        <w:rPr>
          <w:rFonts w:ascii="Calibri" w:hAnsi="Calibri" w:cs="Calibri"/>
          <w:i/>
          <w:iCs/>
          <w:szCs w:val="22"/>
        </w:rPr>
      </w:pPr>
      <w:r w:rsidRPr="00BF7731">
        <w:rPr>
          <w:rFonts w:ascii="Calibri" w:hAnsi="Calibri" w:cs="Calibri"/>
          <w:i/>
          <w:iCs/>
          <w:szCs w:val="22"/>
        </w:rPr>
        <w:t>Behandelingstraject Raad</w:t>
      </w:r>
    </w:p>
    <w:p w:rsidRPr="00BF7731" w:rsidR="00F74E07" w:rsidP="005F1779" w:rsidRDefault="00302526" w14:paraId="792A7FD8" w14:textId="52749D97">
      <w:pPr>
        <w:spacing w:line="360" w:lineRule="auto"/>
        <w:ind w:left="360"/>
        <w:rPr>
          <w:rFonts w:ascii="Calibri" w:hAnsi="Calibri" w:cs="Calibri"/>
          <w:szCs w:val="22"/>
        </w:rPr>
      </w:pPr>
      <w:r w:rsidRPr="00BF7731">
        <w:rPr>
          <w:rFonts w:ascii="Calibri" w:hAnsi="Calibri" w:cs="Calibri"/>
          <w:szCs w:val="22"/>
        </w:rPr>
        <w:t>Telecom Raad</w:t>
      </w:r>
    </w:p>
    <w:p w:rsidRPr="00BF7731" w:rsidR="005F1779" w:rsidP="005F1779" w:rsidRDefault="005F1779" w14:paraId="2E3E6721" w14:textId="77777777">
      <w:pPr>
        <w:spacing w:line="360" w:lineRule="auto"/>
        <w:ind w:left="360"/>
        <w:rPr>
          <w:rFonts w:ascii="Calibri" w:hAnsi="Calibri" w:cs="Calibri"/>
          <w:szCs w:val="22"/>
        </w:rPr>
      </w:pPr>
    </w:p>
    <w:p w:rsidRPr="00BF7731" w:rsidR="005F1779" w:rsidP="00982D08" w:rsidRDefault="00330FE7" w14:paraId="331F86FC" w14:textId="77777777">
      <w:pPr>
        <w:numPr>
          <w:ilvl w:val="0"/>
          <w:numId w:val="4"/>
        </w:numPr>
        <w:spacing w:line="360" w:lineRule="auto"/>
        <w:rPr>
          <w:rFonts w:ascii="Calibri" w:hAnsi="Calibri" w:cs="Calibri"/>
          <w:i/>
          <w:iCs/>
          <w:szCs w:val="22"/>
        </w:rPr>
      </w:pPr>
      <w:r w:rsidRPr="00BF7731">
        <w:rPr>
          <w:rFonts w:ascii="Calibri" w:hAnsi="Calibri" w:cs="Calibri"/>
          <w:i/>
          <w:iCs/>
          <w:szCs w:val="22"/>
        </w:rPr>
        <w:t>Eerstverantwoordelijk ministerie</w:t>
      </w:r>
    </w:p>
    <w:p w:rsidRPr="00BF7731" w:rsidR="00330FE7" w:rsidP="005F1779" w:rsidRDefault="00E45378" w14:paraId="6E778903" w14:textId="24DFA73D">
      <w:pPr>
        <w:spacing w:line="360" w:lineRule="auto"/>
        <w:ind w:left="360"/>
        <w:rPr>
          <w:rFonts w:ascii="Calibri" w:hAnsi="Calibri" w:cs="Calibri"/>
          <w:szCs w:val="22"/>
        </w:rPr>
      </w:pPr>
      <w:r w:rsidRPr="00BF7731">
        <w:rPr>
          <w:rFonts w:ascii="Calibri" w:hAnsi="Calibri" w:cs="Calibri"/>
          <w:szCs w:val="22"/>
        </w:rPr>
        <w:t>Ministerie van Justitie en Veiligheid</w:t>
      </w:r>
    </w:p>
    <w:p w:rsidRPr="00BF7731" w:rsidR="005F1779" w:rsidP="005F1779" w:rsidRDefault="005F1779" w14:paraId="0F688CBA" w14:textId="77777777">
      <w:pPr>
        <w:spacing w:line="360" w:lineRule="auto"/>
        <w:ind w:left="360"/>
        <w:rPr>
          <w:rFonts w:ascii="Calibri" w:hAnsi="Calibri" w:cs="Calibri"/>
          <w:szCs w:val="22"/>
        </w:rPr>
      </w:pPr>
    </w:p>
    <w:p w:rsidRPr="00BF7731" w:rsidR="005F1779" w:rsidP="00982D08" w:rsidRDefault="00330FE7" w14:paraId="7889E295" w14:textId="77777777">
      <w:pPr>
        <w:numPr>
          <w:ilvl w:val="0"/>
          <w:numId w:val="4"/>
        </w:numPr>
        <w:spacing w:line="360" w:lineRule="auto"/>
        <w:rPr>
          <w:rFonts w:ascii="Calibri" w:hAnsi="Calibri" w:cs="Calibri"/>
          <w:i/>
          <w:iCs/>
          <w:szCs w:val="22"/>
        </w:rPr>
      </w:pPr>
      <w:r w:rsidRPr="00BF7731">
        <w:rPr>
          <w:rFonts w:ascii="Calibri" w:hAnsi="Calibri" w:cs="Calibri"/>
          <w:i/>
          <w:iCs/>
          <w:szCs w:val="22"/>
        </w:rPr>
        <w:t>Rechtsbasis</w:t>
      </w:r>
    </w:p>
    <w:p w:rsidRPr="00BF7731" w:rsidR="00330FE7" w:rsidP="005F1779" w:rsidRDefault="005F1779" w14:paraId="7AD0288E" w14:textId="2F8E8692">
      <w:pPr>
        <w:spacing w:line="360" w:lineRule="auto"/>
        <w:ind w:left="360"/>
        <w:rPr>
          <w:rFonts w:ascii="Calibri" w:hAnsi="Calibri" w:cs="Calibri"/>
          <w:szCs w:val="22"/>
        </w:rPr>
      </w:pPr>
      <w:r w:rsidRPr="00BF7731">
        <w:rPr>
          <w:rFonts w:ascii="Calibri" w:hAnsi="Calibri" w:cs="Calibri"/>
          <w:szCs w:val="22"/>
        </w:rPr>
        <w:t>A</w:t>
      </w:r>
      <w:r w:rsidRPr="00BF7731" w:rsidR="00E45378">
        <w:rPr>
          <w:rFonts w:ascii="Calibri" w:hAnsi="Calibri" w:cs="Calibri"/>
          <w:szCs w:val="22"/>
        </w:rPr>
        <w:t>rtikel 114 VWEU</w:t>
      </w:r>
    </w:p>
    <w:p w:rsidRPr="00BF7731" w:rsidR="005F1779" w:rsidP="005F1779" w:rsidRDefault="005F1779" w14:paraId="79426D16" w14:textId="77777777">
      <w:pPr>
        <w:spacing w:line="360" w:lineRule="auto"/>
        <w:ind w:left="360"/>
        <w:rPr>
          <w:rFonts w:ascii="Calibri" w:hAnsi="Calibri" w:cs="Calibri"/>
          <w:szCs w:val="22"/>
        </w:rPr>
      </w:pPr>
    </w:p>
    <w:p w:rsidRPr="00BF7731" w:rsidR="005F1779" w:rsidP="00982D08" w:rsidRDefault="00330FE7" w14:paraId="5D16B218" w14:textId="77777777">
      <w:pPr>
        <w:numPr>
          <w:ilvl w:val="0"/>
          <w:numId w:val="4"/>
        </w:numPr>
        <w:spacing w:line="360" w:lineRule="auto"/>
        <w:rPr>
          <w:rFonts w:ascii="Calibri" w:hAnsi="Calibri" w:cs="Calibri"/>
          <w:i/>
          <w:iCs/>
          <w:szCs w:val="22"/>
        </w:rPr>
      </w:pPr>
      <w:r w:rsidRPr="00BF7731">
        <w:rPr>
          <w:rFonts w:ascii="Calibri" w:hAnsi="Calibri" w:cs="Calibri"/>
          <w:i/>
          <w:iCs/>
          <w:szCs w:val="22"/>
        </w:rPr>
        <w:t>Besluitvormingsprocedure Raad</w:t>
      </w:r>
    </w:p>
    <w:p w:rsidRPr="00BF7731" w:rsidR="00330FE7" w:rsidP="005F1779" w:rsidRDefault="00302526" w14:paraId="1EB0C227" w14:textId="06B15BAD">
      <w:pPr>
        <w:spacing w:line="360" w:lineRule="auto"/>
        <w:ind w:left="360"/>
        <w:rPr>
          <w:rFonts w:ascii="Calibri" w:hAnsi="Calibri" w:cs="Calibri"/>
          <w:szCs w:val="22"/>
        </w:rPr>
      </w:pPr>
      <w:r w:rsidRPr="00BF7731">
        <w:rPr>
          <w:rFonts w:ascii="Calibri" w:hAnsi="Calibri" w:cs="Calibri"/>
          <w:szCs w:val="22"/>
        </w:rPr>
        <w:t xml:space="preserve">Gekwalificeerde meerderheid </w:t>
      </w:r>
    </w:p>
    <w:p w:rsidRPr="00BF7731" w:rsidR="005F1779" w:rsidP="005F1779" w:rsidRDefault="005F1779" w14:paraId="60AE7A81" w14:textId="77777777">
      <w:pPr>
        <w:spacing w:line="360" w:lineRule="auto"/>
        <w:rPr>
          <w:rFonts w:ascii="Calibri" w:hAnsi="Calibri" w:cs="Calibri"/>
          <w:szCs w:val="22"/>
        </w:rPr>
      </w:pPr>
    </w:p>
    <w:p w:rsidRPr="00BF7731" w:rsidR="005F1779" w:rsidP="00982D08" w:rsidRDefault="00330FE7" w14:paraId="3E6BC62A" w14:textId="77777777">
      <w:pPr>
        <w:numPr>
          <w:ilvl w:val="0"/>
          <w:numId w:val="4"/>
        </w:numPr>
        <w:spacing w:line="360" w:lineRule="auto"/>
        <w:rPr>
          <w:rFonts w:ascii="Calibri" w:hAnsi="Calibri" w:cs="Calibri"/>
          <w:i/>
          <w:iCs/>
          <w:szCs w:val="22"/>
        </w:rPr>
      </w:pPr>
      <w:r w:rsidRPr="00BF7731">
        <w:rPr>
          <w:rFonts w:ascii="Calibri" w:hAnsi="Calibri" w:cs="Calibri"/>
          <w:i/>
          <w:iCs/>
          <w:szCs w:val="22"/>
        </w:rPr>
        <w:t>Rol Europees Parlement</w:t>
      </w:r>
    </w:p>
    <w:p w:rsidRPr="00BF7731" w:rsidR="00330FE7" w:rsidP="005F1779" w:rsidRDefault="00302526" w14:paraId="7E1521AA" w14:textId="4C56F116">
      <w:pPr>
        <w:spacing w:line="360" w:lineRule="auto"/>
        <w:ind w:left="360"/>
        <w:rPr>
          <w:rFonts w:ascii="Calibri" w:hAnsi="Calibri" w:cs="Calibri"/>
          <w:szCs w:val="22"/>
        </w:rPr>
      </w:pPr>
      <w:r w:rsidRPr="00BF7731">
        <w:rPr>
          <w:rFonts w:ascii="Calibri" w:hAnsi="Calibri" w:cs="Calibri"/>
          <w:szCs w:val="22"/>
        </w:rPr>
        <w:t>Medebeslissing</w:t>
      </w:r>
    </w:p>
    <w:p w:rsidRPr="00BF7731" w:rsidR="009A3B1D" w:rsidP="00DA19A2" w:rsidRDefault="009A3B1D" w14:paraId="0BB96C40" w14:textId="77777777">
      <w:pPr>
        <w:spacing w:line="360" w:lineRule="auto"/>
        <w:rPr>
          <w:rFonts w:ascii="Calibri" w:hAnsi="Calibri" w:cs="Calibri"/>
          <w:b/>
          <w:szCs w:val="22"/>
        </w:rPr>
      </w:pPr>
    </w:p>
    <w:p w:rsidRPr="00BF7731" w:rsidR="00CB7FF8" w:rsidP="00982D08" w:rsidRDefault="00E539A8" w14:paraId="637A7F88" w14:textId="77777777">
      <w:pPr>
        <w:numPr>
          <w:ilvl w:val="0"/>
          <w:numId w:val="3"/>
        </w:numPr>
        <w:spacing w:line="360" w:lineRule="auto"/>
        <w:rPr>
          <w:rFonts w:ascii="Calibri" w:hAnsi="Calibri" w:cs="Calibri"/>
          <w:b/>
          <w:szCs w:val="22"/>
        </w:rPr>
      </w:pPr>
      <w:r w:rsidRPr="00BF7731">
        <w:rPr>
          <w:rFonts w:ascii="Calibri" w:hAnsi="Calibri" w:cs="Calibri"/>
          <w:b/>
          <w:szCs w:val="22"/>
        </w:rPr>
        <w:t>Essentie</w:t>
      </w:r>
      <w:r w:rsidRPr="00BF7731" w:rsidR="00CB7FF8">
        <w:rPr>
          <w:rFonts w:ascii="Calibri" w:hAnsi="Calibri" w:cs="Calibri"/>
          <w:b/>
          <w:szCs w:val="22"/>
        </w:rPr>
        <w:t xml:space="preserve"> voorstel </w:t>
      </w:r>
    </w:p>
    <w:p w:rsidRPr="00BF7731" w:rsidR="00451274" w:rsidP="006C610A" w:rsidRDefault="00CB7FF8" w14:paraId="7F1953AD" w14:textId="60CE5A3F">
      <w:pPr>
        <w:pStyle w:val="Spreekpunten"/>
        <w:numPr>
          <w:ilvl w:val="0"/>
          <w:numId w:val="5"/>
        </w:numPr>
        <w:rPr>
          <w:rFonts w:ascii="Calibri" w:hAnsi="Calibri" w:cs="Calibri"/>
          <w:i/>
          <w:iCs/>
          <w:sz w:val="22"/>
          <w:szCs w:val="22"/>
          <w:lang w:val="nl-NL" w:eastAsia="zh-CN"/>
        </w:rPr>
      </w:pPr>
      <w:r w:rsidRPr="00BF7731">
        <w:rPr>
          <w:rFonts w:ascii="Calibri" w:hAnsi="Calibri" w:cs="Calibri"/>
          <w:i/>
          <w:iCs/>
          <w:sz w:val="22"/>
          <w:szCs w:val="22"/>
          <w:lang w:val="nl-NL" w:eastAsia="zh-CN"/>
        </w:rPr>
        <w:t>Inhoud voorstel</w:t>
      </w:r>
    </w:p>
    <w:p w:rsidRPr="00BF7731" w:rsidR="00CC472D" w:rsidP="00DA0282" w:rsidRDefault="00EC6761" w14:paraId="063D39FE" w14:textId="620969D4">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eastAsia="zh-CN"/>
        </w:rPr>
        <w:t xml:space="preserve">Op 20 januari 2026 heeft de Europese Commissie (hierna: de </w:t>
      </w:r>
      <w:r w:rsidRPr="00BF7731">
        <w:rPr>
          <w:rFonts w:ascii="Calibri" w:hAnsi="Calibri" w:cs="Calibri"/>
          <w:sz w:val="22"/>
          <w:szCs w:val="22"/>
          <w:lang w:val="nl-NL"/>
        </w:rPr>
        <w:t xml:space="preserve">Commissie) een voorstel gepubliceerd tot </w:t>
      </w:r>
      <w:r w:rsidRPr="00BF7731" w:rsidR="00F04135">
        <w:rPr>
          <w:rFonts w:ascii="Calibri" w:hAnsi="Calibri" w:cs="Calibri"/>
          <w:sz w:val="22"/>
          <w:szCs w:val="22"/>
          <w:lang w:val="nl-NL"/>
        </w:rPr>
        <w:t>simplificatie</w:t>
      </w:r>
      <w:r w:rsidRPr="00BF7731">
        <w:rPr>
          <w:rFonts w:ascii="Calibri" w:hAnsi="Calibri" w:cs="Calibri"/>
          <w:sz w:val="22"/>
          <w:szCs w:val="22"/>
          <w:lang w:val="nl-NL"/>
        </w:rPr>
        <w:t xml:space="preserve"> van de</w:t>
      </w:r>
      <w:r w:rsidRPr="00BF7731" w:rsidR="008109B3">
        <w:rPr>
          <w:rFonts w:ascii="Calibri" w:hAnsi="Calibri" w:cs="Calibri"/>
          <w:sz w:val="22"/>
          <w:szCs w:val="22"/>
          <w:lang w:val="nl-NL"/>
        </w:rPr>
        <w:t xml:space="preserve"> zogeheten NIS2-richtlijn</w:t>
      </w:r>
      <w:r w:rsidRPr="00BF7731" w:rsidR="008109B3">
        <w:rPr>
          <w:rStyle w:val="Voetnootmarkering"/>
          <w:rFonts w:ascii="Calibri" w:hAnsi="Calibri" w:cs="Calibri"/>
          <w:sz w:val="22"/>
          <w:szCs w:val="22"/>
          <w:lang w:val="nl-NL"/>
        </w:rPr>
        <w:footnoteReference w:id="2"/>
      </w:r>
      <w:r w:rsidRPr="00BF7731" w:rsidR="00EA0534">
        <w:rPr>
          <w:rFonts w:ascii="Calibri" w:hAnsi="Calibri" w:cs="Calibri"/>
          <w:sz w:val="22"/>
          <w:szCs w:val="22"/>
          <w:lang w:val="nl-NL"/>
        </w:rPr>
        <w:t xml:space="preserve"> in verband met de simplificatie en aanpassing aan het voorstel voor de nieuwe Cybersecurity Act (2) (hierna: CSA2). </w:t>
      </w:r>
      <w:r w:rsidRPr="00BF7731">
        <w:rPr>
          <w:rFonts w:ascii="Calibri" w:hAnsi="Calibri" w:cs="Calibri"/>
          <w:sz w:val="22"/>
          <w:szCs w:val="22"/>
          <w:lang w:val="nl-NL"/>
        </w:rPr>
        <w:t>Met de NIS2-richtlijn</w:t>
      </w:r>
      <w:r w:rsidRPr="00BF7731" w:rsidR="00EA0534">
        <w:rPr>
          <w:rFonts w:ascii="Calibri" w:hAnsi="Calibri" w:cs="Calibri"/>
          <w:sz w:val="22"/>
          <w:szCs w:val="22"/>
          <w:lang w:val="nl-NL"/>
        </w:rPr>
        <w:t xml:space="preserve"> heeft</w:t>
      </w:r>
      <w:r w:rsidRPr="00BF7731" w:rsidR="00E76F69">
        <w:rPr>
          <w:rFonts w:ascii="Calibri" w:hAnsi="Calibri" w:cs="Calibri"/>
          <w:sz w:val="22"/>
          <w:szCs w:val="22"/>
          <w:lang w:val="nl-NL"/>
        </w:rPr>
        <w:t xml:space="preserve"> de Europese Unie</w:t>
      </w:r>
      <w:r w:rsidRPr="00BF7731" w:rsidR="00934044">
        <w:rPr>
          <w:rFonts w:ascii="Calibri" w:hAnsi="Calibri" w:cs="Calibri"/>
          <w:sz w:val="22"/>
          <w:szCs w:val="22"/>
          <w:lang w:val="nl-NL"/>
        </w:rPr>
        <w:t xml:space="preserve"> (hierna: EU)</w:t>
      </w:r>
      <w:r w:rsidRPr="00BF7731" w:rsidR="008109B3">
        <w:rPr>
          <w:rFonts w:ascii="Calibri" w:hAnsi="Calibri" w:cs="Calibri"/>
          <w:sz w:val="22"/>
          <w:szCs w:val="22"/>
          <w:lang w:val="nl-NL"/>
        </w:rPr>
        <w:t xml:space="preserve"> </w:t>
      </w:r>
      <w:r w:rsidRPr="00BF7731" w:rsidR="00EA0534">
        <w:rPr>
          <w:rFonts w:ascii="Calibri" w:hAnsi="Calibri" w:cs="Calibri"/>
          <w:sz w:val="22"/>
          <w:szCs w:val="22"/>
          <w:lang w:val="nl-NL"/>
        </w:rPr>
        <w:t xml:space="preserve">beoogd </w:t>
      </w:r>
      <w:r w:rsidRPr="00BF7731" w:rsidR="00E76F69">
        <w:rPr>
          <w:rFonts w:ascii="Calibri" w:hAnsi="Calibri" w:cs="Calibri"/>
          <w:sz w:val="22"/>
          <w:szCs w:val="22"/>
          <w:lang w:val="nl-NL"/>
        </w:rPr>
        <w:t xml:space="preserve">het gezamenlijke cyberbeveiligingsniveau in de </w:t>
      </w:r>
      <w:r w:rsidRPr="00BF7731" w:rsidR="00934044">
        <w:rPr>
          <w:rFonts w:ascii="Calibri" w:hAnsi="Calibri" w:cs="Calibri"/>
          <w:sz w:val="22"/>
          <w:szCs w:val="22"/>
          <w:lang w:val="nl-NL"/>
        </w:rPr>
        <w:t xml:space="preserve">EU </w:t>
      </w:r>
      <w:r w:rsidRPr="00BF7731" w:rsidR="00E76F69">
        <w:rPr>
          <w:rFonts w:ascii="Calibri" w:hAnsi="Calibri" w:cs="Calibri"/>
          <w:sz w:val="22"/>
          <w:szCs w:val="22"/>
          <w:lang w:val="nl-NL"/>
        </w:rPr>
        <w:t>te verhogen</w:t>
      </w:r>
      <w:r w:rsidRPr="00BF7731" w:rsidR="009250EE">
        <w:rPr>
          <w:rFonts w:ascii="Calibri" w:hAnsi="Calibri" w:cs="Calibri"/>
          <w:sz w:val="22"/>
          <w:szCs w:val="22"/>
          <w:lang w:val="nl-NL"/>
        </w:rPr>
        <w:t xml:space="preserve">. </w:t>
      </w:r>
      <w:r w:rsidRPr="00BF7731" w:rsidR="0047159D">
        <w:rPr>
          <w:rFonts w:ascii="Calibri" w:hAnsi="Calibri" w:cs="Calibri"/>
          <w:sz w:val="22"/>
          <w:szCs w:val="22"/>
          <w:lang w:val="nl-NL"/>
        </w:rPr>
        <w:t>De implementatiedeadline voor de NIS2-richtlijn was 17 oktober 2024</w:t>
      </w:r>
      <w:r w:rsidRPr="00BF7731" w:rsidR="00B4083D">
        <w:rPr>
          <w:rFonts w:ascii="Calibri" w:hAnsi="Calibri" w:cs="Calibri"/>
          <w:sz w:val="22"/>
          <w:szCs w:val="22"/>
          <w:lang w:val="nl-NL"/>
        </w:rPr>
        <w:t xml:space="preserve">, </w:t>
      </w:r>
      <w:r w:rsidRPr="00BF7731" w:rsidR="0047159D">
        <w:rPr>
          <w:rFonts w:ascii="Calibri" w:hAnsi="Calibri" w:cs="Calibri"/>
          <w:sz w:val="22"/>
          <w:szCs w:val="22"/>
          <w:lang w:val="nl-NL"/>
        </w:rPr>
        <w:t xml:space="preserve">deze deadline </w:t>
      </w:r>
      <w:r w:rsidRPr="00BF7731" w:rsidR="008109B3">
        <w:rPr>
          <w:rFonts w:ascii="Calibri" w:hAnsi="Calibri" w:cs="Calibri"/>
          <w:sz w:val="22"/>
          <w:szCs w:val="22"/>
          <w:lang w:val="nl-NL"/>
        </w:rPr>
        <w:t xml:space="preserve">is </w:t>
      </w:r>
      <w:r w:rsidRPr="00BF7731" w:rsidR="0047159D">
        <w:rPr>
          <w:rFonts w:ascii="Calibri" w:hAnsi="Calibri" w:cs="Calibri"/>
          <w:sz w:val="22"/>
          <w:szCs w:val="22"/>
          <w:lang w:val="nl-NL"/>
        </w:rPr>
        <w:t>door Nederland niet gehaald.</w:t>
      </w:r>
      <w:r w:rsidRPr="00BF7731" w:rsidR="00B4083D">
        <w:rPr>
          <w:rStyle w:val="Voetnootmarkering"/>
          <w:rFonts w:ascii="Calibri" w:hAnsi="Calibri" w:cs="Calibri"/>
          <w:sz w:val="22"/>
          <w:szCs w:val="22"/>
          <w:lang w:val="nl-NL"/>
        </w:rPr>
        <w:footnoteReference w:id="3"/>
      </w:r>
      <w:r w:rsidRPr="00BF7731" w:rsidR="0047159D">
        <w:rPr>
          <w:rFonts w:ascii="Calibri" w:hAnsi="Calibri" w:cs="Calibri"/>
          <w:sz w:val="22"/>
          <w:szCs w:val="22"/>
          <w:lang w:val="nl-NL"/>
        </w:rPr>
        <w:t xml:space="preserve"> </w:t>
      </w:r>
      <w:r w:rsidRPr="00BF7731" w:rsidR="008109B3">
        <w:rPr>
          <w:rFonts w:ascii="Calibri" w:hAnsi="Calibri" w:cs="Calibri"/>
          <w:sz w:val="22"/>
          <w:szCs w:val="22"/>
          <w:lang w:val="nl-NL"/>
        </w:rPr>
        <w:t xml:space="preserve">De NIS2-richtlijn wordt in Nederland geïmplementeerd met de Cyberbeveiligingswet. </w:t>
      </w:r>
      <w:r w:rsidRPr="00BF7731" w:rsidR="00EA0534">
        <w:rPr>
          <w:rFonts w:ascii="Calibri" w:hAnsi="Calibri" w:cs="Calibri"/>
          <w:sz w:val="22"/>
          <w:szCs w:val="22"/>
          <w:lang w:val="nl-NL"/>
        </w:rPr>
        <w:t xml:space="preserve">Het </w:t>
      </w:r>
      <w:r w:rsidRPr="00BF7731" w:rsidR="008109B3">
        <w:rPr>
          <w:rFonts w:ascii="Calibri" w:hAnsi="Calibri" w:cs="Calibri"/>
          <w:sz w:val="22"/>
          <w:szCs w:val="22"/>
          <w:lang w:val="nl-NL"/>
        </w:rPr>
        <w:t xml:space="preserve">voorstel </w:t>
      </w:r>
      <w:r w:rsidRPr="00BF7731" w:rsidR="00EA0534">
        <w:rPr>
          <w:rFonts w:ascii="Calibri" w:hAnsi="Calibri" w:cs="Calibri"/>
          <w:sz w:val="22"/>
          <w:szCs w:val="22"/>
          <w:lang w:val="nl-NL"/>
        </w:rPr>
        <w:t xml:space="preserve">voor de Cyberbeveiligingswet </w:t>
      </w:r>
      <w:r w:rsidRPr="00BF7731" w:rsidR="008109B3">
        <w:rPr>
          <w:rFonts w:ascii="Calibri" w:hAnsi="Calibri" w:cs="Calibri"/>
          <w:sz w:val="22"/>
          <w:szCs w:val="22"/>
          <w:lang w:val="nl-NL"/>
        </w:rPr>
        <w:t>ligt ter behandeling in de Tweede Kamer.</w:t>
      </w:r>
      <w:r w:rsidRPr="00BF7731" w:rsidR="00DA0282">
        <w:rPr>
          <w:rFonts w:ascii="Calibri" w:hAnsi="Calibri" w:cs="Calibri"/>
          <w:sz w:val="22"/>
          <w:szCs w:val="22"/>
          <w:lang w:val="nl-NL"/>
        </w:rPr>
        <w:t xml:space="preserve"> </w:t>
      </w:r>
    </w:p>
    <w:p w:rsidRPr="00BF7731" w:rsidR="00C9224C" w:rsidP="00C9224C" w:rsidRDefault="00C9224C" w14:paraId="4DC71E7F" w14:textId="77777777">
      <w:pPr>
        <w:pStyle w:val="Spreekpunten"/>
        <w:numPr>
          <w:ilvl w:val="0"/>
          <w:numId w:val="0"/>
        </w:numPr>
        <w:ind w:left="720"/>
        <w:rPr>
          <w:rFonts w:ascii="Calibri" w:hAnsi="Calibri" w:cs="Calibri"/>
          <w:sz w:val="22"/>
          <w:szCs w:val="22"/>
          <w:lang w:val="nl-NL" w:eastAsia="zh-CN"/>
        </w:rPr>
      </w:pPr>
    </w:p>
    <w:p w:rsidRPr="00BF7731" w:rsidR="002514B4" w:rsidP="002514B4" w:rsidRDefault="005931D9" w14:paraId="2526FE95" w14:textId="76F61EE0">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w:t>
      </w:r>
      <w:r w:rsidRPr="00BF7731" w:rsidR="00862DB6">
        <w:rPr>
          <w:rFonts w:ascii="Calibri" w:hAnsi="Calibri" w:cs="Calibri"/>
          <w:sz w:val="22"/>
          <w:szCs w:val="22"/>
          <w:lang w:val="nl-NL" w:eastAsia="zh-CN"/>
        </w:rPr>
        <w:t>Commissie</w:t>
      </w:r>
      <w:r w:rsidRPr="00BF7731">
        <w:rPr>
          <w:rFonts w:ascii="Calibri" w:hAnsi="Calibri" w:cs="Calibri"/>
          <w:sz w:val="22"/>
          <w:szCs w:val="22"/>
          <w:lang w:val="nl-NL" w:eastAsia="zh-CN"/>
        </w:rPr>
        <w:t xml:space="preserve">voorstel </w:t>
      </w:r>
      <w:r w:rsidRPr="00BF7731" w:rsidR="008D3260">
        <w:rPr>
          <w:rFonts w:ascii="Calibri" w:hAnsi="Calibri" w:cs="Calibri"/>
          <w:sz w:val="22"/>
          <w:szCs w:val="22"/>
          <w:lang w:val="nl-NL" w:eastAsia="zh-CN"/>
        </w:rPr>
        <w:t>ziet allereerst op</w:t>
      </w:r>
      <w:r w:rsidRPr="00BF7731">
        <w:rPr>
          <w:rFonts w:ascii="Calibri" w:hAnsi="Calibri" w:cs="Calibri"/>
          <w:sz w:val="22"/>
          <w:szCs w:val="22"/>
          <w:lang w:val="nl-NL" w:eastAsia="zh-CN"/>
        </w:rPr>
        <w:t xml:space="preserve"> een aantal </w:t>
      </w:r>
      <w:r w:rsidRPr="00BF7731" w:rsidR="00EA0534">
        <w:rPr>
          <w:rFonts w:ascii="Calibri" w:hAnsi="Calibri" w:cs="Calibri"/>
          <w:sz w:val="22"/>
          <w:szCs w:val="22"/>
          <w:lang w:val="nl-NL" w:eastAsia="zh-CN"/>
        </w:rPr>
        <w:t>aanpassingen van de beschrijving van entiteiten die onder de NIS2-richtlijn vielen</w:t>
      </w:r>
      <w:r w:rsidRPr="00BF7731" w:rsidR="006F64C0">
        <w:rPr>
          <w:rFonts w:ascii="Calibri" w:hAnsi="Calibri" w:cs="Calibri"/>
          <w:sz w:val="22"/>
          <w:szCs w:val="22"/>
          <w:lang w:val="nl-NL" w:eastAsia="zh-CN"/>
        </w:rPr>
        <w:t>. Dit is</w:t>
      </w:r>
      <w:r w:rsidRPr="00BF7731" w:rsidR="00EA0534">
        <w:rPr>
          <w:rFonts w:ascii="Calibri" w:hAnsi="Calibri" w:cs="Calibri"/>
          <w:sz w:val="22"/>
          <w:szCs w:val="22"/>
          <w:lang w:val="nl-NL" w:eastAsia="zh-CN"/>
        </w:rPr>
        <w:t xml:space="preserve"> </w:t>
      </w:r>
      <w:r w:rsidRPr="00BF7731" w:rsidR="00175C6A">
        <w:rPr>
          <w:rFonts w:ascii="Calibri" w:hAnsi="Calibri" w:cs="Calibri"/>
          <w:sz w:val="22"/>
          <w:szCs w:val="22"/>
          <w:lang w:val="nl-NL" w:eastAsia="zh-CN"/>
        </w:rPr>
        <w:t>volgens</w:t>
      </w:r>
      <w:r w:rsidRPr="00BF7731" w:rsidR="00EA0534">
        <w:rPr>
          <w:rFonts w:ascii="Calibri" w:hAnsi="Calibri" w:cs="Calibri"/>
          <w:sz w:val="22"/>
          <w:szCs w:val="22"/>
          <w:lang w:val="nl-NL" w:eastAsia="zh-CN"/>
        </w:rPr>
        <w:t xml:space="preserve"> de Commissie nodig ter verduidelijk</w:t>
      </w:r>
      <w:r w:rsidRPr="00BF7731" w:rsidR="006F64C0">
        <w:rPr>
          <w:rFonts w:ascii="Calibri" w:hAnsi="Calibri" w:cs="Calibri"/>
          <w:sz w:val="22"/>
          <w:szCs w:val="22"/>
          <w:lang w:val="nl-NL" w:eastAsia="zh-CN"/>
        </w:rPr>
        <w:t>ing</w:t>
      </w:r>
      <w:r w:rsidRPr="00BF7731" w:rsidR="00EA0534">
        <w:rPr>
          <w:rFonts w:ascii="Calibri" w:hAnsi="Calibri" w:cs="Calibri"/>
          <w:sz w:val="22"/>
          <w:szCs w:val="22"/>
          <w:lang w:val="nl-NL" w:eastAsia="zh-CN"/>
        </w:rPr>
        <w:t xml:space="preserve"> en </w:t>
      </w:r>
      <w:r w:rsidRPr="00BF7731" w:rsidR="006F64C0">
        <w:rPr>
          <w:rFonts w:ascii="Calibri" w:hAnsi="Calibri" w:cs="Calibri"/>
          <w:sz w:val="22"/>
          <w:szCs w:val="22"/>
          <w:lang w:val="nl-NL" w:eastAsia="zh-CN"/>
        </w:rPr>
        <w:t xml:space="preserve">om </w:t>
      </w:r>
      <w:r w:rsidRPr="00BF7731" w:rsidR="00EA0534">
        <w:rPr>
          <w:rFonts w:ascii="Calibri" w:hAnsi="Calibri" w:cs="Calibri"/>
          <w:sz w:val="22"/>
          <w:szCs w:val="22"/>
          <w:lang w:val="nl-NL" w:eastAsia="zh-CN"/>
        </w:rPr>
        <w:t>lasten bij entiteiten en nationale autoriteiten</w:t>
      </w:r>
      <w:r w:rsidRPr="00BF7731" w:rsidR="006F64C0">
        <w:rPr>
          <w:rFonts w:ascii="Calibri" w:hAnsi="Calibri" w:cs="Calibri"/>
          <w:sz w:val="22"/>
          <w:szCs w:val="22"/>
          <w:lang w:val="nl-NL" w:eastAsia="zh-CN"/>
        </w:rPr>
        <w:t xml:space="preserve"> te verminderen</w:t>
      </w:r>
      <w:r w:rsidRPr="00BF7731" w:rsidR="00EA0534">
        <w:rPr>
          <w:rFonts w:ascii="Calibri" w:hAnsi="Calibri" w:cs="Calibri"/>
          <w:sz w:val="22"/>
          <w:szCs w:val="22"/>
          <w:lang w:val="nl-NL" w:eastAsia="zh-CN"/>
        </w:rPr>
        <w:t>.</w:t>
      </w:r>
      <w:r w:rsidRPr="00BF7731" w:rsidR="008D3260">
        <w:rPr>
          <w:rStyle w:val="Voetnootmarkering"/>
          <w:rFonts w:ascii="Calibri" w:hAnsi="Calibri" w:cs="Calibri"/>
          <w:sz w:val="22"/>
          <w:szCs w:val="22"/>
          <w:lang w:val="nl-NL" w:eastAsia="zh-CN"/>
        </w:rPr>
        <w:footnoteReference w:id="4"/>
      </w:r>
      <w:r w:rsidRPr="00BF7731">
        <w:rPr>
          <w:rFonts w:ascii="Calibri" w:hAnsi="Calibri" w:cs="Calibri"/>
          <w:sz w:val="22"/>
          <w:szCs w:val="22"/>
          <w:lang w:val="nl-NL" w:eastAsia="zh-CN"/>
        </w:rPr>
        <w:t xml:space="preserve"> </w:t>
      </w:r>
      <w:r w:rsidRPr="00BF7731" w:rsidR="006F64C0">
        <w:rPr>
          <w:rFonts w:ascii="Calibri" w:hAnsi="Calibri" w:cs="Calibri"/>
          <w:sz w:val="22"/>
          <w:szCs w:val="22"/>
          <w:lang w:val="nl-NL" w:eastAsia="zh-CN"/>
        </w:rPr>
        <w:t>Zo vallen voortaan</w:t>
      </w:r>
      <w:r w:rsidRPr="00BF7731" w:rsidR="00EA0534">
        <w:rPr>
          <w:rFonts w:ascii="Calibri" w:hAnsi="Calibri" w:cs="Calibri"/>
          <w:sz w:val="22"/>
          <w:szCs w:val="22"/>
          <w:lang w:val="nl-NL" w:eastAsia="zh-CN"/>
        </w:rPr>
        <w:t xml:space="preserve"> bijvoorbeeld elektriciteitsproducenten</w:t>
      </w:r>
      <w:r w:rsidRPr="00BF7731" w:rsidR="006F64C0">
        <w:rPr>
          <w:rFonts w:ascii="Calibri" w:hAnsi="Calibri" w:cs="Calibri"/>
          <w:sz w:val="22"/>
          <w:szCs w:val="22"/>
          <w:lang w:val="nl-NL" w:eastAsia="zh-CN"/>
        </w:rPr>
        <w:t xml:space="preserve"> alleen onder de NIS2-richtlijn</w:t>
      </w:r>
      <w:r w:rsidRPr="00BF7731" w:rsidR="00EA0534">
        <w:rPr>
          <w:rFonts w:ascii="Calibri" w:hAnsi="Calibri" w:cs="Calibri"/>
          <w:sz w:val="22"/>
          <w:szCs w:val="22"/>
          <w:lang w:val="nl-NL" w:eastAsia="zh-CN"/>
        </w:rPr>
        <w:t xml:space="preserve"> indien zij een totale opwekkingscapaciteit van meer dan 1 </w:t>
      </w:r>
      <w:r w:rsidRPr="00BF7731" w:rsidR="0096770F">
        <w:rPr>
          <w:rFonts w:ascii="Calibri" w:hAnsi="Calibri" w:cs="Calibri"/>
          <w:sz w:val="22"/>
          <w:szCs w:val="22"/>
          <w:lang w:val="nl-NL" w:eastAsia="zh-CN"/>
        </w:rPr>
        <w:t>m</w:t>
      </w:r>
      <w:r w:rsidRPr="00BF7731" w:rsidR="006F64C0">
        <w:rPr>
          <w:rFonts w:ascii="Calibri" w:hAnsi="Calibri" w:cs="Calibri"/>
          <w:sz w:val="22"/>
          <w:szCs w:val="22"/>
          <w:lang w:val="nl-NL" w:eastAsia="zh-CN"/>
        </w:rPr>
        <w:t>egawat</w:t>
      </w:r>
      <w:r w:rsidRPr="00BF7731" w:rsidR="00033F17">
        <w:rPr>
          <w:rFonts w:ascii="Calibri" w:hAnsi="Calibri" w:cs="Calibri"/>
          <w:sz w:val="22"/>
          <w:szCs w:val="22"/>
          <w:lang w:val="nl-NL" w:eastAsia="zh-CN"/>
        </w:rPr>
        <w:t>t</w:t>
      </w:r>
      <w:r w:rsidRPr="00BF7731" w:rsidR="00EA0534">
        <w:rPr>
          <w:rFonts w:ascii="Calibri" w:hAnsi="Calibri" w:cs="Calibri"/>
          <w:sz w:val="22"/>
          <w:szCs w:val="22"/>
          <w:lang w:val="nl-NL" w:eastAsia="zh-CN"/>
        </w:rPr>
        <w:t xml:space="preserve"> hebben. </w:t>
      </w:r>
      <w:r w:rsidRPr="00BF7731" w:rsidR="002514B4">
        <w:rPr>
          <w:rFonts w:ascii="Calibri" w:hAnsi="Calibri" w:cs="Calibri"/>
          <w:sz w:val="22"/>
          <w:szCs w:val="22"/>
          <w:lang w:val="nl-NL" w:eastAsia="zh-CN"/>
        </w:rPr>
        <w:t xml:space="preserve">Om het toepassingsbereik van </w:t>
      </w:r>
      <w:r w:rsidRPr="00BF7731" w:rsidR="00C4291E">
        <w:rPr>
          <w:rFonts w:ascii="Calibri" w:hAnsi="Calibri" w:cs="Calibri"/>
          <w:sz w:val="22"/>
          <w:szCs w:val="22"/>
          <w:lang w:val="nl-NL" w:eastAsia="zh-CN"/>
        </w:rPr>
        <w:t xml:space="preserve">de NIS2-richtlijn met betrekking tot entiteiten binnen de </w:t>
      </w:r>
      <w:proofErr w:type="spellStart"/>
      <w:r w:rsidRPr="00BF7731" w:rsidR="00C4291E">
        <w:rPr>
          <w:rFonts w:ascii="Calibri" w:hAnsi="Calibri" w:cs="Calibri"/>
          <w:sz w:val="22"/>
          <w:szCs w:val="22"/>
          <w:lang w:val="nl-NL" w:eastAsia="zh-CN"/>
        </w:rPr>
        <w:t>subsector</w:t>
      </w:r>
      <w:proofErr w:type="spellEnd"/>
      <w:r w:rsidRPr="00BF7731" w:rsidR="00C4291E">
        <w:rPr>
          <w:rFonts w:ascii="Calibri" w:hAnsi="Calibri" w:cs="Calibri"/>
          <w:sz w:val="22"/>
          <w:szCs w:val="22"/>
          <w:lang w:val="nl-NL" w:eastAsia="zh-CN"/>
        </w:rPr>
        <w:t xml:space="preserve"> </w:t>
      </w:r>
      <w:r w:rsidRPr="00BF7731" w:rsidR="002514B4">
        <w:rPr>
          <w:rFonts w:ascii="Calibri" w:hAnsi="Calibri" w:cs="Calibri"/>
          <w:sz w:val="22"/>
          <w:szCs w:val="22"/>
          <w:lang w:val="nl-NL" w:eastAsia="zh-CN"/>
        </w:rPr>
        <w:t>waterstof te verduidelijken</w:t>
      </w:r>
      <w:r w:rsidRPr="00BF7731" w:rsidR="00873EE4">
        <w:rPr>
          <w:rFonts w:ascii="Calibri" w:hAnsi="Calibri" w:cs="Calibri"/>
          <w:sz w:val="22"/>
          <w:szCs w:val="22"/>
          <w:lang w:val="nl-NL" w:eastAsia="zh-CN"/>
        </w:rPr>
        <w:t>,</w:t>
      </w:r>
      <w:r w:rsidRPr="00BF7731" w:rsidR="002514B4">
        <w:rPr>
          <w:rFonts w:ascii="Calibri" w:hAnsi="Calibri" w:cs="Calibri"/>
          <w:sz w:val="22"/>
          <w:szCs w:val="22"/>
          <w:lang w:val="nl-NL" w:eastAsia="zh-CN"/>
        </w:rPr>
        <w:t xml:space="preserve"> stelt de </w:t>
      </w:r>
      <w:r w:rsidRPr="00BF7731" w:rsidR="000E47E5">
        <w:rPr>
          <w:rFonts w:ascii="Calibri" w:hAnsi="Calibri" w:cs="Calibri"/>
          <w:sz w:val="22"/>
          <w:szCs w:val="22"/>
          <w:lang w:val="nl-NL" w:eastAsia="zh-CN"/>
        </w:rPr>
        <w:t>C</w:t>
      </w:r>
      <w:r w:rsidRPr="00BF7731" w:rsidR="002514B4">
        <w:rPr>
          <w:rFonts w:ascii="Calibri" w:hAnsi="Calibri" w:cs="Calibri"/>
          <w:sz w:val="22"/>
          <w:szCs w:val="22"/>
          <w:lang w:val="nl-NL" w:eastAsia="zh-CN"/>
        </w:rPr>
        <w:t xml:space="preserve">ommissie </w:t>
      </w:r>
      <w:r w:rsidRPr="00BF7731" w:rsidR="00C4291E">
        <w:rPr>
          <w:rFonts w:ascii="Calibri" w:hAnsi="Calibri" w:cs="Calibri"/>
          <w:sz w:val="22"/>
          <w:szCs w:val="22"/>
          <w:lang w:val="nl-NL" w:eastAsia="zh-CN"/>
        </w:rPr>
        <w:t xml:space="preserve">daarnaast </w:t>
      </w:r>
      <w:r w:rsidRPr="00BF7731" w:rsidR="002514B4">
        <w:rPr>
          <w:rFonts w:ascii="Calibri" w:hAnsi="Calibri" w:cs="Calibri"/>
          <w:sz w:val="22"/>
          <w:szCs w:val="22"/>
          <w:lang w:val="nl-NL" w:eastAsia="zh-CN"/>
        </w:rPr>
        <w:t xml:space="preserve">voor </w:t>
      </w:r>
      <w:r w:rsidRPr="00BF7731" w:rsidR="00C4291E">
        <w:rPr>
          <w:rFonts w:ascii="Calibri" w:hAnsi="Calibri" w:cs="Calibri"/>
          <w:sz w:val="22"/>
          <w:szCs w:val="22"/>
          <w:lang w:val="nl-NL" w:eastAsia="zh-CN"/>
        </w:rPr>
        <w:t xml:space="preserve">de beschrijving betreffende </w:t>
      </w:r>
      <w:r w:rsidRPr="00BF7731" w:rsidR="002514B4">
        <w:rPr>
          <w:rFonts w:ascii="Calibri" w:hAnsi="Calibri" w:cs="Calibri"/>
          <w:sz w:val="22"/>
          <w:szCs w:val="22"/>
          <w:lang w:val="nl-NL" w:eastAsia="zh-CN"/>
        </w:rPr>
        <w:t xml:space="preserve">exploitanten van voorzieningen voor de productie, opslag en transmissie van waterstof </w:t>
      </w:r>
      <w:r w:rsidRPr="00BF7731" w:rsidR="00F37D6C">
        <w:rPr>
          <w:rFonts w:ascii="Calibri" w:hAnsi="Calibri" w:cs="Calibri"/>
          <w:sz w:val="22"/>
          <w:szCs w:val="22"/>
          <w:lang w:val="nl-NL" w:eastAsia="zh-CN"/>
        </w:rPr>
        <w:t xml:space="preserve">op te splitsen </w:t>
      </w:r>
      <w:r w:rsidRPr="00BF7731" w:rsidR="00C4291E">
        <w:rPr>
          <w:rFonts w:ascii="Calibri" w:hAnsi="Calibri" w:cs="Calibri"/>
          <w:sz w:val="22"/>
          <w:szCs w:val="22"/>
          <w:lang w:val="nl-NL" w:eastAsia="zh-CN"/>
        </w:rPr>
        <w:t>en</w:t>
      </w:r>
      <w:r w:rsidRPr="00BF7731" w:rsidR="00F37D6C">
        <w:rPr>
          <w:rFonts w:ascii="Calibri" w:hAnsi="Calibri" w:cs="Calibri"/>
          <w:sz w:val="22"/>
          <w:szCs w:val="22"/>
          <w:lang w:val="nl-NL" w:eastAsia="zh-CN"/>
        </w:rPr>
        <w:t xml:space="preserve"> te</w:t>
      </w:r>
      <w:r w:rsidRPr="00BF7731" w:rsidR="00C4291E">
        <w:rPr>
          <w:rFonts w:ascii="Calibri" w:hAnsi="Calibri" w:cs="Calibri"/>
          <w:sz w:val="22"/>
          <w:szCs w:val="22"/>
          <w:lang w:val="nl-NL" w:eastAsia="zh-CN"/>
        </w:rPr>
        <w:t xml:space="preserve"> voorzien van </w:t>
      </w:r>
      <w:r w:rsidRPr="00BF7731" w:rsidR="002514B4">
        <w:rPr>
          <w:rFonts w:ascii="Calibri" w:hAnsi="Calibri" w:cs="Calibri"/>
          <w:sz w:val="22"/>
          <w:szCs w:val="22"/>
          <w:lang w:val="nl-NL" w:eastAsia="zh-CN"/>
        </w:rPr>
        <w:t>een referentie naar definities uit de Richtlijn (EU) 2024/1788 van het Europees Parlement en de Raad.</w:t>
      </w:r>
      <w:r w:rsidRPr="00BF7731" w:rsidR="004119A0">
        <w:rPr>
          <w:rStyle w:val="Voetnootmarkering"/>
          <w:rFonts w:ascii="Calibri" w:hAnsi="Calibri" w:cs="Calibri"/>
          <w:sz w:val="22"/>
          <w:szCs w:val="22"/>
          <w:lang w:val="nl-NL" w:eastAsia="zh-CN"/>
        </w:rPr>
        <w:footnoteReference w:id="5"/>
      </w:r>
      <w:r w:rsidRPr="00BF7731" w:rsidR="002514B4">
        <w:rPr>
          <w:rFonts w:ascii="Calibri" w:hAnsi="Calibri" w:cs="Calibri"/>
          <w:sz w:val="22"/>
          <w:szCs w:val="22"/>
          <w:lang w:val="nl-NL" w:eastAsia="zh-CN"/>
        </w:rPr>
        <w:t xml:space="preserve"> </w:t>
      </w:r>
      <w:r w:rsidRPr="00BF7731" w:rsidR="00E624AD">
        <w:rPr>
          <w:rFonts w:ascii="Calibri" w:hAnsi="Calibri" w:cs="Calibri"/>
          <w:sz w:val="22"/>
          <w:szCs w:val="22"/>
          <w:lang w:val="nl-NL" w:eastAsia="zh-CN"/>
        </w:rPr>
        <w:t>Bij DNS-dienstverleners</w:t>
      </w:r>
      <w:r w:rsidRPr="00BF7731" w:rsidR="005A1212">
        <w:rPr>
          <w:rStyle w:val="Voetnootmarkering"/>
          <w:rFonts w:ascii="Calibri" w:hAnsi="Calibri" w:cs="Calibri"/>
          <w:sz w:val="22"/>
          <w:szCs w:val="22"/>
          <w:lang w:val="nl-NL" w:eastAsia="zh-CN"/>
        </w:rPr>
        <w:footnoteReference w:id="6"/>
      </w:r>
      <w:r w:rsidRPr="00BF7731" w:rsidR="00E624AD">
        <w:rPr>
          <w:rFonts w:ascii="Calibri" w:hAnsi="Calibri" w:cs="Calibri"/>
          <w:sz w:val="22"/>
          <w:szCs w:val="22"/>
          <w:lang w:val="nl-NL" w:eastAsia="zh-CN"/>
        </w:rPr>
        <w:t xml:space="preserve"> wordt </w:t>
      </w:r>
      <w:r w:rsidRPr="00BF7731" w:rsidR="00C4291E">
        <w:rPr>
          <w:rFonts w:ascii="Calibri" w:hAnsi="Calibri" w:cs="Calibri"/>
          <w:sz w:val="22"/>
          <w:szCs w:val="22"/>
          <w:lang w:val="nl-NL" w:eastAsia="zh-CN"/>
        </w:rPr>
        <w:t>ervoor</w:t>
      </w:r>
      <w:r w:rsidRPr="00BF7731" w:rsidR="00E624AD">
        <w:rPr>
          <w:rFonts w:ascii="Calibri" w:hAnsi="Calibri" w:cs="Calibri"/>
          <w:sz w:val="22"/>
          <w:szCs w:val="22"/>
          <w:lang w:val="nl-NL" w:eastAsia="zh-CN"/>
        </w:rPr>
        <w:t xml:space="preserve"> gekozen om </w:t>
      </w:r>
      <w:r w:rsidRPr="00BF7731" w:rsidR="00C4291E">
        <w:rPr>
          <w:rFonts w:ascii="Calibri" w:hAnsi="Calibri" w:cs="Calibri"/>
          <w:sz w:val="22"/>
          <w:szCs w:val="22"/>
          <w:lang w:val="nl-NL" w:eastAsia="zh-CN"/>
        </w:rPr>
        <w:t xml:space="preserve">dergelijke entiteiten, indien zij </w:t>
      </w:r>
      <w:r w:rsidRPr="00BF7731" w:rsidR="00E624AD">
        <w:rPr>
          <w:rFonts w:ascii="Calibri" w:hAnsi="Calibri" w:cs="Calibri"/>
          <w:sz w:val="22"/>
          <w:szCs w:val="22"/>
          <w:lang w:val="nl-NL" w:eastAsia="zh-CN"/>
        </w:rPr>
        <w:t>micro</w:t>
      </w:r>
      <w:r w:rsidRPr="00BF7731" w:rsidR="00C4291E">
        <w:rPr>
          <w:rFonts w:ascii="Calibri" w:hAnsi="Calibri" w:cs="Calibri"/>
          <w:sz w:val="22"/>
          <w:szCs w:val="22"/>
          <w:lang w:val="nl-NL" w:eastAsia="zh-CN"/>
        </w:rPr>
        <w:t xml:space="preserve"> of</w:t>
      </w:r>
      <w:r w:rsidRPr="00BF7731" w:rsidR="00E624AD">
        <w:rPr>
          <w:rFonts w:ascii="Calibri" w:hAnsi="Calibri" w:cs="Calibri"/>
          <w:sz w:val="22"/>
          <w:szCs w:val="22"/>
          <w:lang w:val="nl-NL" w:eastAsia="zh-CN"/>
        </w:rPr>
        <w:t xml:space="preserve"> klein</w:t>
      </w:r>
      <w:r w:rsidRPr="00BF7731" w:rsidR="00C4291E">
        <w:rPr>
          <w:rFonts w:ascii="Calibri" w:hAnsi="Calibri" w:cs="Calibri"/>
          <w:sz w:val="22"/>
          <w:szCs w:val="22"/>
          <w:lang w:val="nl-NL" w:eastAsia="zh-CN"/>
        </w:rPr>
        <w:t xml:space="preserve"> zijn,</w:t>
      </w:r>
      <w:r w:rsidRPr="00BF7731" w:rsidR="00E624AD">
        <w:rPr>
          <w:rFonts w:ascii="Calibri" w:hAnsi="Calibri" w:cs="Calibri"/>
          <w:sz w:val="22"/>
          <w:szCs w:val="22"/>
          <w:lang w:val="nl-NL" w:eastAsia="zh-CN"/>
        </w:rPr>
        <w:t xml:space="preserve"> buiten het toepassingsbereik van de NIS2-richtlijn te plaatsen.</w:t>
      </w:r>
    </w:p>
    <w:p w:rsidRPr="00BF7731" w:rsidR="00E624AD" w:rsidP="002514B4" w:rsidRDefault="00E624AD" w14:paraId="14844683" w14:textId="77777777">
      <w:pPr>
        <w:pStyle w:val="Spreekpunten"/>
        <w:numPr>
          <w:ilvl w:val="0"/>
          <w:numId w:val="0"/>
        </w:numPr>
        <w:rPr>
          <w:rFonts w:ascii="Calibri" w:hAnsi="Calibri" w:cs="Calibri"/>
          <w:sz w:val="22"/>
          <w:szCs w:val="22"/>
          <w:lang w:val="nl-NL" w:eastAsia="zh-CN"/>
        </w:rPr>
      </w:pPr>
    </w:p>
    <w:p w:rsidRPr="00BF7731" w:rsidR="005931D9" w:rsidP="005931D9" w:rsidRDefault="008E7031" w14:paraId="11F04B69" w14:textId="74450266">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Daarnaast worden</w:t>
      </w:r>
      <w:r w:rsidRPr="00BF7731" w:rsidR="00EA0534">
        <w:rPr>
          <w:rFonts w:ascii="Calibri" w:hAnsi="Calibri" w:cs="Calibri"/>
          <w:sz w:val="22"/>
          <w:szCs w:val="22"/>
          <w:lang w:val="nl-NL" w:eastAsia="zh-CN"/>
        </w:rPr>
        <w:t xml:space="preserve"> enkele nieuwe soorten entiteiten onder het toepassingsbereik van de NIS2-richtlijn gebracht,</w:t>
      </w:r>
      <w:r w:rsidRPr="00BF7731" w:rsidR="00100B90">
        <w:rPr>
          <w:rFonts w:ascii="Calibri" w:hAnsi="Calibri" w:cs="Calibri"/>
          <w:sz w:val="22"/>
          <w:szCs w:val="22"/>
          <w:lang w:val="nl-NL" w:eastAsia="zh-CN"/>
        </w:rPr>
        <w:t xml:space="preserve"> </w:t>
      </w:r>
      <w:r w:rsidRPr="00BF7731" w:rsidR="00EA0534">
        <w:rPr>
          <w:rFonts w:ascii="Calibri" w:hAnsi="Calibri" w:cs="Calibri"/>
          <w:sz w:val="22"/>
          <w:szCs w:val="22"/>
          <w:lang w:val="nl-NL" w:eastAsia="zh-CN"/>
        </w:rPr>
        <w:t>ten eerste</w:t>
      </w:r>
      <w:r w:rsidRPr="00BF7731">
        <w:rPr>
          <w:rFonts w:ascii="Calibri" w:hAnsi="Calibri" w:cs="Calibri"/>
          <w:sz w:val="22"/>
          <w:szCs w:val="22"/>
          <w:lang w:val="nl-NL" w:eastAsia="zh-CN"/>
        </w:rPr>
        <w:t xml:space="preserve"> providers </w:t>
      </w:r>
      <w:r w:rsidRPr="00BF7731" w:rsidR="00EE4DF8">
        <w:rPr>
          <w:rFonts w:ascii="Calibri" w:hAnsi="Calibri" w:cs="Calibri"/>
          <w:sz w:val="22"/>
          <w:szCs w:val="22"/>
          <w:lang w:val="nl-NL" w:eastAsia="zh-CN"/>
        </w:rPr>
        <w:t>van</w:t>
      </w:r>
      <w:r w:rsidRPr="00BF7731">
        <w:rPr>
          <w:rFonts w:ascii="Calibri" w:hAnsi="Calibri" w:cs="Calibri"/>
          <w:sz w:val="22"/>
          <w:szCs w:val="22"/>
          <w:lang w:val="nl-NL" w:eastAsia="zh-CN"/>
        </w:rPr>
        <w:t xml:space="preserve"> </w:t>
      </w:r>
      <w:r w:rsidRPr="00BF7731">
        <w:rPr>
          <w:rFonts w:ascii="Calibri" w:hAnsi="Calibri" w:cs="Calibri"/>
          <w:i/>
          <w:iCs/>
          <w:sz w:val="22"/>
          <w:szCs w:val="22"/>
          <w:lang w:val="nl-NL" w:eastAsia="zh-CN"/>
        </w:rPr>
        <w:t xml:space="preserve">European Digital Identity </w:t>
      </w:r>
      <w:proofErr w:type="spellStart"/>
      <w:r w:rsidRPr="00BF7731">
        <w:rPr>
          <w:rFonts w:ascii="Calibri" w:hAnsi="Calibri" w:cs="Calibri"/>
          <w:i/>
          <w:iCs/>
          <w:sz w:val="22"/>
          <w:szCs w:val="22"/>
          <w:lang w:val="nl-NL" w:eastAsia="zh-CN"/>
        </w:rPr>
        <w:t>Wallets</w:t>
      </w:r>
      <w:proofErr w:type="spellEnd"/>
      <w:r w:rsidRPr="00BF7731" w:rsidR="000C3727">
        <w:rPr>
          <w:rFonts w:ascii="Calibri" w:hAnsi="Calibri" w:cs="Calibri"/>
          <w:sz w:val="22"/>
          <w:szCs w:val="22"/>
          <w:lang w:val="nl-NL" w:eastAsia="zh-CN"/>
        </w:rPr>
        <w:t xml:space="preserve"> (</w:t>
      </w:r>
      <w:r w:rsidRPr="00BF7731" w:rsidR="004119A0">
        <w:rPr>
          <w:rFonts w:ascii="Calibri" w:hAnsi="Calibri" w:cs="Calibri"/>
          <w:sz w:val="22"/>
          <w:szCs w:val="22"/>
          <w:lang w:val="nl-NL" w:eastAsia="zh-CN"/>
        </w:rPr>
        <w:t xml:space="preserve">hierna: </w:t>
      </w:r>
      <w:r w:rsidRPr="00BF7731" w:rsidR="000C3727">
        <w:rPr>
          <w:rFonts w:ascii="Calibri" w:hAnsi="Calibri" w:cs="Calibri"/>
          <w:sz w:val="22"/>
          <w:szCs w:val="22"/>
          <w:lang w:val="nl-NL" w:eastAsia="zh-CN"/>
        </w:rPr>
        <w:t>EUDI-</w:t>
      </w:r>
      <w:proofErr w:type="spellStart"/>
      <w:r w:rsidRPr="00BF7731" w:rsidR="000C3727">
        <w:rPr>
          <w:rFonts w:ascii="Calibri" w:hAnsi="Calibri" w:cs="Calibri"/>
          <w:i/>
          <w:iCs/>
          <w:sz w:val="22"/>
          <w:szCs w:val="22"/>
          <w:lang w:val="nl-NL" w:eastAsia="zh-CN"/>
        </w:rPr>
        <w:t>wallets</w:t>
      </w:r>
      <w:proofErr w:type="spellEnd"/>
      <w:r w:rsidRPr="00BF7731" w:rsidR="000C3727">
        <w:rPr>
          <w:rFonts w:ascii="Calibri" w:hAnsi="Calibri" w:cs="Calibri"/>
          <w:sz w:val="22"/>
          <w:szCs w:val="22"/>
          <w:lang w:val="nl-NL" w:eastAsia="zh-CN"/>
        </w:rPr>
        <w:t>)</w:t>
      </w:r>
      <w:r w:rsidRPr="00BF7731">
        <w:rPr>
          <w:rFonts w:ascii="Calibri" w:hAnsi="Calibri" w:cs="Calibri"/>
          <w:sz w:val="22"/>
          <w:szCs w:val="22"/>
          <w:lang w:val="nl-NL" w:eastAsia="zh-CN"/>
        </w:rPr>
        <w:t xml:space="preserve"> </w:t>
      </w:r>
      <w:r w:rsidRPr="00BF7731" w:rsidR="00E0597D">
        <w:rPr>
          <w:rFonts w:ascii="Calibri" w:hAnsi="Calibri" w:cs="Calibri"/>
          <w:sz w:val="22"/>
          <w:szCs w:val="22"/>
          <w:lang w:val="nl-NL" w:eastAsia="zh-CN"/>
        </w:rPr>
        <w:lastRenderedPageBreak/>
        <w:t>en European</w:t>
      </w:r>
      <w:r w:rsidRPr="00BF7731">
        <w:rPr>
          <w:rFonts w:ascii="Calibri" w:hAnsi="Calibri" w:cs="Calibri"/>
          <w:sz w:val="22"/>
          <w:szCs w:val="22"/>
          <w:lang w:val="nl-NL" w:eastAsia="zh-CN"/>
        </w:rPr>
        <w:t xml:space="preserve"> Business </w:t>
      </w:r>
      <w:proofErr w:type="spellStart"/>
      <w:r w:rsidRPr="00BF7731">
        <w:rPr>
          <w:rFonts w:ascii="Calibri" w:hAnsi="Calibri" w:cs="Calibri"/>
          <w:i/>
          <w:iCs/>
          <w:sz w:val="22"/>
          <w:szCs w:val="22"/>
          <w:lang w:val="nl-NL" w:eastAsia="zh-CN"/>
        </w:rPr>
        <w:t>Wallets</w:t>
      </w:r>
      <w:proofErr w:type="spellEnd"/>
      <w:r w:rsidRPr="00BF7731" w:rsidR="004119A0">
        <w:rPr>
          <w:rFonts w:ascii="Calibri" w:hAnsi="Calibri" w:cs="Calibri"/>
          <w:sz w:val="22"/>
          <w:szCs w:val="22"/>
          <w:lang w:val="nl-NL" w:eastAsia="zh-CN"/>
        </w:rPr>
        <w:t xml:space="preserve"> </w:t>
      </w:r>
      <w:r w:rsidRPr="00BF7731" w:rsidR="00E44F52">
        <w:rPr>
          <w:rFonts w:ascii="Calibri" w:hAnsi="Calibri" w:cs="Calibri"/>
          <w:sz w:val="22"/>
          <w:szCs w:val="22"/>
          <w:lang w:val="nl-NL" w:eastAsia="zh-CN"/>
        </w:rPr>
        <w:t>(</w:t>
      </w:r>
      <w:r w:rsidRPr="00BF7731" w:rsidR="00EA0534">
        <w:rPr>
          <w:rFonts w:ascii="Calibri" w:hAnsi="Calibri" w:cs="Calibri"/>
          <w:sz w:val="22"/>
          <w:szCs w:val="22"/>
          <w:lang w:val="nl-NL" w:eastAsia="zh-CN"/>
        </w:rPr>
        <w:t>binnen de sector digitale infrastructuur</w:t>
      </w:r>
      <w:r w:rsidRPr="00BF7731" w:rsidR="00E44F52">
        <w:rPr>
          <w:rFonts w:ascii="Calibri" w:hAnsi="Calibri" w:cs="Calibri"/>
          <w:sz w:val="22"/>
          <w:szCs w:val="22"/>
          <w:lang w:val="nl-NL" w:eastAsia="zh-CN"/>
        </w:rPr>
        <w:t>)</w:t>
      </w:r>
      <w:r w:rsidRPr="00BF7731" w:rsidR="007700D5">
        <w:rPr>
          <w:rFonts w:ascii="Calibri" w:hAnsi="Calibri" w:cs="Calibri"/>
          <w:sz w:val="22"/>
          <w:szCs w:val="22"/>
          <w:lang w:val="nl-NL" w:eastAsia="zh-CN"/>
        </w:rPr>
        <w:t>.</w:t>
      </w:r>
      <w:r w:rsidRPr="00BF7731" w:rsidR="00CD201B">
        <w:rPr>
          <w:rFonts w:ascii="Calibri" w:hAnsi="Calibri" w:cs="Calibri"/>
          <w:sz w:val="22"/>
          <w:szCs w:val="22"/>
          <w:lang w:val="nl-NL" w:eastAsia="zh-CN"/>
        </w:rPr>
        <w:t xml:space="preserve"> </w:t>
      </w:r>
      <w:r w:rsidRPr="00BF7731" w:rsidR="00873EE4">
        <w:rPr>
          <w:rFonts w:ascii="Calibri" w:hAnsi="Calibri" w:cs="Calibri"/>
          <w:sz w:val="22"/>
          <w:szCs w:val="22"/>
          <w:lang w:val="nl-NL" w:eastAsia="zh-CN"/>
        </w:rPr>
        <w:t xml:space="preserve">Ook stelt de Commissie voor om (eveneens binnen de sector digitale infrastructuur) operators van onderzeese datatransmissie infrastructuur onder het toepassingsbereik van de NIS2-richtlijn te laten vallen. </w:t>
      </w:r>
      <w:r w:rsidRPr="00BF7731" w:rsidR="0023245A">
        <w:rPr>
          <w:rFonts w:ascii="Calibri" w:hAnsi="Calibri" w:cs="Calibri"/>
          <w:sz w:val="22"/>
          <w:szCs w:val="22"/>
          <w:lang w:val="nl-NL" w:eastAsia="zh-CN"/>
        </w:rPr>
        <w:t xml:space="preserve">Dit geldt eveneens voor entiteiten die vallen onder </w:t>
      </w:r>
      <w:bookmarkStart w:name="_Hlk221545949" w:id="3"/>
      <w:r w:rsidRPr="00BF7731" w:rsidR="0023245A">
        <w:rPr>
          <w:rFonts w:ascii="Calibri" w:hAnsi="Calibri" w:cs="Calibri"/>
          <w:sz w:val="22"/>
          <w:szCs w:val="22"/>
          <w:lang w:val="nl-NL" w:eastAsia="zh-CN"/>
        </w:rPr>
        <w:t>het nieuwe voorstel van de Commissie van november 2025 d</w:t>
      </w:r>
      <w:r w:rsidRPr="00BF7731" w:rsidR="00F37D6C">
        <w:rPr>
          <w:rFonts w:ascii="Calibri" w:hAnsi="Calibri" w:cs="Calibri"/>
          <w:sz w:val="22"/>
          <w:szCs w:val="22"/>
          <w:lang w:val="nl-NL" w:eastAsia="zh-CN"/>
        </w:rPr>
        <w:t>at</w:t>
      </w:r>
      <w:r w:rsidRPr="00BF7731" w:rsidR="0023245A">
        <w:rPr>
          <w:rFonts w:ascii="Calibri" w:hAnsi="Calibri" w:cs="Calibri"/>
          <w:sz w:val="22"/>
          <w:szCs w:val="22"/>
          <w:lang w:val="nl-NL" w:eastAsia="zh-CN"/>
        </w:rPr>
        <w:t xml:space="preserve"> ziet op het vervoer van militair materieel en personeel en van militaire goederen binnen de </w:t>
      </w:r>
      <w:r w:rsidRPr="00BF7731" w:rsidR="00F37B47">
        <w:rPr>
          <w:rFonts w:ascii="Calibri" w:hAnsi="Calibri" w:cs="Calibri"/>
          <w:sz w:val="22"/>
          <w:szCs w:val="22"/>
          <w:lang w:val="nl-NL" w:eastAsia="zh-CN"/>
        </w:rPr>
        <w:t>EU</w:t>
      </w:r>
      <w:r w:rsidRPr="00BF7731" w:rsidR="00EA0534">
        <w:rPr>
          <w:rFonts w:ascii="Calibri" w:hAnsi="Calibri" w:cs="Calibri"/>
          <w:sz w:val="22"/>
          <w:szCs w:val="22"/>
          <w:lang w:val="nl-NL" w:eastAsia="zh-CN"/>
        </w:rPr>
        <w:t xml:space="preserve"> (binnen de </w:t>
      </w:r>
      <w:proofErr w:type="spellStart"/>
      <w:r w:rsidRPr="00BF7731" w:rsidR="00EA0534">
        <w:rPr>
          <w:rFonts w:ascii="Calibri" w:hAnsi="Calibri" w:cs="Calibri"/>
          <w:sz w:val="22"/>
          <w:szCs w:val="22"/>
          <w:lang w:val="nl-NL" w:eastAsia="zh-CN"/>
        </w:rPr>
        <w:t>subsector</w:t>
      </w:r>
      <w:proofErr w:type="spellEnd"/>
      <w:r w:rsidRPr="00BF7731" w:rsidR="00EA0534">
        <w:rPr>
          <w:rFonts w:ascii="Calibri" w:hAnsi="Calibri" w:cs="Calibri"/>
          <w:sz w:val="22"/>
          <w:szCs w:val="22"/>
          <w:lang w:val="nl-NL" w:eastAsia="zh-CN"/>
        </w:rPr>
        <w:t xml:space="preserve"> wegvervoer</w:t>
      </w:r>
      <w:bookmarkEnd w:id="3"/>
      <w:r w:rsidRPr="00BF7731" w:rsidR="00EA0534">
        <w:rPr>
          <w:rFonts w:ascii="Calibri" w:hAnsi="Calibri" w:cs="Calibri"/>
          <w:sz w:val="22"/>
          <w:szCs w:val="22"/>
          <w:lang w:val="nl-NL" w:eastAsia="zh-CN"/>
        </w:rPr>
        <w:t>).</w:t>
      </w:r>
      <w:r w:rsidRPr="00BF7731" w:rsidR="00EA0534">
        <w:rPr>
          <w:rStyle w:val="Voetnootmarkering"/>
          <w:rFonts w:ascii="Calibri" w:hAnsi="Calibri" w:cs="Calibri"/>
          <w:sz w:val="22"/>
          <w:szCs w:val="22"/>
          <w:lang w:val="nl-NL" w:eastAsia="zh-CN"/>
        </w:rPr>
        <w:footnoteReference w:id="7"/>
      </w:r>
      <w:r w:rsidRPr="00BF7731" w:rsidR="009115C5">
        <w:rPr>
          <w:rFonts w:ascii="Calibri" w:hAnsi="Calibri" w:cs="Calibri"/>
          <w:sz w:val="22"/>
          <w:szCs w:val="22"/>
          <w:lang w:val="nl-NL" w:eastAsia="zh-CN"/>
        </w:rPr>
        <w:t xml:space="preserve"> </w:t>
      </w:r>
    </w:p>
    <w:p w:rsidRPr="00BF7731" w:rsidR="00846161" w:rsidP="005931D9" w:rsidRDefault="00846161" w14:paraId="2D8E4263" w14:textId="77777777">
      <w:pPr>
        <w:pStyle w:val="Spreekpunten"/>
        <w:numPr>
          <w:ilvl w:val="0"/>
          <w:numId w:val="0"/>
        </w:numPr>
        <w:rPr>
          <w:rFonts w:ascii="Calibri" w:hAnsi="Calibri" w:cs="Calibri"/>
          <w:sz w:val="22"/>
          <w:szCs w:val="22"/>
          <w:lang w:val="nl-NL" w:eastAsia="zh-CN"/>
        </w:rPr>
      </w:pPr>
    </w:p>
    <w:p w:rsidRPr="00BF7731" w:rsidR="00B402F1" w:rsidP="007B06DF" w:rsidRDefault="008E2137" w14:paraId="20786407" w14:textId="293AFBC0">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Om de regeldruk voor zowel entiteiten als toezichthouders te beperken</w:t>
      </w:r>
      <w:r w:rsidRPr="00BF7731" w:rsidR="009115C5">
        <w:rPr>
          <w:rFonts w:ascii="Calibri" w:hAnsi="Calibri" w:cs="Calibri"/>
          <w:sz w:val="22"/>
          <w:szCs w:val="22"/>
          <w:lang w:val="nl-NL" w:eastAsia="zh-CN"/>
        </w:rPr>
        <w:t xml:space="preserve"> introduceert het voorstel een</w:t>
      </w:r>
      <w:r w:rsidRPr="00BF7731">
        <w:rPr>
          <w:rFonts w:ascii="Calibri" w:hAnsi="Calibri" w:cs="Calibri"/>
          <w:sz w:val="22"/>
          <w:szCs w:val="22"/>
          <w:lang w:val="nl-NL" w:eastAsia="zh-CN"/>
        </w:rPr>
        <w:t xml:space="preserve"> nieuwe categorie</w:t>
      </w:r>
      <w:r w:rsidRPr="00BF7731" w:rsidR="00B402F1">
        <w:rPr>
          <w:rFonts w:ascii="Calibri" w:hAnsi="Calibri" w:cs="Calibri"/>
          <w:sz w:val="22"/>
          <w:szCs w:val="22"/>
          <w:lang w:val="nl-NL" w:eastAsia="zh-CN"/>
        </w:rPr>
        <w:t xml:space="preserve"> </w:t>
      </w:r>
      <w:r w:rsidRPr="00BF7731">
        <w:rPr>
          <w:rFonts w:ascii="Calibri" w:hAnsi="Calibri" w:cs="Calibri"/>
          <w:i/>
          <w:iCs/>
          <w:sz w:val="22"/>
          <w:szCs w:val="22"/>
          <w:lang w:val="nl-NL" w:eastAsia="zh-CN"/>
        </w:rPr>
        <w:t>small mid-cap</w:t>
      </w:r>
      <w:r w:rsidRPr="00BF7731">
        <w:rPr>
          <w:rFonts w:ascii="Calibri" w:hAnsi="Calibri" w:cs="Calibri"/>
          <w:sz w:val="22"/>
          <w:szCs w:val="22"/>
          <w:lang w:val="nl-NL" w:eastAsia="zh-CN"/>
        </w:rPr>
        <w:t xml:space="preserve"> bedrijven</w:t>
      </w:r>
      <w:r w:rsidRPr="00BF7731" w:rsidR="00B402F1">
        <w:rPr>
          <w:rFonts w:ascii="Calibri" w:hAnsi="Calibri" w:cs="Calibri"/>
          <w:sz w:val="22"/>
          <w:szCs w:val="22"/>
          <w:lang w:val="nl-NL" w:eastAsia="zh-CN"/>
        </w:rPr>
        <w:t xml:space="preserve">, in lijn met </w:t>
      </w:r>
      <w:r w:rsidRPr="00BF7731" w:rsidR="003C20D8">
        <w:rPr>
          <w:rFonts w:ascii="Calibri" w:hAnsi="Calibri" w:cs="Calibri"/>
          <w:sz w:val="22"/>
          <w:szCs w:val="22"/>
          <w:lang w:val="nl-NL" w:eastAsia="zh-CN"/>
        </w:rPr>
        <w:t xml:space="preserve">de </w:t>
      </w:r>
      <w:r w:rsidRPr="00BF7731" w:rsidR="00C4291E">
        <w:rPr>
          <w:rFonts w:ascii="Calibri" w:hAnsi="Calibri" w:cs="Calibri"/>
          <w:sz w:val="22"/>
          <w:szCs w:val="22"/>
          <w:lang w:val="nl-NL" w:eastAsia="zh-CN"/>
        </w:rPr>
        <w:t xml:space="preserve">aanbeveling van </w:t>
      </w:r>
      <w:r w:rsidRPr="00BF7731" w:rsidR="00B402F1">
        <w:rPr>
          <w:rFonts w:ascii="Calibri" w:hAnsi="Calibri" w:cs="Calibri"/>
          <w:sz w:val="22"/>
          <w:szCs w:val="22"/>
          <w:lang w:val="nl-NL" w:eastAsia="zh-CN"/>
        </w:rPr>
        <w:t>de Europese</w:t>
      </w:r>
      <w:r w:rsidRPr="00BF7731" w:rsidR="00136C14">
        <w:rPr>
          <w:rFonts w:ascii="Calibri" w:hAnsi="Calibri" w:cs="Calibri"/>
          <w:sz w:val="22"/>
          <w:szCs w:val="22"/>
          <w:lang w:val="nl-NL" w:eastAsia="zh-CN"/>
        </w:rPr>
        <w:t xml:space="preserve"> </w:t>
      </w:r>
      <w:r w:rsidRPr="00BF7731" w:rsidR="00B402F1">
        <w:rPr>
          <w:rFonts w:ascii="Calibri" w:hAnsi="Calibri" w:cs="Calibri"/>
          <w:sz w:val="22"/>
          <w:szCs w:val="22"/>
          <w:lang w:val="nl-NL" w:eastAsia="zh-CN"/>
        </w:rPr>
        <w:t>Commissie 2025/1099.</w:t>
      </w:r>
      <w:r w:rsidRPr="00BF7731" w:rsidR="00014BEE">
        <w:rPr>
          <w:rFonts w:ascii="Calibri" w:hAnsi="Calibri" w:cs="Calibri"/>
          <w:sz w:val="22"/>
          <w:szCs w:val="22"/>
          <w:vertAlign w:val="superscript"/>
        </w:rPr>
        <w:footnoteReference w:id="8"/>
      </w:r>
      <w:r w:rsidRPr="00BF7731" w:rsidR="00014BEE">
        <w:rPr>
          <w:rFonts w:ascii="Calibri" w:hAnsi="Calibri" w:cs="Calibri"/>
          <w:sz w:val="22"/>
          <w:szCs w:val="22"/>
          <w:lang w:val="nl-NL"/>
        </w:rPr>
        <w:t xml:space="preserve"> </w:t>
      </w:r>
      <w:r w:rsidRPr="00BF7731" w:rsidR="00CB434B">
        <w:rPr>
          <w:rFonts w:ascii="Calibri" w:hAnsi="Calibri" w:cs="Calibri"/>
          <w:sz w:val="22"/>
          <w:szCs w:val="22"/>
          <w:lang w:val="nl-NL" w:eastAsia="zh-CN"/>
        </w:rPr>
        <w:t>Voor entiteiten die genoemd zijn in bijlage I van de NIS2-richtlijn geldt nu</w:t>
      </w:r>
      <w:r w:rsidRPr="00BF7731" w:rsidR="007B06DF">
        <w:rPr>
          <w:rFonts w:ascii="Calibri" w:hAnsi="Calibri" w:cs="Calibri"/>
          <w:sz w:val="22"/>
          <w:szCs w:val="22"/>
          <w:lang w:val="nl-NL" w:eastAsia="zh-CN"/>
        </w:rPr>
        <w:t xml:space="preserve"> dat</w:t>
      </w:r>
      <w:r w:rsidRPr="00BF7731" w:rsidR="00CB434B">
        <w:rPr>
          <w:rFonts w:ascii="Calibri" w:hAnsi="Calibri" w:cs="Calibri"/>
          <w:sz w:val="22"/>
          <w:szCs w:val="22"/>
          <w:lang w:val="nl-NL" w:eastAsia="zh-CN"/>
        </w:rPr>
        <w:t xml:space="preserve"> zij als essentiële entiteit</w:t>
      </w:r>
      <w:r w:rsidRPr="00BF7731" w:rsidR="002B51ED">
        <w:rPr>
          <w:rFonts w:ascii="Calibri" w:hAnsi="Calibri" w:cs="Calibri"/>
          <w:sz w:val="22"/>
          <w:szCs w:val="22"/>
          <w:lang w:val="nl-NL" w:eastAsia="zh-CN"/>
        </w:rPr>
        <w:t>en</w:t>
      </w:r>
      <w:r w:rsidRPr="00BF7731" w:rsidR="00CB434B">
        <w:rPr>
          <w:rFonts w:ascii="Calibri" w:hAnsi="Calibri" w:cs="Calibri"/>
          <w:sz w:val="22"/>
          <w:szCs w:val="22"/>
          <w:lang w:val="nl-NL" w:eastAsia="zh-CN"/>
        </w:rPr>
        <w:t xml:space="preserve"> worden aangemerkt in geval </w:t>
      </w:r>
      <w:r w:rsidRPr="00BF7731" w:rsidR="00E624AD">
        <w:rPr>
          <w:rFonts w:ascii="Calibri" w:hAnsi="Calibri" w:cs="Calibri"/>
          <w:sz w:val="22"/>
          <w:szCs w:val="22"/>
          <w:lang w:val="nl-NL" w:eastAsia="zh-CN"/>
        </w:rPr>
        <w:t>zij als grote onderneming kwalificeren</w:t>
      </w:r>
      <w:r w:rsidRPr="00BF7731" w:rsidR="00014BEE">
        <w:rPr>
          <w:rFonts w:ascii="Calibri" w:hAnsi="Calibri" w:cs="Calibri"/>
          <w:sz w:val="22"/>
          <w:szCs w:val="22"/>
          <w:lang w:val="nl-NL" w:eastAsia="zh-CN"/>
        </w:rPr>
        <w:t>.</w:t>
      </w:r>
      <w:r w:rsidRPr="00BF7731" w:rsidR="00100B90">
        <w:rPr>
          <w:rFonts w:ascii="Calibri" w:hAnsi="Calibri" w:cs="Calibri"/>
          <w:sz w:val="22"/>
          <w:szCs w:val="22"/>
          <w:lang w:val="nl-NL" w:eastAsia="zh-CN"/>
        </w:rPr>
        <w:t xml:space="preserve"> </w:t>
      </w:r>
      <w:r w:rsidRPr="00BF7731" w:rsidR="00CB434B">
        <w:rPr>
          <w:rFonts w:ascii="Calibri" w:hAnsi="Calibri" w:cs="Calibri"/>
          <w:sz w:val="22"/>
          <w:szCs w:val="22"/>
          <w:lang w:val="nl-NL" w:eastAsia="zh-CN"/>
        </w:rPr>
        <w:t xml:space="preserve">Met dit voorstel </w:t>
      </w:r>
      <w:r w:rsidRPr="00BF7731" w:rsidR="002B51ED">
        <w:rPr>
          <w:rFonts w:ascii="Calibri" w:hAnsi="Calibri" w:cs="Calibri"/>
          <w:sz w:val="22"/>
          <w:szCs w:val="22"/>
          <w:lang w:val="nl-NL" w:eastAsia="zh-CN"/>
        </w:rPr>
        <w:t>wor</w:t>
      </w:r>
      <w:r w:rsidRPr="00BF7731" w:rsidR="00100B90">
        <w:rPr>
          <w:rFonts w:ascii="Calibri" w:hAnsi="Calibri" w:cs="Calibri"/>
          <w:sz w:val="22"/>
          <w:szCs w:val="22"/>
          <w:lang w:val="nl-NL" w:eastAsia="zh-CN"/>
        </w:rPr>
        <w:t>d</w:t>
      </w:r>
      <w:r w:rsidRPr="00BF7731" w:rsidR="00C4291E">
        <w:rPr>
          <w:rFonts w:ascii="Calibri" w:hAnsi="Calibri" w:cs="Calibri"/>
          <w:sz w:val="22"/>
          <w:szCs w:val="22"/>
          <w:lang w:val="nl-NL" w:eastAsia="zh-CN"/>
        </w:rPr>
        <w:t xml:space="preserve">t in plaats daarvan geregeld dat deze soorten entiteiten alleen als zij </w:t>
      </w:r>
      <w:r w:rsidRPr="00BF7731" w:rsidR="00C4291E">
        <w:rPr>
          <w:rFonts w:ascii="Calibri" w:hAnsi="Calibri" w:cs="Calibri"/>
          <w:i/>
          <w:iCs/>
          <w:sz w:val="22"/>
          <w:szCs w:val="22"/>
          <w:lang w:val="nl-NL" w:eastAsia="zh-CN"/>
        </w:rPr>
        <w:t>groter</w:t>
      </w:r>
      <w:r w:rsidRPr="00BF7731" w:rsidR="00C4291E">
        <w:rPr>
          <w:rFonts w:ascii="Calibri" w:hAnsi="Calibri" w:cs="Calibri"/>
          <w:sz w:val="22"/>
          <w:szCs w:val="22"/>
          <w:lang w:val="nl-NL" w:eastAsia="zh-CN"/>
        </w:rPr>
        <w:t xml:space="preserve"> zijn dan </w:t>
      </w:r>
      <w:r w:rsidRPr="00BF7731" w:rsidR="00C4291E">
        <w:rPr>
          <w:rFonts w:ascii="Calibri" w:hAnsi="Calibri" w:cs="Calibri"/>
          <w:i/>
          <w:iCs/>
          <w:sz w:val="22"/>
          <w:szCs w:val="22"/>
          <w:lang w:val="nl-NL" w:eastAsia="zh-CN"/>
        </w:rPr>
        <w:t>small mid-cap</w:t>
      </w:r>
      <w:r w:rsidRPr="00BF7731" w:rsidR="00C4291E">
        <w:rPr>
          <w:rFonts w:ascii="Calibri" w:hAnsi="Calibri" w:cs="Calibri"/>
          <w:sz w:val="22"/>
          <w:szCs w:val="22"/>
          <w:lang w:val="nl-NL" w:eastAsia="zh-CN"/>
        </w:rPr>
        <w:t xml:space="preserve"> als </w:t>
      </w:r>
      <w:r w:rsidRPr="00BF7731" w:rsidR="002B51ED">
        <w:rPr>
          <w:rFonts w:ascii="Calibri" w:hAnsi="Calibri" w:cs="Calibri"/>
          <w:sz w:val="22"/>
          <w:szCs w:val="22"/>
          <w:lang w:val="nl-NL" w:eastAsia="zh-CN"/>
        </w:rPr>
        <w:t>essentiële entiteiten worden aangemerkt</w:t>
      </w:r>
      <w:r w:rsidRPr="00BF7731" w:rsidR="00014BEE">
        <w:rPr>
          <w:rFonts w:ascii="Calibri" w:hAnsi="Calibri" w:cs="Calibri"/>
          <w:sz w:val="22"/>
          <w:szCs w:val="22"/>
          <w:lang w:val="nl-NL" w:eastAsia="zh-CN"/>
        </w:rPr>
        <w:t xml:space="preserve"> </w:t>
      </w:r>
      <w:r w:rsidRPr="00BF7731" w:rsidR="003C20D8">
        <w:rPr>
          <w:rFonts w:ascii="Calibri" w:hAnsi="Calibri" w:cs="Calibri"/>
          <w:sz w:val="22"/>
          <w:szCs w:val="22"/>
          <w:lang w:val="nl-NL" w:eastAsia="zh-CN"/>
        </w:rPr>
        <w:t>é</w:t>
      </w:r>
      <w:r w:rsidRPr="00BF7731" w:rsidR="00C4291E">
        <w:rPr>
          <w:rFonts w:ascii="Calibri" w:hAnsi="Calibri" w:cs="Calibri"/>
          <w:sz w:val="22"/>
          <w:szCs w:val="22"/>
          <w:lang w:val="nl-NL" w:eastAsia="zh-CN"/>
        </w:rPr>
        <w:t>n</w:t>
      </w:r>
      <w:r w:rsidRPr="00BF7731" w:rsidR="00E44F52">
        <w:rPr>
          <w:rFonts w:ascii="Calibri" w:hAnsi="Calibri" w:cs="Calibri"/>
          <w:sz w:val="22"/>
          <w:szCs w:val="22"/>
          <w:lang w:val="nl-NL" w:eastAsia="zh-CN"/>
        </w:rPr>
        <w:t xml:space="preserve"> </w:t>
      </w:r>
      <w:r w:rsidRPr="00BF7731" w:rsidR="00C4291E">
        <w:rPr>
          <w:rFonts w:ascii="Calibri" w:hAnsi="Calibri" w:cs="Calibri"/>
          <w:sz w:val="22"/>
          <w:szCs w:val="22"/>
          <w:lang w:val="nl-NL" w:eastAsia="zh-CN"/>
        </w:rPr>
        <w:t>daardoor</w:t>
      </w:r>
      <w:r w:rsidRPr="00BF7731" w:rsidR="00E44F52">
        <w:rPr>
          <w:rFonts w:ascii="Calibri" w:hAnsi="Calibri" w:cs="Calibri"/>
          <w:sz w:val="22"/>
          <w:szCs w:val="22"/>
          <w:lang w:val="nl-NL" w:eastAsia="zh-CN"/>
        </w:rPr>
        <w:t xml:space="preserve"> dat</w:t>
      </w:r>
      <w:r w:rsidRPr="00BF7731" w:rsidR="00C4291E">
        <w:rPr>
          <w:rFonts w:ascii="Calibri" w:hAnsi="Calibri" w:cs="Calibri"/>
          <w:sz w:val="22"/>
          <w:szCs w:val="22"/>
          <w:lang w:val="nl-NL" w:eastAsia="zh-CN"/>
        </w:rPr>
        <w:t xml:space="preserve"> </w:t>
      </w:r>
      <w:r w:rsidRPr="00BF7731" w:rsidR="002B51ED">
        <w:rPr>
          <w:rFonts w:ascii="Calibri" w:hAnsi="Calibri" w:cs="Calibri"/>
          <w:sz w:val="22"/>
          <w:szCs w:val="22"/>
          <w:lang w:val="nl-NL" w:eastAsia="zh-CN"/>
        </w:rPr>
        <w:t>sommige</w:t>
      </w:r>
      <w:r w:rsidRPr="00BF7731" w:rsidR="00C4291E">
        <w:rPr>
          <w:rFonts w:ascii="Calibri" w:hAnsi="Calibri" w:cs="Calibri"/>
          <w:sz w:val="22"/>
          <w:szCs w:val="22"/>
          <w:lang w:val="nl-NL" w:eastAsia="zh-CN"/>
        </w:rPr>
        <w:t xml:space="preserve"> van deze</w:t>
      </w:r>
      <w:r w:rsidRPr="00BF7731" w:rsidR="00136C14">
        <w:rPr>
          <w:rFonts w:ascii="Calibri" w:hAnsi="Calibri" w:cs="Calibri"/>
          <w:sz w:val="22"/>
          <w:szCs w:val="22"/>
          <w:lang w:val="nl-NL" w:eastAsia="zh-CN"/>
        </w:rPr>
        <w:t xml:space="preserve"> </w:t>
      </w:r>
      <w:r w:rsidRPr="00BF7731" w:rsidR="003C20D8">
        <w:rPr>
          <w:rFonts w:ascii="Calibri" w:hAnsi="Calibri" w:cs="Calibri"/>
          <w:sz w:val="22"/>
          <w:szCs w:val="22"/>
          <w:lang w:val="nl-NL" w:eastAsia="zh-CN"/>
        </w:rPr>
        <w:t>entiteiten</w:t>
      </w:r>
      <w:r w:rsidRPr="00BF7731" w:rsidR="00136C14">
        <w:rPr>
          <w:rFonts w:ascii="Calibri" w:hAnsi="Calibri" w:cs="Calibri"/>
          <w:sz w:val="22"/>
          <w:szCs w:val="22"/>
          <w:lang w:val="nl-NL" w:eastAsia="zh-CN"/>
        </w:rPr>
        <w:t xml:space="preserve"> </w:t>
      </w:r>
      <w:r w:rsidRPr="00BF7731" w:rsidR="002B51ED">
        <w:rPr>
          <w:rFonts w:ascii="Calibri" w:hAnsi="Calibri" w:cs="Calibri"/>
          <w:sz w:val="22"/>
          <w:szCs w:val="22"/>
          <w:lang w:val="nl-NL" w:eastAsia="zh-CN"/>
        </w:rPr>
        <w:t xml:space="preserve">voortaan </w:t>
      </w:r>
      <w:r w:rsidRPr="00BF7731" w:rsidR="008109B3">
        <w:rPr>
          <w:rFonts w:ascii="Calibri" w:hAnsi="Calibri" w:cs="Calibri"/>
          <w:sz w:val="22"/>
          <w:szCs w:val="22"/>
          <w:lang w:val="nl-NL" w:eastAsia="zh-CN"/>
        </w:rPr>
        <w:t xml:space="preserve">als </w:t>
      </w:r>
      <w:r w:rsidRPr="00BF7731">
        <w:rPr>
          <w:rFonts w:ascii="Calibri" w:hAnsi="Calibri" w:cs="Calibri"/>
          <w:sz w:val="22"/>
          <w:szCs w:val="22"/>
          <w:lang w:val="nl-NL" w:eastAsia="zh-CN"/>
        </w:rPr>
        <w:t>belangrijke entiteit</w:t>
      </w:r>
      <w:r w:rsidRPr="00BF7731" w:rsidR="00CD201B">
        <w:rPr>
          <w:rFonts w:ascii="Calibri" w:hAnsi="Calibri" w:cs="Calibri"/>
          <w:sz w:val="22"/>
          <w:szCs w:val="22"/>
          <w:lang w:val="nl-NL" w:eastAsia="zh-CN"/>
        </w:rPr>
        <w:t xml:space="preserve"> </w:t>
      </w:r>
      <w:r w:rsidRPr="00BF7731" w:rsidR="002B51ED">
        <w:rPr>
          <w:rFonts w:ascii="Calibri" w:hAnsi="Calibri" w:cs="Calibri"/>
          <w:sz w:val="22"/>
          <w:szCs w:val="22"/>
          <w:lang w:val="nl-NL" w:eastAsia="zh-CN"/>
        </w:rPr>
        <w:t xml:space="preserve">worden </w:t>
      </w:r>
      <w:r w:rsidRPr="00BF7731" w:rsidR="008109B3">
        <w:rPr>
          <w:rFonts w:ascii="Calibri" w:hAnsi="Calibri" w:cs="Calibri"/>
          <w:sz w:val="22"/>
          <w:szCs w:val="22"/>
          <w:lang w:val="nl-NL" w:eastAsia="zh-CN"/>
        </w:rPr>
        <w:t>aangemerkt</w:t>
      </w:r>
      <w:r w:rsidRPr="00BF7731" w:rsidR="002B51ED">
        <w:rPr>
          <w:rFonts w:ascii="Calibri" w:hAnsi="Calibri" w:cs="Calibri"/>
          <w:sz w:val="22"/>
          <w:szCs w:val="22"/>
          <w:lang w:val="nl-NL" w:eastAsia="zh-CN"/>
        </w:rPr>
        <w:t xml:space="preserve">. Zij </w:t>
      </w:r>
      <w:r w:rsidRPr="00BF7731" w:rsidR="008109B3">
        <w:rPr>
          <w:rFonts w:ascii="Calibri" w:hAnsi="Calibri" w:cs="Calibri"/>
          <w:sz w:val="22"/>
          <w:szCs w:val="22"/>
          <w:lang w:val="nl-NL" w:eastAsia="zh-CN"/>
        </w:rPr>
        <w:t>zullen</w:t>
      </w:r>
      <w:r w:rsidRPr="00BF7731" w:rsidR="00CD201B">
        <w:rPr>
          <w:rFonts w:ascii="Calibri" w:hAnsi="Calibri" w:cs="Calibri"/>
          <w:sz w:val="22"/>
          <w:szCs w:val="22"/>
          <w:lang w:val="nl-NL" w:eastAsia="zh-CN"/>
        </w:rPr>
        <w:t xml:space="preserve"> daarmee onder een ‘lichter’ toezichtregime</w:t>
      </w:r>
      <w:r w:rsidRPr="00BF7731" w:rsidR="008109B3">
        <w:rPr>
          <w:rFonts w:ascii="Calibri" w:hAnsi="Calibri" w:cs="Calibri"/>
          <w:sz w:val="22"/>
          <w:szCs w:val="22"/>
          <w:lang w:val="nl-NL" w:eastAsia="zh-CN"/>
        </w:rPr>
        <w:t xml:space="preserve"> vallen.</w:t>
      </w:r>
    </w:p>
    <w:p w:rsidRPr="00BF7731" w:rsidR="008E2137" w:rsidP="008E2137" w:rsidRDefault="009115C5" w14:paraId="1837B334" w14:textId="56D8BF4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Ook doet de Commissie voorstellen</w:t>
      </w:r>
      <w:r w:rsidRPr="00BF7731" w:rsidR="00EA0534">
        <w:rPr>
          <w:rFonts w:ascii="Calibri" w:hAnsi="Calibri" w:cs="Calibri"/>
          <w:sz w:val="22"/>
          <w:szCs w:val="22"/>
          <w:lang w:val="nl-NL" w:eastAsia="zh-CN"/>
        </w:rPr>
        <w:t xml:space="preserve"> met betrekking tot certificering in relatie tot de zorgplicht voor essentiële entiteiten en belangrijke entiteiten </w:t>
      </w:r>
      <w:r w:rsidRPr="00BF7731" w:rsidR="00552D55">
        <w:rPr>
          <w:rFonts w:ascii="Calibri" w:hAnsi="Calibri" w:cs="Calibri"/>
          <w:sz w:val="22"/>
          <w:szCs w:val="22"/>
          <w:lang w:val="nl-NL" w:eastAsia="zh-CN"/>
        </w:rPr>
        <w:t>onder</w:t>
      </w:r>
      <w:r w:rsidRPr="00BF7731" w:rsidR="00EA0534">
        <w:rPr>
          <w:rFonts w:ascii="Calibri" w:hAnsi="Calibri" w:cs="Calibri"/>
          <w:sz w:val="22"/>
          <w:szCs w:val="22"/>
          <w:lang w:val="nl-NL" w:eastAsia="zh-CN"/>
        </w:rPr>
        <w:t xml:space="preserve"> de NIS2-richtlijn.</w:t>
      </w:r>
      <w:r w:rsidRPr="00BF7731" w:rsidR="009E2E86">
        <w:rPr>
          <w:rFonts w:ascii="Calibri" w:hAnsi="Calibri" w:cs="Calibri"/>
          <w:sz w:val="22"/>
          <w:szCs w:val="22"/>
          <w:lang w:val="nl-NL" w:eastAsia="zh-CN"/>
        </w:rPr>
        <w:t xml:space="preserve"> </w:t>
      </w:r>
      <w:r w:rsidRPr="00BF7731" w:rsidR="008E2137">
        <w:rPr>
          <w:rFonts w:ascii="Calibri" w:hAnsi="Calibri" w:cs="Calibri"/>
          <w:sz w:val="22"/>
          <w:szCs w:val="22"/>
          <w:lang w:val="nl-NL" w:eastAsia="zh-CN"/>
        </w:rPr>
        <w:t xml:space="preserve">In lijn met het </w:t>
      </w:r>
      <w:r w:rsidRPr="00BF7731" w:rsidR="00954818">
        <w:rPr>
          <w:rFonts w:ascii="Calibri" w:hAnsi="Calibri" w:cs="Calibri"/>
          <w:sz w:val="22"/>
          <w:szCs w:val="22"/>
          <w:lang w:val="nl-NL" w:eastAsia="zh-CN"/>
        </w:rPr>
        <w:t xml:space="preserve">voorgestelde certificeringsraamwerk in de CSA2 </w:t>
      </w:r>
      <w:r w:rsidRPr="00BF7731" w:rsidR="00BC43AD">
        <w:rPr>
          <w:rFonts w:ascii="Calibri" w:hAnsi="Calibri" w:cs="Calibri"/>
          <w:sz w:val="22"/>
          <w:szCs w:val="22"/>
          <w:lang w:val="nl-NL" w:eastAsia="zh-CN"/>
        </w:rPr>
        <w:t>wordt de bevoegdheid voor lidstaten gecreëerd om aan entiteiten een</w:t>
      </w:r>
      <w:r w:rsidRPr="00BF7731" w:rsidR="003038FA">
        <w:rPr>
          <w:rFonts w:ascii="Calibri" w:hAnsi="Calibri" w:cs="Calibri"/>
          <w:sz w:val="22"/>
          <w:szCs w:val="22"/>
          <w:lang w:val="nl-NL" w:eastAsia="zh-CN"/>
        </w:rPr>
        <w:t xml:space="preserve"> zogeheten</w:t>
      </w:r>
      <w:r w:rsidRPr="00BF7731" w:rsidR="00BC43AD">
        <w:rPr>
          <w:rFonts w:ascii="Calibri" w:hAnsi="Calibri" w:cs="Calibri"/>
          <w:sz w:val="22"/>
          <w:szCs w:val="22"/>
          <w:lang w:val="nl-NL" w:eastAsia="zh-CN"/>
        </w:rPr>
        <w:t xml:space="preserve"> </w:t>
      </w:r>
      <w:proofErr w:type="spellStart"/>
      <w:r w:rsidRPr="00BF7731" w:rsidR="00BC43AD">
        <w:rPr>
          <w:rFonts w:ascii="Calibri" w:hAnsi="Calibri" w:cs="Calibri"/>
          <w:i/>
          <w:iCs/>
          <w:sz w:val="22"/>
          <w:szCs w:val="22"/>
          <w:lang w:val="nl-NL" w:eastAsia="zh-CN"/>
        </w:rPr>
        <w:t>cyberposture</w:t>
      </w:r>
      <w:proofErr w:type="spellEnd"/>
      <w:r w:rsidRPr="00BF7731" w:rsidR="00BC43AD">
        <w:rPr>
          <w:rFonts w:ascii="Calibri" w:hAnsi="Calibri" w:cs="Calibri"/>
          <w:sz w:val="22"/>
          <w:szCs w:val="22"/>
          <w:lang w:val="nl-NL" w:eastAsia="zh-CN"/>
        </w:rPr>
        <w:t xml:space="preserve"> certificering op te kunnen leggen, </w:t>
      </w:r>
      <w:r w:rsidRPr="00BF7731" w:rsidR="00C4291E">
        <w:rPr>
          <w:rFonts w:ascii="Calibri" w:hAnsi="Calibri" w:cs="Calibri"/>
          <w:sz w:val="22"/>
          <w:szCs w:val="22"/>
          <w:lang w:val="nl-NL" w:eastAsia="zh-CN"/>
        </w:rPr>
        <w:t>om aan te tonen dat zij voldoen aan de zorgplichtmaatregelen</w:t>
      </w:r>
      <w:r w:rsidRPr="00BF7731" w:rsidR="008E2137">
        <w:rPr>
          <w:rFonts w:ascii="Calibri" w:hAnsi="Calibri" w:cs="Calibri"/>
          <w:sz w:val="22"/>
          <w:szCs w:val="22"/>
          <w:lang w:val="nl-NL" w:eastAsia="zh-CN"/>
        </w:rPr>
        <w:t xml:space="preserve"> bedoeld in </w:t>
      </w:r>
      <w:r w:rsidRPr="00BF7731" w:rsidR="00D370D1">
        <w:rPr>
          <w:rFonts w:ascii="Calibri" w:hAnsi="Calibri" w:cs="Calibri"/>
          <w:sz w:val="22"/>
          <w:szCs w:val="22"/>
          <w:lang w:val="nl-NL" w:eastAsia="zh-CN"/>
        </w:rPr>
        <w:t xml:space="preserve">artikel 21 van </w:t>
      </w:r>
      <w:r w:rsidRPr="00BF7731" w:rsidR="008E2137">
        <w:rPr>
          <w:rFonts w:ascii="Calibri" w:hAnsi="Calibri" w:cs="Calibri"/>
          <w:sz w:val="22"/>
          <w:szCs w:val="22"/>
          <w:lang w:val="nl-NL" w:eastAsia="zh-CN"/>
        </w:rPr>
        <w:t>de NIS2-richtlijn.</w:t>
      </w:r>
      <w:r w:rsidRPr="00BF7731" w:rsidR="009E2E86">
        <w:rPr>
          <w:rFonts w:ascii="Calibri" w:hAnsi="Calibri" w:cs="Calibri"/>
          <w:sz w:val="22"/>
          <w:szCs w:val="22"/>
          <w:lang w:val="nl-NL" w:eastAsia="zh-CN"/>
        </w:rPr>
        <w:t xml:space="preserve"> Toezichthouders mogen </w:t>
      </w:r>
      <w:r w:rsidRPr="00BF7731" w:rsidR="000E47E5">
        <w:rPr>
          <w:rFonts w:ascii="Calibri" w:hAnsi="Calibri" w:cs="Calibri"/>
          <w:sz w:val="22"/>
          <w:szCs w:val="22"/>
          <w:lang w:val="nl-NL" w:eastAsia="zh-CN"/>
        </w:rPr>
        <w:t xml:space="preserve">bovendien </w:t>
      </w:r>
      <w:r w:rsidRPr="00BF7731" w:rsidR="009E2E86">
        <w:rPr>
          <w:rFonts w:ascii="Calibri" w:hAnsi="Calibri" w:cs="Calibri"/>
          <w:sz w:val="22"/>
          <w:szCs w:val="22"/>
          <w:lang w:val="nl-NL" w:eastAsia="zh-CN"/>
        </w:rPr>
        <w:t xml:space="preserve">entiteiten niet </w:t>
      </w:r>
      <w:r w:rsidRPr="00BF7731" w:rsidR="000E47E5">
        <w:rPr>
          <w:rFonts w:ascii="Calibri" w:hAnsi="Calibri" w:cs="Calibri"/>
          <w:sz w:val="22"/>
          <w:szCs w:val="22"/>
          <w:lang w:val="nl-NL" w:eastAsia="zh-CN"/>
        </w:rPr>
        <w:t xml:space="preserve">(meer) </w:t>
      </w:r>
      <w:r w:rsidRPr="00BF7731" w:rsidR="009E2E86">
        <w:rPr>
          <w:rFonts w:ascii="Calibri" w:hAnsi="Calibri" w:cs="Calibri"/>
          <w:sz w:val="22"/>
          <w:szCs w:val="22"/>
          <w:lang w:val="nl-NL" w:eastAsia="zh-CN"/>
        </w:rPr>
        <w:t xml:space="preserve">onderwerpen aan beveiligingsaudits </w:t>
      </w:r>
      <w:r w:rsidRPr="00BF7731" w:rsidR="007B06DF">
        <w:rPr>
          <w:rFonts w:ascii="Calibri" w:hAnsi="Calibri" w:cs="Calibri"/>
          <w:sz w:val="22"/>
          <w:szCs w:val="22"/>
          <w:lang w:val="nl-NL" w:eastAsia="zh-CN"/>
        </w:rPr>
        <w:t xml:space="preserve">voor zover de betreffende onderdelen door de certificering worden gedekt. </w:t>
      </w:r>
      <w:r w:rsidRPr="00BF7731" w:rsidR="0036741B">
        <w:rPr>
          <w:rFonts w:ascii="Calibri" w:hAnsi="Calibri" w:cs="Calibri"/>
          <w:sz w:val="22"/>
          <w:szCs w:val="22"/>
          <w:lang w:val="nl-NL" w:eastAsia="zh-CN"/>
        </w:rPr>
        <w:t>Volgens de Commissie zorgt dit</w:t>
      </w:r>
      <w:r w:rsidRPr="00BF7731" w:rsidR="00934044">
        <w:rPr>
          <w:rFonts w:ascii="Calibri" w:hAnsi="Calibri" w:cs="Calibri"/>
          <w:sz w:val="22"/>
          <w:szCs w:val="22"/>
          <w:lang w:val="nl-NL" w:eastAsia="zh-CN"/>
        </w:rPr>
        <w:t>,</w:t>
      </w:r>
      <w:r w:rsidRPr="00BF7731" w:rsidR="0036741B">
        <w:rPr>
          <w:rFonts w:ascii="Calibri" w:hAnsi="Calibri" w:cs="Calibri"/>
          <w:sz w:val="22"/>
          <w:szCs w:val="22"/>
          <w:lang w:val="nl-NL" w:eastAsia="zh-CN"/>
        </w:rPr>
        <w:t xml:space="preserve"> </w:t>
      </w:r>
      <w:r w:rsidRPr="00BF7731" w:rsidR="008D4E3A">
        <w:rPr>
          <w:rFonts w:ascii="Calibri" w:hAnsi="Calibri" w:cs="Calibri"/>
          <w:sz w:val="22"/>
          <w:szCs w:val="22"/>
          <w:lang w:val="nl-NL" w:eastAsia="zh-CN"/>
        </w:rPr>
        <w:t>met name voor</w:t>
      </w:r>
      <w:r w:rsidRPr="00BF7731" w:rsidR="000E47E5">
        <w:rPr>
          <w:rFonts w:ascii="Calibri" w:hAnsi="Calibri" w:cs="Calibri"/>
          <w:sz w:val="22"/>
          <w:szCs w:val="22"/>
          <w:lang w:val="nl-NL" w:eastAsia="zh-CN"/>
        </w:rPr>
        <w:t xml:space="preserve"> </w:t>
      </w:r>
      <w:r w:rsidRPr="00BF7731" w:rsidR="008D4E3A">
        <w:rPr>
          <w:rFonts w:ascii="Calibri" w:hAnsi="Calibri" w:cs="Calibri"/>
          <w:sz w:val="22"/>
          <w:szCs w:val="22"/>
          <w:lang w:val="nl-NL" w:eastAsia="zh-CN"/>
        </w:rPr>
        <w:t>entiteiten</w:t>
      </w:r>
      <w:r w:rsidRPr="00BF7731" w:rsidR="003C20D8">
        <w:rPr>
          <w:rFonts w:ascii="Calibri" w:hAnsi="Calibri" w:cs="Calibri"/>
          <w:sz w:val="22"/>
          <w:szCs w:val="22"/>
          <w:lang w:val="nl-NL" w:eastAsia="zh-CN"/>
        </w:rPr>
        <w:t xml:space="preserve"> die </w:t>
      </w:r>
      <w:r w:rsidRPr="00BF7731" w:rsidR="003C20D8">
        <w:rPr>
          <w:rFonts w:ascii="Calibri" w:hAnsi="Calibri" w:cs="Calibri"/>
          <w:iCs/>
          <w:sz w:val="22"/>
          <w:szCs w:val="22"/>
          <w:lang w:val="nl-NL"/>
        </w:rPr>
        <w:t>in meer dan één lidstaat hun diensten verlenen</w:t>
      </w:r>
      <w:r w:rsidRPr="00BF7731" w:rsidR="00DB6947">
        <w:rPr>
          <w:rFonts w:ascii="Calibri" w:hAnsi="Calibri" w:cs="Calibri"/>
          <w:sz w:val="22"/>
          <w:szCs w:val="22"/>
          <w:lang w:val="nl-NL" w:eastAsia="zh-CN"/>
        </w:rPr>
        <w:t>,</w:t>
      </w:r>
      <w:r w:rsidRPr="00BF7731" w:rsidR="008D4E3A">
        <w:rPr>
          <w:rFonts w:ascii="Calibri" w:hAnsi="Calibri" w:cs="Calibri"/>
          <w:sz w:val="22"/>
          <w:szCs w:val="22"/>
          <w:lang w:val="nl-NL" w:eastAsia="zh-CN"/>
        </w:rPr>
        <w:t xml:space="preserve"> voor </w:t>
      </w:r>
      <w:r w:rsidRPr="00BF7731" w:rsidR="00CC6978">
        <w:rPr>
          <w:rFonts w:ascii="Calibri" w:hAnsi="Calibri" w:cs="Calibri"/>
          <w:sz w:val="22"/>
          <w:szCs w:val="22"/>
          <w:lang w:val="nl-NL" w:eastAsia="zh-CN"/>
        </w:rPr>
        <w:t xml:space="preserve">coherentie binnen de interne markt en beperkt </w:t>
      </w:r>
      <w:r w:rsidRPr="00BF7731" w:rsidR="00934044">
        <w:rPr>
          <w:rFonts w:ascii="Calibri" w:hAnsi="Calibri" w:cs="Calibri"/>
          <w:sz w:val="22"/>
          <w:szCs w:val="22"/>
          <w:lang w:val="nl-NL" w:eastAsia="zh-CN"/>
        </w:rPr>
        <w:t xml:space="preserve">het </w:t>
      </w:r>
      <w:r w:rsidRPr="00BF7731" w:rsidR="00CC6978">
        <w:rPr>
          <w:rFonts w:ascii="Calibri" w:hAnsi="Calibri" w:cs="Calibri"/>
          <w:sz w:val="22"/>
          <w:szCs w:val="22"/>
          <w:lang w:val="nl-NL" w:eastAsia="zh-CN"/>
        </w:rPr>
        <w:t xml:space="preserve">de toezichtlasten. </w:t>
      </w:r>
    </w:p>
    <w:p w:rsidRPr="00BF7731" w:rsidR="00EA1642" w:rsidP="008E2137" w:rsidRDefault="00EA1642" w14:paraId="560C2219" w14:textId="77777777">
      <w:pPr>
        <w:pStyle w:val="Spreekpunten"/>
        <w:numPr>
          <w:ilvl w:val="0"/>
          <w:numId w:val="0"/>
        </w:numPr>
        <w:rPr>
          <w:rFonts w:ascii="Calibri" w:hAnsi="Calibri" w:cs="Calibri"/>
          <w:sz w:val="22"/>
          <w:szCs w:val="22"/>
          <w:lang w:val="nl-NL" w:eastAsia="zh-CN"/>
        </w:rPr>
      </w:pPr>
    </w:p>
    <w:p w:rsidRPr="00BF7731" w:rsidR="00EA1642" w:rsidP="008E2137" w:rsidRDefault="001441C4" w14:paraId="4CF75069" w14:textId="74A0C5D2">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Essentiële</w:t>
      </w:r>
      <w:r w:rsidRPr="00BF7731" w:rsidR="003C20D8">
        <w:rPr>
          <w:rFonts w:ascii="Calibri" w:hAnsi="Calibri" w:cs="Calibri"/>
          <w:sz w:val="22"/>
          <w:szCs w:val="22"/>
          <w:lang w:val="nl-NL" w:eastAsia="zh-CN"/>
        </w:rPr>
        <w:t xml:space="preserve"> entiteiten</w:t>
      </w:r>
      <w:r w:rsidRPr="00BF7731">
        <w:rPr>
          <w:rFonts w:ascii="Calibri" w:hAnsi="Calibri" w:cs="Calibri"/>
          <w:sz w:val="22"/>
          <w:szCs w:val="22"/>
          <w:lang w:val="nl-NL" w:eastAsia="zh-CN"/>
        </w:rPr>
        <w:t xml:space="preserve"> en belangrijke entiteiten moeten in het kader van de zorgplicht onder meer maatregelen nemen ten aanzien van de beveiliging van hun toeleveringsketen. Gebleken is dat deze entiteiten ten behoeve daarvan (toekomstige) leveranciers en dienstverleners uitgebreid en op uiteenlopende wijze om informatie verzoeken. De </w:t>
      </w:r>
      <w:r w:rsidRPr="00BF7731" w:rsidR="00131AFE">
        <w:rPr>
          <w:rFonts w:ascii="Calibri" w:hAnsi="Calibri" w:cs="Calibri"/>
          <w:sz w:val="22"/>
          <w:szCs w:val="22"/>
          <w:lang w:val="nl-NL" w:eastAsia="zh-CN"/>
        </w:rPr>
        <w:t xml:space="preserve">Commissie stelt daarom voor om </w:t>
      </w:r>
      <w:proofErr w:type="spellStart"/>
      <w:r w:rsidRPr="00BF7731" w:rsidR="00131AFE">
        <w:rPr>
          <w:rFonts w:ascii="Calibri" w:hAnsi="Calibri" w:cs="Calibri"/>
          <w:i/>
          <w:iCs/>
          <w:sz w:val="22"/>
          <w:szCs w:val="22"/>
          <w:lang w:val="nl-NL" w:eastAsia="zh-CN"/>
        </w:rPr>
        <w:t>guidelines</w:t>
      </w:r>
      <w:proofErr w:type="spellEnd"/>
      <w:r w:rsidRPr="00BF7731" w:rsidR="00131AFE">
        <w:rPr>
          <w:rFonts w:ascii="Calibri" w:hAnsi="Calibri" w:cs="Calibri"/>
          <w:sz w:val="22"/>
          <w:szCs w:val="22"/>
          <w:lang w:val="nl-NL" w:eastAsia="zh-CN"/>
        </w:rPr>
        <w:t xml:space="preserve"> te ontwikkelen </w:t>
      </w:r>
      <w:r w:rsidRPr="00BF7731" w:rsidR="00C23E3F">
        <w:rPr>
          <w:rFonts w:ascii="Calibri" w:hAnsi="Calibri" w:cs="Calibri"/>
          <w:sz w:val="22"/>
          <w:szCs w:val="22"/>
          <w:lang w:val="nl-NL" w:eastAsia="zh-CN"/>
        </w:rPr>
        <w:t xml:space="preserve">met aanbevelingen met betrekking tot een passend detailniveau en formats inzake het </w:t>
      </w:r>
      <w:r w:rsidRPr="00BF7731" w:rsidR="00C23E3F">
        <w:rPr>
          <w:rFonts w:ascii="Calibri" w:hAnsi="Calibri" w:cs="Calibri"/>
          <w:sz w:val="22"/>
          <w:szCs w:val="22"/>
          <w:lang w:val="nl-NL" w:eastAsia="zh-CN"/>
        </w:rPr>
        <w:lastRenderedPageBreak/>
        <w:t>opvragen van</w:t>
      </w:r>
      <w:r w:rsidRPr="00BF7731" w:rsidR="00131AFE">
        <w:rPr>
          <w:rFonts w:ascii="Calibri" w:hAnsi="Calibri" w:cs="Calibri"/>
          <w:sz w:val="22"/>
          <w:szCs w:val="22"/>
          <w:lang w:val="nl-NL" w:eastAsia="zh-CN"/>
        </w:rPr>
        <w:t xml:space="preserve"> dergelijke</w:t>
      </w:r>
      <w:r w:rsidRPr="00BF7731" w:rsidR="00C23E3F">
        <w:rPr>
          <w:rFonts w:ascii="Calibri" w:hAnsi="Calibri" w:cs="Calibri"/>
          <w:sz w:val="22"/>
          <w:szCs w:val="22"/>
          <w:lang w:val="nl-NL" w:eastAsia="zh-CN"/>
        </w:rPr>
        <w:t xml:space="preserve"> informatie bij</w:t>
      </w:r>
      <w:r w:rsidRPr="00BF7731" w:rsidR="00131AFE">
        <w:rPr>
          <w:rFonts w:ascii="Calibri" w:hAnsi="Calibri" w:cs="Calibri"/>
          <w:sz w:val="22"/>
          <w:szCs w:val="22"/>
          <w:lang w:val="nl-NL" w:eastAsia="zh-CN"/>
        </w:rPr>
        <w:t xml:space="preserve"> voornoemde</w:t>
      </w:r>
      <w:r w:rsidRPr="00BF7731" w:rsidR="00C23E3F">
        <w:rPr>
          <w:rFonts w:ascii="Calibri" w:hAnsi="Calibri" w:cs="Calibri"/>
          <w:sz w:val="22"/>
          <w:szCs w:val="22"/>
          <w:lang w:val="nl-NL" w:eastAsia="zh-CN"/>
        </w:rPr>
        <w:t xml:space="preserve"> leveranciers</w:t>
      </w:r>
      <w:r w:rsidRPr="00BF7731" w:rsidR="000E47E5">
        <w:rPr>
          <w:rFonts w:ascii="Calibri" w:hAnsi="Calibri" w:cs="Calibri"/>
          <w:sz w:val="22"/>
          <w:szCs w:val="22"/>
          <w:lang w:val="nl-NL" w:eastAsia="zh-CN"/>
        </w:rPr>
        <w:t xml:space="preserve"> en dienstverleners</w:t>
      </w:r>
      <w:r w:rsidRPr="00BF7731" w:rsidR="00C23E3F">
        <w:rPr>
          <w:rFonts w:ascii="Calibri" w:hAnsi="Calibri" w:cs="Calibri"/>
          <w:sz w:val="22"/>
          <w:szCs w:val="22"/>
          <w:lang w:val="nl-NL" w:eastAsia="zh-CN"/>
        </w:rPr>
        <w:t>. De Commissie beoogt hiermee de lasten voor de leveranciers</w:t>
      </w:r>
      <w:r w:rsidRPr="00BF7731" w:rsidR="00136C14">
        <w:rPr>
          <w:rFonts w:ascii="Calibri" w:hAnsi="Calibri" w:cs="Calibri"/>
          <w:sz w:val="22"/>
          <w:szCs w:val="22"/>
          <w:lang w:val="nl-NL" w:eastAsia="zh-CN"/>
        </w:rPr>
        <w:t xml:space="preserve"> en dienstverleners</w:t>
      </w:r>
      <w:r w:rsidRPr="00BF7731" w:rsidR="00C23E3F">
        <w:rPr>
          <w:rFonts w:ascii="Calibri" w:hAnsi="Calibri" w:cs="Calibri"/>
          <w:sz w:val="22"/>
          <w:szCs w:val="22"/>
          <w:lang w:val="nl-NL" w:eastAsia="zh-CN"/>
        </w:rPr>
        <w:t xml:space="preserve"> te verlichten en</w:t>
      </w:r>
      <w:r w:rsidRPr="00BF7731" w:rsidR="00EA1642">
        <w:rPr>
          <w:rFonts w:ascii="Calibri" w:hAnsi="Calibri" w:cs="Calibri"/>
          <w:sz w:val="22"/>
          <w:szCs w:val="22"/>
          <w:lang w:val="nl-NL" w:eastAsia="zh-CN"/>
        </w:rPr>
        <w:t xml:space="preserve"> om een consistente en efficiënte aanpak voor de beveiliging van de toeleveringsketen te bevorderen.</w:t>
      </w:r>
    </w:p>
    <w:p w:rsidRPr="00BF7731" w:rsidR="00C146A7" w:rsidP="008E2137" w:rsidRDefault="00C146A7" w14:paraId="181AF454" w14:textId="77777777">
      <w:pPr>
        <w:pStyle w:val="Spreekpunten"/>
        <w:numPr>
          <w:ilvl w:val="0"/>
          <w:numId w:val="0"/>
        </w:numPr>
        <w:rPr>
          <w:rFonts w:ascii="Calibri" w:hAnsi="Calibri" w:cs="Calibri"/>
          <w:sz w:val="22"/>
          <w:szCs w:val="22"/>
          <w:lang w:val="nl-NL" w:eastAsia="zh-CN"/>
        </w:rPr>
      </w:pPr>
    </w:p>
    <w:p w:rsidRPr="00BF7731" w:rsidR="002A6A10" w:rsidP="0096611D" w:rsidRDefault="002A6A10" w14:paraId="453B59ED" w14:textId="5B0B6FA2">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De Commissie stelt maximumharmonisatie </w:t>
      </w:r>
      <w:r w:rsidRPr="00BF7731" w:rsidR="001441C4">
        <w:rPr>
          <w:rFonts w:ascii="Calibri" w:hAnsi="Calibri" w:cs="Calibri"/>
          <w:sz w:val="22"/>
          <w:szCs w:val="22"/>
          <w:lang w:val="nl-NL" w:eastAsia="zh-CN"/>
        </w:rPr>
        <w:t xml:space="preserve">voor in relatie tot </w:t>
      </w:r>
      <w:r w:rsidRPr="00BF7731">
        <w:rPr>
          <w:rFonts w:ascii="Calibri" w:hAnsi="Calibri" w:cs="Calibri"/>
          <w:sz w:val="22"/>
          <w:szCs w:val="22"/>
          <w:lang w:val="nl-NL" w:eastAsia="zh-CN"/>
        </w:rPr>
        <w:t xml:space="preserve">de uitvoeringshandelingen </w:t>
      </w:r>
      <w:r w:rsidRPr="00BF7731" w:rsidR="00934044">
        <w:rPr>
          <w:rFonts w:ascii="Calibri" w:hAnsi="Calibri" w:cs="Calibri"/>
          <w:sz w:val="22"/>
          <w:szCs w:val="22"/>
          <w:lang w:val="nl-NL" w:eastAsia="zh-CN"/>
        </w:rPr>
        <w:t>met betrekking tot de zorgplichtmaatregelen</w:t>
      </w:r>
      <w:r w:rsidRPr="00BF7731">
        <w:rPr>
          <w:rFonts w:ascii="Calibri" w:hAnsi="Calibri" w:cs="Calibri"/>
          <w:sz w:val="22"/>
          <w:szCs w:val="22"/>
          <w:lang w:val="nl-NL" w:eastAsia="zh-CN"/>
        </w:rPr>
        <w:t>.</w:t>
      </w:r>
      <w:r w:rsidRPr="00BF7731">
        <w:rPr>
          <w:rStyle w:val="Voetnootmarkering"/>
          <w:rFonts w:ascii="Calibri" w:hAnsi="Calibri" w:cs="Calibri"/>
          <w:sz w:val="22"/>
          <w:szCs w:val="22"/>
          <w:lang w:val="nl-NL" w:eastAsia="zh-CN"/>
        </w:rPr>
        <w:footnoteReference w:id="9"/>
      </w:r>
      <w:r w:rsidRPr="00BF7731" w:rsidR="002F5125">
        <w:rPr>
          <w:rFonts w:ascii="Calibri" w:hAnsi="Calibri" w:cs="Calibri"/>
          <w:sz w:val="22"/>
          <w:szCs w:val="22"/>
          <w:lang w:val="nl-NL" w:eastAsia="zh-CN"/>
        </w:rPr>
        <w:t xml:space="preserve"> Indien de Commissie dergelijke uitvoeringshandelingen vaststelt, word</w:t>
      </w:r>
      <w:r w:rsidRPr="00BF7731" w:rsidR="001441C4">
        <w:rPr>
          <w:rFonts w:ascii="Calibri" w:hAnsi="Calibri" w:cs="Calibri"/>
          <w:sz w:val="22"/>
          <w:szCs w:val="22"/>
          <w:lang w:val="nl-NL" w:eastAsia="zh-CN"/>
        </w:rPr>
        <w:t>t</w:t>
      </w:r>
      <w:r w:rsidRPr="00BF7731">
        <w:rPr>
          <w:rFonts w:ascii="Calibri" w:hAnsi="Calibri" w:cs="Calibri"/>
          <w:sz w:val="22"/>
          <w:szCs w:val="22"/>
          <w:lang w:val="nl-NL" w:eastAsia="zh-CN"/>
        </w:rPr>
        <w:t xml:space="preserve"> </w:t>
      </w:r>
      <w:r w:rsidRPr="00BF7731" w:rsidR="002F5125">
        <w:rPr>
          <w:rFonts w:ascii="Calibri" w:hAnsi="Calibri" w:cs="Calibri"/>
          <w:sz w:val="22"/>
          <w:szCs w:val="22"/>
          <w:lang w:val="nl-NL" w:eastAsia="zh-CN"/>
        </w:rPr>
        <w:t>l</w:t>
      </w:r>
      <w:r w:rsidRPr="00BF7731" w:rsidR="00EA0534">
        <w:rPr>
          <w:rFonts w:ascii="Calibri" w:hAnsi="Calibri" w:cs="Calibri"/>
          <w:sz w:val="22"/>
          <w:szCs w:val="22"/>
          <w:lang w:val="nl-NL" w:eastAsia="zh-CN"/>
        </w:rPr>
        <w:t>idstaten daarmee op dit onderdeel van de richtlijn de bevoegdheid ontzeg</w:t>
      </w:r>
      <w:r w:rsidRPr="00BF7731" w:rsidR="001441C4">
        <w:rPr>
          <w:rFonts w:ascii="Calibri" w:hAnsi="Calibri" w:cs="Calibri"/>
          <w:sz w:val="22"/>
          <w:szCs w:val="22"/>
          <w:lang w:val="nl-NL" w:eastAsia="zh-CN"/>
        </w:rPr>
        <w:t>d</w:t>
      </w:r>
      <w:r w:rsidRPr="00BF7731" w:rsidR="00EA0534">
        <w:rPr>
          <w:rFonts w:ascii="Calibri" w:hAnsi="Calibri" w:cs="Calibri"/>
          <w:sz w:val="22"/>
          <w:szCs w:val="22"/>
          <w:lang w:val="nl-NL" w:eastAsia="zh-CN"/>
        </w:rPr>
        <w:t xml:space="preserve"> om, zoals nu nog wel krachtens artikel 5 van de NIS2-richtlijn mogelijk is, bepalingen vast te stellen of te handhaven die een hoger cyberbeveiligingsniveau waarborgen. Hiermee </w:t>
      </w:r>
      <w:r w:rsidRPr="00BF7731">
        <w:rPr>
          <w:rFonts w:ascii="Calibri" w:hAnsi="Calibri" w:cs="Calibri"/>
          <w:sz w:val="22"/>
          <w:szCs w:val="22"/>
          <w:lang w:val="nl-NL" w:eastAsia="zh-CN"/>
        </w:rPr>
        <w:t>beoogt de Commissie de naleving door entiteiten</w:t>
      </w:r>
      <w:r w:rsidRPr="00BF7731" w:rsidR="00B6515C">
        <w:rPr>
          <w:rFonts w:ascii="Calibri" w:hAnsi="Calibri" w:cs="Calibri"/>
          <w:sz w:val="22"/>
          <w:szCs w:val="22"/>
          <w:lang w:val="nl-NL" w:eastAsia="zh-CN"/>
        </w:rPr>
        <w:t>,</w:t>
      </w:r>
      <w:r w:rsidRPr="00BF7731">
        <w:rPr>
          <w:rFonts w:ascii="Calibri" w:hAnsi="Calibri" w:cs="Calibri"/>
          <w:sz w:val="22"/>
          <w:szCs w:val="22"/>
          <w:lang w:val="nl-NL" w:eastAsia="zh-CN"/>
        </w:rPr>
        <w:t xml:space="preserve"> </w:t>
      </w:r>
      <w:r w:rsidRPr="00BF7731" w:rsidR="00396E5B">
        <w:rPr>
          <w:rFonts w:ascii="Calibri" w:hAnsi="Calibri" w:cs="Calibri"/>
          <w:sz w:val="22"/>
          <w:szCs w:val="22"/>
          <w:lang w:val="nl-NL" w:eastAsia="zh-CN"/>
        </w:rPr>
        <w:t>die in meer dan één lidstaat hun diensten verlenen</w:t>
      </w:r>
      <w:r w:rsidRPr="00BF7731" w:rsidR="00B6515C">
        <w:rPr>
          <w:rFonts w:ascii="Calibri" w:hAnsi="Calibri" w:cs="Calibri"/>
          <w:sz w:val="22"/>
          <w:szCs w:val="22"/>
          <w:lang w:val="nl-NL" w:eastAsia="zh-CN"/>
        </w:rPr>
        <w:t>,</w:t>
      </w:r>
      <w:r w:rsidRPr="00BF7731" w:rsidR="00396E5B">
        <w:rPr>
          <w:rFonts w:ascii="Calibri" w:hAnsi="Calibri" w:cs="Calibri"/>
          <w:sz w:val="22"/>
          <w:szCs w:val="22"/>
          <w:lang w:val="nl-NL" w:eastAsia="zh-CN"/>
        </w:rPr>
        <w:t xml:space="preserve"> </w:t>
      </w:r>
      <w:r w:rsidRPr="00BF7731">
        <w:rPr>
          <w:rFonts w:ascii="Calibri" w:hAnsi="Calibri" w:cs="Calibri"/>
          <w:sz w:val="22"/>
          <w:szCs w:val="22"/>
          <w:lang w:val="nl-NL" w:eastAsia="zh-CN"/>
        </w:rPr>
        <w:t>en het toezicht</w:t>
      </w:r>
      <w:r w:rsidRPr="00BF7731" w:rsidR="00B6515C">
        <w:rPr>
          <w:rFonts w:ascii="Calibri" w:hAnsi="Calibri" w:cs="Calibri"/>
          <w:sz w:val="22"/>
          <w:szCs w:val="22"/>
          <w:lang w:val="nl-NL" w:eastAsia="zh-CN"/>
        </w:rPr>
        <w:t xml:space="preserve"> </w:t>
      </w:r>
      <w:r w:rsidRPr="00BF7731">
        <w:rPr>
          <w:rFonts w:ascii="Calibri" w:hAnsi="Calibri" w:cs="Calibri"/>
          <w:sz w:val="22"/>
          <w:szCs w:val="22"/>
          <w:lang w:val="nl-NL" w:eastAsia="zh-CN"/>
        </w:rPr>
        <w:t xml:space="preserve">te vergemakkelijken.  </w:t>
      </w:r>
    </w:p>
    <w:p w:rsidRPr="00BF7731" w:rsidR="00D05B2E" w:rsidP="0096611D" w:rsidRDefault="00D05B2E" w14:paraId="510F6C1A" w14:textId="77777777">
      <w:pPr>
        <w:pStyle w:val="Spreekpunten"/>
        <w:numPr>
          <w:ilvl w:val="0"/>
          <w:numId w:val="0"/>
        </w:numPr>
        <w:rPr>
          <w:rFonts w:ascii="Calibri" w:hAnsi="Calibri" w:cs="Calibri"/>
          <w:sz w:val="22"/>
          <w:szCs w:val="22"/>
          <w:lang w:val="nl-NL" w:eastAsia="zh-CN"/>
        </w:rPr>
      </w:pPr>
    </w:p>
    <w:p w:rsidRPr="00BF7731" w:rsidR="00B4271F" w:rsidP="00B4271F" w:rsidRDefault="003A3E56" w14:paraId="762A539F" w14:textId="3B64BB8A">
      <w:pPr>
        <w:pStyle w:val="Spreekpunten"/>
        <w:numPr>
          <w:ilvl w:val="0"/>
          <w:numId w:val="0"/>
        </w:numPr>
        <w:rPr>
          <w:rFonts w:ascii="Calibri" w:hAnsi="Calibri" w:cs="Calibri"/>
          <w:sz w:val="22"/>
          <w:szCs w:val="22"/>
          <w:lang w:val="nl-NL" w:eastAsia="zh-CN"/>
        </w:rPr>
      </w:pPr>
      <w:bookmarkStart w:name="_Hlk220489690" w:id="4"/>
      <w:r w:rsidRPr="00BF7731">
        <w:rPr>
          <w:rFonts w:ascii="Calibri" w:hAnsi="Calibri" w:cs="Calibri"/>
          <w:sz w:val="22"/>
          <w:szCs w:val="22"/>
          <w:lang w:val="nl-NL" w:eastAsia="zh-CN"/>
        </w:rPr>
        <w:t xml:space="preserve">Vanwege de groeiende ‘quantum-dreiging’ stelt de Commissie voor dat lidstaten </w:t>
      </w:r>
      <w:r w:rsidRPr="00BF7731" w:rsidR="00B84B85">
        <w:rPr>
          <w:rFonts w:ascii="Calibri" w:hAnsi="Calibri" w:cs="Calibri"/>
          <w:sz w:val="22"/>
          <w:szCs w:val="22"/>
          <w:lang w:val="nl-NL" w:eastAsia="zh-CN"/>
        </w:rPr>
        <w:t>p</w:t>
      </w:r>
      <w:r w:rsidRPr="00BF7731" w:rsidR="00E0597D">
        <w:rPr>
          <w:rFonts w:ascii="Calibri" w:hAnsi="Calibri" w:cs="Calibri"/>
          <w:sz w:val="22"/>
          <w:szCs w:val="22"/>
          <w:lang w:val="nl-NL" w:eastAsia="zh-CN"/>
        </w:rPr>
        <w:t>ost</w:t>
      </w:r>
      <w:r w:rsidRPr="00BF7731" w:rsidR="006A4A70">
        <w:rPr>
          <w:rFonts w:ascii="Calibri" w:hAnsi="Calibri" w:cs="Calibri"/>
          <w:sz w:val="22"/>
          <w:szCs w:val="22"/>
          <w:lang w:val="nl-NL" w:eastAsia="zh-CN"/>
        </w:rPr>
        <w:t xml:space="preserve">-quantum cryptografie </w:t>
      </w:r>
      <w:r w:rsidRPr="00BF7731" w:rsidR="009C08C9">
        <w:rPr>
          <w:rFonts w:ascii="Calibri" w:hAnsi="Calibri" w:cs="Calibri"/>
          <w:sz w:val="22"/>
          <w:szCs w:val="22"/>
          <w:lang w:val="nl-NL" w:eastAsia="zh-CN"/>
        </w:rPr>
        <w:t xml:space="preserve">verplicht </w:t>
      </w:r>
      <w:r w:rsidRPr="00BF7731" w:rsidR="006A4A70">
        <w:rPr>
          <w:rFonts w:ascii="Calibri" w:hAnsi="Calibri" w:cs="Calibri"/>
          <w:sz w:val="22"/>
          <w:szCs w:val="22"/>
          <w:lang w:val="nl-NL" w:eastAsia="zh-CN"/>
        </w:rPr>
        <w:t xml:space="preserve">onderdeel maken van de nationale cyberbeveiligingsstrategie. </w:t>
      </w:r>
    </w:p>
    <w:bookmarkEnd w:id="4"/>
    <w:p w:rsidRPr="00BF7731" w:rsidR="003E1EFE" w:rsidP="00B4271F" w:rsidRDefault="003E1EFE" w14:paraId="7A6C6C00" w14:textId="77777777">
      <w:pPr>
        <w:pStyle w:val="Spreekpunten"/>
        <w:numPr>
          <w:ilvl w:val="0"/>
          <w:numId w:val="0"/>
        </w:numPr>
        <w:rPr>
          <w:rFonts w:ascii="Calibri" w:hAnsi="Calibri" w:cs="Calibri"/>
          <w:sz w:val="22"/>
          <w:szCs w:val="22"/>
          <w:lang w:val="nl-NL" w:eastAsia="zh-CN"/>
        </w:rPr>
      </w:pPr>
    </w:p>
    <w:p w:rsidRPr="00BF7731" w:rsidR="00854409" w:rsidP="00A03163" w:rsidRDefault="001B3A6D" w14:paraId="28B4DD82" w14:textId="026A31D6">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Ook stelt de Commissie voor om datacollectie over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-aanvallen </w:t>
      </w:r>
      <w:r w:rsidRPr="00BF7731" w:rsidR="00EA0534">
        <w:rPr>
          <w:rFonts w:ascii="Calibri" w:hAnsi="Calibri" w:cs="Calibri"/>
          <w:sz w:val="22"/>
          <w:szCs w:val="22"/>
          <w:lang w:val="nl-NL" w:eastAsia="zh-CN"/>
        </w:rPr>
        <w:t xml:space="preserve">bij daarbij betrokken essentiële entiteiten of belangrijke entiteiten </w:t>
      </w:r>
      <w:r w:rsidRPr="00BF7731">
        <w:rPr>
          <w:rFonts w:ascii="Calibri" w:hAnsi="Calibri" w:cs="Calibri"/>
          <w:sz w:val="22"/>
          <w:szCs w:val="22"/>
          <w:lang w:val="nl-NL" w:eastAsia="zh-CN"/>
        </w:rPr>
        <w:t>te harmoniseren en te verbeteren</w:t>
      </w:r>
      <w:r w:rsidRPr="00BF7731" w:rsidR="00EA0534">
        <w:rPr>
          <w:rFonts w:ascii="Calibri" w:hAnsi="Calibri" w:cs="Calibri"/>
          <w:sz w:val="22"/>
          <w:szCs w:val="22"/>
          <w:lang w:val="nl-NL" w:eastAsia="zh-CN"/>
        </w:rPr>
        <w:t>, door te bepalen dat deze entiteiten in het kader van de</w:t>
      </w:r>
      <w:r w:rsidRPr="00BF7731" w:rsidR="0002180F">
        <w:rPr>
          <w:rFonts w:ascii="Calibri" w:hAnsi="Calibri" w:cs="Calibri"/>
          <w:sz w:val="22"/>
          <w:szCs w:val="22"/>
          <w:lang w:val="nl-NL" w:eastAsia="zh-CN"/>
        </w:rPr>
        <w:t xml:space="preserve"> </w:t>
      </w:r>
      <w:r w:rsidRPr="00BF7731">
        <w:rPr>
          <w:rFonts w:ascii="Calibri" w:hAnsi="Calibri" w:cs="Calibri"/>
          <w:sz w:val="22"/>
          <w:szCs w:val="22"/>
          <w:lang w:val="nl-NL" w:eastAsia="zh-CN"/>
        </w:rPr>
        <w:t xml:space="preserve">NIS2-meldplicht verplicht </w:t>
      </w:r>
      <w:r w:rsidRPr="00BF7731" w:rsidR="00EA0534">
        <w:rPr>
          <w:rFonts w:ascii="Calibri" w:hAnsi="Calibri" w:cs="Calibri"/>
          <w:sz w:val="22"/>
          <w:szCs w:val="22"/>
          <w:lang w:val="nl-NL" w:eastAsia="zh-CN"/>
        </w:rPr>
        <w:t xml:space="preserve">worden gesteld </w:t>
      </w:r>
      <w:r w:rsidRPr="00BF7731">
        <w:rPr>
          <w:rFonts w:ascii="Calibri" w:hAnsi="Calibri" w:cs="Calibri"/>
          <w:sz w:val="22"/>
          <w:szCs w:val="22"/>
          <w:lang w:val="nl-NL" w:eastAsia="zh-CN"/>
        </w:rPr>
        <w:t xml:space="preserve">aanvullende informatie </w:t>
      </w:r>
      <w:r w:rsidRPr="00BF7731" w:rsidR="00EA0534">
        <w:rPr>
          <w:rFonts w:ascii="Calibri" w:hAnsi="Calibri" w:cs="Calibri"/>
          <w:sz w:val="22"/>
          <w:szCs w:val="22"/>
          <w:lang w:val="nl-NL" w:eastAsia="zh-CN"/>
        </w:rPr>
        <w:t>hier</w:t>
      </w:r>
      <w:r w:rsidRPr="00BF7731">
        <w:rPr>
          <w:rFonts w:ascii="Calibri" w:hAnsi="Calibri" w:cs="Calibri"/>
          <w:sz w:val="22"/>
          <w:szCs w:val="22"/>
          <w:lang w:val="nl-NL" w:eastAsia="zh-CN"/>
        </w:rPr>
        <w:t>over</w:t>
      </w:r>
      <w:r w:rsidRPr="00BF7731" w:rsidR="001441C4">
        <w:rPr>
          <w:rFonts w:ascii="Calibri" w:hAnsi="Calibri" w:cs="Calibri"/>
          <w:sz w:val="22"/>
          <w:szCs w:val="22"/>
          <w:lang w:val="nl-NL" w:eastAsia="zh-CN"/>
        </w:rPr>
        <w:t xml:space="preserve"> al dan niet op verzoek</w:t>
      </w:r>
      <w:r w:rsidRPr="00BF7731">
        <w:rPr>
          <w:rFonts w:ascii="Calibri" w:hAnsi="Calibri" w:cs="Calibri"/>
          <w:sz w:val="22"/>
          <w:szCs w:val="22"/>
          <w:lang w:val="nl-NL" w:eastAsia="zh-CN"/>
        </w:rPr>
        <w:t xml:space="preserve"> aan te leveren bij </w:t>
      </w:r>
      <w:r w:rsidRPr="00BF7731" w:rsidR="00934044">
        <w:rPr>
          <w:rFonts w:ascii="Calibri" w:hAnsi="Calibri" w:cs="Calibri"/>
          <w:sz w:val="22"/>
          <w:szCs w:val="22"/>
          <w:lang w:val="nl-NL" w:eastAsia="zh-CN"/>
        </w:rPr>
        <w:t xml:space="preserve">het </w:t>
      </w:r>
      <w:r w:rsidRPr="00BF7731">
        <w:rPr>
          <w:rFonts w:ascii="Calibri" w:hAnsi="Calibri" w:cs="Calibri"/>
          <w:sz w:val="22"/>
          <w:szCs w:val="22"/>
          <w:lang w:val="nl-NL" w:eastAsia="zh-CN"/>
        </w:rPr>
        <w:t>CSIRT</w:t>
      </w:r>
      <w:r w:rsidRPr="00BF7731" w:rsidR="003A60F0">
        <w:rPr>
          <w:rFonts w:ascii="Calibri" w:hAnsi="Calibri" w:cs="Calibri"/>
          <w:sz w:val="22"/>
          <w:szCs w:val="22"/>
          <w:lang w:val="nl-NL" w:eastAsia="zh-CN"/>
        </w:rPr>
        <w:t xml:space="preserve"> (Computer Security Incident Response Teams)</w:t>
      </w:r>
      <w:r w:rsidRPr="00BF7731" w:rsidR="0002180F">
        <w:rPr>
          <w:rFonts w:ascii="Calibri" w:hAnsi="Calibri" w:cs="Calibri"/>
          <w:sz w:val="22"/>
          <w:szCs w:val="22"/>
          <w:lang w:val="nl-NL" w:eastAsia="zh-CN"/>
        </w:rPr>
        <w:t xml:space="preserve"> of bevoegde autoriteit</w:t>
      </w:r>
      <w:r w:rsidRPr="00BF7731" w:rsidR="00F84E93">
        <w:rPr>
          <w:rFonts w:ascii="Calibri" w:hAnsi="Calibri" w:cs="Calibri"/>
          <w:sz w:val="22"/>
          <w:szCs w:val="22"/>
          <w:lang w:val="nl-NL" w:eastAsia="zh-CN"/>
        </w:rPr>
        <w:t xml:space="preserve"> </w:t>
      </w:r>
      <w:r w:rsidRPr="00BF7731" w:rsidR="001441C4">
        <w:rPr>
          <w:rFonts w:ascii="Calibri" w:hAnsi="Calibri" w:cs="Calibri"/>
          <w:sz w:val="22"/>
          <w:szCs w:val="22"/>
          <w:lang w:val="nl-NL" w:eastAsia="zh-CN"/>
        </w:rPr>
        <w:t>via een communicatiekanaal</w:t>
      </w:r>
      <w:r w:rsidRPr="00BF7731">
        <w:rPr>
          <w:rFonts w:ascii="Calibri" w:hAnsi="Calibri" w:cs="Calibri"/>
          <w:sz w:val="22"/>
          <w:szCs w:val="22"/>
          <w:lang w:val="nl-NL" w:eastAsia="zh-CN"/>
        </w:rPr>
        <w:t>, inclusief informatie over eventuele betalingen</w:t>
      </w:r>
      <w:r w:rsidRPr="00BF7731" w:rsidR="001441C4">
        <w:rPr>
          <w:rFonts w:ascii="Calibri" w:hAnsi="Calibri" w:cs="Calibri"/>
          <w:sz w:val="22"/>
          <w:szCs w:val="22"/>
          <w:lang w:val="nl-NL" w:eastAsia="zh-CN"/>
        </w:rPr>
        <w:t>.</w:t>
      </w:r>
    </w:p>
    <w:p w:rsidRPr="00BF7731" w:rsidR="009A618F" w:rsidP="00AF5525" w:rsidRDefault="009A618F" w14:paraId="238E306A" w14:textId="77777777">
      <w:pPr>
        <w:pStyle w:val="Spreekpunten"/>
        <w:numPr>
          <w:ilvl w:val="0"/>
          <w:numId w:val="0"/>
        </w:numPr>
        <w:rPr>
          <w:rFonts w:ascii="Calibri" w:hAnsi="Calibri" w:cs="Calibri"/>
          <w:sz w:val="22"/>
          <w:szCs w:val="22"/>
          <w:lang w:val="nl-NL" w:eastAsia="zh-CN"/>
        </w:rPr>
      </w:pPr>
    </w:p>
    <w:p w:rsidRPr="00BF7731" w:rsidR="00934044" w:rsidP="00AF5525" w:rsidRDefault="00934044" w14:paraId="4CBC3C4F" w14:textId="4C20DABD">
      <w:pPr>
        <w:pStyle w:val="Geenafstand"/>
        <w:spacing w:line="360" w:lineRule="auto"/>
        <w:rPr>
          <w:rFonts w:ascii="Calibri" w:hAnsi="Calibri" w:cs="Calibri"/>
          <w:szCs w:val="22"/>
        </w:rPr>
      </w:pPr>
      <w:r w:rsidRPr="00BF7731">
        <w:rPr>
          <w:rFonts w:ascii="Calibri" w:hAnsi="Calibri" w:cs="Calibri"/>
          <w:szCs w:val="22"/>
        </w:rPr>
        <w:t xml:space="preserve">Tot slot stelt de Commissie een nieuwe, assisterende rol voor ENISA </w:t>
      </w:r>
      <w:r w:rsidRPr="00BF7731" w:rsidR="007330F4">
        <w:rPr>
          <w:rFonts w:ascii="Calibri" w:hAnsi="Calibri" w:cs="Calibri"/>
          <w:szCs w:val="22"/>
        </w:rPr>
        <w:t xml:space="preserve">(het Agentschap van de Europese Unie voor cyberbeveiliging) </w:t>
      </w:r>
      <w:r w:rsidRPr="00BF7731">
        <w:rPr>
          <w:rFonts w:ascii="Calibri" w:hAnsi="Calibri" w:cs="Calibri"/>
          <w:szCs w:val="22"/>
        </w:rPr>
        <w:t xml:space="preserve">voor in geval van </w:t>
      </w:r>
      <w:r w:rsidRPr="00BF7731" w:rsidR="00550C9A">
        <w:rPr>
          <w:rFonts w:ascii="Calibri" w:hAnsi="Calibri" w:cs="Calibri"/>
          <w:szCs w:val="22"/>
        </w:rPr>
        <w:t xml:space="preserve">samenwerking tussen </w:t>
      </w:r>
      <w:r w:rsidRPr="00BF7731" w:rsidR="002473FD">
        <w:rPr>
          <w:rFonts w:ascii="Calibri" w:hAnsi="Calibri" w:cs="Calibri"/>
          <w:szCs w:val="22"/>
        </w:rPr>
        <w:t>de bevoegde autoriteiten binnen de EU</w:t>
      </w:r>
      <w:r w:rsidRPr="00BF7731" w:rsidR="00F37D6C">
        <w:rPr>
          <w:rFonts w:ascii="Calibri" w:hAnsi="Calibri" w:cs="Calibri"/>
          <w:szCs w:val="22"/>
        </w:rPr>
        <w:t xml:space="preserve"> (wederzijdse bijstand)</w:t>
      </w:r>
      <w:r w:rsidRPr="00BF7731" w:rsidR="002473FD">
        <w:rPr>
          <w:rFonts w:ascii="Calibri" w:hAnsi="Calibri" w:cs="Calibri"/>
          <w:szCs w:val="22"/>
        </w:rPr>
        <w:t>.</w:t>
      </w:r>
      <w:r w:rsidRPr="00BF7731">
        <w:rPr>
          <w:rFonts w:ascii="Calibri" w:hAnsi="Calibri" w:cs="Calibri"/>
          <w:szCs w:val="22"/>
        </w:rPr>
        <w:t xml:space="preserve"> De Commissie beoogt hiermee de naleving van de gestelde verplichtingen onder de NIS2-richtlijn voor </w:t>
      </w:r>
      <w:r w:rsidRPr="00BF7731" w:rsidR="007330F4">
        <w:rPr>
          <w:rFonts w:ascii="Calibri" w:hAnsi="Calibri" w:cs="Calibri"/>
          <w:szCs w:val="22"/>
        </w:rPr>
        <w:t>entiteiten</w:t>
      </w:r>
      <w:r w:rsidRPr="00BF7731" w:rsidR="001441C4">
        <w:rPr>
          <w:rFonts w:ascii="Calibri" w:hAnsi="Calibri" w:cs="Calibri"/>
          <w:szCs w:val="22"/>
        </w:rPr>
        <w:t xml:space="preserve"> die </w:t>
      </w:r>
      <w:r w:rsidRPr="00BF7731" w:rsidR="003C20D8">
        <w:rPr>
          <w:rFonts w:ascii="Calibri" w:hAnsi="Calibri" w:cs="Calibri"/>
          <w:iCs/>
          <w:szCs w:val="22"/>
        </w:rPr>
        <w:t>in meer dan één lidstaat hun diensten verlenen</w:t>
      </w:r>
      <w:r w:rsidRPr="00BF7731" w:rsidR="007330F4">
        <w:rPr>
          <w:rFonts w:ascii="Calibri" w:hAnsi="Calibri" w:cs="Calibri"/>
          <w:szCs w:val="22"/>
        </w:rPr>
        <w:t xml:space="preserve"> </w:t>
      </w:r>
      <w:r w:rsidRPr="00BF7731">
        <w:rPr>
          <w:rFonts w:ascii="Calibri" w:hAnsi="Calibri" w:cs="Calibri"/>
          <w:szCs w:val="22"/>
        </w:rPr>
        <w:t>te vergemakkelijken, de samenhang te waarborgen en efficiënt toezicht te bevorderen</w:t>
      </w:r>
      <w:r w:rsidRPr="00BF7731" w:rsidR="00921F21">
        <w:rPr>
          <w:rFonts w:ascii="Calibri" w:hAnsi="Calibri" w:cs="Calibri"/>
          <w:szCs w:val="22"/>
        </w:rPr>
        <w:t>.</w:t>
      </w:r>
    </w:p>
    <w:p w:rsidRPr="00BF7731" w:rsidR="00456691" w:rsidP="00AF5525" w:rsidRDefault="00456691" w14:paraId="53D9B2B4" w14:textId="77777777">
      <w:pPr>
        <w:pStyle w:val="Geenafstand"/>
        <w:spacing w:line="360" w:lineRule="auto"/>
        <w:rPr>
          <w:rFonts w:ascii="Calibri" w:hAnsi="Calibri" w:cs="Calibri"/>
          <w:szCs w:val="22"/>
        </w:rPr>
      </w:pPr>
    </w:p>
    <w:p w:rsidRPr="00BF7731" w:rsidR="00AA10A5" w:rsidP="00AF5525" w:rsidRDefault="00333E77" w14:paraId="13A9B5DB" w14:textId="1E0B7AC1">
      <w:pPr>
        <w:pStyle w:val="Geenafstand"/>
        <w:spacing w:line="360" w:lineRule="auto"/>
        <w:rPr>
          <w:rFonts w:ascii="Calibri" w:hAnsi="Calibri" w:cs="Calibri"/>
          <w:szCs w:val="22"/>
        </w:rPr>
      </w:pPr>
      <w:r w:rsidRPr="00BF7731">
        <w:rPr>
          <w:rFonts w:ascii="Calibri" w:hAnsi="Calibri" w:cs="Calibri"/>
          <w:szCs w:val="22"/>
        </w:rPr>
        <w:t xml:space="preserve">In relatie hiermee bevat het voorstel ook de verplichting voor lidstaten om voortaan voor alle essentiële entiteiten en belangrijke entiteiten informatie aan te leveren ten behoeve van het register </w:t>
      </w:r>
      <w:r w:rsidRPr="00BF7731">
        <w:rPr>
          <w:rFonts w:ascii="Calibri" w:hAnsi="Calibri" w:cs="Calibri"/>
          <w:szCs w:val="22"/>
        </w:rPr>
        <w:lastRenderedPageBreak/>
        <w:t xml:space="preserve">van entiteiten </w:t>
      </w:r>
      <w:r w:rsidRPr="00BF7731" w:rsidR="00241577">
        <w:rPr>
          <w:rFonts w:ascii="Calibri" w:hAnsi="Calibri" w:cs="Calibri"/>
          <w:szCs w:val="22"/>
        </w:rPr>
        <w:t>in beheer bij ENISA</w:t>
      </w:r>
      <w:r w:rsidRPr="00BF7731">
        <w:rPr>
          <w:rFonts w:ascii="Calibri" w:hAnsi="Calibri" w:cs="Calibri"/>
          <w:szCs w:val="22"/>
        </w:rPr>
        <w:t>. Dit register ziet nu</w:t>
      </w:r>
      <w:r w:rsidRPr="00BF7731" w:rsidR="00241577">
        <w:rPr>
          <w:rFonts w:ascii="Calibri" w:hAnsi="Calibri" w:cs="Calibri"/>
          <w:szCs w:val="22"/>
        </w:rPr>
        <w:t xml:space="preserve"> slechts op </w:t>
      </w:r>
      <w:r w:rsidRPr="00BF7731" w:rsidR="001441C4">
        <w:rPr>
          <w:rFonts w:ascii="Calibri" w:hAnsi="Calibri" w:cs="Calibri"/>
          <w:szCs w:val="22"/>
        </w:rPr>
        <w:t>entiteiten in de sectoren digitale infrastructuur en digitale aanbieders</w:t>
      </w:r>
      <w:r w:rsidRPr="00BF7731">
        <w:rPr>
          <w:rFonts w:ascii="Calibri" w:hAnsi="Calibri" w:cs="Calibri"/>
          <w:szCs w:val="22"/>
        </w:rPr>
        <w:t>.</w:t>
      </w:r>
      <w:r w:rsidRPr="00BF7731" w:rsidR="00241577">
        <w:rPr>
          <w:rFonts w:ascii="Calibri" w:hAnsi="Calibri" w:cs="Calibri"/>
          <w:szCs w:val="22"/>
        </w:rPr>
        <w:t xml:space="preserve"> </w:t>
      </w:r>
      <w:r w:rsidRPr="00BF7731" w:rsidR="001469D3">
        <w:rPr>
          <w:rFonts w:ascii="Calibri" w:hAnsi="Calibri" w:cs="Calibri"/>
          <w:szCs w:val="22"/>
        </w:rPr>
        <w:t>ENISA zal</w:t>
      </w:r>
      <w:r w:rsidRPr="00BF7731">
        <w:rPr>
          <w:rFonts w:ascii="Calibri" w:hAnsi="Calibri" w:cs="Calibri"/>
          <w:szCs w:val="22"/>
        </w:rPr>
        <w:t xml:space="preserve"> mede</w:t>
      </w:r>
      <w:r w:rsidRPr="00BF7731" w:rsidR="001469D3">
        <w:rPr>
          <w:rFonts w:ascii="Calibri" w:hAnsi="Calibri" w:cs="Calibri"/>
          <w:szCs w:val="22"/>
        </w:rPr>
        <w:t xml:space="preserve"> aan de hand van </w:t>
      </w:r>
      <w:r w:rsidRPr="00BF7731" w:rsidR="00241577">
        <w:rPr>
          <w:rFonts w:ascii="Calibri" w:hAnsi="Calibri" w:cs="Calibri"/>
          <w:szCs w:val="22"/>
        </w:rPr>
        <w:t>deze gegevens</w:t>
      </w:r>
      <w:r w:rsidRPr="00BF7731" w:rsidR="001441C4">
        <w:rPr>
          <w:rFonts w:ascii="Calibri" w:hAnsi="Calibri" w:cs="Calibri"/>
          <w:szCs w:val="22"/>
        </w:rPr>
        <w:t xml:space="preserve"> </w:t>
      </w:r>
      <w:r w:rsidRPr="00BF7731" w:rsidR="001469D3">
        <w:rPr>
          <w:rFonts w:ascii="Calibri" w:hAnsi="Calibri" w:cs="Calibri"/>
          <w:szCs w:val="22"/>
        </w:rPr>
        <w:t>analyse</w:t>
      </w:r>
      <w:r w:rsidRPr="00BF7731">
        <w:rPr>
          <w:rFonts w:ascii="Calibri" w:hAnsi="Calibri" w:cs="Calibri"/>
          <w:szCs w:val="22"/>
        </w:rPr>
        <w:t>s</w:t>
      </w:r>
      <w:r w:rsidRPr="00BF7731" w:rsidR="001469D3">
        <w:rPr>
          <w:rFonts w:ascii="Calibri" w:hAnsi="Calibri" w:cs="Calibri"/>
          <w:szCs w:val="22"/>
        </w:rPr>
        <w:t xml:space="preserve"> </w:t>
      </w:r>
      <w:r w:rsidRPr="00BF7731" w:rsidR="008109B3">
        <w:rPr>
          <w:rFonts w:ascii="Calibri" w:hAnsi="Calibri" w:cs="Calibri"/>
          <w:szCs w:val="22"/>
        </w:rPr>
        <w:t>uitvoeren</w:t>
      </w:r>
      <w:r w:rsidRPr="00BF7731" w:rsidR="001469D3">
        <w:rPr>
          <w:rFonts w:ascii="Calibri" w:hAnsi="Calibri" w:cs="Calibri"/>
          <w:szCs w:val="22"/>
        </w:rPr>
        <w:t xml:space="preserve"> over grensoverschrijdende cyberbeveiligingsrisico’s en vervolgens een rapport hierover opstellen. </w:t>
      </w:r>
      <w:r w:rsidRPr="00BF7731" w:rsidR="002547F2">
        <w:rPr>
          <w:rFonts w:ascii="Calibri" w:hAnsi="Calibri" w:cs="Calibri"/>
          <w:szCs w:val="22"/>
        </w:rPr>
        <w:t xml:space="preserve">Op basis van dit rapport </w:t>
      </w:r>
      <w:r w:rsidRPr="00BF7731" w:rsidR="001215A0">
        <w:rPr>
          <w:rFonts w:ascii="Calibri" w:hAnsi="Calibri" w:cs="Calibri"/>
          <w:szCs w:val="22"/>
        </w:rPr>
        <w:t xml:space="preserve">kan </w:t>
      </w:r>
      <w:r w:rsidRPr="00BF7731" w:rsidR="002547F2">
        <w:rPr>
          <w:rFonts w:ascii="Calibri" w:hAnsi="Calibri" w:cs="Calibri"/>
          <w:szCs w:val="22"/>
        </w:rPr>
        <w:t xml:space="preserve">ENISA </w:t>
      </w:r>
      <w:r w:rsidRPr="00BF7731" w:rsidR="001215A0">
        <w:rPr>
          <w:rFonts w:ascii="Calibri" w:hAnsi="Calibri" w:cs="Calibri"/>
          <w:szCs w:val="22"/>
        </w:rPr>
        <w:t xml:space="preserve">– </w:t>
      </w:r>
      <w:r w:rsidRPr="00BF7731" w:rsidR="001215A0">
        <w:rPr>
          <w:rFonts w:ascii="Calibri" w:hAnsi="Calibri" w:cs="Calibri"/>
          <w:iCs/>
          <w:szCs w:val="22"/>
        </w:rPr>
        <w:t xml:space="preserve">al dan niet op verzoek van de bevoegde autoriteiten – </w:t>
      </w:r>
      <w:r w:rsidRPr="00BF7731" w:rsidR="001441C4">
        <w:rPr>
          <w:rFonts w:ascii="Calibri" w:hAnsi="Calibri" w:cs="Calibri"/>
          <w:iCs/>
          <w:szCs w:val="22"/>
        </w:rPr>
        <w:t>onder meer aanbevelingen aan de bevoegde autoriteiten doen</w:t>
      </w:r>
      <w:r w:rsidRPr="00BF7731" w:rsidR="001215A0">
        <w:rPr>
          <w:rFonts w:ascii="Calibri" w:hAnsi="Calibri" w:cs="Calibri"/>
          <w:iCs/>
          <w:szCs w:val="22"/>
        </w:rPr>
        <w:t xml:space="preserve"> </w:t>
      </w:r>
      <w:r w:rsidRPr="00BF7731" w:rsidR="002547F2">
        <w:rPr>
          <w:rFonts w:ascii="Calibri" w:hAnsi="Calibri" w:cs="Calibri"/>
          <w:szCs w:val="22"/>
        </w:rPr>
        <w:t>om gezamenlijke onderzoeksteams o</w:t>
      </w:r>
      <w:r w:rsidRPr="00BF7731" w:rsidR="00B77902">
        <w:rPr>
          <w:rFonts w:ascii="Calibri" w:hAnsi="Calibri" w:cs="Calibri"/>
          <w:szCs w:val="22"/>
        </w:rPr>
        <w:t>p</w:t>
      </w:r>
      <w:r w:rsidRPr="00BF7731" w:rsidR="002547F2">
        <w:rPr>
          <w:rFonts w:ascii="Calibri" w:hAnsi="Calibri" w:cs="Calibri"/>
          <w:szCs w:val="22"/>
        </w:rPr>
        <w:t xml:space="preserve"> te richten, </w:t>
      </w:r>
      <w:proofErr w:type="spellStart"/>
      <w:r w:rsidRPr="00BF7731" w:rsidR="002547F2">
        <w:rPr>
          <w:rFonts w:ascii="Calibri" w:hAnsi="Calibri" w:cs="Calibri"/>
          <w:i/>
          <w:iCs/>
          <w:szCs w:val="22"/>
        </w:rPr>
        <w:t>guidelines</w:t>
      </w:r>
      <w:proofErr w:type="spellEnd"/>
      <w:r w:rsidRPr="00BF7731" w:rsidR="002547F2">
        <w:rPr>
          <w:rFonts w:ascii="Calibri" w:hAnsi="Calibri" w:cs="Calibri"/>
          <w:szCs w:val="22"/>
        </w:rPr>
        <w:t xml:space="preserve"> </w:t>
      </w:r>
      <w:r w:rsidRPr="00BF7731" w:rsidR="001441C4">
        <w:rPr>
          <w:rFonts w:ascii="Calibri" w:hAnsi="Calibri" w:cs="Calibri"/>
          <w:szCs w:val="22"/>
        </w:rPr>
        <w:t xml:space="preserve">ontwikkelen </w:t>
      </w:r>
      <w:r w:rsidRPr="00BF7731" w:rsidR="002547F2">
        <w:rPr>
          <w:rFonts w:ascii="Calibri" w:hAnsi="Calibri" w:cs="Calibri"/>
          <w:szCs w:val="22"/>
        </w:rPr>
        <w:t>voor gezamenlijke toezichtacties en</w:t>
      </w:r>
      <w:r w:rsidRPr="00BF7731" w:rsidR="00B77902">
        <w:rPr>
          <w:rFonts w:ascii="Calibri" w:hAnsi="Calibri" w:cs="Calibri"/>
          <w:szCs w:val="22"/>
        </w:rPr>
        <w:t>,</w:t>
      </w:r>
      <w:r w:rsidRPr="00BF7731" w:rsidR="002547F2">
        <w:rPr>
          <w:rFonts w:ascii="Calibri" w:hAnsi="Calibri" w:cs="Calibri"/>
          <w:szCs w:val="22"/>
        </w:rPr>
        <w:t xml:space="preserve"> op verzoek van de bevoegde autoriteiten</w:t>
      </w:r>
      <w:r w:rsidRPr="00BF7731" w:rsidR="00B77902">
        <w:rPr>
          <w:rFonts w:ascii="Calibri" w:hAnsi="Calibri" w:cs="Calibri"/>
          <w:szCs w:val="22"/>
        </w:rPr>
        <w:t>,</w:t>
      </w:r>
      <w:r w:rsidRPr="00BF7731" w:rsidR="002547F2">
        <w:rPr>
          <w:rFonts w:ascii="Calibri" w:hAnsi="Calibri" w:cs="Calibri"/>
          <w:szCs w:val="22"/>
        </w:rPr>
        <w:t xml:space="preserve"> bijstand verlenen bij de beoordeling van de mate waarin een essentiële entiteit of belangrijke entiteit </w:t>
      </w:r>
      <w:r w:rsidRPr="00BF7731" w:rsidR="00183AC1">
        <w:rPr>
          <w:rFonts w:ascii="Calibri" w:hAnsi="Calibri" w:cs="Calibri"/>
          <w:szCs w:val="22"/>
        </w:rPr>
        <w:t>voldoet</w:t>
      </w:r>
      <w:r w:rsidRPr="00BF7731" w:rsidR="002547F2">
        <w:rPr>
          <w:rFonts w:ascii="Calibri" w:hAnsi="Calibri" w:cs="Calibri"/>
          <w:szCs w:val="22"/>
        </w:rPr>
        <w:t xml:space="preserve"> aan de zorgplichtmaatregelen, bedoeld in</w:t>
      </w:r>
      <w:r w:rsidRPr="00BF7731" w:rsidR="00183AC1">
        <w:rPr>
          <w:rFonts w:ascii="Calibri" w:hAnsi="Calibri" w:cs="Calibri"/>
          <w:szCs w:val="22"/>
        </w:rPr>
        <w:t xml:space="preserve"> artikel 21 van</w:t>
      </w:r>
      <w:r w:rsidRPr="00BF7731" w:rsidR="002547F2">
        <w:rPr>
          <w:rFonts w:ascii="Calibri" w:hAnsi="Calibri" w:cs="Calibri"/>
          <w:szCs w:val="22"/>
        </w:rPr>
        <w:t xml:space="preserve"> de NIS2-richtlijn. </w:t>
      </w:r>
    </w:p>
    <w:p w:rsidRPr="00BF7731" w:rsidR="00655A5B" w:rsidP="00AF5525" w:rsidRDefault="00655A5B" w14:paraId="53818724" w14:textId="77777777">
      <w:pPr>
        <w:pStyle w:val="Geenafstand"/>
        <w:spacing w:line="360" w:lineRule="auto"/>
        <w:rPr>
          <w:rFonts w:ascii="Calibri" w:hAnsi="Calibri" w:cs="Calibri"/>
          <w:szCs w:val="22"/>
        </w:rPr>
      </w:pPr>
    </w:p>
    <w:p w:rsidRPr="00BF7731" w:rsidR="000E47E5" w:rsidP="00AF5525" w:rsidRDefault="00A36D39" w14:paraId="3F9D44E6" w14:textId="62507000">
      <w:pPr>
        <w:pStyle w:val="Geenafstand"/>
        <w:spacing w:line="360" w:lineRule="auto"/>
        <w:rPr>
          <w:rFonts w:ascii="Calibri" w:hAnsi="Calibri" w:cs="Calibri"/>
          <w:szCs w:val="22"/>
        </w:rPr>
      </w:pPr>
      <w:r w:rsidRPr="00BF7731">
        <w:rPr>
          <w:rFonts w:ascii="Calibri" w:hAnsi="Calibri" w:cs="Calibri"/>
          <w:szCs w:val="22"/>
        </w:rPr>
        <w:t xml:space="preserve">Tot slot stelt de Commissie voor om ENISA </w:t>
      </w:r>
      <w:r w:rsidRPr="00BF7731" w:rsidR="00BE28A5">
        <w:rPr>
          <w:rFonts w:ascii="Calibri" w:hAnsi="Calibri" w:cs="Calibri"/>
          <w:szCs w:val="22"/>
        </w:rPr>
        <w:t xml:space="preserve">aan te merken als volwaardig lid </w:t>
      </w:r>
      <w:r w:rsidRPr="00BF7731">
        <w:rPr>
          <w:rFonts w:ascii="Calibri" w:hAnsi="Calibri" w:cs="Calibri"/>
          <w:szCs w:val="22"/>
        </w:rPr>
        <w:t xml:space="preserve">van het netwerk van nationale </w:t>
      </w:r>
      <w:proofErr w:type="spellStart"/>
      <w:r w:rsidRPr="00BF7731">
        <w:rPr>
          <w:rFonts w:ascii="Calibri" w:hAnsi="Calibri" w:cs="Calibri"/>
          <w:szCs w:val="22"/>
        </w:rPr>
        <w:t>CSIRT’s</w:t>
      </w:r>
      <w:proofErr w:type="spellEnd"/>
      <w:r w:rsidRPr="00BF7731" w:rsidR="00BE28A5">
        <w:rPr>
          <w:rFonts w:ascii="Calibri" w:hAnsi="Calibri" w:cs="Calibri"/>
          <w:szCs w:val="22"/>
        </w:rPr>
        <w:t>.</w:t>
      </w:r>
    </w:p>
    <w:p w:rsidRPr="00BF7731" w:rsidR="005632D1" w:rsidP="00074A15" w:rsidRDefault="005632D1" w14:paraId="661A8404" w14:textId="775D72EF">
      <w:pPr>
        <w:pStyle w:val="Geenafstand"/>
        <w:spacing w:line="360" w:lineRule="auto"/>
        <w:rPr>
          <w:rFonts w:ascii="Calibri" w:hAnsi="Calibri" w:cs="Calibri"/>
          <w:szCs w:val="22"/>
        </w:rPr>
      </w:pPr>
    </w:p>
    <w:p w:rsidRPr="00BF7731" w:rsidR="00CB7FF8" w:rsidP="00982D08" w:rsidRDefault="00CB7FF8" w14:paraId="32DDF169" w14:textId="77777777">
      <w:pPr>
        <w:pStyle w:val="Spreekpunten"/>
        <w:numPr>
          <w:ilvl w:val="0"/>
          <w:numId w:val="5"/>
        </w:numPr>
        <w:rPr>
          <w:rFonts w:ascii="Calibri" w:hAnsi="Calibri" w:cs="Calibri"/>
          <w:i/>
          <w:iCs/>
          <w:sz w:val="22"/>
          <w:szCs w:val="22"/>
          <w:lang w:val="nl-NL" w:eastAsia="zh-CN"/>
        </w:rPr>
      </w:pPr>
      <w:r w:rsidRPr="00BF7731">
        <w:rPr>
          <w:rFonts w:ascii="Calibri" w:hAnsi="Calibri" w:cs="Calibri"/>
          <w:i/>
          <w:iCs/>
          <w:sz w:val="22"/>
          <w:szCs w:val="22"/>
          <w:lang w:val="nl-NL" w:eastAsia="zh-CN"/>
        </w:rPr>
        <w:t>Impact assessment Commissie</w:t>
      </w:r>
    </w:p>
    <w:p w:rsidRPr="00BF7731" w:rsidR="00CB7FF8" w:rsidP="00CB7FF8" w:rsidRDefault="00A819A1" w14:paraId="078319D9" w14:textId="4D4FBB4C">
      <w:pPr>
        <w:spacing w:line="360" w:lineRule="auto"/>
        <w:ind w:left="360" w:hanging="360"/>
        <w:rPr>
          <w:rFonts w:ascii="Calibri" w:hAnsi="Calibri" w:cs="Calibri"/>
          <w:bCs/>
          <w:szCs w:val="22"/>
        </w:rPr>
      </w:pPr>
      <w:r w:rsidRPr="00BF7731">
        <w:rPr>
          <w:rFonts w:ascii="Calibri" w:hAnsi="Calibri" w:cs="Calibri"/>
          <w:bCs/>
          <w:szCs w:val="22"/>
        </w:rPr>
        <w:t>Hiervoor wordt u verwezen naar het BNC-fiche</w:t>
      </w:r>
      <w:r w:rsidRPr="00BF7731" w:rsidR="001B3A6D">
        <w:rPr>
          <w:rFonts w:ascii="Calibri" w:hAnsi="Calibri" w:cs="Calibri"/>
          <w:bCs/>
          <w:szCs w:val="22"/>
        </w:rPr>
        <w:t xml:space="preserve"> </w:t>
      </w:r>
      <w:r w:rsidRPr="00BF7731">
        <w:rPr>
          <w:rFonts w:ascii="Calibri" w:hAnsi="Calibri" w:cs="Calibri"/>
          <w:bCs/>
          <w:szCs w:val="22"/>
        </w:rPr>
        <w:t xml:space="preserve">Herziening </w:t>
      </w:r>
      <w:r w:rsidRPr="00BF7731" w:rsidR="001B3A6D">
        <w:rPr>
          <w:rFonts w:ascii="Calibri" w:hAnsi="Calibri" w:cs="Calibri"/>
          <w:bCs/>
          <w:szCs w:val="22"/>
        </w:rPr>
        <w:t>CSA</w:t>
      </w:r>
      <w:r w:rsidRPr="00BF7731">
        <w:rPr>
          <w:rFonts w:ascii="Calibri" w:hAnsi="Calibri" w:cs="Calibri"/>
          <w:bCs/>
          <w:szCs w:val="22"/>
        </w:rPr>
        <w:t>.</w:t>
      </w:r>
      <w:r w:rsidRPr="00BF7731">
        <w:rPr>
          <w:rStyle w:val="Voetnootmarkering"/>
          <w:rFonts w:ascii="Calibri" w:hAnsi="Calibri" w:cs="Calibri"/>
          <w:bCs/>
          <w:szCs w:val="22"/>
        </w:rPr>
        <w:footnoteReference w:id="10"/>
      </w:r>
    </w:p>
    <w:p w:rsidRPr="00BF7731" w:rsidR="00EE4DF8" w:rsidP="00CB7FF8" w:rsidRDefault="00EE4DF8" w14:paraId="6D467345" w14:textId="77777777">
      <w:pPr>
        <w:spacing w:line="360" w:lineRule="auto"/>
        <w:ind w:left="360" w:hanging="360"/>
        <w:rPr>
          <w:rFonts w:ascii="Calibri" w:hAnsi="Calibri" w:cs="Calibri"/>
          <w:bCs/>
          <w:szCs w:val="22"/>
        </w:rPr>
      </w:pPr>
    </w:p>
    <w:p w:rsidRPr="00BF7731" w:rsidR="00CB7FF8" w:rsidP="00982D08" w:rsidRDefault="00CB7FF8" w14:paraId="4B833EFF" w14:textId="77777777">
      <w:pPr>
        <w:numPr>
          <w:ilvl w:val="0"/>
          <w:numId w:val="3"/>
        </w:numPr>
        <w:spacing w:line="360" w:lineRule="auto"/>
        <w:rPr>
          <w:rFonts w:ascii="Calibri" w:hAnsi="Calibri" w:cs="Calibri"/>
          <w:b/>
          <w:szCs w:val="22"/>
        </w:rPr>
      </w:pPr>
      <w:r w:rsidRPr="00BF7731">
        <w:rPr>
          <w:rFonts w:ascii="Calibri" w:hAnsi="Calibri" w:cs="Calibri"/>
          <w:b/>
          <w:szCs w:val="22"/>
        </w:rPr>
        <w:t>Nederlandse</w:t>
      </w:r>
      <w:r w:rsidRPr="00BF7731" w:rsidR="00F74E07">
        <w:rPr>
          <w:rFonts w:ascii="Calibri" w:hAnsi="Calibri" w:cs="Calibri"/>
          <w:b/>
          <w:szCs w:val="22"/>
        </w:rPr>
        <w:t xml:space="preserve"> positie ten aanzien van het</w:t>
      </w:r>
      <w:r w:rsidRPr="00BF7731">
        <w:rPr>
          <w:rFonts w:ascii="Calibri" w:hAnsi="Calibri" w:cs="Calibri"/>
          <w:b/>
          <w:szCs w:val="22"/>
        </w:rPr>
        <w:t xml:space="preserve"> voorstel </w:t>
      </w:r>
    </w:p>
    <w:p w:rsidRPr="00BF7731" w:rsidR="00C66DC1" w:rsidP="00C66DC1" w:rsidRDefault="00F74E07" w14:paraId="05DA7ECD" w14:textId="48AB64EE">
      <w:pPr>
        <w:numPr>
          <w:ilvl w:val="0"/>
          <w:numId w:val="6"/>
        </w:numPr>
        <w:spacing w:line="360" w:lineRule="auto"/>
        <w:rPr>
          <w:rFonts w:ascii="Calibri" w:hAnsi="Calibri" w:cs="Calibri"/>
          <w:i/>
          <w:szCs w:val="22"/>
        </w:rPr>
      </w:pPr>
      <w:r w:rsidRPr="00BF7731">
        <w:rPr>
          <w:rFonts w:ascii="Calibri" w:hAnsi="Calibri" w:cs="Calibri"/>
          <w:i/>
          <w:szCs w:val="22"/>
        </w:rPr>
        <w:t>Essentie Nederlands beleid op dit terrein</w:t>
      </w:r>
    </w:p>
    <w:p w:rsidRPr="00BF7731" w:rsidR="00C66DC1" w:rsidP="00C66DC1" w:rsidRDefault="0065055E" w14:paraId="321B5315" w14:textId="20A52E8F">
      <w:pPr>
        <w:spacing w:line="360" w:lineRule="auto"/>
        <w:rPr>
          <w:rFonts w:ascii="Calibri" w:hAnsi="Calibri" w:cs="Calibri"/>
          <w:iCs/>
          <w:szCs w:val="22"/>
        </w:rPr>
      </w:pPr>
      <w:r w:rsidRPr="00BF7731">
        <w:rPr>
          <w:rFonts w:ascii="Calibri" w:hAnsi="Calibri" w:cs="Calibri"/>
          <w:iCs/>
          <w:szCs w:val="22"/>
        </w:rPr>
        <w:t xml:space="preserve">Nederland is </w:t>
      </w:r>
      <w:r w:rsidRPr="00BF7731" w:rsidR="00EE4DF8">
        <w:rPr>
          <w:rFonts w:ascii="Calibri" w:hAnsi="Calibri" w:cs="Calibri"/>
          <w:iCs/>
          <w:szCs w:val="22"/>
        </w:rPr>
        <w:t>één van de meest gedigitaliseerde lidstaten</w:t>
      </w:r>
      <w:r w:rsidRPr="00BF7731">
        <w:rPr>
          <w:rFonts w:ascii="Calibri" w:hAnsi="Calibri" w:cs="Calibri"/>
          <w:iCs/>
          <w:szCs w:val="22"/>
        </w:rPr>
        <w:t>. Vrijwel alle economische en maatschappelijke processen maken gebruik van digitale middelen. Digitale veiligheid is daarom een noodzakelijke voorwaarde om deze processen draaiende te houden. De cybersecurityaanpak van het kabinet is vastgelegd in d</w:t>
      </w:r>
      <w:r w:rsidRPr="00BF7731" w:rsidR="00C66DC1">
        <w:rPr>
          <w:rFonts w:ascii="Calibri" w:hAnsi="Calibri" w:cs="Calibri"/>
          <w:iCs/>
          <w:szCs w:val="22"/>
        </w:rPr>
        <w:t>e Nederlandse Cybersecuritystrategie (</w:t>
      </w:r>
      <w:r w:rsidRPr="00BF7731">
        <w:rPr>
          <w:rFonts w:ascii="Calibri" w:hAnsi="Calibri" w:cs="Calibri"/>
          <w:iCs/>
          <w:szCs w:val="22"/>
        </w:rPr>
        <w:t xml:space="preserve">hierna: </w:t>
      </w:r>
      <w:r w:rsidRPr="00BF7731" w:rsidR="00C66DC1">
        <w:rPr>
          <w:rFonts w:ascii="Calibri" w:hAnsi="Calibri" w:cs="Calibri"/>
          <w:iCs/>
          <w:szCs w:val="22"/>
        </w:rPr>
        <w:t>NLCS)</w:t>
      </w:r>
      <w:r w:rsidRPr="00BF7731">
        <w:rPr>
          <w:rFonts w:ascii="Calibri" w:hAnsi="Calibri" w:cs="Calibri"/>
          <w:iCs/>
          <w:szCs w:val="22"/>
        </w:rPr>
        <w:t>.</w:t>
      </w:r>
      <w:r w:rsidRPr="00BF7731" w:rsidR="00484455">
        <w:rPr>
          <w:rStyle w:val="Voetnootmarkering"/>
          <w:rFonts w:ascii="Calibri" w:hAnsi="Calibri" w:cs="Calibri"/>
          <w:iCs/>
          <w:szCs w:val="22"/>
        </w:rPr>
        <w:footnoteReference w:id="11"/>
      </w:r>
      <w:r w:rsidRPr="00BF7731">
        <w:rPr>
          <w:rFonts w:ascii="Calibri" w:hAnsi="Calibri" w:cs="Calibri"/>
          <w:iCs/>
          <w:szCs w:val="22"/>
        </w:rPr>
        <w:t xml:space="preserve"> De NLCS</w:t>
      </w:r>
      <w:r w:rsidRPr="00BF7731" w:rsidR="00C66DC1">
        <w:rPr>
          <w:rFonts w:ascii="Calibri" w:hAnsi="Calibri" w:cs="Calibri"/>
          <w:iCs/>
          <w:szCs w:val="22"/>
        </w:rPr>
        <w:t xml:space="preserve"> zet</w:t>
      </w:r>
      <w:r w:rsidRPr="00BF7731" w:rsidR="00EE4DF8">
        <w:rPr>
          <w:rFonts w:ascii="Calibri" w:hAnsi="Calibri" w:cs="Calibri"/>
          <w:iCs/>
          <w:szCs w:val="22"/>
        </w:rPr>
        <w:t xml:space="preserve"> in</w:t>
      </w:r>
      <w:r w:rsidRPr="00BF7731" w:rsidR="00C66DC1">
        <w:rPr>
          <w:rFonts w:ascii="Calibri" w:hAnsi="Calibri" w:cs="Calibri"/>
          <w:iCs/>
          <w:szCs w:val="22"/>
        </w:rPr>
        <w:t xml:space="preserve"> vier pijlers de kabinetsinzet </w:t>
      </w:r>
      <w:r w:rsidRPr="00BF7731" w:rsidR="00EE4DF8">
        <w:rPr>
          <w:rFonts w:ascii="Calibri" w:hAnsi="Calibri" w:cs="Calibri"/>
          <w:iCs/>
          <w:szCs w:val="22"/>
        </w:rPr>
        <w:t xml:space="preserve">uiteen </w:t>
      </w:r>
      <w:r w:rsidRPr="00BF7731" w:rsidR="00C66DC1">
        <w:rPr>
          <w:rFonts w:ascii="Calibri" w:hAnsi="Calibri" w:cs="Calibri"/>
          <w:iCs/>
          <w:szCs w:val="22"/>
        </w:rPr>
        <w:t xml:space="preserve">voor het realiseren van een digitaal veilige en weerbare samenleving. Naast </w:t>
      </w:r>
      <w:r w:rsidRPr="00BF7731" w:rsidR="00EE4DF8">
        <w:rPr>
          <w:rFonts w:ascii="Calibri" w:hAnsi="Calibri" w:cs="Calibri"/>
          <w:iCs/>
          <w:szCs w:val="22"/>
        </w:rPr>
        <w:t>speerpunten</w:t>
      </w:r>
      <w:r w:rsidRPr="00BF7731" w:rsidR="00C66DC1">
        <w:rPr>
          <w:rFonts w:ascii="Calibri" w:hAnsi="Calibri" w:cs="Calibri"/>
          <w:iCs/>
          <w:szCs w:val="22"/>
        </w:rPr>
        <w:t xml:space="preserve"> en samenwerking op nationaal niveau, benadrukt de NLCS dat internationale samenwerking, zowel in EU en NAVO-verband als daarbuiten, essentieel is</w:t>
      </w:r>
      <w:r w:rsidRPr="00BF7731" w:rsidR="00D370D1">
        <w:rPr>
          <w:rFonts w:ascii="Calibri" w:hAnsi="Calibri" w:cs="Calibri"/>
          <w:iCs/>
          <w:szCs w:val="22"/>
        </w:rPr>
        <w:t>, d</w:t>
      </w:r>
      <w:r w:rsidRPr="00BF7731" w:rsidR="00EE4DF8">
        <w:rPr>
          <w:rFonts w:ascii="Calibri" w:hAnsi="Calibri" w:cs="Calibri"/>
          <w:iCs/>
          <w:szCs w:val="22"/>
        </w:rPr>
        <w:t>it</w:t>
      </w:r>
      <w:r w:rsidRPr="00BF7731" w:rsidR="00C66DC1">
        <w:rPr>
          <w:rFonts w:ascii="Calibri" w:hAnsi="Calibri" w:cs="Calibri"/>
          <w:iCs/>
          <w:szCs w:val="22"/>
        </w:rPr>
        <w:t xml:space="preserve"> gezien het grensoverschrijdende karakter van cyberdreigingen. Het kabinet zet zich daarom actief in bij de verschillende Europese gremia en samenwerkingsverbanden met als doel de digitale weerbaarheid van de EU te vergroten.</w:t>
      </w:r>
    </w:p>
    <w:p w:rsidRPr="00BF7731" w:rsidR="00CC107D" w:rsidP="00C66DC1" w:rsidRDefault="00CC107D" w14:paraId="6D826FB3" w14:textId="77777777">
      <w:pPr>
        <w:spacing w:line="360" w:lineRule="auto"/>
        <w:rPr>
          <w:rFonts w:ascii="Calibri" w:hAnsi="Calibri" w:cs="Calibri"/>
          <w:iCs/>
          <w:szCs w:val="22"/>
        </w:rPr>
      </w:pPr>
    </w:p>
    <w:p w:rsidRPr="00BF7731" w:rsidR="00CC107D" w:rsidP="00C66DC1" w:rsidRDefault="00CC107D" w14:paraId="79D9BB93" w14:textId="31BCBFF9">
      <w:pPr>
        <w:spacing w:line="360" w:lineRule="auto"/>
        <w:rPr>
          <w:rFonts w:ascii="Calibri" w:hAnsi="Calibri" w:cs="Calibri"/>
          <w:iCs/>
          <w:szCs w:val="22"/>
        </w:rPr>
      </w:pPr>
      <w:r w:rsidRPr="00BF7731">
        <w:rPr>
          <w:rFonts w:ascii="Calibri" w:hAnsi="Calibri" w:cs="Calibri"/>
          <w:iCs/>
          <w:szCs w:val="22"/>
        </w:rPr>
        <w:t xml:space="preserve">In pijler I </w:t>
      </w:r>
      <w:r w:rsidRPr="00BF7731" w:rsidR="00D370D1">
        <w:rPr>
          <w:rFonts w:ascii="Calibri" w:hAnsi="Calibri" w:cs="Calibri"/>
          <w:iCs/>
          <w:szCs w:val="22"/>
        </w:rPr>
        <w:t xml:space="preserve">van de NLCS </w:t>
      </w:r>
      <w:r w:rsidRPr="00BF7731">
        <w:rPr>
          <w:rFonts w:ascii="Calibri" w:hAnsi="Calibri" w:cs="Calibri"/>
          <w:iCs/>
          <w:szCs w:val="22"/>
        </w:rPr>
        <w:t>wordt het belang van de digitale weerbaarheid van de overheid, bedrijven en maatschappelijke organisaties benadrukt, waar</w:t>
      </w:r>
      <w:r w:rsidRPr="00BF7731" w:rsidR="00D370D1">
        <w:rPr>
          <w:rFonts w:ascii="Calibri" w:hAnsi="Calibri" w:cs="Calibri"/>
          <w:iCs/>
          <w:szCs w:val="22"/>
        </w:rPr>
        <w:t>bij</w:t>
      </w:r>
      <w:r w:rsidRPr="00BF7731">
        <w:rPr>
          <w:rFonts w:ascii="Calibri" w:hAnsi="Calibri" w:cs="Calibri"/>
          <w:iCs/>
          <w:szCs w:val="22"/>
        </w:rPr>
        <w:t xml:space="preserve"> het kabinet zich </w:t>
      </w:r>
      <w:r w:rsidRPr="00BF7731" w:rsidR="008D13BC">
        <w:rPr>
          <w:rFonts w:ascii="Calibri" w:hAnsi="Calibri" w:cs="Calibri"/>
          <w:iCs/>
          <w:szCs w:val="22"/>
        </w:rPr>
        <w:t xml:space="preserve">onder andere tot </w:t>
      </w:r>
      <w:r w:rsidRPr="00BF7731">
        <w:rPr>
          <w:rFonts w:ascii="Calibri" w:hAnsi="Calibri" w:cs="Calibri"/>
          <w:iCs/>
          <w:szCs w:val="22"/>
        </w:rPr>
        <w:t xml:space="preserve">doel stelt dat organisaties zicht hebben op </w:t>
      </w:r>
      <w:r w:rsidRPr="00BF7731" w:rsidR="00E0597D">
        <w:rPr>
          <w:rFonts w:ascii="Calibri" w:hAnsi="Calibri" w:cs="Calibri"/>
          <w:iCs/>
          <w:szCs w:val="22"/>
        </w:rPr>
        <w:t>cyberincidenten, -</w:t>
      </w:r>
      <w:r w:rsidRPr="00BF7731">
        <w:rPr>
          <w:rFonts w:ascii="Calibri" w:hAnsi="Calibri" w:cs="Calibri"/>
          <w:iCs/>
          <w:szCs w:val="22"/>
        </w:rPr>
        <w:t xml:space="preserve"> dreigingen en -risico</w:t>
      </w:r>
      <w:r w:rsidRPr="00BF7731" w:rsidR="008D13BC">
        <w:rPr>
          <w:rFonts w:ascii="Calibri" w:hAnsi="Calibri" w:cs="Calibri"/>
          <w:iCs/>
          <w:szCs w:val="22"/>
        </w:rPr>
        <w:t>’</w:t>
      </w:r>
      <w:r w:rsidRPr="00BF7731">
        <w:rPr>
          <w:rFonts w:ascii="Calibri" w:hAnsi="Calibri" w:cs="Calibri"/>
          <w:iCs/>
          <w:szCs w:val="22"/>
        </w:rPr>
        <w:t>s</w:t>
      </w:r>
      <w:r w:rsidRPr="00BF7731" w:rsidR="008D13BC">
        <w:rPr>
          <w:rFonts w:ascii="Calibri" w:hAnsi="Calibri" w:cs="Calibri"/>
          <w:iCs/>
          <w:szCs w:val="22"/>
        </w:rPr>
        <w:t xml:space="preserve"> en dat </w:t>
      </w:r>
      <w:r w:rsidRPr="00BF7731">
        <w:rPr>
          <w:rFonts w:ascii="Calibri" w:hAnsi="Calibri" w:cs="Calibri"/>
          <w:iCs/>
          <w:szCs w:val="22"/>
        </w:rPr>
        <w:t>organisaties</w:t>
      </w:r>
      <w:r w:rsidRPr="00BF7731" w:rsidR="00D370D1">
        <w:rPr>
          <w:rFonts w:ascii="Calibri" w:hAnsi="Calibri" w:cs="Calibri"/>
          <w:iCs/>
          <w:szCs w:val="22"/>
        </w:rPr>
        <w:t xml:space="preserve"> hiertegen</w:t>
      </w:r>
      <w:r w:rsidRPr="00BF7731">
        <w:rPr>
          <w:rFonts w:ascii="Calibri" w:hAnsi="Calibri" w:cs="Calibri"/>
          <w:iCs/>
          <w:szCs w:val="22"/>
        </w:rPr>
        <w:t xml:space="preserve"> </w:t>
      </w:r>
      <w:r w:rsidRPr="00BF7731">
        <w:rPr>
          <w:rFonts w:ascii="Calibri" w:hAnsi="Calibri" w:cs="Calibri"/>
          <w:iCs/>
          <w:szCs w:val="22"/>
        </w:rPr>
        <w:lastRenderedPageBreak/>
        <w:t>goed bescherm</w:t>
      </w:r>
      <w:r w:rsidRPr="00BF7731" w:rsidR="00D370D1">
        <w:rPr>
          <w:rFonts w:ascii="Calibri" w:hAnsi="Calibri" w:cs="Calibri"/>
          <w:iCs/>
          <w:szCs w:val="22"/>
        </w:rPr>
        <w:t>d</w:t>
      </w:r>
      <w:r w:rsidRPr="00BF7731">
        <w:rPr>
          <w:rFonts w:ascii="Calibri" w:hAnsi="Calibri" w:cs="Calibri"/>
          <w:iCs/>
          <w:szCs w:val="22"/>
        </w:rPr>
        <w:t xml:space="preserve"> zijn. </w:t>
      </w:r>
      <w:r w:rsidRPr="00BF7731" w:rsidR="00D370D1">
        <w:rPr>
          <w:rFonts w:ascii="Calibri" w:hAnsi="Calibri" w:cs="Calibri"/>
          <w:iCs/>
          <w:szCs w:val="22"/>
        </w:rPr>
        <w:t>Van belang is in dit verband</w:t>
      </w:r>
      <w:r w:rsidRPr="00BF7731" w:rsidR="008D13BC">
        <w:rPr>
          <w:rFonts w:ascii="Calibri" w:hAnsi="Calibri" w:cs="Calibri"/>
          <w:iCs/>
          <w:szCs w:val="22"/>
        </w:rPr>
        <w:t xml:space="preserve"> de implementatie van de NIS2-richlijn </w:t>
      </w:r>
      <w:r w:rsidRPr="00BF7731" w:rsidR="00EE4DF8">
        <w:rPr>
          <w:rFonts w:ascii="Calibri" w:hAnsi="Calibri" w:cs="Calibri"/>
          <w:iCs/>
          <w:szCs w:val="22"/>
        </w:rPr>
        <w:t xml:space="preserve">in </w:t>
      </w:r>
      <w:r w:rsidRPr="00BF7731" w:rsidR="008109B3">
        <w:rPr>
          <w:rFonts w:ascii="Calibri" w:hAnsi="Calibri" w:cs="Calibri"/>
          <w:iCs/>
          <w:szCs w:val="22"/>
        </w:rPr>
        <w:t>d</w:t>
      </w:r>
      <w:r w:rsidRPr="00BF7731" w:rsidR="00EE4DF8">
        <w:rPr>
          <w:rFonts w:ascii="Calibri" w:hAnsi="Calibri" w:cs="Calibri"/>
          <w:iCs/>
          <w:szCs w:val="22"/>
        </w:rPr>
        <w:t>e Cyberbeveiligingswet</w:t>
      </w:r>
      <w:r w:rsidRPr="00BF7731" w:rsidR="00D370D1">
        <w:rPr>
          <w:rFonts w:ascii="Calibri" w:hAnsi="Calibri" w:cs="Calibri"/>
          <w:iCs/>
          <w:szCs w:val="22"/>
        </w:rPr>
        <w:t xml:space="preserve">, die zal leiden tot </w:t>
      </w:r>
      <w:r w:rsidRPr="00BF7731" w:rsidR="00E0597D">
        <w:rPr>
          <w:rFonts w:ascii="Calibri" w:hAnsi="Calibri" w:cs="Calibri"/>
          <w:iCs/>
          <w:szCs w:val="22"/>
        </w:rPr>
        <w:t>de versterking</w:t>
      </w:r>
      <w:r w:rsidRPr="00BF7731" w:rsidR="008D13BC">
        <w:rPr>
          <w:rFonts w:ascii="Calibri" w:hAnsi="Calibri" w:cs="Calibri"/>
          <w:iCs/>
          <w:szCs w:val="22"/>
        </w:rPr>
        <w:t xml:space="preserve"> van de digitale weerbaarheid</w:t>
      </w:r>
      <w:r w:rsidRPr="00BF7731" w:rsidR="00854D35">
        <w:rPr>
          <w:rFonts w:ascii="Calibri" w:hAnsi="Calibri" w:cs="Calibri"/>
          <w:iCs/>
          <w:szCs w:val="22"/>
        </w:rPr>
        <w:t>.</w:t>
      </w:r>
    </w:p>
    <w:p w:rsidRPr="00BF7731" w:rsidR="00993EDF" w:rsidP="003C23A5" w:rsidRDefault="00993EDF" w14:paraId="20F97160" w14:textId="77777777">
      <w:pPr>
        <w:spacing w:line="360" w:lineRule="auto"/>
        <w:rPr>
          <w:rFonts w:ascii="Calibri" w:hAnsi="Calibri" w:cs="Calibri"/>
          <w:i/>
          <w:szCs w:val="22"/>
        </w:rPr>
      </w:pPr>
    </w:p>
    <w:p w:rsidRPr="00BF7731" w:rsidR="00F74E07" w:rsidP="00982D08" w:rsidRDefault="00F74E07" w14:paraId="026791CA" w14:textId="77777777">
      <w:pPr>
        <w:numPr>
          <w:ilvl w:val="0"/>
          <w:numId w:val="6"/>
        </w:numPr>
        <w:spacing w:line="360" w:lineRule="auto"/>
        <w:rPr>
          <w:rFonts w:ascii="Calibri" w:hAnsi="Calibri" w:cs="Calibri"/>
          <w:i/>
          <w:szCs w:val="22"/>
        </w:rPr>
      </w:pPr>
      <w:r w:rsidRPr="00BF7731">
        <w:rPr>
          <w:rFonts w:ascii="Calibri" w:hAnsi="Calibri" w:cs="Calibri"/>
          <w:i/>
          <w:szCs w:val="22"/>
        </w:rPr>
        <w:t>Beoordeling + inzet ten aanzien van dit voorstel</w:t>
      </w:r>
    </w:p>
    <w:p w:rsidRPr="00BF7731" w:rsidR="00993EDF" w:rsidP="00993EDF" w:rsidRDefault="00993EDF" w14:paraId="4EB89CB0" w14:textId="0A49C3AF">
      <w:pPr>
        <w:spacing w:line="360" w:lineRule="auto"/>
        <w:rPr>
          <w:rFonts w:ascii="Calibri" w:hAnsi="Calibri" w:cs="Calibri"/>
          <w:iCs/>
          <w:szCs w:val="22"/>
        </w:rPr>
      </w:pPr>
      <w:r w:rsidRPr="00BF7731">
        <w:rPr>
          <w:rFonts w:ascii="Calibri" w:hAnsi="Calibri" w:cs="Calibri"/>
          <w:iCs/>
          <w:szCs w:val="22"/>
        </w:rPr>
        <w:t>Het kabinet onderkent de noodzaak van stevige Europese samenwerking op het geb</w:t>
      </w:r>
      <w:r w:rsidRPr="00BF7731" w:rsidR="005B7E10">
        <w:rPr>
          <w:rFonts w:ascii="Calibri" w:hAnsi="Calibri" w:cs="Calibri"/>
          <w:iCs/>
          <w:szCs w:val="22"/>
        </w:rPr>
        <w:t>ie</w:t>
      </w:r>
      <w:r w:rsidRPr="00BF7731">
        <w:rPr>
          <w:rFonts w:ascii="Calibri" w:hAnsi="Calibri" w:cs="Calibri"/>
          <w:iCs/>
          <w:szCs w:val="22"/>
        </w:rPr>
        <w:t>d van digitale veiligheid en ondersteun</w:t>
      </w:r>
      <w:r w:rsidRPr="00BF7731" w:rsidR="00217EB2">
        <w:rPr>
          <w:rFonts w:ascii="Calibri" w:hAnsi="Calibri" w:cs="Calibri"/>
          <w:iCs/>
          <w:szCs w:val="22"/>
        </w:rPr>
        <w:t>t</w:t>
      </w:r>
      <w:r w:rsidRPr="00BF7731">
        <w:rPr>
          <w:rFonts w:ascii="Calibri" w:hAnsi="Calibri" w:cs="Calibri"/>
          <w:iCs/>
          <w:szCs w:val="22"/>
        </w:rPr>
        <w:t xml:space="preserve"> harmonisatie</w:t>
      </w:r>
      <w:r w:rsidRPr="00BF7731" w:rsidR="00217EB2">
        <w:rPr>
          <w:rFonts w:ascii="Calibri" w:hAnsi="Calibri" w:cs="Calibri"/>
          <w:iCs/>
          <w:szCs w:val="22"/>
        </w:rPr>
        <w:t xml:space="preserve"> binnen de EU</w:t>
      </w:r>
      <w:r w:rsidRPr="00BF7731">
        <w:rPr>
          <w:rFonts w:ascii="Calibri" w:hAnsi="Calibri" w:cs="Calibri"/>
          <w:iCs/>
          <w:szCs w:val="22"/>
        </w:rPr>
        <w:t xml:space="preserve"> </w:t>
      </w:r>
      <w:r w:rsidRPr="00BF7731" w:rsidR="00C25C00">
        <w:rPr>
          <w:rFonts w:ascii="Calibri" w:hAnsi="Calibri" w:cs="Calibri"/>
          <w:iCs/>
          <w:szCs w:val="22"/>
        </w:rPr>
        <w:t>en</w:t>
      </w:r>
      <w:r w:rsidRPr="00BF7731" w:rsidR="00217EB2">
        <w:rPr>
          <w:rFonts w:ascii="Calibri" w:hAnsi="Calibri" w:cs="Calibri"/>
          <w:iCs/>
          <w:szCs w:val="22"/>
        </w:rPr>
        <w:t xml:space="preserve"> de daaraan gerelateerde</w:t>
      </w:r>
      <w:r w:rsidRPr="00BF7731" w:rsidR="00C25C00">
        <w:rPr>
          <w:rFonts w:ascii="Calibri" w:hAnsi="Calibri" w:cs="Calibri"/>
          <w:iCs/>
          <w:szCs w:val="22"/>
        </w:rPr>
        <w:t xml:space="preserve"> simplificatie </w:t>
      </w:r>
      <w:r w:rsidRPr="00BF7731" w:rsidR="00217EB2">
        <w:rPr>
          <w:rFonts w:ascii="Calibri" w:hAnsi="Calibri" w:cs="Calibri"/>
          <w:iCs/>
          <w:szCs w:val="22"/>
        </w:rPr>
        <w:t xml:space="preserve">van wetgeving </w:t>
      </w:r>
      <w:r w:rsidRPr="00BF7731">
        <w:rPr>
          <w:rFonts w:ascii="Calibri" w:hAnsi="Calibri" w:cs="Calibri"/>
          <w:iCs/>
          <w:szCs w:val="22"/>
        </w:rPr>
        <w:t xml:space="preserve">op dit gebied. Het kabinet verwelkomt </w:t>
      </w:r>
      <w:r w:rsidRPr="00BF7731" w:rsidR="00217EB2">
        <w:rPr>
          <w:rFonts w:ascii="Calibri" w:hAnsi="Calibri" w:cs="Calibri"/>
          <w:iCs/>
          <w:szCs w:val="22"/>
        </w:rPr>
        <w:t xml:space="preserve">dan ook </w:t>
      </w:r>
      <w:r w:rsidRPr="00BF7731">
        <w:rPr>
          <w:rFonts w:ascii="Calibri" w:hAnsi="Calibri" w:cs="Calibri"/>
          <w:iCs/>
          <w:szCs w:val="22"/>
        </w:rPr>
        <w:t xml:space="preserve">het voorstel van de Commissie </w:t>
      </w:r>
      <w:r w:rsidRPr="00BF7731" w:rsidR="00692415">
        <w:rPr>
          <w:rFonts w:ascii="Calibri" w:hAnsi="Calibri" w:cs="Calibri"/>
          <w:iCs/>
          <w:szCs w:val="22"/>
        </w:rPr>
        <w:t>tot simplificatie</w:t>
      </w:r>
      <w:r w:rsidRPr="00BF7731" w:rsidR="00A90B14">
        <w:rPr>
          <w:rFonts w:ascii="Calibri" w:hAnsi="Calibri" w:cs="Calibri"/>
          <w:iCs/>
          <w:szCs w:val="22"/>
        </w:rPr>
        <w:t xml:space="preserve"> van</w:t>
      </w:r>
      <w:r w:rsidRPr="00BF7731" w:rsidR="00692415">
        <w:rPr>
          <w:rFonts w:ascii="Calibri" w:hAnsi="Calibri" w:cs="Calibri"/>
          <w:iCs/>
          <w:szCs w:val="22"/>
        </w:rPr>
        <w:t xml:space="preserve"> </w:t>
      </w:r>
      <w:r w:rsidRPr="00BF7731">
        <w:rPr>
          <w:rFonts w:ascii="Calibri" w:hAnsi="Calibri" w:cs="Calibri"/>
          <w:iCs/>
          <w:szCs w:val="22"/>
        </w:rPr>
        <w:t>de NIS2-richtlijn</w:t>
      </w:r>
      <w:r w:rsidRPr="00BF7731" w:rsidR="006B1426">
        <w:rPr>
          <w:rFonts w:ascii="Calibri" w:hAnsi="Calibri" w:cs="Calibri"/>
          <w:iCs/>
          <w:szCs w:val="22"/>
        </w:rPr>
        <w:t xml:space="preserve"> dat hiertoe strekt</w:t>
      </w:r>
      <w:r w:rsidRPr="00BF7731" w:rsidR="00217EB2">
        <w:rPr>
          <w:rFonts w:ascii="Calibri" w:hAnsi="Calibri" w:cs="Calibri"/>
          <w:iCs/>
          <w:szCs w:val="22"/>
        </w:rPr>
        <w:t>.</w:t>
      </w:r>
    </w:p>
    <w:p w:rsidRPr="00BF7731" w:rsidR="00C25C00" w:rsidP="00993EDF" w:rsidRDefault="00C25C00" w14:paraId="14FB8BB5" w14:textId="77777777">
      <w:pPr>
        <w:spacing w:line="360" w:lineRule="auto"/>
        <w:rPr>
          <w:rFonts w:ascii="Calibri" w:hAnsi="Calibri" w:cs="Calibri"/>
          <w:iCs/>
          <w:szCs w:val="22"/>
        </w:rPr>
      </w:pPr>
    </w:p>
    <w:p w:rsidRPr="00BF7731" w:rsidR="00873EE4" w:rsidP="00A61EF8" w:rsidRDefault="00C25C00" w14:paraId="041FA8E0" w14:textId="2A30FAA7">
      <w:pPr>
        <w:pStyle w:val="Spreekpunten"/>
        <w:numPr>
          <w:ilvl w:val="0"/>
          <w:numId w:val="0"/>
        </w:numPr>
        <w:rPr>
          <w:rFonts w:ascii="Calibri" w:hAnsi="Calibri" w:cs="Calibri"/>
          <w:sz w:val="22"/>
          <w:szCs w:val="22"/>
          <w:lang w:val="nl-NL" w:eastAsia="zh-CN"/>
        </w:rPr>
      </w:pPr>
      <w:bookmarkStart w:name="_Hlk221531330" w:id="5"/>
      <w:r w:rsidRPr="00BF7731">
        <w:rPr>
          <w:rFonts w:ascii="Calibri" w:hAnsi="Calibri" w:cs="Calibri"/>
          <w:sz w:val="22"/>
          <w:szCs w:val="22"/>
          <w:lang w:val="nl-NL" w:eastAsia="zh-CN"/>
        </w:rPr>
        <w:t xml:space="preserve">Het kabinet kijkt </w:t>
      </w:r>
      <w:r w:rsidRPr="00BF7731" w:rsidR="00217EB2">
        <w:rPr>
          <w:rFonts w:ascii="Calibri" w:hAnsi="Calibri" w:cs="Calibri"/>
          <w:sz w:val="22"/>
          <w:szCs w:val="22"/>
          <w:lang w:val="nl-NL" w:eastAsia="zh-CN"/>
        </w:rPr>
        <w:t xml:space="preserve">ten eerste </w:t>
      </w:r>
      <w:r w:rsidRPr="00BF7731">
        <w:rPr>
          <w:rFonts w:ascii="Calibri" w:hAnsi="Calibri" w:cs="Calibri"/>
          <w:sz w:val="22"/>
          <w:szCs w:val="22"/>
          <w:lang w:val="nl-NL" w:eastAsia="zh-CN"/>
        </w:rPr>
        <w:t>positief naar de verduidelijking</w:t>
      </w:r>
      <w:r w:rsidRPr="00BF7731" w:rsidR="007B6E63">
        <w:rPr>
          <w:rFonts w:ascii="Calibri" w:hAnsi="Calibri" w:cs="Calibri"/>
          <w:sz w:val="22"/>
          <w:szCs w:val="22"/>
          <w:lang w:val="nl-NL" w:eastAsia="zh-CN"/>
        </w:rPr>
        <w:t>en</w:t>
      </w:r>
      <w:r w:rsidRPr="00BF7731">
        <w:rPr>
          <w:rFonts w:ascii="Calibri" w:hAnsi="Calibri" w:cs="Calibri"/>
          <w:sz w:val="22"/>
          <w:szCs w:val="22"/>
          <w:lang w:val="nl-NL" w:eastAsia="zh-CN"/>
        </w:rPr>
        <w:t xml:space="preserve"> </w:t>
      </w:r>
      <w:r w:rsidRPr="00BF7731" w:rsidR="00217EB2">
        <w:rPr>
          <w:rFonts w:ascii="Calibri" w:hAnsi="Calibri" w:cs="Calibri"/>
          <w:sz w:val="22"/>
          <w:szCs w:val="22"/>
          <w:lang w:val="nl-NL" w:eastAsia="zh-CN"/>
        </w:rPr>
        <w:t xml:space="preserve">van de beschrijving van enkele soorten entiteiten die al onder het toepassingsbereik van de NIS2-richtlijn vielen. </w:t>
      </w:r>
      <w:r w:rsidRPr="00BF7731" w:rsidR="00C00764">
        <w:rPr>
          <w:rFonts w:ascii="Calibri" w:hAnsi="Calibri" w:cs="Calibri"/>
          <w:sz w:val="22"/>
          <w:szCs w:val="22"/>
          <w:lang w:val="nl-NL" w:eastAsia="zh-CN"/>
        </w:rPr>
        <w:t xml:space="preserve">De verduidelijkingen </w:t>
      </w:r>
      <w:r w:rsidRPr="00BF7731" w:rsidR="00EE4DF8">
        <w:rPr>
          <w:rFonts w:ascii="Calibri" w:hAnsi="Calibri" w:cs="Calibri"/>
          <w:sz w:val="22"/>
          <w:szCs w:val="22"/>
          <w:lang w:val="nl-NL" w:eastAsia="zh-CN"/>
        </w:rPr>
        <w:t>leiden tot meer</w:t>
      </w:r>
      <w:r w:rsidRPr="00BF7731" w:rsidR="00C00764">
        <w:rPr>
          <w:rFonts w:ascii="Calibri" w:hAnsi="Calibri" w:cs="Calibri"/>
          <w:sz w:val="22"/>
          <w:szCs w:val="22"/>
          <w:lang w:val="nl-NL" w:eastAsia="zh-CN"/>
        </w:rPr>
        <w:t xml:space="preserve"> rechtszekerheid en voorko</w:t>
      </w:r>
      <w:r w:rsidRPr="00BF7731" w:rsidR="00037B1F">
        <w:rPr>
          <w:rFonts w:ascii="Calibri" w:hAnsi="Calibri" w:cs="Calibri"/>
          <w:sz w:val="22"/>
          <w:szCs w:val="22"/>
          <w:lang w:val="nl-NL" w:eastAsia="zh-CN"/>
        </w:rPr>
        <w:t>m</w:t>
      </w:r>
      <w:r w:rsidRPr="00BF7731" w:rsidR="00217EB2">
        <w:rPr>
          <w:rFonts w:ascii="Calibri" w:hAnsi="Calibri" w:cs="Calibri"/>
          <w:sz w:val="22"/>
          <w:szCs w:val="22"/>
          <w:lang w:val="nl-NL" w:eastAsia="zh-CN"/>
        </w:rPr>
        <w:t>en mogelijke</w:t>
      </w:r>
      <w:r w:rsidRPr="00BF7731" w:rsidR="00C00764">
        <w:rPr>
          <w:rFonts w:ascii="Calibri" w:hAnsi="Calibri" w:cs="Calibri"/>
          <w:sz w:val="22"/>
          <w:szCs w:val="22"/>
          <w:lang w:val="nl-NL" w:eastAsia="zh-CN"/>
        </w:rPr>
        <w:t xml:space="preserve"> </w:t>
      </w:r>
      <w:r w:rsidRPr="00BF7731" w:rsidR="00EE4DF8">
        <w:rPr>
          <w:rFonts w:ascii="Calibri" w:hAnsi="Calibri" w:cs="Calibri"/>
          <w:sz w:val="22"/>
          <w:szCs w:val="22"/>
          <w:lang w:val="nl-NL" w:eastAsia="zh-CN"/>
        </w:rPr>
        <w:t>verschillende interpretaties</w:t>
      </w:r>
      <w:r w:rsidRPr="00BF7731" w:rsidR="00C00764">
        <w:rPr>
          <w:rFonts w:ascii="Calibri" w:hAnsi="Calibri" w:cs="Calibri"/>
          <w:sz w:val="22"/>
          <w:szCs w:val="22"/>
          <w:lang w:val="nl-NL" w:eastAsia="zh-CN"/>
        </w:rPr>
        <w:t xml:space="preserve"> </w:t>
      </w:r>
      <w:r w:rsidRPr="00BF7731" w:rsidR="00EE4DF8">
        <w:rPr>
          <w:rFonts w:ascii="Calibri" w:hAnsi="Calibri" w:cs="Calibri"/>
          <w:sz w:val="22"/>
          <w:szCs w:val="22"/>
          <w:lang w:val="nl-NL" w:eastAsia="zh-CN"/>
        </w:rPr>
        <w:t xml:space="preserve">tussen de lidstaten. </w:t>
      </w:r>
    </w:p>
    <w:p w:rsidRPr="00BF7731" w:rsidR="00873EE4" w:rsidP="001A5B1E" w:rsidRDefault="00873EE4" w14:paraId="12638CE8" w14:textId="77777777">
      <w:pPr>
        <w:pStyle w:val="Spreekpunten"/>
        <w:numPr>
          <w:ilvl w:val="0"/>
          <w:numId w:val="0"/>
        </w:numPr>
        <w:rPr>
          <w:rFonts w:ascii="Calibri" w:hAnsi="Calibri" w:cs="Calibri"/>
          <w:sz w:val="22"/>
          <w:szCs w:val="22"/>
          <w:lang w:val="nl-NL" w:eastAsia="zh-CN"/>
        </w:rPr>
      </w:pPr>
    </w:p>
    <w:p w:rsidRPr="00BF7731" w:rsidR="00D751AF" w:rsidP="007C6B9B" w:rsidRDefault="00FF3010" w14:paraId="1B59717C" w14:textId="3E5AA998">
      <w:pPr>
        <w:spacing w:line="360" w:lineRule="auto"/>
        <w:rPr>
          <w:rFonts w:ascii="Calibri" w:hAnsi="Calibri" w:cs="Calibri"/>
          <w:szCs w:val="22"/>
        </w:rPr>
      </w:pPr>
      <w:r w:rsidRPr="00BF7731">
        <w:rPr>
          <w:rFonts w:ascii="Calibri" w:hAnsi="Calibri" w:cs="Calibri"/>
          <w:szCs w:val="22"/>
        </w:rPr>
        <w:t>Het kabinet verwelkomt de aanpassing van de definitie voor entiteiten binnen de waterstofsector in lijn met bestaande wet- en regelgeving</w:t>
      </w:r>
      <w:r w:rsidRPr="00BF7731" w:rsidR="00854D35">
        <w:rPr>
          <w:rFonts w:ascii="Calibri" w:hAnsi="Calibri" w:cs="Calibri"/>
          <w:szCs w:val="22"/>
        </w:rPr>
        <w:t xml:space="preserve"> omdat d</w:t>
      </w:r>
      <w:r w:rsidRPr="00BF7731">
        <w:rPr>
          <w:rFonts w:ascii="Calibri" w:hAnsi="Calibri" w:cs="Calibri"/>
          <w:szCs w:val="22"/>
        </w:rPr>
        <w:t xml:space="preserve">it meer duidelijkheid </w:t>
      </w:r>
      <w:r w:rsidRPr="00BF7731" w:rsidR="00854D35">
        <w:rPr>
          <w:rFonts w:ascii="Calibri" w:hAnsi="Calibri" w:cs="Calibri"/>
          <w:szCs w:val="22"/>
        </w:rPr>
        <w:t>b</w:t>
      </w:r>
      <w:r w:rsidRPr="00BF7731" w:rsidR="00A90B14">
        <w:rPr>
          <w:rFonts w:ascii="Calibri" w:hAnsi="Calibri" w:cs="Calibri"/>
          <w:szCs w:val="22"/>
        </w:rPr>
        <w:t>ie</w:t>
      </w:r>
      <w:r w:rsidRPr="00BF7731" w:rsidR="00854D35">
        <w:rPr>
          <w:rFonts w:ascii="Calibri" w:hAnsi="Calibri" w:cs="Calibri"/>
          <w:szCs w:val="22"/>
        </w:rPr>
        <w:t xml:space="preserve">dt </w:t>
      </w:r>
      <w:r w:rsidRPr="00BF7731">
        <w:rPr>
          <w:rFonts w:ascii="Calibri" w:hAnsi="Calibri" w:cs="Calibri"/>
          <w:szCs w:val="22"/>
        </w:rPr>
        <w:t xml:space="preserve">over het toepassingsbereik. Ook staat het kabinet positief tegenover het voorstel om micro- </w:t>
      </w:r>
      <w:r w:rsidRPr="00BF7731" w:rsidR="00A90B14">
        <w:rPr>
          <w:rFonts w:ascii="Calibri" w:hAnsi="Calibri" w:cs="Calibri"/>
          <w:szCs w:val="22"/>
        </w:rPr>
        <w:t>of</w:t>
      </w:r>
      <w:r w:rsidRPr="00BF7731">
        <w:rPr>
          <w:rFonts w:ascii="Calibri" w:hAnsi="Calibri" w:cs="Calibri"/>
          <w:szCs w:val="22"/>
        </w:rPr>
        <w:t xml:space="preserve"> kleine DNS-dienstverleners niet langer onder het toepassingsbereik van de NIS2-richtlijn te laten vallen.</w:t>
      </w:r>
      <w:r w:rsidRPr="00BF7731" w:rsidR="00D91E9D">
        <w:rPr>
          <w:rFonts w:ascii="Calibri" w:hAnsi="Calibri" w:cs="Calibri"/>
          <w:szCs w:val="22"/>
        </w:rPr>
        <w:t xml:space="preserve"> </w:t>
      </w:r>
      <w:r w:rsidRPr="00BF7731" w:rsidR="00873EE4">
        <w:rPr>
          <w:rFonts w:ascii="Calibri" w:hAnsi="Calibri" w:cs="Calibri"/>
          <w:szCs w:val="22"/>
        </w:rPr>
        <w:t xml:space="preserve">Het kabinet staat </w:t>
      </w:r>
      <w:r w:rsidRPr="00BF7731">
        <w:rPr>
          <w:rFonts w:ascii="Calibri" w:hAnsi="Calibri" w:cs="Calibri"/>
          <w:szCs w:val="22"/>
        </w:rPr>
        <w:t xml:space="preserve">ook </w:t>
      </w:r>
      <w:r w:rsidRPr="00BF7731" w:rsidR="00873EE4">
        <w:rPr>
          <w:rFonts w:ascii="Calibri" w:hAnsi="Calibri" w:cs="Calibri"/>
          <w:szCs w:val="22"/>
        </w:rPr>
        <w:t xml:space="preserve">positief tegenover het beperken van </w:t>
      </w:r>
      <w:r w:rsidRPr="00BF7731" w:rsidR="00EB51D4">
        <w:rPr>
          <w:rFonts w:ascii="Calibri" w:hAnsi="Calibri" w:cs="Calibri"/>
          <w:szCs w:val="22"/>
        </w:rPr>
        <w:t>het toepassingsbereik</w:t>
      </w:r>
      <w:r w:rsidRPr="00BF7731" w:rsidR="00873EE4">
        <w:rPr>
          <w:rFonts w:ascii="Calibri" w:hAnsi="Calibri" w:cs="Calibri"/>
          <w:szCs w:val="22"/>
        </w:rPr>
        <w:t xml:space="preserve"> van elektriciteitsproducenten</w:t>
      </w:r>
      <w:r w:rsidRPr="00BF7731" w:rsidR="00EB51D4">
        <w:rPr>
          <w:rFonts w:ascii="Calibri" w:hAnsi="Calibri" w:cs="Calibri"/>
          <w:szCs w:val="22"/>
        </w:rPr>
        <w:t xml:space="preserve"> zodat alleen</w:t>
      </w:r>
      <w:r w:rsidRPr="00BF7731" w:rsidR="00873EE4">
        <w:rPr>
          <w:rFonts w:ascii="Calibri" w:hAnsi="Calibri" w:cs="Calibri"/>
          <w:szCs w:val="22"/>
        </w:rPr>
        <w:t xml:space="preserve"> producenten die daadwerkelijk impact kunnen hebben op de stabiliteit van het elektriciteitsnet</w:t>
      </w:r>
      <w:r w:rsidRPr="00BF7731" w:rsidR="00EB51D4">
        <w:rPr>
          <w:rFonts w:ascii="Calibri" w:hAnsi="Calibri" w:cs="Calibri"/>
          <w:szCs w:val="22"/>
        </w:rPr>
        <w:t xml:space="preserve"> onder het toepassingsbereik van de NIS2-richtlijn vallen.</w:t>
      </w:r>
      <w:r w:rsidRPr="00BF7731" w:rsidR="00B84B85">
        <w:rPr>
          <w:rFonts w:ascii="Calibri" w:hAnsi="Calibri" w:cs="Calibri"/>
          <w:szCs w:val="22"/>
        </w:rPr>
        <w:t xml:space="preserve"> Het kabinet merkt hierbij op dat de voorgestelde drempelwaarde voor Nederland ontoereikend is.</w:t>
      </w:r>
      <w:r w:rsidRPr="00BF7731">
        <w:rPr>
          <w:rFonts w:ascii="Calibri" w:hAnsi="Calibri" w:cs="Calibri"/>
          <w:szCs w:val="22"/>
        </w:rPr>
        <w:t xml:space="preserve"> </w:t>
      </w:r>
      <w:bookmarkStart w:name="_Hlk221535852" w:id="6"/>
      <w:r w:rsidRPr="00BF7731" w:rsidR="000E00E2">
        <w:rPr>
          <w:rFonts w:ascii="Calibri" w:hAnsi="Calibri" w:cs="Calibri"/>
          <w:szCs w:val="22"/>
        </w:rPr>
        <w:t xml:space="preserve">Het kabinet vraagt daarnaast de Commissie </w:t>
      </w:r>
      <w:r w:rsidRPr="00BF7731">
        <w:rPr>
          <w:rFonts w:ascii="Calibri" w:hAnsi="Calibri" w:cs="Calibri"/>
          <w:szCs w:val="22"/>
        </w:rPr>
        <w:t xml:space="preserve">om het toepassingsbereik </w:t>
      </w:r>
      <w:bookmarkEnd w:id="6"/>
      <w:r w:rsidRPr="00BF7731">
        <w:rPr>
          <w:rFonts w:ascii="Calibri" w:hAnsi="Calibri" w:cs="Calibri"/>
          <w:szCs w:val="22"/>
        </w:rPr>
        <w:t xml:space="preserve">te verduidelijken van exploitanten van laadpunten en marktdeelnemers die energieopslagdiensten verstrekken en dit in lijn te brengen met het toepassingsbereik van elektriciteitsproducenten. Het kabinet zal zich inzetten om te zorgen dat deze definities aansluiten bij het ontwerp van het elektriciteitsnet en de proportionaliteit die het kabinet heeft beoogd met </w:t>
      </w:r>
      <w:r w:rsidRPr="00BF7731" w:rsidR="00A90B14">
        <w:rPr>
          <w:rFonts w:ascii="Calibri" w:hAnsi="Calibri" w:cs="Calibri"/>
          <w:szCs w:val="22"/>
        </w:rPr>
        <w:t xml:space="preserve">de </w:t>
      </w:r>
      <w:r w:rsidRPr="00BF7731">
        <w:rPr>
          <w:rFonts w:ascii="Calibri" w:hAnsi="Calibri" w:cs="Calibri"/>
          <w:szCs w:val="22"/>
        </w:rPr>
        <w:t>huidig</w:t>
      </w:r>
      <w:r w:rsidRPr="00BF7731" w:rsidR="00A90B14">
        <w:rPr>
          <w:rFonts w:ascii="Calibri" w:hAnsi="Calibri" w:cs="Calibri"/>
          <w:szCs w:val="22"/>
        </w:rPr>
        <w:t>e</w:t>
      </w:r>
      <w:r w:rsidRPr="00BF7731">
        <w:rPr>
          <w:rFonts w:ascii="Calibri" w:hAnsi="Calibri" w:cs="Calibri"/>
          <w:szCs w:val="22"/>
        </w:rPr>
        <w:t xml:space="preserve"> specificering in de Cyberbeveiligingswet, die op onderdelen afwijk</w:t>
      </w:r>
      <w:r w:rsidRPr="00BF7731" w:rsidR="00A90B14">
        <w:rPr>
          <w:rFonts w:ascii="Calibri" w:hAnsi="Calibri" w:cs="Calibri"/>
          <w:szCs w:val="22"/>
        </w:rPr>
        <w:t>t</w:t>
      </w:r>
      <w:r w:rsidRPr="00BF7731">
        <w:rPr>
          <w:rFonts w:ascii="Calibri" w:hAnsi="Calibri" w:cs="Calibri"/>
          <w:szCs w:val="22"/>
        </w:rPr>
        <w:t xml:space="preserve"> van het voorstel van de Commissie. </w:t>
      </w:r>
    </w:p>
    <w:p w:rsidRPr="00BF7731" w:rsidR="00FF3010" w:rsidP="00873EE4" w:rsidRDefault="00FF3010" w14:paraId="722E9748" w14:textId="77777777">
      <w:pPr>
        <w:pStyle w:val="Spreekpunten"/>
        <w:numPr>
          <w:ilvl w:val="0"/>
          <w:numId w:val="0"/>
        </w:numPr>
        <w:rPr>
          <w:rFonts w:ascii="Calibri" w:hAnsi="Calibri" w:cs="Calibri"/>
          <w:sz w:val="22"/>
          <w:szCs w:val="22"/>
          <w:lang w:val="nl-NL" w:eastAsia="zh-CN"/>
        </w:rPr>
      </w:pPr>
    </w:p>
    <w:p w:rsidRPr="00BF7731" w:rsidR="004414D3" w:rsidP="00BE34D3" w:rsidRDefault="00EE4DF8" w14:paraId="740BFA1F" w14:textId="7C5D6668">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Daarnaast </w:t>
      </w:r>
      <w:r w:rsidRPr="00BF7731" w:rsidR="000A2FF7">
        <w:rPr>
          <w:rFonts w:ascii="Calibri" w:hAnsi="Calibri" w:cs="Calibri"/>
          <w:sz w:val="22"/>
          <w:szCs w:val="22"/>
          <w:lang w:val="nl-NL" w:eastAsia="zh-CN"/>
        </w:rPr>
        <w:t xml:space="preserve">oordeelt </w:t>
      </w:r>
      <w:r w:rsidRPr="00BF7731">
        <w:rPr>
          <w:rFonts w:ascii="Calibri" w:hAnsi="Calibri" w:cs="Calibri"/>
          <w:sz w:val="22"/>
          <w:szCs w:val="22"/>
          <w:lang w:val="nl-NL" w:eastAsia="zh-CN"/>
        </w:rPr>
        <w:t>het kabinet positief over</w:t>
      </w:r>
      <w:r w:rsidRPr="00BF7731" w:rsidR="00EF3BCB">
        <w:rPr>
          <w:rFonts w:ascii="Calibri" w:hAnsi="Calibri" w:cs="Calibri"/>
          <w:sz w:val="22"/>
          <w:szCs w:val="22"/>
          <w:lang w:val="nl-NL" w:eastAsia="zh-CN"/>
        </w:rPr>
        <w:t xml:space="preserve"> het voorstel tot </w:t>
      </w:r>
      <w:r w:rsidRPr="00BF7731">
        <w:rPr>
          <w:rFonts w:ascii="Calibri" w:hAnsi="Calibri" w:cs="Calibri"/>
          <w:sz w:val="22"/>
          <w:szCs w:val="22"/>
          <w:lang w:val="nl-NL" w:eastAsia="zh-CN"/>
        </w:rPr>
        <w:t xml:space="preserve">uitbreiding van </w:t>
      </w:r>
      <w:r w:rsidRPr="00BF7731" w:rsidR="0036741B">
        <w:rPr>
          <w:rFonts w:ascii="Calibri" w:hAnsi="Calibri" w:cs="Calibri"/>
          <w:sz w:val="22"/>
          <w:szCs w:val="22"/>
          <w:lang w:val="nl-NL" w:eastAsia="zh-CN"/>
        </w:rPr>
        <w:t>het toepassingsbereik</w:t>
      </w:r>
      <w:r w:rsidRPr="00BF7731" w:rsidR="00EF3BCB">
        <w:rPr>
          <w:rFonts w:ascii="Calibri" w:hAnsi="Calibri" w:cs="Calibri"/>
          <w:sz w:val="22"/>
          <w:szCs w:val="22"/>
          <w:lang w:val="nl-NL" w:eastAsia="zh-CN"/>
        </w:rPr>
        <w:t xml:space="preserve"> van de NIS2-richtlijn met enkele nieuwe soorten entiteiten, namelijk</w:t>
      </w:r>
      <w:r w:rsidRPr="00BF7731">
        <w:rPr>
          <w:rFonts w:ascii="Calibri" w:hAnsi="Calibri" w:cs="Calibri"/>
          <w:sz w:val="22"/>
          <w:szCs w:val="22"/>
          <w:lang w:val="nl-NL" w:eastAsia="zh-CN"/>
        </w:rPr>
        <w:t xml:space="preserve"> </w:t>
      </w:r>
      <w:r w:rsidRPr="00BF7731" w:rsidR="00750316">
        <w:rPr>
          <w:rFonts w:ascii="Calibri" w:hAnsi="Calibri" w:cs="Calibri"/>
          <w:sz w:val="22"/>
          <w:szCs w:val="22"/>
          <w:lang w:val="nl-NL" w:eastAsia="zh-CN"/>
        </w:rPr>
        <w:t>EUDI-</w:t>
      </w:r>
      <w:proofErr w:type="spellStart"/>
      <w:r w:rsidRPr="00BF7731" w:rsidR="00750316">
        <w:rPr>
          <w:rFonts w:ascii="Calibri" w:hAnsi="Calibri" w:cs="Calibri"/>
          <w:i/>
          <w:iCs/>
          <w:sz w:val="22"/>
          <w:szCs w:val="22"/>
          <w:lang w:val="nl-NL" w:eastAsia="zh-CN"/>
        </w:rPr>
        <w:t>wallets</w:t>
      </w:r>
      <w:proofErr w:type="spellEnd"/>
      <w:r w:rsidRPr="00BF7731" w:rsidR="00750316">
        <w:rPr>
          <w:rFonts w:ascii="Calibri" w:hAnsi="Calibri" w:cs="Calibri"/>
          <w:sz w:val="22"/>
          <w:szCs w:val="22"/>
          <w:lang w:val="nl-NL" w:eastAsia="zh-CN"/>
        </w:rPr>
        <w:t xml:space="preserve"> </w:t>
      </w:r>
      <w:r w:rsidRPr="00BF7731">
        <w:rPr>
          <w:rFonts w:ascii="Calibri" w:hAnsi="Calibri" w:cs="Calibri"/>
          <w:sz w:val="22"/>
          <w:szCs w:val="22"/>
          <w:lang w:val="nl-NL" w:eastAsia="zh-CN"/>
        </w:rPr>
        <w:t xml:space="preserve">en </w:t>
      </w:r>
      <w:r w:rsidRPr="00BF7731">
        <w:rPr>
          <w:rFonts w:ascii="Calibri" w:hAnsi="Calibri" w:cs="Calibri"/>
          <w:i/>
          <w:iCs/>
          <w:sz w:val="22"/>
          <w:szCs w:val="22"/>
          <w:lang w:val="nl-NL" w:eastAsia="zh-CN"/>
        </w:rPr>
        <w:t xml:space="preserve">European Business </w:t>
      </w:r>
      <w:proofErr w:type="spellStart"/>
      <w:r w:rsidRPr="00BF7731">
        <w:rPr>
          <w:rFonts w:ascii="Calibri" w:hAnsi="Calibri" w:cs="Calibri"/>
          <w:i/>
          <w:iCs/>
          <w:sz w:val="22"/>
          <w:szCs w:val="22"/>
          <w:lang w:val="nl-NL" w:eastAsia="zh-CN"/>
        </w:rPr>
        <w:t>Wallets</w:t>
      </w:r>
      <w:proofErr w:type="spellEnd"/>
      <w:r w:rsidRPr="00BF7731" w:rsidR="00EF3BCB">
        <w:rPr>
          <w:rFonts w:ascii="Calibri" w:hAnsi="Calibri" w:cs="Calibri"/>
          <w:sz w:val="22"/>
          <w:szCs w:val="22"/>
          <w:lang w:val="nl-NL" w:eastAsia="zh-CN"/>
        </w:rPr>
        <w:t xml:space="preserve"> (sector digitale infrastructuur)</w:t>
      </w:r>
      <w:r w:rsidRPr="00BF7731">
        <w:rPr>
          <w:rFonts w:ascii="Calibri" w:hAnsi="Calibri" w:cs="Calibri"/>
          <w:sz w:val="22"/>
          <w:szCs w:val="22"/>
          <w:lang w:val="nl-NL" w:eastAsia="zh-CN"/>
        </w:rPr>
        <w:t xml:space="preserve"> </w:t>
      </w:r>
      <w:r w:rsidRPr="00BF7731" w:rsidR="00EF3BCB">
        <w:rPr>
          <w:rFonts w:ascii="Calibri" w:hAnsi="Calibri" w:cs="Calibri"/>
          <w:sz w:val="22"/>
          <w:szCs w:val="22"/>
          <w:lang w:val="nl-NL" w:eastAsia="zh-CN"/>
        </w:rPr>
        <w:t xml:space="preserve">omdat kan worden onderschreven dat, </w:t>
      </w:r>
      <w:r w:rsidRPr="00BF7731" w:rsidR="00BE34D3">
        <w:rPr>
          <w:rFonts w:ascii="Calibri" w:hAnsi="Calibri" w:cs="Calibri"/>
          <w:sz w:val="22"/>
          <w:szCs w:val="22"/>
          <w:lang w:val="nl-NL" w:eastAsia="zh-CN"/>
        </w:rPr>
        <w:t>zoals de Commissie zelf ook aangeeft,</w:t>
      </w:r>
      <w:r w:rsidRPr="00BF7731" w:rsidR="00EF3BCB">
        <w:rPr>
          <w:rFonts w:ascii="Calibri" w:hAnsi="Calibri" w:cs="Calibri"/>
          <w:sz w:val="22"/>
          <w:szCs w:val="22"/>
          <w:lang w:val="nl-NL" w:eastAsia="zh-CN"/>
        </w:rPr>
        <w:t xml:space="preserve"> deze entiteiten</w:t>
      </w:r>
      <w:r w:rsidRPr="00BF7731">
        <w:rPr>
          <w:rFonts w:ascii="Calibri" w:hAnsi="Calibri" w:cs="Calibri"/>
          <w:sz w:val="22"/>
          <w:szCs w:val="22"/>
          <w:lang w:val="nl-NL" w:eastAsia="zh-CN"/>
        </w:rPr>
        <w:t xml:space="preserve"> een </w:t>
      </w:r>
      <w:r w:rsidRPr="00BF7731" w:rsidR="00BE34D3">
        <w:rPr>
          <w:rFonts w:ascii="Calibri" w:hAnsi="Calibri" w:cs="Calibri"/>
          <w:sz w:val="22"/>
          <w:szCs w:val="22"/>
          <w:lang w:val="nl-NL" w:eastAsia="zh-CN"/>
        </w:rPr>
        <w:t>essentieel deel zijn van de Europese digitale infrastructuur</w:t>
      </w:r>
      <w:r w:rsidRPr="00BF7731" w:rsidR="00EF3BCB">
        <w:rPr>
          <w:rFonts w:ascii="Calibri" w:hAnsi="Calibri" w:cs="Calibri"/>
          <w:sz w:val="22"/>
          <w:szCs w:val="22"/>
          <w:lang w:val="nl-NL" w:eastAsia="zh-CN"/>
        </w:rPr>
        <w:t xml:space="preserve"> en zij daarom onder meer aan de in de NIS2-richtlijn bedoelde zorgplicht moeten voldoen</w:t>
      </w:r>
      <w:r w:rsidRPr="00BF7731" w:rsidR="00BE34D3">
        <w:rPr>
          <w:rFonts w:ascii="Calibri" w:hAnsi="Calibri" w:cs="Calibri"/>
          <w:sz w:val="22"/>
          <w:szCs w:val="22"/>
          <w:lang w:val="nl-NL" w:eastAsia="zh-CN"/>
        </w:rPr>
        <w:t>.</w:t>
      </w:r>
      <w:r w:rsidRPr="00BF7731" w:rsidR="00A61EF8">
        <w:rPr>
          <w:rFonts w:ascii="Calibri" w:hAnsi="Calibri" w:cs="Calibri"/>
          <w:i/>
          <w:iCs/>
          <w:sz w:val="22"/>
          <w:szCs w:val="22"/>
          <w:lang w:val="nl-NL" w:eastAsia="zh-CN"/>
        </w:rPr>
        <w:t xml:space="preserve"> </w:t>
      </w:r>
      <w:r w:rsidRPr="00BF7731" w:rsidR="00A61EF8">
        <w:rPr>
          <w:rFonts w:ascii="Calibri" w:hAnsi="Calibri" w:cs="Calibri"/>
          <w:sz w:val="22"/>
          <w:szCs w:val="22"/>
          <w:lang w:val="nl-NL" w:eastAsia="zh-CN"/>
        </w:rPr>
        <w:t>Het kabinet staat tevens positief tegenover het onder het toepassingsbereik van de NIS2-</w:t>
      </w:r>
      <w:r w:rsidRPr="00BF7731" w:rsidR="00A61EF8">
        <w:rPr>
          <w:rFonts w:ascii="Calibri" w:hAnsi="Calibri" w:cs="Calibri"/>
          <w:sz w:val="22"/>
          <w:szCs w:val="22"/>
          <w:lang w:val="nl-NL" w:eastAsia="zh-CN"/>
        </w:rPr>
        <w:lastRenderedPageBreak/>
        <w:t xml:space="preserve">richtlijn brengen van operators van onderzeese datatransmissie infrastructuur (binnen de sector digitale infrastructuur) voor zover zij hier nog niet onder vielen, aangezien deze essentieel zijn voor het functioneren van het internet. De </w:t>
      </w:r>
      <w:r w:rsidRPr="00BF7731" w:rsidR="003A6E5B">
        <w:rPr>
          <w:rFonts w:ascii="Calibri" w:hAnsi="Calibri" w:cs="Calibri"/>
          <w:sz w:val="22"/>
          <w:szCs w:val="22"/>
          <w:lang w:val="nl-NL" w:eastAsia="zh-CN"/>
        </w:rPr>
        <w:t xml:space="preserve">exploitanten van de </w:t>
      </w:r>
      <w:r w:rsidRPr="00BF7731" w:rsidR="00A61EF8">
        <w:rPr>
          <w:rFonts w:ascii="Calibri" w:hAnsi="Calibri" w:cs="Calibri"/>
          <w:sz w:val="22"/>
          <w:szCs w:val="22"/>
          <w:lang w:val="nl-NL" w:eastAsia="zh-CN"/>
        </w:rPr>
        <w:t xml:space="preserve">datakabels die momenteel in Nederland aanlanden vallen reeds onder de NIS2-richtlijn omdat zij behoren tot de categorie aanbieders van openbare elektronische communicatienetwerken, maar deze uitbreiding is wenselijk nu ook niet-traditionele partijen zoals </w:t>
      </w:r>
      <w:proofErr w:type="spellStart"/>
      <w:r w:rsidRPr="00BF7731" w:rsidR="00A61EF8">
        <w:rPr>
          <w:rFonts w:ascii="Calibri" w:hAnsi="Calibri" w:cs="Calibri"/>
          <w:i/>
          <w:iCs/>
          <w:sz w:val="22"/>
          <w:szCs w:val="22"/>
          <w:lang w:val="nl-NL" w:eastAsia="zh-CN"/>
        </w:rPr>
        <w:t>hyperscalers</w:t>
      </w:r>
      <w:proofErr w:type="spellEnd"/>
      <w:r w:rsidRPr="00BF7731" w:rsidR="00A61EF8">
        <w:rPr>
          <w:rFonts w:ascii="Calibri" w:hAnsi="Calibri" w:cs="Calibri"/>
          <w:sz w:val="22"/>
          <w:szCs w:val="22"/>
          <w:lang w:val="nl-NL" w:eastAsia="zh-CN"/>
        </w:rPr>
        <w:t xml:space="preserve"> een groeiend aandeel hebben in deze infrastructuur en het van belang is dat ook zij onder het toepassingsbereik </w:t>
      </w:r>
      <w:r w:rsidRPr="00BF7731" w:rsidR="00F37B47">
        <w:rPr>
          <w:rFonts w:ascii="Calibri" w:hAnsi="Calibri" w:cs="Calibri"/>
          <w:sz w:val="22"/>
          <w:szCs w:val="22"/>
          <w:lang w:val="nl-NL" w:eastAsia="zh-CN"/>
        </w:rPr>
        <w:t xml:space="preserve">van de NIS2-richtlijn </w:t>
      </w:r>
      <w:r w:rsidRPr="00BF7731" w:rsidR="00A61EF8">
        <w:rPr>
          <w:rFonts w:ascii="Calibri" w:hAnsi="Calibri" w:cs="Calibri"/>
          <w:sz w:val="22"/>
          <w:szCs w:val="22"/>
          <w:lang w:val="nl-NL" w:eastAsia="zh-CN"/>
        </w:rPr>
        <w:t xml:space="preserve">vallen. </w:t>
      </w:r>
      <w:bookmarkStart w:name="_Hlk221545918" w:id="7"/>
      <w:r w:rsidRPr="00BF7731" w:rsidR="00DF375E">
        <w:rPr>
          <w:rFonts w:ascii="Calibri" w:hAnsi="Calibri" w:cs="Calibri"/>
          <w:sz w:val="22"/>
          <w:szCs w:val="22"/>
          <w:lang w:val="nl-NL" w:eastAsia="zh-CN"/>
        </w:rPr>
        <w:t xml:space="preserve">Ten aanzien van de aanvulling voor de infrastructuur voor het militair materieel en personeel en van militaire goederen binnen de </w:t>
      </w:r>
      <w:r w:rsidRPr="00BF7731" w:rsidR="00F37B47">
        <w:rPr>
          <w:rFonts w:ascii="Calibri" w:hAnsi="Calibri" w:cs="Calibri"/>
          <w:sz w:val="22"/>
          <w:szCs w:val="22"/>
          <w:lang w:val="nl-NL" w:eastAsia="zh-CN"/>
        </w:rPr>
        <w:t>EU</w:t>
      </w:r>
      <w:r w:rsidRPr="00BF7731" w:rsidR="00DF375E">
        <w:rPr>
          <w:rFonts w:ascii="Calibri" w:hAnsi="Calibri" w:cs="Calibri"/>
          <w:sz w:val="22"/>
          <w:szCs w:val="22"/>
          <w:lang w:val="nl-NL" w:eastAsia="zh-CN"/>
        </w:rPr>
        <w:t xml:space="preserve"> (binnen de </w:t>
      </w:r>
      <w:proofErr w:type="spellStart"/>
      <w:r w:rsidRPr="00BF7731" w:rsidR="00DF375E">
        <w:rPr>
          <w:rFonts w:ascii="Calibri" w:hAnsi="Calibri" w:cs="Calibri"/>
          <w:sz w:val="22"/>
          <w:szCs w:val="22"/>
          <w:lang w:val="nl-NL" w:eastAsia="zh-CN"/>
        </w:rPr>
        <w:t>subsector</w:t>
      </w:r>
      <w:proofErr w:type="spellEnd"/>
      <w:r w:rsidRPr="00BF7731" w:rsidR="00DF375E">
        <w:rPr>
          <w:rFonts w:ascii="Calibri" w:hAnsi="Calibri" w:cs="Calibri"/>
          <w:sz w:val="22"/>
          <w:szCs w:val="22"/>
          <w:lang w:val="nl-NL" w:eastAsia="zh-CN"/>
        </w:rPr>
        <w:t xml:space="preserve"> wegvervoer) geldt dat het kabinet verwacht dat de beheerders van deze infrastructuur reeds </w:t>
      </w:r>
      <w:r w:rsidRPr="00BF7731" w:rsidR="00552D55">
        <w:rPr>
          <w:rFonts w:ascii="Calibri" w:hAnsi="Calibri" w:cs="Calibri"/>
          <w:sz w:val="22"/>
          <w:szCs w:val="22"/>
          <w:lang w:val="nl-NL" w:eastAsia="zh-CN"/>
        </w:rPr>
        <w:t xml:space="preserve">zonder wijziging </w:t>
      </w:r>
      <w:r w:rsidRPr="00BF7731" w:rsidR="00DF375E">
        <w:rPr>
          <w:rFonts w:ascii="Calibri" w:hAnsi="Calibri" w:cs="Calibri"/>
          <w:sz w:val="22"/>
          <w:szCs w:val="22"/>
          <w:lang w:val="nl-NL" w:eastAsia="zh-CN"/>
        </w:rPr>
        <w:t>onder het toepassingsbereik van de NIS2-richtlijn vallen</w:t>
      </w:r>
      <w:bookmarkEnd w:id="7"/>
      <w:r w:rsidRPr="00BF7731" w:rsidR="00DF375E">
        <w:rPr>
          <w:rFonts w:ascii="Calibri" w:hAnsi="Calibri" w:cs="Calibri"/>
          <w:sz w:val="22"/>
          <w:szCs w:val="22"/>
          <w:lang w:val="nl-NL" w:eastAsia="zh-CN"/>
        </w:rPr>
        <w:t>.</w:t>
      </w:r>
      <w:r w:rsidRPr="00BF7731" w:rsidR="003A6E5B">
        <w:rPr>
          <w:rFonts w:ascii="Calibri" w:hAnsi="Calibri" w:cs="Calibri"/>
          <w:sz w:val="22"/>
          <w:szCs w:val="22"/>
          <w:lang w:val="nl-NL" w:eastAsia="zh-CN"/>
        </w:rPr>
        <w:t xml:space="preserve"> Het kabinet vraagt de Commissie </w:t>
      </w:r>
      <w:r w:rsidRPr="00BF7731" w:rsidR="00E91C4D">
        <w:rPr>
          <w:rFonts w:ascii="Calibri" w:hAnsi="Calibri" w:cs="Calibri"/>
          <w:sz w:val="22"/>
          <w:szCs w:val="22"/>
          <w:lang w:val="nl-NL" w:eastAsia="zh-CN"/>
        </w:rPr>
        <w:t xml:space="preserve">om verduidelijking </w:t>
      </w:r>
      <w:r w:rsidRPr="00BF7731" w:rsidR="003A6E5B">
        <w:rPr>
          <w:rFonts w:ascii="Calibri" w:hAnsi="Calibri" w:cs="Calibri"/>
          <w:sz w:val="22"/>
          <w:szCs w:val="22"/>
          <w:lang w:val="nl-NL" w:eastAsia="zh-CN"/>
        </w:rPr>
        <w:t xml:space="preserve">of deze soorten entiteiten als essentiële entiteiten </w:t>
      </w:r>
      <w:r w:rsidRPr="00BF7731" w:rsidR="00E91C4D">
        <w:rPr>
          <w:rFonts w:ascii="Calibri" w:hAnsi="Calibri" w:cs="Calibri"/>
          <w:sz w:val="22"/>
          <w:szCs w:val="22"/>
          <w:lang w:val="nl-NL" w:eastAsia="zh-CN"/>
        </w:rPr>
        <w:t xml:space="preserve">dan wel als </w:t>
      </w:r>
      <w:r w:rsidRPr="00BF7731" w:rsidR="003A6E5B">
        <w:rPr>
          <w:rFonts w:ascii="Calibri" w:hAnsi="Calibri" w:cs="Calibri"/>
          <w:sz w:val="22"/>
          <w:szCs w:val="22"/>
          <w:lang w:val="nl-NL" w:eastAsia="zh-CN"/>
        </w:rPr>
        <w:t xml:space="preserve">belangrijke entiteiten </w:t>
      </w:r>
      <w:r w:rsidRPr="00BF7731" w:rsidR="00E91C4D">
        <w:rPr>
          <w:rFonts w:ascii="Calibri" w:hAnsi="Calibri" w:cs="Calibri"/>
          <w:sz w:val="22"/>
          <w:szCs w:val="22"/>
          <w:lang w:val="nl-NL" w:eastAsia="zh-CN"/>
        </w:rPr>
        <w:t xml:space="preserve">zouden </w:t>
      </w:r>
      <w:r w:rsidRPr="00BF7731" w:rsidR="003A6E5B">
        <w:rPr>
          <w:rFonts w:ascii="Calibri" w:hAnsi="Calibri" w:cs="Calibri"/>
          <w:sz w:val="22"/>
          <w:szCs w:val="22"/>
          <w:lang w:val="nl-NL" w:eastAsia="zh-CN"/>
        </w:rPr>
        <w:t xml:space="preserve">worden aangemerkt. </w:t>
      </w:r>
    </w:p>
    <w:p w:rsidRPr="00BF7731" w:rsidR="00FA6195" w:rsidP="00BE34D3" w:rsidRDefault="00FA6195" w14:paraId="47D81F20" w14:textId="77777777">
      <w:pPr>
        <w:pStyle w:val="Spreekpunten"/>
        <w:numPr>
          <w:ilvl w:val="0"/>
          <w:numId w:val="0"/>
        </w:numPr>
        <w:rPr>
          <w:rFonts w:ascii="Calibri" w:hAnsi="Calibri" w:cs="Calibri"/>
          <w:sz w:val="22"/>
          <w:szCs w:val="22"/>
          <w:lang w:val="nl-NL" w:eastAsia="zh-CN"/>
        </w:rPr>
      </w:pPr>
    </w:p>
    <w:p w:rsidRPr="00BF7731" w:rsidR="00FA6195" w:rsidP="00BE34D3" w:rsidRDefault="00FA6195" w14:paraId="0338B455" w14:textId="077B934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Met het oog op het stroomlijnen van de NIS2-richtlijn en de CER-richtlijn beziet het kabinet nog in hoeverre bovenstaande voorgestelde wijzigingen in de definities en toevoeging van nieuwe sectoren ook gevolgen zou moeten hebben voor de CER-richtlijn.</w:t>
      </w:r>
    </w:p>
    <w:p w:rsidRPr="00BF7731" w:rsidR="00417CBB" w:rsidP="00BE34D3" w:rsidRDefault="00417CBB" w14:paraId="2083711A" w14:textId="77777777">
      <w:pPr>
        <w:pStyle w:val="Spreekpunten"/>
        <w:numPr>
          <w:ilvl w:val="0"/>
          <w:numId w:val="0"/>
        </w:numPr>
        <w:rPr>
          <w:rFonts w:ascii="Calibri" w:hAnsi="Calibri" w:cs="Calibri"/>
          <w:sz w:val="22"/>
          <w:szCs w:val="22"/>
          <w:lang w:val="nl-NL" w:eastAsia="zh-CN"/>
        </w:rPr>
      </w:pPr>
    </w:p>
    <w:p w:rsidRPr="00BF7731" w:rsidR="00EC7921" w:rsidP="007C6B9B" w:rsidRDefault="00EC7921" w14:paraId="161909C4" w14:textId="3B6385A7">
      <w:pPr>
        <w:spacing w:line="360" w:lineRule="auto"/>
        <w:rPr>
          <w:rFonts w:ascii="Calibri" w:hAnsi="Calibri" w:cs="Calibri"/>
          <w:szCs w:val="22"/>
        </w:rPr>
      </w:pPr>
      <w:r w:rsidRPr="00BF7731">
        <w:rPr>
          <w:rFonts w:ascii="Calibri" w:hAnsi="Calibri" w:cs="Calibri"/>
          <w:szCs w:val="22"/>
        </w:rPr>
        <w:t xml:space="preserve">Het kabinet is positief over het toevoegen van een nieuwe categorie </w:t>
      </w:r>
      <w:r w:rsidRPr="00BF7731">
        <w:rPr>
          <w:rFonts w:ascii="Calibri" w:hAnsi="Calibri" w:cs="Calibri"/>
          <w:i/>
          <w:iCs/>
          <w:szCs w:val="22"/>
        </w:rPr>
        <w:t>small mid-cap</w:t>
      </w:r>
      <w:r w:rsidRPr="00BF7731">
        <w:rPr>
          <w:rFonts w:ascii="Calibri" w:hAnsi="Calibri" w:cs="Calibri"/>
          <w:szCs w:val="22"/>
        </w:rPr>
        <w:t xml:space="preserve"> bedrijven indien dit bijdraagt aan</w:t>
      </w:r>
      <w:r w:rsidRPr="00BF7731" w:rsidR="002C3A41">
        <w:rPr>
          <w:rFonts w:ascii="Calibri" w:hAnsi="Calibri" w:cs="Calibri"/>
          <w:szCs w:val="22"/>
        </w:rPr>
        <w:t xml:space="preserve"> substantiële</w:t>
      </w:r>
      <w:r w:rsidRPr="00BF7731">
        <w:rPr>
          <w:rFonts w:ascii="Calibri" w:hAnsi="Calibri" w:cs="Calibri"/>
          <w:szCs w:val="22"/>
        </w:rPr>
        <w:t xml:space="preserve"> lastenvermindering. Naar het kabinet begrijpt, gaat het hier om een categorie die tussen middelgrote en grote bedrijven </w:t>
      </w:r>
      <w:r w:rsidRPr="00BF7731" w:rsidR="00854D35">
        <w:rPr>
          <w:rFonts w:ascii="Calibri" w:hAnsi="Calibri" w:cs="Calibri"/>
          <w:szCs w:val="22"/>
        </w:rPr>
        <w:t>valt</w:t>
      </w:r>
      <w:r w:rsidRPr="00BF7731" w:rsidR="00513C84">
        <w:rPr>
          <w:rFonts w:ascii="Calibri" w:hAnsi="Calibri" w:cs="Calibri"/>
          <w:szCs w:val="22"/>
        </w:rPr>
        <w:t>.</w:t>
      </w:r>
      <w:r w:rsidRPr="00BF7731">
        <w:rPr>
          <w:rFonts w:ascii="Calibri" w:hAnsi="Calibri" w:cs="Calibri"/>
          <w:szCs w:val="22"/>
        </w:rPr>
        <w:t xml:space="preserve"> </w:t>
      </w:r>
      <w:r w:rsidRPr="00BF7731" w:rsidR="00513C84">
        <w:rPr>
          <w:rFonts w:ascii="Calibri" w:hAnsi="Calibri" w:cs="Calibri"/>
          <w:szCs w:val="22"/>
        </w:rPr>
        <w:t xml:space="preserve">Dit </w:t>
      </w:r>
      <w:r w:rsidRPr="00BF7731">
        <w:rPr>
          <w:rFonts w:ascii="Calibri" w:hAnsi="Calibri" w:cs="Calibri"/>
          <w:szCs w:val="22"/>
        </w:rPr>
        <w:t xml:space="preserve">houdt </w:t>
      </w:r>
      <w:r w:rsidRPr="00BF7731" w:rsidR="00513C84">
        <w:rPr>
          <w:rFonts w:ascii="Calibri" w:hAnsi="Calibri" w:cs="Calibri"/>
          <w:szCs w:val="22"/>
        </w:rPr>
        <w:t xml:space="preserve">in </w:t>
      </w:r>
      <w:r w:rsidRPr="00BF7731">
        <w:rPr>
          <w:rFonts w:ascii="Calibri" w:hAnsi="Calibri" w:cs="Calibri"/>
          <w:szCs w:val="22"/>
        </w:rPr>
        <w:t>dat de criteria om als gro</w:t>
      </w:r>
      <w:r w:rsidRPr="00BF7731" w:rsidR="00002917">
        <w:rPr>
          <w:rFonts w:ascii="Calibri" w:hAnsi="Calibri" w:cs="Calibri"/>
          <w:szCs w:val="22"/>
        </w:rPr>
        <w:t>te onderneming</w:t>
      </w:r>
      <w:r w:rsidRPr="00BF7731">
        <w:rPr>
          <w:rFonts w:ascii="Calibri" w:hAnsi="Calibri" w:cs="Calibri"/>
          <w:szCs w:val="22"/>
        </w:rPr>
        <w:t xml:space="preserve"> – en daarmee</w:t>
      </w:r>
      <w:r w:rsidRPr="00BF7731" w:rsidR="00513C84">
        <w:rPr>
          <w:rFonts w:ascii="Calibri" w:hAnsi="Calibri" w:cs="Calibri"/>
          <w:szCs w:val="22"/>
        </w:rPr>
        <w:t xml:space="preserve"> in de context van NIS2</w:t>
      </w:r>
      <w:r w:rsidRPr="00BF7731">
        <w:rPr>
          <w:rFonts w:ascii="Calibri" w:hAnsi="Calibri" w:cs="Calibri"/>
          <w:szCs w:val="22"/>
        </w:rPr>
        <w:t xml:space="preserve"> als essentiële entiteit</w:t>
      </w:r>
      <w:r w:rsidRPr="00BF7731" w:rsidR="00513C84">
        <w:rPr>
          <w:rFonts w:ascii="Calibri" w:hAnsi="Calibri" w:cs="Calibri"/>
          <w:szCs w:val="22"/>
        </w:rPr>
        <w:t xml:space="preserve"> </w:t>
      </w:r>
      <w:r w:rsidRPr="00BF7731" w:rsidR="00080CC1">
        <w:rPr>
          <w:rFonts w:ascii="Calibri" w:hAnsi="Calibri" w:cs="Calibri"/>
          <w:szCs w:val="22"/>
        </w:rPr>
        <w:t xml:space="preserve">– </w:t>
      </w:r>
      <w:r w:rsidRPr="00BF7731">
        <w:rPr>
          <w:rFonts w:ascii="Calibri" w:hAnsi="Calibri" w:cs="Calibri"/>
          <w:szCs w:val="22"/>
        </w:rPr>
        <w:t>te worden aangemerkt</w:t>
      </w:r>
      <w:r w:rsidRPr="00BF7731" w:rsidR="00513C84">
        <w:rPr>
          <w:rFonts w:ascii="Calibri" w:hAnsi="Calibri" w:cs="Calibri"/>
          <w:szCs w:val="22"/>
        </w:rPr>
        <w:t>,</w:t>
      </w:r>
      <w:r w:rsidRPr="00BF7731">
        <w:rPr>
          <w:rFonts w:ascii="Calibri" w:hAnsi="Calibri" w:cs="Calibri"/>
          <w:szCs w:val="22"/>
        </w:rPr>
        <w:t xml:space="preserve"> word</w:t>
      </w:r>
      <w:r w:rsidRPr="00BF7731" w:rsidR="00BE30DA">
        <w:rPr>
          <w:rFonts w:ascii="Calibri" w:hAnsi="Calibri" w:cs="Calibri"/>
          <w:szCs w:val="22"/>
        </w:rPr>
        <w:t xml:space="preserve">en </w:t>
      </w:r>
      <w:r w:rsidRPr="00BF7731">
        <w:rPr>
          <w:rFonts w:ascii="Calibri" w:hAnsi="Calibri" w:cs="Calibri"/>
          <w:szCs w:val="22"/>
        </w:rPr>
        <w:t xml:space="preserve">verhoogd. </w:t>
      </w:r>
      <w:r w:rsidRPr="00BF7731" w:rsidR="00513C84">
        <w:rPr>
          <w:rFonts w:ascii="Calibri" w:hAnsi="Calibri" w:cs="Calibri"/>
          <w:szCs w:val="22"/>
        </w:rPr>
        <w:t>H</w:t>
      </w:r>
      <w:r w:rsidRPr="00BF7731">
        <w:rPr>
          <w:rFonts w:ascii="Calibri" w:hAnsi="Calibri" w:cs="Calibri"/>
          <w:szCs w:val="22"/>
        </w:rPr>
        <w:t>et kabinet</w:t>
      </w:r>
      <w:r w:rsidRPr="00BF7731" w:rsidR="00513C84">
        <w:rPr>
          <w:rFonts w:ascii="Calibri" w:hAnsi="Calibri" w:cs="Calibri"/>
          <w:szCs w:val="22"/>
        </w:rPr>
        <w:t xml:space="preserve"> kan</w:t>
      </w:r>
      <w:r w:rsidRPr="00BF7731">
        <w:rPr>
          <w:rFonts w:ascii="Calibri" w:hAnsi="Calibri" w:cs="Calibri"/>
          <w:szCs w:val="22"/>
        </w:rPr>
        <w:t xml:space="preserve"> in het huidige voorstel onvoldoende beoordelen</w:t>
      </w:r>
      <w:r w:rsidRPr="00BF7731" w:rsidR="00513C84">
        <w:rPr>
          <w:rFonts w:ascii="Calibri" w:hAnsi="Calibri" w:cs="Calibri"/>
          <w:szCs w:val="22"/>
        </w:rPr>
        <w:t xml:space="preserve"> of dit bijdraagt aan lastenvermindering</w:t>
      </w:r>
      <w:r w:rsidRPr="00BF7731">
        <w:rPr>
          <w:rFonts w:ascii="Calibri" w:hAnsi="Calibri" w:cs="Calibri"/>
          <w:szCs w:val="22"/>
        </w:rPr>
        <w:t xml:space="preserve">. </w:t>
      </w:r>
      <w:r w:rsidRPr="00BF7731" w:rsidR="00854D35">
        <w:rPr>
          <w:rFonts w:ascii="Calibri" w:hAnsi="Calibri" w:cs="Calibri"/>
          <w:szCs w:val="22"/>
        </w:rPr>
        <w:t xml:space="preserve">Het kabinet vraagt </w:t>
      </w:r>
      <w:r w:rsidRPr="00BF7731" w:rsidR="00BE30DA">
        <w:rPr>
          <w:rFonts w:ascii="Calibri" w:hAnsi="Calibri" w:cs="Calibri"/>
          <w:szCs w:val="22"/>
        </w:rPr>
        <w:t>mede daarom om</w:t>
      </w:r>
      <w:r w:rsidRPr="00BF7731" w:rsidR="00854D35">
        <w:rPr>
          <w:rFonts w:ascii="Calibri" w:hAnsi="Calibri" w:cs="Calibri"/>
          <w:szCs w:val="22"/>
        </w:rPr>
        <w:t xml:space="preserve"> nadere toelichting hoe de </w:t>
      </w:r>
      <w:r w:rsidRPr="00BF7731" w:rsidR="00BE30DA">
        <w:rPr>
          <w:rFonts w:ascii="Calibri" w:hAnsi="Calibri" w:cs="Calibri"/>
          <w:szCs w:val="22"/>
        </w:rPr>
        <w:t>categorieën van entiteiten</w:t>
      </w:r>
      <w:r w:rsidRPr="00BF7731" w:rsidR="00513C84">
        <w:rPr>
          <w:rFonts w:ascii="Calibri" w:hAnsi="Calibri" w:cs="Calibri"/>
          <w:szCs w:val="22"/>
        </w:rPr>
        <w:t xml:space="preserve"> </w:t>
      </w:r>
      <w:r w:rsidRPr="00BF7731" w:rsidR="00BE30DA">
        <w:rPr>
          <w:rFonts w:ascii="Calibri" w:hAnsi="Calibri" w:cs="Calibri"/>
          <w:szCs w:val="22"/>
        </w:rPr>
        <w:t>zich tot elkaar verhouden</w:t>
      </w:r>
      <w:r w:rsidRPr="00BF7731" w:rsidR="00513C84">
        <w:rPr>
          <w:rFonts w:ascii="Calibri" w:hAnsi="Calibri" w:cs="Calibri"/>
          <w:szCs w:val="22"/>
        </w:rPr>
        <w:t xml:space="preserve"> en wat dit betekent voor kwalificatie als essentiële of belangrijke entiteit</w:t>
      </w:r>
      <w:r w:rsidRPr="00BF7731" w:rsidR="00BE30DA">
        <w:rPr>
          <w:rFonts w:ascii="Calibri" w:hAnsi="Calibri" w:cs="Calibri"/>
          <w:szCs w:val="22"/>
        </w:rPr>
        <w:t xml:space="preserve">. </w:t>
      </w:r>
      <w:r w:rsidRPr="00BF7731" w:rsidR="00002917">
        <w:rPr>
          <w:rFonts w:ascii="Calibri" w:hAnsi="Calibri" w:cs="Calibri"/>
          <w:szCs w:val="22"/>
        </w:rPr>
        <w:t xml:space="preserve"> </w:t>
      </w:r>
      <w:r w:rsidRPr="00BF7731" w:rsidR="00513C84">
        <w:rPr>
          <w:rFonts w:ascii="Calibri" w:hAnsi="Calibri" w:cs="Calibri"/>
          <w:szCs w:val="22"/>
        </w:rPr>
        <w:t>O</w:t>
      </w:r>
      <w:r w:rsidRPr="00BF7731" w:rsidR="00F37B47">
        <w:rPr>
          <w:rFonts w:ascii="Calibri" w:hAnsi="Calibri" w:cs="Calibri"/>
          <w:szCs w:val="22"/>
        </w:rPr>
        <w:t>nderstaande</w:t>
      </w:r>
      <w:r w:rsidRPr="00BF7731">
        <w:rPr>
          <w:rFonts w:ascii="Calibri" w:hAnsi="Calibri" w:cs="Calibri"/>
          <w:szCs w:val="22"/>
        </w:rPr>
        <w:t xml:space="preserve"> overwegingen </w:t>
      </w:r>
      <w:r w:rsidRPr="00BF7731" w:rsidR="00513C84">
        <w:rPr>
          <w:rFonts w:ascii="Calibri" w:hAnsi="Calibri" w:cs="Calibri"/>
          <w:szCs w:val="22"/>
        </w:rPr>
        <w:t>zijn voor het kabinet ook van belang</w:t>
      </w:r>
      <w:r w:rsidRPr="00BF7731">
        <w:rPr>
          <w:rFonts w:ascii="Calibri" w:hAnsi="Calibri" w:cs="Calibri"/>
          <w:szCs w:val="22"/>
        </w:rPr>
        <w:t>.</w:t>
      </w:r>
    </w:p>
    <w:p w:rsidRPr="00BF7731" w:rsidR="00002917" w:rsidP="007C6B9B" w:rsidRDefault="00002917" w14:paraId="780F5EB2" w14:textId="77777777">
      <w:pPr>
        <w:spacing w:line="360" w:lineRule="auto"/>
        <w:rPr>
          <w:rFonts w:ascii="Calibri" w:hAnsi="Calibri" w:cs="Calibri"/>
          <w:szCs w:val="22"/>
        </w:rPr>
      </w:pPr>
    </w:p>
    <w:p w:rsidRPr="00BF7731" w:rsidR="00002917" w:rsidP="00417CBB" w:rsidRDefault="000048A6" w14:paraId="175DD1D7" w14:textId="05AEBD7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Onder </w:t>
      </w:r>
      <w:r w:rsidRPr="00BF7731" w:rsidR="00417CBB">
        <w:rPr>
          <w:rFonts w:ascii="Calibri" w:hAnsi="Calibri" w:cs="Calibri"/>
          <w:sz w:val="22"/>
          <w:szCs w:val="22"/>
          <w:lang w:val="nl-NL" w:eastAsia="zh-CN"/>
        </w:rPr>
        <w:t>de NIS2-richtlijn</w:t>
      </w:r>
      <w:r w:rsidRPr="00BF7731">
        <w:rPr>
          <w:rFonts w:ascii="Calibri" w:hAnsi="Calibri" w:cs="Calibri"/>
          <w:sz w:val="22"/>
          <w:szCs w:val="22"/>
          <w:lang w:val="nl-NL" w:eastAsia="zh-CN"/>
        </w:rPr>
        <w:t xml:space="preserve"> is</w:t>
      </w:r>
      <w:r w:rsidRPr="00BF7731" w:rsidR="00417CBB">
        <w:rPr>
          <w:rFonts w:ascii="Calibri" w:hAnsi="Calibri" w:cs="Calibri"/>
          <w:sz w:val="22"/>
          <w:szCs w:val="22"/>
          <w:lang w:val="nl-NL" w:eastAsia="zh-CN"/>
        </w:rPr>
        <w:t xml:space="preserve"> er </w:t>
      </w:r>
      <w:r w:rsidRPr="00BF7731" w:rsidR="007E01ED">
        <w:rPr>
          <w:rFonts w:ascii="Calibri" w:hAnsi="Calibri" w:cs="Calibri"/>
          <w:sz w:val="22"/>
          <w:szCs w:val="22"/>
          <w:lang w:val="nl-NL" w:eastAsia="zh-CN"/>
        </w:rPr>
        <w:t xml:space="preserve">een </w:t>
      </w:r>
      <w:r w:rsidRPr="00BF7731" w:rsidR="00417CBB">
        <w:rPr>
          <w:rFonts w:ascii="Calibri" w:hAnsi="Calibri" w:cs="Calibri"/>
          <w:sz w:val="22"/>
          <w:szCs w:val="22"/>
          <w:lang w:val="nl-NL" w:eastAsia="zh-CN"/>
        </w:rPr>
        <w:t xml:space="preserve">verschil in toezicht tussen essentiële entiteiten en belangrijke </w:t>
      </w:r>
      <w:r w:rsidRPr="00BF7731" w:rsidR="007330F4">
        <w:rPr>
          <w:rFonts w:ascii="Calibri" w:hAnsi="Calibri" w:cs="Calibri"/>
          <w:sz w:val="22"/>
          <w:szCs w:val="22"/>
          <w:lang w:val="nl-NL" w:eastAsia="zh-CN"/>
        </w:rPr>
        <w:t>entiteiten</w:t>
      </w:r>
      <w:r w:rsidRPr="00BF7731" w:rsidR="00417CBB">
        <w:rPr>
          <w:rFonts w:ascii="Calibri" w:hAnsi="Calibri" w:cs="Calibri"/>
          <w:sz w:val="22"/>
          <w:szCs w:val="22"/>
          <w:lang w:val="nl-NL" w:eastAsia="zh-CN"/>
        </w:rPr>
        <w:t xml:space="preserve">: essentiële entiteiten staan onder proactief toezicht en belangrijke entiteiten staan onder reactief toezicht. Daarnaast beschikt de bevoegde autoriteit in de handhaving van de naleving van de verplichtingen door essentiële entiteiten, over meer bevoegdheden dan ten aanzien van de handhaving van de naleving van de verplichtingen door belangrijke entiteiten. De toevoeging van deze nieuwe categorie </w:t>
      </w:r>
      <w:r w:rsidRPr="00BF7731" w:rsidR="00080CC1">
        <w:rPr>
          <w:rFonts w:ascii="Calibri" w:hAnsi="Calibri" w:cs="Calibri"/>
          <w:i/>
          <w:iCs/>
          <w:sz w:val="22"/>
          <w:szCs w:val="22"/>
          <w:lang w:val="nl-NL" w:eastAsia="zh-CN"/>
        </w:rPr>
        <w:t xml:space="preserve">small mid-cap </w:t>
      </w:r>
      <w:r w:rsidRPr="00BF7731" w:rsidR="00080CC1">
        <w:rPr>
          <w:rFonts w:ascii="Calibri" w:hAnsi="Calibri" w:cs="Calibri"/>
          <w:sz w:val="22"/>
          <w:szCs w:val="22"/>
          <w:lang w:val="nl-NL" w:eastAsia="zh-CN"/>
        </w:rPr>
        <w:t xml:space="preserve">bedrijven </w:t>
      </w:r>
      <w:r w:rsidRPr="00BF7731" w:rsidR="00417CBB">
        <w:rPr>
          <w:rFonts w:ascii="Calibri" w:hAnsi="Calibri" w:cs="Calibri"/>
          <w:sz w:val="22"/>
          <w:szCs w:val="22"/>
          <w:lang w:val="nl-NL" w:eastAsia="zh-CN"/>
        </w:rPr>
        <w:t xml:space="preserve">zal </w:t>
      </w:r>
      <w:r w:rsidRPr="00BF7731" w:rsidR="00FA6195">
        <w:rPr>
          <w:rFonts w:ascii="Calibri" w:hAnsi="Calibri" w:cs="Calibri"/>
          <w:sz w:val="22"/>
          <w:szCs w:val="22"/>
          <w:lang w:val="nl-NL" w:eastAsia="zh-CN"/>
        </w:rPr>
        <w:t xml:space="preserve">daarom </w:t>
      </w:r>
      <w:r w:rsidRPr="00BF7731" w:rsidR="00417CBB">
        <w:rPr>
          <w:rFonts w:ascii="Calibri" w:hAnsi="Calibri" w:cs="Calibri"/>
          <w:sz w:val="22"/>
          <w:szCs w:val="22"/>
          <w:lang w:val="nl-NL" w:eastAsia="zh-CN"/>
        </w:rPr>
        <w:t xml:space="preserve">impact hebben op de </w:t>
      </w:r>
      <w:r w:rsidRPr="00BF7731" w:rsidR="008A3D7B">
        <w:rPr>
          <w:rFonts w:ascii="Calibri" w:hAnsi="Calibri" w:cs="Calibri"/>
          <w:sz w:val="22"/>
          <w:szCs w:val="22"/>
          <w:lang w:val="nl-NL" w:eastAsia="zh-CN"/>
        </w:rPr>
        <w:t>lasten voor de</w:t>
      </w:r>
      <w:r w:rsidRPr="00BF7731" w:rsidR="00417CBB">
        <w:rPr>
          <w:rFonts w:ascii="Calibri" w:hAnsi="Calibri" w:cs="Calibri"/>
          <w:sz w:val="22"/>
          <w:szCs w:val="22"/>
          <w:lang w:val="nl-NL" w:eastAsia="zh-CN"/>
        </w:rPr>
        <w:t xml:space="preserve"> toezichthouders, </w:t>
      </w:r>
      <w:r w:rsidRPr="00BF7731" w:rsidR="00513C84">
        <w:rPr>
          <w:rFonts w:ascii="Calibri" w:hAnsi="Calibri" w:cs="Calibri"/>
          <w:sz w:val="22"/>
          <w:szCs w:val="22"/>
          <w:lang w:val="nl-NL" w:eastAsia="zh-CN"/>
        </w:rPr>
        <w:t xml:space="preserve">aangezien </w:t>
      </w:r>
      <w:r w:rsidRPr="00BF7731" w:rsidR="00417CBB">
        <w:rPr>
          <w:rFonts w:ascii="Calibri" w:hAnsi="Calibri" w:cs="Calibri"/>
          <w:sz w:val="22"/>
          <w:szCs w:val="22"/>
          <w:lang w:val="nl-NL" w:eastAsia="zh-CN"/>
        </w:rPr>
        <w:t>een deel van de</w:t>
      </w:r>
      <w:r w:rsidRPr="00BF7731" w:rsidR="007330F4">
        <w:rPr>
          <w:rFonts w:ascii="Calibri" w:hAnsi="Calibri" w:cs="Calibri"/>
          <w:sz w:val="22"/>
          <w:szCs w:val="22"/>
          <w:lang w:val="nl-NL" w:eastAsia="zh-CN"/>
        </w:rPr>
        <w:t xml:space="preserve"> nu als</w:t>
      </w:r>
      <w:r w:rsidRPr="00BF7731" w:rsidR="00417CBB">
        <w:rPr>
          <w:rFonts w:ascii="Calibri" w:hAnsi="Calibri" w:cs="Calibri"/>
          <w:sz w:val="22"/>
          <w:szCs w:val="22"/>
          <w:lang w:val="nl-NL" w:eastAsia="zh-CN"/>
        </w:rPr>
        <w:t xml:space="preserve"> essenti</w:t>
      </w:r>
      <w:r w:rsidRPr="00BF7731" w:rsidR="007330F4">
        <w:rPr>
          <w:rFonts w:ascii="Calibri" w:hAnsi="Calibri" w:cs="Calibri"/>
          <w:sz w:val="22"/>
          <w:szCs w:val="22"/>
          <w:lang w:val="nl-NL" w:eastAsia="zh-CN"/>
        </w:rPr>
        <w:t>eel aangemerkte entiteiten straks als</w:t>
      </w:r>
      <w:r w:rsidRPr="00BF7731" w:rsidR="00417CBB">
        <w:rPr>
          <w:rFonts w:ascii="Calibri" w:hAnsi="Calibri" w:cs="Calibri"/>
          <w:sz w:val="22"/>
          <w:szCs w:val="22"/>
          <w:lang w:val="nl-NL" w:eastAsia="zh-CN"/>
        </w:rPr>
        <w:t xml:space="preserve"> belangrijke entiteiten worden aangemerkt en zij daarmee onder een ‘lichter’ toezichtregime vallen. </w:t>
      </w:r>
      <w:r w:rsidRPr="00BF7731" w:rsidR="00D91E9D">
        <w:rPr>
          <w:rFonts w:ascii="Calibri" w:hAnsi="Calibri" w:cs="Calibri"/>
          <w:sz w:val="22"/>
          <w:szCs w:val="22"/>
          <w:lang w:val="nl-NL" w:eastAsia="zh-CN"/>
        </w:rPr>
        <w:lastRenderedPageBreak/>
        <w:t xml:space="preserve">Het kabinet vraagt zich af </w:t>
      </w:r>
      <w:r w:rsidRPr="00BF7731" w:rsidR="00417CBB">
        <w:rPr>
          <w:rFonts w:ascii="Calibri" w:hAnsi="Calibri" w:cs="Calibri"/>
          <w:sz w:val="22"/>
          <w:szCs w:val="22"/>
          <w:lang w:val="nl-NL" w:eastAsia="zh-CN"/>
        </w:rPr>
        <w:t xml:space="preserve">wat </w:t>
      </w:r>
      <w:r w:rsidRPr="00BF7731" w:rsidR="006C7CDC">
        <w:rPr>
          <w:rFonts w:ascii="Calibri" w:hAnsi="Calibri" w:cs="Calibri"/>
          <w:sz w:val="22"/>
          <w:szCs w:val="22"/>
          <w:lang w:val="nl-NL" w:eastAsia="zh-CN"/>
        </w:rPr>
        <w:t>de lang</w:t>
      </w:r>
      <w:r w:rsidRPr="00BF7731" w:rsidR="00002917">
        <w:rPr>
          <w:rFonts w:ascii="Calibri" w:hAnsi="Calibri" w:cs="Calibri"/>
          <w:sz w:val="22"/>
          <w:szCs w:val="22"/>
          <w:lang w:val="nl-NL" w:eastAsia="zh-CN"/>
        </w:rPr>
        <w:t>e</w:t>
      </w:r>
      <w:r w:rsidRPr="00BF7731" w:rsidR="006C7CDC">
        <w:rPr>
          <w:rFonts w:ascii="Calibri" w:hAnsi="Calibri" w:cs="Calibri"/>
          <w:sz w:val="22"/>
          <w:szCs w:val="22"/>
          <w:lang w:val="nl-NL" w:eastAsia="zh-CN"/>
        </w:rPr>
        <w:t>termijneffecten</w:t>
      </w:r>
      <w:r w:rsidRPr="00BF7731" w:rsidR="00811D9F">
        <w:rPr>
          <w:rFonts w:ascii="Calibri" w:hAnsi="Calibri" w:cs="Calibri"/>
          <w:sz w:val="22"/>
          <w:szCs w:val="22"/>
          <w:lang w:val="nl-NL" w:eastAsia="zh-CN"/>
        </w:rPr>
        <w:t xml:space="preserve"> zijn</w:t>
      </w:r>
      <w:r w:rsidRPr="00BF7731" w:rsidR="006C7CDC">
        <w:rPr>
          <w:rFonts w:ascii="Calibri" w:hAnsi="Calibri" w:cs="Calibri"/>
          <w:sz w:val="22"/>
          <w:szCs w:val="22"/>
          <w:lang w:val="nl-NL" w:eastAsia="zh-CN"/>
        </w:rPr>
        <w:t xml:space="preserve">, specifiek </w:t>
      </w:r>
      <w:r w:rsidRPr="00BF7731" w:rsidR="00513C84">
        <w:rPr>
          <w:rFonts w:ascii="Calibri" w:hAnsi="Calibri" w:cs="Calibri"/>
          <w:sz w:val="22"/>
          <w:szCs w:val="22"/>
          <w:lang w:val="nl-NL" w:eastAsia="zh-CN"/>
        </w:rPr>
        <w:t xml:space="preserve">met het oog op </w:t>
      </w:r>
      <w:r w:rsidRPr="00BF7731" w:rsidR="00417CBB">
        <w:rPr>
          <w:rFonts w:ascii="Calibri" w:hAnsi="Calibri" w:cs="Calibri"/>
          <w:sz w:val="22"/>
          <w:szCs w:val="22"/>
          <w:lang w:val="nl-NL" w:eastAsia="zh-CN"/>
        </w:rPr>
        <w:t xml:space="preserve">de cyberweerbaarheid van Nederland en daarmee Europa, nu de toezichthouders – voor een grotere groep entiteiten – niet meer </w:t>
      </w:r>
      <w:r w:rsidRPr="00BF7731" w:rsidR="00417CBB">
        <w:rPr>
          <w:rFonts w:ascii="Calibri" w:hAnsi="Calibri" w:cs="Calibri"/>
          <w:i/>
          <w:iCs/>
          <w:sz w:val="22"/>
          <w:szCs w:val="22"/>
          <w:lang w:val="nl-NL" w:eastAsia="zh-CN"/>
        </w:rPr>
        <w:t xml:space="preserve">vooraf </w:t>
      </w:r>
      <w:r w:rsidRPr="00BF7731" w:rsidR="00417CBB">
        <w:rPr>
          <w:rFonts w:ascii="Calibri" w:hAnsi="Calibri" w:cs="Calibri"/>
          <w:sz w:val="22"/>
          <w:szCs w:val="22"/>
          <w:lang w:val="nl-NL" w:eastAsia="zh-CN"/>
        </w:rPr>
        <w:t>gaa</w:t>
      </w:r>
      <w:r w:rsidRPr="00BF7731" w:rsidR="002506D6">
        <w:rPr>
          <w:rFonts w:ascii="Calibri" w:hAnsi="Calibri" w:cs="Calibri"/>
          <w:sz w:val="22"/>
          <w:szCs w:val="22"/>
          <w:lang w:val="nl-NL" w:eastAsia="zh-CN"/>
        </w:rPr>
        <w:t>n</w:t>
      </w:r>
      <w:r w:rsidRPr="00BF7731" w:rsidR="00417CBB">
        <w:rPr>
          <w:rFonts w:ascii="Calibri" w:hAnsi="Calibri" w:cs="Calibri"/>
          <w:sz w:val="22"/>
          <w:szCs w:val="22"/>
          <w:lang w:val="nl-NL" w:eastAsia="zh-CN"/>
        </w:rPr>
        <w:t xml:space="preserve"> controleren maar </w:t>
      </w:r>
      <w:r w:rsidRPr="00BF7731" w:rsidR="00417CBB">
        <w:rPr>
          <w:rFonts w:ascii="Calibri" w:hAnsi="Calibri" w:cs="Calibri"/>
          <w:i/>
          <w:iCs/>
          <w:sz w:val="22"/>
          <w:szCs w:val="22"/>
          <w:lang w:val="nl-NL" w:eastAsia="zh-CN"/>
        </w:rPr>
        <w:t>achteraf</w:t>
      </w:r>
      <w:r w:rsidRPr="00BF7731" w:rsidR="00002917">
        <w:rPr>
          <w:rFonts w:ascii="Calibri" w:hAnsi="Calibri" w:cs="Calibri"/>
          <w:sz w:val="22"/>
          <w:szCs w:val="22"/>
          <w:lang w:val="nl-NL" w:eastAsia="zh-CN"/>
        </w:rPr>
        <w:t xml:space="preserve">, </w:t>
      </w:r>
      <w:r w:rsidRPr="00BF7731" w:rsidR="00811D9F">
        <w:rPr>
          <w:rFonts w:ascii="Calibri" w:hAnsi="Calibri" w:cs="Calibri"/>
          <w:sz w:val="22"/>
          <w:szCs w:val="22"/>
          <w:lang w:val="nl-NL" w:eastAsia="zh-CN"/>
        </w:rPr>
        <w:t>bij</w:t>
      </w:r>
      <w:r w:rsidRPr="00BF7731" w:rsidR="00002917">
        <w:rPr>
          <w:rFonts w:ascii="Calibri" w:hAnsi="Calibri" w:cs="Calibri"/>
          <w:sz w:val="22"/>
          <w:szCs w:val="22"/>
          <w:lang w:val="nl-NL" w:eastAsia="zh-CN"/>
        </w:rPr>
        <w:t xml:space="preserve"> signalen van niet-naleving van de verplichtingen onder de NIS2-richtlijn of nadat er al een incident heeft plaatsgevonden.</w:t>
      </w:r>
    </w:p>
    <w:bookmarkEnd w:id="5"/>
    <w:p w:rsidRPr="00BF7731" w:rsidR="00417CBB" w:rsidP="00BE34D3" w:rsidRDefault="00417CBB" w14:paraId="2B793022" w14:textId="77777777">
      <w:pPr>
        <w:pStyle w:val="Spreekpunten"/>
        <w:numPr>
          <w:ilvl w:val="0"/>
          <w:numId w:val="0"/>
        </w:numPr>
        <w:rPr>
          <w:rFonts w:ascii="Calibri" w:hAnsi="Calibri" w:cs="Calibri"/>
          <w:sz w:val="22"/>
          <w:szCs w:val="22"/>
          <w:lang w:val="nl-NL" w:eastAsia="zh-CN"/>
        </w:rPr>
      </w:pPr>
    </w:p>
    <w:p w:rsidRPr="00BF7731" w:rsidR="002D2C5F" w:rsidP="001F4766" w:rsidRDefault="00ED65D0" w14:paraId="72D4ACA0" w14:textId="6E83E2CF">
      <w:pPr>
        <w:pStyle w:val="Geenafstand"/>
        <w:spacing w:line="360" w:lineRule="auto"/>
        <w:rPr>
          <w:rFonts w:ascii="Calibri" w:hAnsi="Calibri" w:cs="Calibri"/>
          <w:szCs w:val="22"/>
        </w:rPr>
      </w:pPr>
      <w:r w:rsidRPr="00BF7731">
        <w:rPr>
          <w:rFonts w:ascii="Calibri" w:hAnsi="Calibri" w:cs="Calibri"/>
          <w:szCs w:val="22"/>
        </w:rPr>
        <w:t xml:space="preserve">Het kabinet merkt op dat het voorstel </w:t>
      </w:r>
      <w:r w:rsidRPr="00BF7731" w:rsidR="003038FA">
        <w:rPr>
          <w:rFonts w:ascii="Calibri" w:hAnsi="Calibri" w:cs="Calibri"/>
          <w:szCs w:val="22"/>
        </w:rPr>
        <w:t xml:space="preserve">lidstaten </w:t>
      </w:r>
      <w:r w:rsidRPr="00BF7731">
        <w:rPr>
          <w:rFonts w:ascii="Calibri" w:hAnsi="Calibri" w:cs="Calibri"/>
          <w:szCs w:val="22"/>
        </w:rPr>
        <w:t xml:space="preserve">de mogelijkheid biedt gebruik te maken van een verplichting voor </w:t>
      </w:r>
      <w:r w:rsidRPr="00BF7731" w:rsidR="00BE30DA">
        <w:rPr>
          <w:rFonts w:ascii="Calibri" w:hAnsi="Calibri" w:cs="Calibri"/>
          <w:szCs w:val="22"/>
        </w:rPr>
        <w:t xml:space="preserve">essentiële of belangrijke </w:t>
      </w:r>
      <w:r w:rsidRPr="00BF7731">
        <w:rPr>
          <w:rFonts w:ascii="Calibri" w:hAnsi="Calibri" w:cs="Calibri"/>
          <w:szCs w:val="22"/>
        </w:rPr>
        <w:t xml:space="preserve">entiteiten tot </w:t>
      </w:r>
      <w:proofErr w:type="spellStart"/>
      <w:r w:rsidRPr="00BF7731">
        <w:rPr>
          <w:rFonts w:ascii="Calibri" w:hAnsi="Calibri" w:cs="Calibri"/>
          <w:i/>
          <w:iCs/>
          <w:szCs w:val="22"/>
        </w:rPr>
        <w:t>cyberposture</w:t>
      </w:r>
      <w:proofErr w:type="spellEnd"/>
      <w:r w:rsidRPr="00BF7731">
        <w:rPr>
          <w:rFonts w:ascii="Calibri" w:hAnsi="Calibri" w:cs="Calibri"/>
          <w:szCs w:val="22"/>
        </w:rPr>
        <w:t xml:space="preserve"> certificering om daarmee </w:t>
      </w:r>
      <w:r w:rsidRPr="00BF7731" w:rsidR="00BE30DA">
        <w:rPr>
          <w:rFonts w:ascii="Calibri" w:hAnsi="Calibri" w:cs="Calibri"/>
          <w:szCs w:val="22"/>
        </w:rPr>
        <w:t xml:space="preserve">aan te tonen dat zij voldoen </w:t>
      </w:r>
      <w:r w:rsidRPr="00BF7731">
        <w:rPr>
          <w:rFonts w:ascii="Calibri" w:hAnsi="Calibri" w:cs="Calibri"/>
          <w:szCs w:val="22"/>
        </w:rPr>
        <w:t xml:space="preserve">aan de zorgplichtmaatregelen. </w:t>
      </w:r>
      <w:r w:rsidRPr="00BF7731" w:rsidR="00417CBB">
        <w:rPr>
          <w:rFonts w:ascii="Calibri" w:hAnsi="Calibri" w:cs="Calibri"/>
          <w:szCs w:val="22"/>
        </w:rPr>
        <w:t xml:space="preserve">Het kabinet </w:t>
      </w:r>
      <w:r w:rsidRPr="00BF7731" w:rsidR="004A48B5">
        <w:rPr>
          <w:rFonts w:ascii="Calibri" w:hAnsi="Calibri" w:cs="Calibri"/>
          <w:szCs w:val="22"/>
        </w:rPr>
        <w:t>staat positief tegenover het</w:t>
      </w:r>
      <w:r w:rsidRPr="00BF7731" w:rsidR="008B5BC2">
        <w:rPr>
          <w:rFonts w:ascii="Calibri" w:hAnsi="Calibri" w:cs="Calibri"/>
          <w:szCs w:val="22"/>
        </w:rPr>
        <w:t xml:space="preserve"> </w:t>
      </w:r>
      <w:r w:rsidRPr="00BF7731" w:rsidR="001F4766">
        <w:rPr>
          <w:rFonts w:ascii="Calibri" w:hAnsi="Calibri" w:cs="Calibri"/>
          <w:szCs w:val="22"/>
        </w:rPr>
        <w:t xml:space="preserve"> </w:t>
      </w:r>
      <w:r w:rsidRPr="00BF7731" w:rsidR="002B2CEC">
        <w:rPr>
          <w:rFonts w:ascii="Calibri" w:hAnsi="Calibri" w:cs="Calibri"/>
          <w:szCs w:val="22"/>
        </w:rPr>
        <w:t>voorstel</w:t>
      </w:r>
      <w:r w:rsidRPr="00BF7731" w:rsidR="008B5BC2">
        <w:rPr>
          <w:rFonts w:ascii="Calibri" w:hAnsi="Calibri" w:cs="Calibri"/>
          <w:szCs w:val="22"/>
        </w:rPr>
        <w:t xml:space="preserve"> om lidstaten die mogelijkheid te bieden</w:t>
      </w:r>
      <w:r w:rsidRPr="00BF7731" w:rsidR="002B2CEC">
        <w:rPr>
          <w:rFonts w:ascii="Calibri" w:hAnsi="Calibri" w:cs="Calibri"/>
          <w:szCs w:val="22"/>
        </w:rPr>
        <w:t xml:space="preserve">, </w:t>
      </w:r>
      <w:r w:rsidRPr="00BF7731" w:rsidR="001F4766">
        <w:rPr>
          <w:rFonts w:ascii="Calibri" w:hAnsi="Calibri" w:cs="Calibri"/>
          <w:szCs w:val="22"/>
        </w:rPr>
        <w:t xml:space="preserve">omdat het kan bijdragen aan </w:t>
      </w:r>
      <w:r w:rsidRPr="00BF7731" w:rsidR="00417CBB">
        <w:rPr>
          <w:rFonts w:ascii="Calibri" w:hAnsi="Calibri" w:cs="Calibri"/>
          <w:szCs w:val="22"/>
        </w:rPr>
        <w:t>een versterking van de interne markt en het vergroten van de uitvoerbaarheid van de NIS2-richtlijn</w:t>
      </w:r>
      <w:r w:rsidRPr="00BF7731" w:rsidR="00544C1C">
        <w:rPr>
          <w:rFonts w:ascii="Calibri" w:hAnsi="Calibri" w:cs="Calibri"/>
          <w:szCs w:val="22"/>
        </w:rPr>
        <w:t xml:space="preserve"> </w:t>
      </w:r>
      <w:r w:rsidRPr="00BF7731">
        <w:rPr>
          <w:rFonts w:ascii="Calibri" w:hAnsi="Calibri" w:cs="Calibri"/>
          <w:szCs w:val="22"/>
        </w:rPr>
        <w:t>voor entiteiten</w:t>
      </w:r>
      <w:r w:rsidRPr="00BF7731" w:rsidR="002B2CEC">
        <w:rPr>
          <w:rFonts w:ascii="Calibri" w:hAnsi="Calibri" w:cs="Calibri"/>
          <w:szCs w:val="22"/>
        </w:rPr>
        <w:t xml:space="preserve"> die in meer dan één lidstaat hun diensten verlenen</w:t>
      </w:r>
      <w:r w:rsidRPr="00BF7731" w:rsidR="00417CBB">
        <w:rPr>
          <w:rFonts w:ascii="Calibri" w:hAnsi="Calibri" w:cs="Calibri"/>
          <w:szCs w:val="22"/>
        </w:rPr>
        <w:t>.</w:t>
      </w:r>
      <w:r w:rsidRPr="00BF7731" w:rsidR="001F4766">
        <w:rPr>
          <w:rFonts w:ascii="Calibri" w:hAnsi="Calibri" w:cs="Calibri"/>
          <w:szCs w:val="22"/>
        </w:rPr>
        <w:t xml:space="preserve"> </w:t>
      </w:r>
      <w:r w:rsidRPr="00BF7731" w:rsidR="002D2C5F">
        <w:rPr>
          <w:rFonts w:ascii="Calibri" w:hAnsi="Calibri" w:cs="Calibri"/>
          <w:szCs w:val="22"/>
        </w:rPr>
        <w:t xml:space="preserve">Het kabinet vraagt de Commissie </w:t>
      </w:r>
      <w:r w:rsidRPr="00BF7731" w:rsidR="00140570">
        <w:rPr>
          <w:rFonts w:ascii="Calibri" w:hAnsi="Calibri" w:cs="Calibri"/>
          <w:szCs w:val="22"/>
        </w:rPr>
        <w:t xml:space="preserve">wel </w:t>
      </w:r>
      <w:r w:rsidRPr="00BF7731" w:rsidR="002D2C5F">
        <w:rPr>
          <w:rFonts w:ascii="Calibri" w:hAnsi="Calibri" w:cs="Calibri"/>
          <w:szCs w:val="22"/>
        </w:rPr>
        <w:t>om nadere uitleg</w:t>
      </w:r>
      <w:r w:rsidRPr="00BF7731" w:rsidR="00140570">
        <w:rPr>
          <w:rFonts w:ascii="Calibri" w:hAnsi="Calibri" w:cs="Calibri"/>
          <w:szCs w:val="22"/>
        </w:rPr>
        <w:t xml:space="preserve"> over</w:t>
      </w:r>
      <w:r w:rsidRPr="00BF7731" w:rsidR="002D2C5F">
        <w:rPr>
          <w:rFonts w:ascii="Calibri" w:hAnsi="Calibri" w:cs="Calibri"/>
          <w:szCs w:val="22"/>
        </w:rPr>
        <w:t xml:space="preserve"> hoe de </w:t>
      </w:r>
      <w:r w:rsidRPr="00BF7731" w:rsidR="00C02BAE">
        <w:rPr>
          <w:rFonts w:ascii="Calibri" w:hAnsi="Calibri" w:cs="Calibri"/>
          <w:szCs w:val="22"/>
        </w:rPr>
        <w:t xml:space="preserve">inhoudelijke beoordeling van de </w:t>
      </w:r>
      <w:proofErr w:type="spellStart"/>
      <w:r w:rsidRPr="00BF7731" w:rsidR="00C02BAE">
        <w:rPr>
          <w:rFonts w:ascii="Calibri" w:hAnsi="Calibri" w:cs="Calibri"/>
          <w:i/>
          <w:iCs/>
          <w:szCs w:val="22"/>
        </w:rPr>
        <w:t>cyberposture</w:t>
      </w:r>
      <w:proofErr w:type="spellEnd"/>
      <w:r w:rsidRPr="00BF7731" w:rsidR="00C02BAE">
        <w:rPr>
          <w:rFonts w:ascii="Calibri" w:hAnsi="Calibri" w:cs="Calibri"/>
          <w:szCs w:val="22"/>
        </w:rPr>
        <w:t xml:space="preserve"> certificering eruit zal zien</w:t>
      </w:r>
      <w:r w:rsidRPr="00BF7731" w:rsidR="002B2CEC">
        <w:rPr>
          <w:rFonts w:ascii="Calibri" w:hAnsi="Calibri" w:cs="Calibri"/>
          <w:szCs w:val="22"/>
        </w:rPr>
        <w:t xml:space="preserve">, </w:t>
      </w:r>
      <w:r w:rsidRPr="00BF7731" w:rsidR="00C02BAE">
        <w:rPr>
          <w:rFonts w:ascii="Calibri" w:hAnsi="Calibri" w:cs="Calibri"/>
          <w:szCs w:val="22"/>
        </w:rPr>
        <w:t xml:space="preserve">hoe de </w:t>
      </w:r>
      <w:r w:rsidRPr="00BF7731" w:rsidR="002D2C5F">
        <w:rPr>
          <w:rFonts w:ascii="Calibri" w:hAnsi="Calibri" w:cs="Calibri"/>
          <w:szCs w:val="22"/>
        </w:rPr>
        <w:t xml:space="preserve">gebruikmaking van deze certificering </w:t>
      </w:r>
      <w:r w:rsidRPr="00BF7731" w:rsidR="002B2CEC">
        <w:rPr>
          <w:rFonts w:ascii="Calibri" w:hAnsi="Calibri" w:cs="Calibri"/>
          <w:szCs w:val="22"/>
        </w:rPr>
        <w:t xml:space="preserve">als vereiste </w:t>
      </w:r>
      <w:r w:rsidRPr="00BF7731" w:rsidR="002D2C5F">
        <w:rPr>
          <w:rFonts w:ascii="Calibri" w:hAnsi="Calibri" w:cs="Calibri"/>
          <w:szCs w:val="22"/>
        </w:rPr>
        <w:t>in de praktijk zal werken</w:t>
      </w:r>
      <w:r w:rsidRPr="00BF7731">
        <w:rPr>
          <w:rFonts w:ascii="Calibri" w:hAnsi="Calibri" w:cs="Calibri"/>
          <w:szCs w:val="22"/>
        </w:rPr>
        <w:t xml:space="preserve">, met name </w:t>
      </w:r>
      <w:r w:rsidRPr="00BF7731" w:rsidR="002B2CEC">
        <w:rPr>
          <w:rFonts w:ascii="Calibri" w:hAnsi="Calibri" w:cs="Calibri"/>
          <w:szCs w:val="22"/>
        </w:rPr>
        <w:t>ook in relatie tot</w:t>
      </w:r>
      <w:r w:rsidRPr="00BF7731">
        <w:rPr>
          <w:rFonts w:ascii="Calibri" w:hAnsi="Calibri" w:cs="Calibri"/>
          <w:szCs w:val="22"/>
        </w:rPr>
        <w:t xml:space="preserve"> het toezich</w:t>
      </w:r>
      <w:r w:rsidRPr="00BF7731" w:rsidR="001F4766">
        <w:rPr>
          <w:rFonts w:ascii="Calibri" w:hAnsi="Calibri" w:cs="Calibri"/>
          <w:szCs w:val="22"/>
        </w:rPr>
        <w:t>t</w:t>
      </w:r>
      <w:r w:rsidRPr="00BF7731" w:rsidR="00140570">
        <w:rPr>
          <w:rFonts w:ascii="Calibri" w:hAnsi="Calibri" w:cs="Calibri"/>
          <w:szCs w:val="22"/>
        </w:rPr>
        <w:t>,</w:t>
      </w:r>
      <w:r w:rsidRPr="00BF7731" w:rsidR="001F4766">
        <w:rPr>
          <w:rFonts w:ascii="Calibri" w:hAnsi="Calibri" w:cs="Calibri"/>
          <w:szCs w:val="22"/>
        </w:rPr>
        <w:t xml:space="preserve"> en hoe deze c</w:t>
      </w:r>
      <w:r w:rsidRPr="00BF7731" w:rsidR="00C02BAE">
        <w:rPr>
          <w:rFonts w:ascii="Calibri" w:hAnsi="Calibri" w:cs="Calibri"/>
          <w:szCs w:val="22"/>
        </w:rPr>
        <w:t>ertificering zich verhoudt tot het voorgestelde certificeringsraamwerk in de CSA2</w:t>
      </w:r>
      <w:r w:rsidRPr="00BF7731" w:rsidR="00DC47A2">
        <w:rPr>
          <w:rFonts w:ascii="Calibri" w:hAnsi="Calibri" w:cs="Calibri"/>
          <w:szCs w:val="22"/>
        </w:rPr>
        <w:t>.</w:t>
      </w:r>
    </w:p>
    <w:p w:rsidRPr="00BF7731" w:rsidR="005E1393" w:rsidP="00074A15" w:rsidRDefault="005E1393" w14:paraId="07C3AF02" w14:textId="77777777">
      <w:pPr>
        <w:pStyle w:val="Geenafstand"/>
        <w:spacing w:line="360" w:lineRule="auto"/>
        <w:rPr>
          <w:rFonts w:ascii="Calibri" w:hAnsi="Calibri" w:cs="Calibri"/>
          <w:szCs w:val="22"/>
        </w:rPr>
      </w:pPr>
    </w:p>
    <w:p w:rsidRPr="00BF7731" w:rsidR="004414D3" w:rsidP="001F4766" w:rsidRDefault="001F4766" w14:paraId="6402345A" w14:textId="121CE025">
      <w:pPr>
        <w:pStyle w:val="Geenafstand"/>
        <w:spacing w:line="360" w:lineRule="auto"/>
        <w:rPr>
          <w:rFonts w:ascii="Calibri" w:hAnsi="Calibri" w:cs="Calibri"/>
          <w:bCs/>
          <w:szCs w:val="22"/>
        </w:rPr>
      </w:pPr>
      <w:r w:rsidRPr="00BF7731">
        <w:rPr>
          <w:rFonts w:ascii="Calibri" w:hAnsi="Calibri" w:cs="Calibri"/>
          <w:szCs w:val="22"/>
        </w:rPr>
        <w:t xml:space="preserve">Het kabinet benadrukt dat certificering toezicht niet mag vervangen en niet mag leiden tot </w:t>
      </w:r>
      <w:r w:rsidRPr="00BF7731" w:rsidR="002B2CEC">
        <w:rPr>
          <w:rFonts w:ascii="Calibri" w:hAnsi="Calibri" w:cs="Calibri"/>
          <w:szCs w:val="22"/>
        </w:rPr>
        <w:t xml:space="preserve">het automatisch voldoen aan de zorgplicht, bedoeld in </w:t>
      </w:r>
      <w:r w:rsidRPr="00BF7731">
        <w:rPr>
          <w:rFonts w:ascii="Calibri" w:hAnsi="Calibri" w:cs="Calibri"/>
          <w:szCs w:val="22"/>
        </w:rPr>
        <w:t xml:space="preserve">de NIS2-richtlijn. </w:t>
      </w:r>
      <w:r w:rsidRPr="00BF7731" w:rsidR="005E1393">
        <w:rPr>
          <w:rFonts w:ascii="Calibri" w:hAnsi="Calibri" w:cs="Calibri"/>
          <w:bCs/>
          <w:szCs w:val="22"/>
        </w:rPr>
        <w:t xml:space="preserve">Het kabinet is </w:t>
      </w:r>
      <w:r w:rsidRPr="00BF7731">
        <w:rPr>
          <w:rFonts w:ascii="Calibri" w:hAnsi="Calibri" w:cs="Calibri"/>
          <w:bCs/>
          <w:szCs w:val="22"/>
        </w:rPr>
        <w:t xml:space="preserve">daarom </w:t>
      </w:r>
      <w:r w:rsidRPr="00BF7731" w:rsidR="005E1393">
        <w:rPr>
          <w:rFonts w:ascii="Calibri" w:hAnsi="Calibri" w:cs="Calibri"/>
          <w:bCs/>
          <w:szCs w:val="22"/>
        </w:rPr>
        <w:t>kritischer op het voorstel om de auditbevoegdheden van een toezichthouder te beperken. Hoewel er oog is voor de lasten van toezichthandelingen, zowel aan de kant van de toezichthouder als aan de kant van de onder</w:t>
      </w:r>
      <w:r w:rsidRPr="00BF7731" w:rsidR="00C02BAE">
        <w:rPr>
          <w:rFonts w:ascii="Calibri" w:hAnsi="Calibri" w:cs="Calibri"/>
          <w:bCs/>
          <w:szCs w:val="22"/>
        </w:rPr>
        <w:t xml:space="preserve"> </w:t>
      </w:r>
      <w:r w:rsidRPr="00BF7731" w:rsidR="005E1393">
        <w:rPr>
          <w:rFonts w:ascii="Calibri" w:hAnsi="Calibri" w:cs="Calibri"/>
          <w:bCs/>
          <w:szCs w:val="22"/>
        </w:rPr>
        <w:t>toezicht</w:t>
      </w:r>
      <w:r w:rsidRPr="00BF7731" w:rsidR="00C02BAE">
        <w:rPr>
          <w:rFonts w:ascii="Calibri" w:hAnsi="Calibri" w:cs="Calibri"/>
          <w:bCs/>
          <w:szCs w:val="22"/>
        </w:rPr>
        <w:t xml:space="preserve"> gestelde entiteit</w:t>
      </w:r>
      <w:r w:rsidRPr="00BF7731" w:rsidR="005E1393">
        <w:rPr>
          <w:rFonts w:ascii="Calibri" w:hAnsi="Calibri" w:cs="Calibri"/>
          <w:bCs/>
          <w:szCs w:val="22"/>
        </w:rPr>
        <w:t xml:space="preserve">, is de ervaring dat certificering niet </w:t>
      </w:r>
      <w:r w:rsidRPr="00BF7731" w:rsidR="00C02BAE">
        <w:rPr>
          <w:rFonts w:ascii="Calibri" w:hAnsi="Calibri" w:cs="Calibri"/>
          <w:bCs/>
          <w:szCs w:val="22"/>
        </w:rPr>
        <w:t>v</w:t>
      </w:r>
      <w:r w:rsidRPr="00BF7731" w:rsidR="005E1393">
        <w:rPr>
          <w:rFonts w:ascii="Calibri" w:hAnsi="Calibri" w:cs="Calibri"/>
          <w:bCs/>
          <w:szCs w:val="22"/>
        </w:rPr>
        <w:t xml:space="preserve">oor alle </w:t>
      </w:r>
      <w:r w:rsidRPr="00BF7731" w:rsidR="00C02BAE">
        <w:rPr>
          <w:rFonts w:ascii="Calibri" w:hAnsi="Calibri" w:cs="Calibri"/>
          <w:bCs/>
          <w:szCs w:val="22"/>
        </w:rPr>
        <w:t>entiteiten</w:t>
      </w:r>
      <w:r w:rsidRPr="00BF7731" w:rsidR="005E1393">
        <w:rPr>
          <w:rFonts w:ascii="Calibri" w:hAnsi="Calibri" w:cs="Calibri"/>
          <w:bCs/>
          <w:szCs w:val="22"/>
        </w:rPr>
        <w:t xml:space="preserve"> </w:t>
      </w:r>
      <w:r w:rsidRPr="00BF7731" w:rsidR="00C02BAE">
        <w:rPr>
          <w:rFonts w:ascii="Calibri" w:hAnsi="Calibri" w:cs="Calibri"/>
          <w:bCs/>
          <w:szCs w:val="22"/>
        </w:rPr>
        <w:t xml:space="preserve">als </w:t>
      </w:r>
      <w:r w:rsidRPr="00BF7731" w:rsidR="005E1393">
        <w:rPr>
          <w:rFonts w:ascii="Calibri" w:hAnsi="Calibri" w:cs="Calibri"/>
          <w:bCs/>
          <w:szCs w:val="22"/>
        </w:rPr>
        <w:t>een gelijkwaardige vervanging van een audit door een toezichthouder</w:t>
      </w:r>
      <w:r w:rsidRPr="00BF7731" w:rsidR="00C02BAE">
        <w:rPr>
          <w:rFonts w:ascii="Calibri" w:hAnsi="Calibri" w:cs="Calibri"/>
          <w:bCs/>
          <w:szCs w:val="22"/>
        </w:rPr>
        <w:t xml:space="preserve"> kan worden gezien</w:t>
      </w:r>
      <w:r w:rsidRPr="00BF7731" w:rsidR="005E1393">
        <w:rPr>
          <w:rFonts w:ascii="Calibri" w:hAnsi="Calibri" w:cs="Calibri"/>
          <w:bCs/>
          <w:szCs w:val="22"/>
        </w:rPr>
        <w:t xml:space="preserve">. Ook komt het vaker voor dat het certificaat slechts op een beperkt aantal elementen van netwerk- en informatiesystemen ziet. Het kabinet heeft daarom bedenkingen bij het beperken van de auditbevoegdheid van de toezichthouder ingeval van gecertificeerde entiteiten. </w:t>
      </w:r>
      <w:r w:rsidRPr="00BF7731" w:rsidR="004414D3">
        <w:rPr>
          <w:rFonts w:ascii="Calibri" w:hAnsi="Calibri" w:cs="Calibri"/>
          <w:bCs/>
          <w:szCs w:val="22"/>
        </w:rPr>
        <w:t xml:space="preserve">Bovendien merkt het kabinet op dat voor belangrijke entiteiten de auditbevoegdheid </w:t>
      </w:r>
      <w:r w:rsidRPr="00BF7731" w:rsidR="002B2CEC">
        <w:rPr>
          <w:rFonts w:ascii="Calibri" w:hAnsi="Calibri" w:cs="Calibri"/>
          <w:bCs/>
          <w:szCs w:val="22"/>
        </w:rPr>
        <w:t xml:space="preserve">in die gevallen </w:t>
      </w:r>
      <w:r w:rsidRPr="00BF7731" w:rsidR="004414D3">
        <w:rPr>
          <w:rFonts w:ascii="Calibri" w:hAnsi="Calibri" w:cs="Calibri"/>
          <w:bCs/>
          <w:szCs w:val="22"/>
        </w:rPr>
        <w:t xml:space="preserve">volledig </w:t>
      </w:r>
      <w:r w:rsidRPr="00BF7731" w:rsidR="002B2CEC">
        <w:rPr>
          <w:rFonts w:ascii="Calibri" w:hAnsi="Calibri" w:cs="Calibri"/>
          <w:bCs/>
          <w:szCs w:val="22"/>
        </w:rPr>
        <w:t xml:space="preserve">zou </w:t>
      </w:r>
      <w:r w:rsidRPr="00BF7731" w:rsidR="004414D3">
        <w:rPr>
          <w:rFonts w:ascii="Calibri" w:hAnsi="Calibri" w:cs="Calibri"/>
          <w:bCs/>
          <w:szCs w:val="22"/>
        </w:rPr>
        <w:t>kom</w:t>
      </w:r>
      <w:r w:rsidRPr="00BF7731" w:rsidR="002B2CEC">
        <w:rPr>
          <w:rFonts w:ascii="Calibri" w:hAnsi="Calibri" w:cs="Calibri"/>
          <w:bCs/>
          <w:szCs w:val="22"/>
        </w:rPr>
        <w:t xml:space="preserve">en </w:t>
      </w:r>
      <w:r w:rsidRPr="00BF7731" w:rsidR="004414D3">
        <w:rPr>
          <w:rFonts w:ascii="Calibri" w:hAnsi="Calibri" w:cs="Calibri"/>
          <w:bCs/>
          <w:szCs w:val="22"/>
        </w:rPr>
        <w:t>te vervallen, terwijl de ad-hoc audits voor essentiële entiteiten wel mogelijk blijven.</w:t>
      </w:r>
    </w:p>
    <w:p w:rsidRPr="00BF7731" w:rsidR="001F4766" w:rsidP="001F4766" w:rsidRDefault="00417CBB" w14:paraId="3816900C" w14:textId="0719CD51">
      <w:pPr>
        <w:pStyle w:val="Geenafstand"/>
        <w:spacing w:line="360" w:lineRule="auto"/>
        <w:rPr>
          <w:rFonts w:ascii="Calibri" w:hAnsi="Calibri" w:cs="Calibri"/>
          <w:szCs w:val="22"/>
        </w:rPr>
      </w:pPr>
      <w:r w:rsidRPr="00BF7731">
        <w:rPr>
          <w:rFonts w:ascii="Calibri" w:hAnsi="Calibri" w:cs="Calibri"/>
          <w:szCs w:val="22"/>
        </w:rPr>
        <w:t xml:space="preserve">Ook benadrukt het kabinet dat entiteiten de ruimte </w:t>
      </w:r>
      <w:r w:rsidRPr="00BF7731" w:rsidR="00EE12D5">
        <w:rPr>
          <w:rFonts w:ascii="Calibri" w:hAnsi="Calibri" w:cs="Calibri"/>
          <w:szCs w:val="22"/>
        </w:rPr>
        <w:t xml:space="preserve">moeten blijven </w:t>
      </w:r>
      <w:r w:rsidRPr="00BF7731">
        <w:rPr>
          <w:rFonts w:ascii="Calibri" w:hAnsi="Calibri" w:cs="Calibri"/>
          <w:szCs w:val="22"/>
        </w:rPr>
        <w:t xml:space="preserve">houden om </w:t>
      </w:r>
      <w:r w:rsidRPr="00BF7731" w:rsidR="00EE12D5">
        <w:rPr>
          <w:rFonts w:ascii="Calibri" w:hAnsi="Calibri" w:cs="Calibri"/>
          <w:szCs w:val="22"/>
        </w:rPr>
        <w:t xml:space="preserve">andere </w:t>
      </w:r>
      <w:r w:rsidRPr="00BF7731" w:rsidR="001A5B1E">
        <w:rPr>
          <w:rFonts w:ascii="Calibri" w:hAnsi="Calibri" w:cs="Calibri"/>
          <w:szCs w:val="22"/>
        </w:rPr>
        <w:t xml:space="preserve">(nationale en internationale) </w:t>
      </w:r>
      <w:r w:rsidRPr="00BF7731">
        <w:rPr>
          <w:rFonts w:ascii="Calibri" w:hAnsi="Calibri" w:cs="Calibri"/>
          <w:szCs w:val="22"/>
        </w:rPr>
        <w:t>normenkaders die zij reeds hanteren te behouden</w:t>
      </w:r>
      <w:r w:rsidRPr="00BF7731" w:rsidR="00EE12D5">
        <w:rPr>
          <w:rFonts w:ascii="Calibri" w:hAnsi="Calibri" w:cs="Calibri"/>
          <w:szCs w:val="22"/>
        </w:rPr>
        <w:t xml:space="preserve"> om daarmee aantoonbaar aan de zorgplicht te voldoen</w:t>
      </w:r>
      <w:r w:rsidRPr="00BF7731">
        <w:rPr>
          <w:rFonts w:ascii="Calibri" w:hAnsi="Calibri" w:cs="Calibri"/>
          <w:szCs w:val="22"/>
        </w:rPr>
        <w:t>. Dit ook in het kader van lastenvermindering voor die entiteiten die,</w:t>
      </w:r>
      <w:r w:rsidRPr="00BF7731" w:rsidR="005E1393">
        <w:rPr>
          <w:rFonts w:ascii="Calibri" w:hAnsi="Calibri" w:cs="Calibri"/>
          <w:szCs w:val="22"/>
        </w:rPr>
        <w:t xml:space="preserve"> zoals bijvoorbeeld binnen de sectoren waarin veel gebruik wordt gemaakt van Operationele Technologie (OT), </w:t>
      </w:r>
      <w:r w:rsidRPr="00BF7731">
        <w:rPr>
          <w:rFonts w:ascii="Calibri" w:hAnsi="Calibri" w:cs="Calibri"/>
          <w:szCs w:val="22"/>
        </w:rPr>
        <w:t>hun eigen normenkader hanteren</w:t>
      </w:r>
      <w:r w:rsidRPr="00BF7731" w:rsidR="00F12BA4">
        <w:rPr>
          <w:rFonts w:ascii="Calibri" w:hAnsi="Calibri" w:cs="Calibri"/>
          <w:szCs w:val="22"/>
        </w:rPr>
        <w:t xml:space="preserve">. </w:t>
      </w:r>
    </w:p>
    <w:p w:rsidRPr="00BF7731" w:rsidR="001F4766" w:rsidRDefault="001F4766" w14:paraId="6D267C61" w14:textId="77777777">
      <w:pPr>
        <w:pStyle w:val="Geenafstand"/>
        <w:spacing w:line="360" w:lineRule="auto"/>
        <w:rPr>
          <w:rFonts w:ascii="Calibri" w:hAnsi="Calibri" w:cs="Calibri"/>
          <w:szCs w:val="22"/>
        </w:rPr>
      </w:pPr>
    </w:p>
    <w:p w:rsidRPr="00BF7731" w:rsidR="00417CBB" w:rsidP="00074A15" w:rsidRDefault="001F4766" w14:paraId="5CF36527" w14:textId="0C5D019E">
      <w:pPr>
        <w:pStyle w:val="Geenafstand"/>
        <w:spacing w:line="360" w:lineRule="auto"/>
        <w:rPr>
          <w:rFonts w:ascii="Calibri" w:hAnsi="Calibri" w:cs="Calibri"/>
          <w:szCs w:val="22"/>
        </w:rPr>
      </w:pPr>
      <w:r w:rsidRPr="00BF7731">
        <w:rPr>
          <w:rFonts w:ascii="Calibri" w:hAnsi="Calibri" w:cs="Calibri"/>
          <w:szCs w:val="22"/>
        </w:rPr>
        <w:lastRenderedPageBreak/>
        <w:t>Tot</w:t>
      </w:r>
      <w:r w:rsidRPr="00BF7731" w:rsidR="00C02BAE">
        <w:rPr>
          <w:rFonts w:ascii="Calibri" w:hAnsi="Calibri" w:cs="Calibri"/>
          <w:iCs/>
          <w:szCs w:val="22"/>
        </w:rPr>
        <w:t xml:space="preserve"> slot</w:t>
      </w:r>
      <w:r w:rsidRPr="00BF7731" w:rsidR="00DF1891">
        <w:rPr>
          <w:rFonts w:ascii="Calibri" w:hAnsi="Calibri" w:cs="Calibri"/>
          <w:iCs/>
          <w:szCs w:val="22"/>
        </w:rPr>
        <w:t xml:space="preserve"> benadrukt het kabinet dat Europese cybersecuritycertificering onder de CSA niet kan worden gelijkgesteld aan, noch in de plaats kan treden van, de specifieke </w:t>
      </w:r>
      <w:proofErr w:type="spellStart"/>
      <w:r w:rsidRPr="00BF7731" w:rsidR="00DF1891">
        <w:rPr>
          <w:rFonts w:ascii="Calibri" w:hAnsi="Calibri" w:cs="Calibri"/>
          <w:i/>
          <w:szCs w:val="22"/>
        </w:rPr>
        <w:t>assurance</w:t>
      </w:r>
      <w:proofErr w:type="spellEnd"/>
      <w:r w:rsidRPr="00BF7731" w:rsidR="00DF1891">
        <w:rPr>
          <w:rFonts w:ascii="Calibri" w:hAnsi="Calibri" w:cs="Calibri"/>
          <w:iCs/>
          <w:szCs w:val="22"/>
        </w:rPr>
        <w:t xml:space="preserve">-, toezicht- en notificatievereisten die gelden onder </w:t>
      </w:r>
      <w:proofErr w:type="spellStart"/>
      <w:r w:rsidRPr="00BF7731" w:rsidR="00DF1891">
        <w:rPr>
          <w:rFonts w:ascii="Calibri" w:hAnsi="Calibri" w:cs="Calibri"/>
          <w:iCs/>
          <w:szCs w:val="22"/>
        </w:rPr>
        <w:t>eIDAS</w:t>
      </w:r>
      <w:proofErr w:type="spellEnd"/>
      <w:r w:rsidRPr="00BF7731" w:rsidR="00DF1891">
        <w:rPr>
          <w:rFonts w:ascii="Calibri" w:hAnsi="Calibri" w:cs="Calibri"/>
          <w:iCs/>
          <w:szCs w:val="22"/>
        </w:rPr>
        <w:t xml:space="preserve"> voor elektronische identificatiemiddelen, vertrouwensdiensten en EUDI-</w:t>
      </w:r>
      <w:proofErr w:type="spellStart"/>
      <w:r w:rsidRPr="00BF7731" w:rsidR="00DF1891">
        <w:rPr>
          <w:rFonts w:ascii="Calibri" w:hAnsi="Calibri" w:cs="Calibri"/>
          <w:i/>
          <w:szCs w:val="22"/>
        </w:rPr>
        <w:t>wallets</w:t>
      </w:r>
      <w:proofErr w:type="spellEnd"/>
      <w:r w:rsidRPr="00BF7731" w:rsidR="00DF1891">
        <w:rPr>
          <w:rFonts w:ascii="Calibri" w:hAnsi="Calibri" w:cs="Calibri"/>
          <w:iCs/>
          <w:szCs w:val="22"/>
        </w:rPr>
        <w:t>.</w:t>
      </w:r>
    </w:p>
    <w:p w:rsidRPr="00BF7731" w:rsidR="00A819A1" w:rsidP="005B617F" w:rsidRDefault="00A819A1" w14:paraId="248E67D4" w14:textId="77777777">
      <w:pPr>
        <w:pStyle w:val="Spreekpunten"/>
        <w:numPr>
          <w:ilvl w:val="0"/>
          <w:numId w:val="0"/>
        </w:numPr>
        <w:rPr>
          <w:rFonts w:ascii="Calibri" w:hAnsi="Calibri" w:cs="Calibri"/>
          <w:i/>
          <w:iCs/>
          <w:sz w:val="22"/>
          <w:szCs w:val="22"/>
          <w:lang w:val="nl-NL" w:eastAsia="zh-CN"/>
        </w:rPr>
      </w:pPr>
    </w:p>
    <w:p w:rsidRPr="00BF7731" w:rsidR="005B617F" w:rsidP="005B617F" w:rsidRDefault="004B47DD" w14:paraId="2C5CED04" w14:textId="06D13FEF">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w:t>
      </w:r>
      <w:r w:rsidRPr="00BF7731" w:rsidR="00C23E3F">
        <w:rPr>
          <w:rFonts w:ascii="Calibri" w:hAnsi="Calibri" w:cs="Calibri"/>
          <w:sz w:val="22"/>
          <w:szCs w:val="22"/>
          <w:lang w:val="nl-NL" w:eastAsia="zh-CN"/>
        </w:rPr>
        <w:t>kijk</w:t>
      </w:r>
      <w:r w:rsidRPr="00BF7731" w:rsidR="007760AC">
        <w:rPr>
          <w:rFonts w:ascii="Calibri" w:hAnsi="Calibri" w:cs="Calibri"/>
          <w:sz w:val="22"/>
          <w:szCs w:val="22"/>
          <w:lang w:val="nl-NL" w:eastAsia="zh-CN"/>
        </w:rPr>
        <w:t>t</w:t>
      </w:r>
      <w:r w:rsidRPr="00BF7731" w:rsidR="00C23E3F">
        <w:rPr>
          <w:rFonts w:ascii="Calibri" w:hAnsi="Calibri" w:cs="Calibri"/>
          <w:sz w:val="22"/>
          <w:szCs w:val="22"/>
          <w:lang w:val="nl-NL" w:eastAsia="zh-CN"/>
        </w:rPr>
        <w:t xml:space="preserve"> positief naar de</w:t>
      </w:r>
      <w:r w:rsidRPr="00BF7731">
        <w:rPr>
          <w:rFonts w:ascii="Calibri" w:hAnsi="Calibri" w:cs="Calibri"/>
          <w:sz w:val="22"/>
          <w:szCs w:val="22"/>
          <w:lang w:val="nl-NL" w:eastAsia="zh-CN"/>
        </w:rPr>
        <w:t xml:space="preserve"> rol die de Commissie wil pakken voor het ontwikkelen van </w:t>
      </w:r>
      <w:proofErr w:type="spellStart"/>
      <w:r w:rsidRPr="00BF7731">
        <w:rPr>
          <w:rFonts w:ascii="Calibri" w:hAnsi="Calibri" w:cs="Calibri"/>
          <w:i/>
          <w:iCs/>
          <w:sz w:val="22"/>
          <w:szCs w:val="22"/>
          <w:lang w:val="nl-NL" w:eastAsia="zh-CN"/>
        </w:rPr>
        <w:t>guidelines</w:t>
      </w:r>
      <w:proofErr w:type="spellEnd"/>
      <w:r w:rsidRPr="00BF7731">
        <w:rPr>
          <w:rFonts w:ascii="Calibri" w:hAnsi="Calibri" w:cs="Calibri"/>
          <w:sz w:val="22"/>
          <w:szCs w:val="22"/>
          <w:lang w:val="nl-NL" w:eastAsia="zh-CN"/>
        </w:rPr>
        <w:t xml:space="preserve"> </w:t>
      </w:r>
      <w:r w:rsidRPr="00BF7731" w:rsidR="005D7717">
        <w:rPr>
          <w:rFonts w:ascii="Calibri" w:hAnsi="Calibri" w:cs="Calibri"/>
          <w:sz w:val="22"/>
          <w:szCs w:val="22"/>
          <w:lang w:val="nl-NL" w:eastAsia="zh-CN"/>
        </w:rPr>
        <w:t xml:space="preserve">voor het vergemakkelijken van de uitvoeringspraktijk ten aanzien </w:t>
      </w:r>
      <w:r w:rsidRPr="00BF7731" w:rsidR="00DC47A2">
        <w:rPr>
          <w:rFonts w:ascii="Calibri" w:hAnsi="Calibri" w:cs="Calibri"/>
          <w:sz w:val="22"/>
          <w:szCs w:val="22"/>
          <w:lang w:val="nl-NL" w:eastAsia="zh-CN"/>
        </w:rPr>
        <w:t xml:space="preserve">van </w:t>
      </w:r>
      <w:r w:rsidRPr="00BF7731" w:rsidR="007931AA">
        <w:rPr>
          <w:rFonts w:ascii="Calibri" w:hAnsi="Calibri" w:cs="Calibri"/>
          <w:sz w:val="22"/>
          <w:szCs w:val="22"/>
          <w:lang w:val="nl-NL" w:eastAsia="zh-CN"/>
        </w:rPr>
        <w:t xml:space="preserve">het door essentiële </w:t>
      </w:r>
      <w:r w:rsidRPr="00BF7731" w:rsidR="00DC47A2">
        <w:rPr>
          <w:rFonts w:ascii="Calibri" w:hAnsi="Calibri" w:cs="Calibri"/>
          <w:sz w:val="22"/>
          <w:szCs w:val="22"/>
          <w:lang w:val="nl-NL" w:eastAsia="zh-CN"/>
        </w:rPr>
        <w:t xml:space="preserve">entiteiten </w:t>
      </w:r>
      <w:r w:rsidRPr="00BF7731" w:rsidR="007931AA">
        <w:rPr>
          <w:rFonts w:ascii="Calibri" w:hAnsi="Calibri" w:cs="Calibri"/>
          <w:sz w:val="22"/>
          <w:szCs w:val="22"/>
          <w:lang w:val="nl-NL" w:eastAsia="zh-CN"/>
        </w:rPr>
        <w:t xml:space="preserve">of belangrijke entiteiten bij leveranciers </w:t>
      </w:r>
      <w:r w:rsidRPr="00BF7731" w:rsidR="00B560C5">
        <w:rPr>
          <w:rFonts w:ascii="Calibri" w:hAnsi="Calibri" w:cs="Calibri"/>
          <w:sz w:val="22"/>
          <w:szCs w:val="22"/>
          <w:lang w:val="nl-NL" w:eastAsia="zh-CN"/>
        </w:rPr>
        <w:t xml:space="preserve">en dienstverleners </w:t>
      </w:r>
      <w:r w:rsidRPr="00BF7731" w:rsidR="007931AA">
        <w:rPr>
          <w:rFonts w:ascii="Calibri" w:hAnsi="Calibri" w:cs="Calibri"/>
          <w:sz w:val="22"/>
          <w:szCs w:val="22"/>
          <w:lang w:val="nl-NL" w:eastAsia="zh-CN"/>
        </w:rPr>
        <w:t>opvragen van informatie ten behoeve van het voldoen aan de maatregelen inzake de beveiliging van de toeleveringsketen</w:t>
      </w:r>
      <w:r w:rsidRPr="00BF7731" w:rsidR="00DC47A2">
        <w:rPr>
          <w:rFonts w:ascii="Calibri" w:hAnsi="Calibri" w:cs="Calibri"/>
          <w:sz w:val="22"/>
          <w:szCs w:val="22"/>
          <w:lang w:val="nl-NL" w:eastAsia="zh-CN"/>
        </w:rPr>
        <w:t xml:space="preserve">. Hiermee worden de lasten </w:t>
      </w:r>
      <w:r w:rsidRPr="00BF7731" w:rsidR="005B617F">
        <w:rPr>
          <w:rFonts w:ascii="Calibri" w:hAnsi="Calibri" w:cs="Calibri"/>
          <w:sz w:val="22"/>
          <w:szCs w:val="22"/>
          <w:lang w:val="nl-NL" w:eastAsia="zh-CN"/>
        </w:rPr>
        <w:t>voor die leveranciers</w:t>
      </w:r>
      <w:r w:rsidRPr="00BF7731" w:rsidR="00B560C5">
        <w:rPr>
          <w:rFonts w:ascii="Calibri" w:hAnsi="Calibri" w:cs="Calibri"/>
          <w:sz w:val="22"/>
          <w:szCs w:val="22"/>
          <w:lang w:val="nl-NL" w:eastAsia="zh-CN"/>
        </w:rPr>
        <w:t xml:space="preserve"> en dienstverleners</w:t>
      </w:r>
      <w:r w:rsidRPr="00BF7731" w:rsidR="005B617F">
        <w:rPr>
          <w:rFonts w:ascii="Calibri" w:hAnsi="Calibri" w:cs="Calibri"/>
          <w:sz w:val="22"/>
          <w:szCs w:val="22"/>
          <w:lang w:val="nl-NL" w:eastAsia="zh-CN"/>
        </w:rPr>
        <w:t xml:space="preserve"> verlicht</w:t>
      </w:r>
      <w:r w:rsidRPr="00BF7731" w:rsidR="00DC47A2">
        <w:rPr>
          <w:rFonts w:ascii="Calibri" w:hAnsi="Calibri" w:cs="Calibri"/>
          <w:sz w:val="22"/>
          <w:szCs w:val="22"/>
          <w:lang w:val="nl-NL" w:eastAsia="zh-CN"/>
        </w:rPr>
        <w:t xml:space="preserve"> </w:t>
      </w:r>
      <w:r w:rsidRPr="00BF7731" w:rsidR="005B617F">
        <w:rPr>
          <w:rFonts w:ascii="Calibri" w:hAnsi="Calibri" w:cs="Calibri"/>
          <w:sz w:val="22"/>
          <w:szCs w:val="22"/>
          <w:lang w:val="nl-NL" w:eastAsia="zh-CN"/>
        </w:rPr>
        <w:t xml:space="preserve">en </w:t>
      </w:r>
      <w:r w:rsidRPr="00BF7731" w:rsidR="00DC47A2">
        <w:rPr>
          <w:rFonts w:ascii="Calibri" w:hAnsi="Calibri" w:cs="Calibri"/>
          <w:sz w:val="22"/>
          <w:szCs w:val="22"/>
          <w:lang w:val="nl-NL" w:eastAsia="zh-CN"/>
        </w:rPr>
        <w:t xml:space="preserve">wordt er </w:t>
      </w:r>
      <w:r w:rsidRPr="00BF7731" w:rsidR="005B617F">
        <w:rPr>
          <w:rFonts w:ascii="Calibri" w:hAnsi="Calibri" w:cs="Calibri"/>
          <w:sz w:val="22"/>
          <w:szCs w:val="22"/>
          <w:lang w:val="nl-NL" w:eastAsia="zh-CN"/>
        </w:rPr>
        <w:t>zorg</w:t>
      </w:r>
      <w:r w:rsidRPr="00BF7731" w:rsidR="00DC47A2">
        <w:rPr>
          <w:rFonts w:ascii="Calibri" w:hAnsi="Calibri" w:cs="Calibri"/>
          <w:sz w:val="22"/>
          <w:szCs w:val="22"/>
          <w:lang w:val="nl-NL" w:eastAsia="zh-CN"/>
        </w:rPr>
        <w:t>ge</w:t>
      </w:r>
      <w:r w:rsidRPr="00BF7731" w:rsidR="005B617F">
        <w:rPr>
          <w:rFonts w:ascii="Calibri" w:hAnsi="Calibri" w:cs="Calibri"/>
          <w:sz w:val="22"/>
          <w:szCs w:val="22"/>
          <w:lang w:val="nl-NL" w:eastAsia="zh-CN"/>
        </w:rPr>
        <w:t>dragen voor een consistente, proportionele en efficiënte beoordeling van de beveiliging van de toeleveringsketen.</w:t>
      </w:r>
      <w:r w:rsidRPr="00BF7731" w:rsidR="00463082">
        <w:rPr>
          <w:rFonts w:ascii="Calibri" w:hAnsi="Calibri" w:cs="Calibri"/>
          <w:sz w:val="22"/>
          <w:szCs w:val="22"/>
          <w:lang w:val="nl-NL" w:eastAsia="zh-CN"/>
        </w:rPr>
        <w:t xml:space="preserve"> </w:t>
      </w:r>
    </w:p>
    <w:p w:rsidRPr="00BF7731" w:rsidR="00417CBB" w:rsidP="004B47DD" w:rsidRDefault="00417CBB" w14:paraId="424BCB32" w14:textId="77777777">
      <w:pPr>
        <w:pStyle w:val="Spreekpunten"/>
        <w:numPr>
          <w:ilvl w:val="0"/>
          <w:numId w:val="0"/>
        </w:numPr>
        <w:rPr>
          <w:rFonts w:ascii="Calibri" w:hAnsi="Calibri" w:cs="Calibri"/>
          <w:sz w:val="22"/>
          <w:szCs w:val="22"/>
          <w:lang w:val="nl-NL" w:eastAsia="zh-CN"/>
        </w:rPr>
      </w:pPr>
    </w:p>
    <w:p w:rsidRPr="00BF7731" w:rsidR="00CC4E5B" w:rsidP="003B2FD5" w:rsidRDefault="007330F4" w14:paraId="1DFC482C" w14:textId="77777777">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w:t>
      </w:r>
      <w:r w:rsidRPr="00BF7731" w:rsidR="00436A6C">
        <w:rPr>
          <w:rFonts w:ascii="Calibri" w:hAnsi="Calibri" w:cs="Calibri"/>
          <w:sz w:val="22"/>
          <w:szCs w:val="22"/>
          <w:lang w:val="nl-NL" w:eastAsia="zh-CN"/>
        </w:rPr>
        <w:t xml:space="preserve">is voorstander van </w:t>
      </w:r>
      <w:r w:rsidRPr="00BF7731" w:rsidR="00140570">
        <w:rPr>
          <w:rFonts w:ascii="Calibri" w:hAnsi="Calibri" w:cs="Calibri"/>
          <w:sz w:val="22"/>
          <w:szCs w:val="22"/>
          <w:lang w:val="nl-NL" w:eastAsia="zh-CN"/>
        </w:rPr>
        <w:t xml:space="preserve">het </w:t>
      </w:r>
      <w:r w:rsidRPr="00BF7731" w:rsidR="00436A6C">
        <w:rPr>
          <w:rFonts w:ascii="Calibri" w:hAnsi="Calibri" w:cs="Calibri"/>
          <w:sz w:val="22"/>
          <w:szCs w:val="22"/>
          <w:lang w:val="nl-NL" w:eastAsia="zh-CN"/>
        </w:rPr>
        <w:t xml:space="preserve">harmoniseren van de </w:t>
      </w:r>
      <w:r w:rsidRPr="00BF7731" w:rsidR="00475A4D">
        <w:rPr>
          <w:rFonts w:ascii="Calibri" w:hAnsi="Calibri" w:cs="Calibri"/>
          <w:sz w:val="22"/>
          <w:szCs w:val="22"/>
          <w:lang w:val="nl-NL" w:eastAsia="zh-CN"/>
        </w:rPr>
        <w:t xml:space="preserve">door essentiële </w:t>
      </w:r>
      <w:r w:rsidRPr="00BF7731" w:rsidR="00463082">
        <w:rPr>
          <w:rFonts w:ascii="Calibri" w:hAnsi="Calibri" w:cs="Calibri"/>
          <w:sz w:val="22"/>
          <w:szCs w:val="22"/>
          <w:lang w:val="nl-NL" w:eastAsia="zh-CN"/>
        </w:rPr>
        <w:t xml:space="preserve">entiteiten </w:t>
      </w:r>
      <w:r w:rsidRPr="00BF7731" w:rsidR="00475A4D">
        <w:rPr>
          <w:rFonts w:ascii="Calibri" w:hAnsi="Calibri" w:cs="Calibri"/>
          <w:sz w:val="22"/>
          <w:szCs w:val="22"/>
          <w:lang w:val="nl-NL" w:eastAsia="zh-CN"/>
        </w:rPr>
        <w:t xml:space="preserve">en belangrijke entiteiten te nemen </w:t>
      </w:r>
      <w:r w:rsidRPr="00BF7731">
        <w:rPr>
          <w:rFonts w:ascii="Calibri" w:hAnsi="Calibri" w:cs="Calibri"/>
          <w:sz w:val="22"/>
          <w:szCs w:val="22"/>
          <w:lang w:val="nl-NL" w:eastAsia="zh-CN"/>
        </w:rPr>
        <w:t>zorgplichtmaatregelen</w:t>
      </w:r>
      <w:r w:rsidRPr="00BF7731" w:rsidR="00436A6C">
        <w:rPr>
          <w:rFonts w:ascii="Calibri" w:hAnsi="Calibri" w:cs="Calibri"/>
          <w:sz w:val="22"/>
          <w:szCs w:val="22"/>
          <w:lang w:val="nl-NL" w:eastAsia="zh-CN"/>
        </w:rPr>
        <w:t xml:space="preserve"> door middel van uitvoeringshandelingen, met name voor entiteiten </w:t>
      </w:r>
      <w:r w:rsidRPr="00BF7731" w:rsidR="00475A4D">
        <w:rPr>
          <w:rFonts w:ascii="Calibri" w:hAnsi="Calibri" w:cs="Calibri"/>
          <w:sz w:val="22"/>
          <w:szCs w:val="22"/>
          <w:lang w:val="nl-NL" w:eastAsia="zh-CN"/>
        </w:rPr>
        <w:t xml:space="preserve">die in meer dan één lidstaat hun diensten verlenen en in </w:t>
      </w:r>
      <w:r w:rsidRPr="00BF7731" w:rsidR="00436A6C">
        <w:rPr>
          <w:rFonts w:ascii="Calibri" w:hAnsi="Calibri" w:cs="Calibri"/>
          <w:sz w:val="22"/>
          <w:szCs w:val="22"/>
          <w:lang w:val="nl-NL" w:eastAsia="zh-CN"/>
        </w:rPr>
        <w:t xml:space="preserve">één sector actief zijn. </w:t>
      </w:r>
      <w:r w:rsidRPr="00BF7731" w:rsidR="00F84E93">
        <w:rPr>
          <w:rFonts w:ascii="Calibri" w:hAnsi="Calibri" w:cs="Calibri"/>
          <w:sz w:val="22"/>
          <w:szCs w:val="22"/>
          <w:lang w:val="nl-NL" w:eastAsia="zh-CN"/>
        </w:rPr>
        <w:t xml:space="preserve">Het voorstel dient wel in samenhang te worden gezien met wat al nationaal is vastgelegd. </w:t>
      </w:r>
      <w:r w:rsidRPr="00BF7731" w:rsidR="00436A6C">
        <w:rPr>
          <w:rFonts w:ascii="Calibri" w:hAnsi="Calibri" w:cs="Calibri"/>
          <w:sz w:val="22"/>
          <w:szCs w:val="22"/>
          <w:lang w:val="nl-NL" w:eastAsia="zh-CN"/>
        </w:rPr>
        <w:t>Het kabinet plaats</w:t>
      </w:r>
      <w:r w:rsidRPr="00BF7731" w:rsidR="00260A95">
        <w:rPr>
          <w:rFonts w:ascii="Calibri" w:hAnsi="Calibri" w:cs="Calibri"/>
          <w:sz w:val="22"/>
          <w:szCs w:val="22"/>
          <w:lang w:val="nl-NL" w:eastAsia="zh-CN"/>
        </w:rPr>
        <w:t>t</w:t>
      </w:r>
      <w:r w:rsidRPr="00BF7731" w:rsidR="00436A6C">
        <w:rPr>
          <w:rFonts w:ascii="Calibri" w:hAnsi="Calibri" w:cs="Calibri"/>
          <w:sz w:val="22"/>
          <w:szCs w:val="22"/>
          <w:lang w:val="nl-NL" w:eastAsia="zh-CN"/>
        </w:rPr>
        <w:t xml:space="preserve"> </w:t>
      </w:r>
      <w:r w:rsidRPr="00BF7731" w:rsidR="00475A4D">
        <w:rPr>
          <w:rFonts w:ascii="Calibri" w:hAnsi="Calibri" w:cs="Calibri"/>
          <w:sz w:val="22"/>
          <w:szCs w:val="22"/>
          <w:lang w:val="nl-NL" w:eastAsia="zh-CN"/>
        </w:rPr>
        <w:t xml:space="preserve">echter </w:t>
      </w:r>
      <w:r w:rsidRPr="00BF7731" w:rsidR="00436A6C">
        <w:rPr>
          <w:rFonts w:ascii="Calibri" w:hAnsi="Calibri" w:cs="Calibri"/>
          <w:sz w:val="22"/>
          <w:szCs w:val="22"/>
          <w:lang w:val="nl-NL" w:eastAsia="zh-CN"/>
        </w:rPr>
        <w:t>wel kanttekeningen bij</w:t>
      </w:r>
      <w:r w:rsidRPr="00BF7731" w:rsidR="00475A4D">
        <w:rPr>
          <w:rFonts w:ascii="Calibri" w:hAnsi="Calibri" w:cs="Calibri"/>
          <w:sz w:val="22"/>
          <w:szCs w:val="22"/>
          <w:lang w:val="nl-NL" w:eastAsia="zh-CN"/>
        </w:rPr>
        <w:t xml:space="preserve"> de nu voorgestelde</w:t>
      </w:r>
      <w:r w:rsidRPr="00BF7731" w:rsidR="00436A6C">
        <w:rPr>
          <w:rFonts w:ascii="Calibri" w:hAnsi="Calibri" w:cs="Calibri"/>
          <w:sz w:val="22"/>
          <w:szCs w:val="22"/>
          <w:lang w:val="nl-NL" w:eastAsia="zh-CN"/>
        </w:rPr>
        <w:t xml:space="preserve"> maximumharmonisatie</w:t>
      </w:r>
      <w:r w:rsidRPr="00BF7731" w:rsidR="00475A4D">
        <w:rPr>
          <w:rFonts w:ascii="Calibri" w:hAnsi="Calibri" w:cs="Calibri"/>
          <w:sz w:val="22"/>
          <w:szCs w:val="22"/>
          <w:lang w:val="nl-NL" w:eastAsia="zh-CN"/>
        </w:rPr>
        <w:t xml:space="preserve"> die daar</w:t>
      </w:r>
      <w:r w:rsidRPr="00BF7731" w:rsidR="00463082">
        <w:rPr>
          <w:rFonts w:ascii="Calibri" w:hAnsi="Calibri" w:cs="Calibri"/>
          <w:sz w:val="22"/>
          <w:szCs w:val="22"/>
          <w:lang w:val="nl-NL" w:eastAsia="zh-CN"/>
        </w:rPr>
        <w:t>aan</w:t>
      </w:r>
      <w:r w:rsidRPr="00BF7731" w:rsidR="00475A4D">
        <w:rPr>
          <w:rFonts w:ascii="Calibri" w:hAnsi="Calibri" w:cs="Calibri"/>
          <w:sz w:val="22"/>
          <w:szCs w:val="22"/>
          <w:lang w:val="nl-NL" w:eastAsia="zh-CN"/>
        </w:rPr>
        <w:t xml:space="preserve"> in het voorstel wordt gekoppeld</w:t>
      </w:r>
      <w:r w:rsidRPr="00BF7731" w:rsidR="00436A6C">
        <w:rPr>
          <w:rFonts w:ascii="Calibri" w:hAnsi="Calibri" w:cs="Calibri"/>
          <w:sz w:val="22"/>
          <w:szCs w:val="22"/>
          <w:lang w:val="nl-NL" w:eastAsia="zh-CN"/>
        </w:rPr>
        <w:t xml:space="preserve">, aangezien het mogelijk is dat er </w:t>
      </w:r>
      <w:r w:rsidRPr="00BF7731" w:rsidR="00092C14">
        <w:rPr>
          <w:rFonts w:ascii="Calibri" w:hAnsi="Calibri" w:cs="Calibri"/>
          <w:sz w:val="22"/>
          <w:szCs w:val="22"/>
          <w:lang w:val="nl-NL" w:eastAsia="zh-CN"/>
        </w:rPr>
        <w:t>(</w:t>
      </w:r>
      <w:r w:rsidRPr="00BF7731" w:rsidR="00436A6C">
        <w:rPr>
          <w:rFonts w:ascii="Calibri" w:hAnsi="Calibri" w:cs="Calibri"/>
          <w:sz w:val="22"/>
          <w:szCs w:val="22"/>
          <w:lang w:val="nl-NL" w:eastAsia="zh-CN"/>
        </w:rPr>
        <w:t>sector</w:t>
      </w:r>
      <w:r w:rsidRPr="00BF7731" w:rsidR="00092C14">
        <w:rPr>
          <w:rFonts w:ascii="Calibri" w:hAnsi="Calibri" w:cs="Calibri"/>
          <w:sz w:val="22"/>
          <w:szCs w:val="22"/>
          <w:lang w:val="nl-NL" w:eastAsia="zh-CN"/>
        </w:rPr>
        <w:t>)</w:t>
      </w:r>
      <w:r w:rsidRPr="00BF7731" w:rsidR="00436A6C">
        <w:rPr>
          <w:rFonts w:ascii="Calibri" w:hAnsi="Calibri" w:cs="Calibri"/>
          <w:sz w:val="22"/>
          <w:szCs w:val="22"/>
          <w:lang w:val="nl-NL" w:eastAsia="zh-CN"/>
        </w:rPr>
        <w:t xml:space="preserve">specifieke </w:t>
      </w:r>
      <w:r w:rsidRPr="00BF7731" w:rsidR="00475A4D">
        <w:rPr>
          <w:rFonts w:ascii="Calibri" w:hAnsi="Calibri" w:cs="Calibri"/>
          <w:sz w:val="22"/>
          <w:szCs w:val="22"/>
          <w:lang w:val="nl-NL" w:eastAsia="zh-CN"/>
        </w:rPr>
        <w:t xml:space="preserve">dreigingen of </w:t>
      </w:r>
      <w:r w:rsidRPr="00BF7731" w:rsidR="00436A6C">
        <w:rPr>
          <w:rFonts w:ascii="Calibri" w:hAnsi="Calibri" w:cs="Calibri"/>
          <w:sz w:val="22"/>
          <w:szCs w:val="22"/>
          <w:lang w:val="nl-NL" w:eastAsia="zh-CN"/>
        </w:rPr>
        <w:t xml:space="preserve">risico’s in een lidstaat zijn waarbij het mogelijk dient te blijven om </w:t>
      </w:r>
      <w:r w:rsidRPr="00BF7731" w:rsidR="00475A4D">
        <w:rPr>
          <w:rFonts w:ascii="Calibri" w:hAnsi="Calibri" w:cs="Calibri"/>
          <w:sz w:val="22"/>
          <w:szCs w:val="22"/>
          <w:lang w:val="nl-NL" w:eastAsia="zh-CN"/>
        </w:rPr>
        <w:t xml:space="preserve">als lidstaat </w:t>
      </w:r>
      <w:r w:rsidRPr="00BF7731" w:rsidR="00436A6C">
        <w:rPr>
          <w:rFonts w:ascii="Calibri" w:hAnsi="Calibri" w:cs="Calibri"/>
          <w:sz w:val="22"/>
          <w:szCs w:val="22"/>
          <w:lang w:val="nl-NL" w:eastAsia="zh-CN"/>
        </w:rPr>
        <w:t xml:space="preserve">aanvullende zorgplichtmaatregelen te </w:t>
      </w:r>
      <w:r w:rsidRPr="00BF7731" w:rsidR="00475A4D">
        <w:rPr>
          <w:rFonts w:ascii="Calibri" w:hAnsi="Calibri" w:cs="Calibri"/>
          <w:sz w:val="22"/>
          <w:szCs w:val="22"/>
          <w:lang w:val="nl-NL" w:eastAsia="zh-CN"/>
        </w:rPr>
        <w:t xml:space="preserve">vereisen. </w:t>
      </w:r>
    </w:p>
    <w:p w:rsidRPr="00BF7731" w:rsidR="00092C14" w:rsidP="003B2FD5" w:rsidRDefault="00436A6C" w14:paraId="335529B7" w14:textId="6778BD1F">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Daarnaast vraagt het kabinet zich af of </w:t>
      </w:r>
      <w:r w:rsidRPr="00BF7731" w:rsidR="00475A4D">
        <w:rPr>
          <w:rFonts w:ascii="Calibri" w:hAnsi="Calibri" w:cs="Calibri"/>
          <w:sz w:val="22"/>
          <w:szCs w:val="22"/>
          <w:lang w:val="nl-NL" w:eastAsia="zh-CN"/>
        </w:rPr>
        <w:t xml:space="preserve">de voorgestelde </w:t>
      </w:r>
      <w:r w:rsidRPr="00BF7731" w:rsidR="00C776C8">
        <w:rPr>
          <w:rFonts w:ascii="Calibri" w:hAnsi="Calibri" w:cs="Calibri"/>
          <w:sz w:val="22"/>
          <w:szCs w:val="22"/>
          <w:lang w:val="nl-NL" w:eastAsia="zh-CN"/>
        </w:rPr>
        <w:t xml:space="preserve">maximum harmonisatie </w:t>
      </w:r>
      <w:r w:rsidRPr="00BF7731" w:rsidR="00475A4D">
        <w:rPr>
          <w:rFonts w:ascii="Calibri" w:hAnsi="Calibri" w:cs="Calibri"/>
          <w:sz w:val="22"/>
          <w:szCs w:val="22"/>
          <w:lang w:val="nl-NL" w:eastAsia="zh-CN"/>
        </w:rPr>
        <w:t xml:space="preserve">uitsluitend ziet op de maatregelen, die uitdrukkelijk zijn benoemd in </w:t>
      </w:r>
      <w:r w:rsidRPr="00BF7731">
        <w:rPr>
          <w:rFonts w:ascii="Calibri" w:hAnsi="Calibri" w:cs="Calibri"/>
          <w:sz w:val="22"/>
          <w:szCs w:val="22"/>
          <w:lang w:val="nl-NL" w:eastAsia="zh-CN"/>
        </w:rPr>
        <w:t>artikel 21, tweede lid, onderdelen a tot en met j</w:t>
      </w:r>
      <w:r w:rsidRPr="00BF7731" w:rsidR="00260A95">
        <w:rPr>
          <w:rFonts w:ascii="Calibri" w:hAnsi="Calibri" w:cs="Calibri"/>
          <w:sz w:val="22"/>
          <w:szCs w:val="22"/>
          <w:lang w:val="nl-NL" w:eastAsia="zh-CN"/>
        </w:rPr>
        <w:t xml:space="preserve">, NIS2-richtlijn, </w:t>
      </w:r>
      <w:r w:rsidRPr="00BF7731" w:rsidR="00475A4D">
        <w:rPr>
          <w:rFonts w:ascii="Calibri" w:hAnsi="Calibri" w:cs="Calibri"/>
          <w:sz w:val="22"/>
          <w:szCs w:val="22"/>
          <w:lang w:val="nl-NL" w:eastAsia="zh-CN"/>
        </w:rPr>
        <w:t>of dat het gaat om alle mogelijke maatregelen die in het kader van de zorgplicht getroffen kunnen worden.</w:t>
      </w:r>
      <w:r w:rsidRPr="00BF7731" w:rsidR="00C776C8">
        <w:rPr>
          <w:rFonts w:ascii="Calibri" w:hAnsi="Calibri" w:cs="Calibri"/>
          <w:sz w:val="22"/>
          <w:szCs w:val="22"/>
          <w:lang w:val="nl-NL" w:eastAsia="zh-CN"/>
        </w:rPr>
        <w:t xml:space="preserve"> </w:t>
      </w:r>
      <w:bookmarkStart w:name="_Hlk221221379" w:id="8"/>
      <w:r w:rsidRPr="00BF7731">
        <w:rPr>
          <w:rFonts w:ascii="Calibri" w:hAnsi="Calibri" w:cs="Calibri"/>
          <w:sz w:val="22"/>
          <w:szCs w:val="22"/>
          <w:lang w:val="nl-NL" w:eastAsia="zh-CN"/>
        </w:rPr>
        <w:t>Het kabinet onderzoek</w:t>
      </w:r>
      <w:r w:rsidRPr="00BF7731" w:rsidR="00990FEB">
        <w:rPr>
          <w:rFonts w:ascii="Calibri" w:hAnsi="Calibri" w:cs="Calibri"/>
          <w:sz w:val="22"/>
          <w:szCs w:val="22"/>
          <w:lang w:val="nl-NL" w:eastAsia="zh-CN"/>
        </w:rPr>
        <w:t xml:space="preserve">t de werkbaarheid van maximumharmonisatie, onder meer vanwege entiteiten die in meerdere sectoren actief zijn. </w:t>
      </w:r>
    </w:p>
    <w:bookmarkEnd w:id="8"/>
    <w:p w:rsidRPr="00BF7731" w:rsidR="00A819A1" w:rsidP="004B47DD" w:rsidRDefault="00A819A1" w14:paraId="43476691" w14:textId="77777777">
      <w:pPr>
        <w:pStyle w:val="Spreekpunten"/>
        <w:numPr>
          <w:ilvl w:val="0"/>
          <w:numId w:val="0"/>
        </w:numPr>
        <w:rPr>
          <w:rFonts w:ascii="Calibri" w:hAnsi="Calibri" w:cs="Calibri"/>
          <w:i/>
          <w:iCs/>
          <w:sz w:val="22"/>
          <w:szCs w:val="22"/>
          <w:lang w:val="nl-NL" w:eastAsia="zh-CN"/>
        </w:rPr>
      </w:pPr>
    </w:p>
    <w:p w:rsidRPr="00BF7731" w:rsidR="004B47DD" w:rsidP="004B47DD" w:rsidRDefault="004B47DD" w14:paraId="4189F02E" w14:textId="0631E5BE">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w:t>
      </w:r>
      <w:r w:rsidRPr="00BF7731" w:rsidR="003B2FD5">
        <w:rPr>
          <w:rFonts w:ascii="Calibri" w:hAnsi="Calibri" w:cs="Calibri"/>
          <w:sz w:val="22"/>
          <w:szCs w:val="22"/>
          <w:lang w:val="nl-NL" w:eastAsia="zh-CN"/>
        </w:rPr>
        <w:t>verwelkomt</w:t>
      </w:r>
      <w:r w:rsidRPr="00BF7731">
        <w:rPr>
          <w:rFonts w:ascii="Calibri" w:hAnsi="Calibri" w:cs="Calibri"/>
          <w:sz w:val="22"/>
          <w:szCs w:val="22"/>
          <w:lang w:val="nl-NL" w:eastAsia="zh-CN"/>
        </w:rPr>
        <w:t xml:space="preserve"> </w:t>
      </w:r>
      <w:r w:rsidRPr="00BF7731" w:rsidR="00475A4D">
        <w:rPr>
          <w:rFonts w:ascii="Calibri" w:hAnsi="Calibri" w:cs="Calibri"/>
          <w:sz w:val="22"/>
          <w:szCs w:val="22"/>
          <w:lang w:val="nl-NL" w:eastAsia="zh-CN"/>
        </w:rPr>
        <w:t xml:space="preserve">het voorstel van het </w:t>
      </w:r>
      <w:r w:rsidRPr="00BF7731">
        <w:rPr>
          <w:rFonts w:ascii="Calibri" w:hAnsi="Calibri" w:cs="Calibri"/>
          <w:sz w:val="22"/>
          <w:szCs w:val="22"/>
          <w:lang w:val="nl-NL" w:eastAsia="zh-CN"/>
        </w:rPr>
        <w:t>opnemen van</w:t>
      </w:r>
      <w:r w:rsidRPr="00BF7731" w:rsidR="00236716">
        <w:rPr>
          <w:rFonts w:ascii="Calibri" w:hAnsi="Calibri" w:cs="Calibri"/>
          <w:sz w:val="22"/>
          <w:szCs w:val="22"/>
          <w:lang w:val="nl-NL" w:eastAsia="zh-CN"/>
        </w:rPr>
        <w:t xml:space="preserve"> </w:t>
      </w:r>
      <w:r w:rsidRPr="00BF7731" w:rsidR="00B84B85">
        <w:rPr>
          <w:rFonts w:ascii="Calibri" w:hAnsi="Calibri" w:cs="Calibri"/>
          <w:sz w:val="22"/>
          <w:szCs w:val="22"/>
          <w:lang w:val="nl-NL" w:eastAsia="zh-CN"/>
        </w:rPr>
        <w:t>p</w:t>
      </w:r>
      <w:r w:rsidRPr="00BF7731">
        <w:rPr>
          <w:rFonts w:ascii="Calibri" w:hAnsi="Calibri" w:cs="Calibri"/>
          <w:sz w:val="22"/>
          <w:szCs w:val="22"/>
          <w:lang w:val="nl-NL" w:eastAsia="zh-CN"/>
        </w:rPr>
        <w:t xml:space="preserve">ost-quantum cryptografie beleid als onderdeel van de nationale cyberbeveiligingsstrategie en omarmt het voorstel omdat dit een ondersteuning is van nationaal beleid. </w:t>
      </w:r>
    </w:p>
    <w:p w:rsidRPr="00BF7731" w:rsidR="00C27EBD" w:rsidP="007B6E63" w:rsidRDefault="00C27EBD" w14:paraId="534F98A7" w14:textId="77777777">
      <w:pPr>
        <w:pStyle w:val="Spreekpunten"/>
        <w:numPr>
          <w:ilvl w:val="0"/>
          <w:numId w:val="0"/>
        </w:numPr>
        <w:rPr>
          <w:rFonts w:ascii="Calibri" w:hAnsi="Calibri" w:cs="Calibri"/>
          <w:sz w:val="22"/>
          <w:szCs w:val="22"/>
          <w:lang w:val="nl-NL" w:eastAsia="zh-CN"/>
        </w:rPr>
      </w:pPr>
    </w:p>
    <w:p w:rsidRPr="00BF7731" w:rsidR="00A62745" w:rsidP="007B6E63" w:rsidRDefault="00EE4DF8" w14:paraId="3A2BD9DF" w14:textId="4DCEBB5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staat positief tegenover het verbeteren van de datacollectie </w:t>
      </w:r>
      <w:r w:rsidRPr="00BF7731" w:rsidR="00297AEF">
        <w:rPr>
          <w:rFonts w:ascii="Calibri" w:hAnsi="Calibri" w:cs="Calibri"/>
          <w:sz w:val="22"/>
          <w:szCs w:val="22"/>
          <w:lang w:val="nl-NL" w:eastAsia="zh-CN"/>
        </w:rPr>
        <w:t>over</w:t>
      </w:r>
      <w:r w:rsidRPr="00BF7731">
        <w:rPr>
          <w:rFonts w:ascii="Calibri" w:hAnsi="Calibri" w:cs="Calibri"/>
          <w:sz w:val="22"/>
          <w:szCs w:val="22"/>
          <w:lang w:val="nl-NL" w:eastAsia="zh-CN"/>
        </w:rPr>
        <w:t xml:space="preserve"> </w:t>
      </w:r>
      <w:proofErr w:type="spellStart"/>
      <w:r w:rsidRPr="00BF7731">
        <w:rPr>
          <w:rFonts w:ascii="Calibri" w:hAnsi="Calibri" w:cs="Calibri"/>
          <w:i/>
          <w:iCs/>
          <w:sz w:val="22"/>
          <w:szCs w:val="22"/>
          <w:lang w:val="nl-NL" w:eastAsia="zh-CN"/>
        </w:rPr>
        <w:t>ransomware</w:t>
      </w:r>
      <w:proofErr w:type="spellEnd"/>
      <w:r w:rsidRPr="00BF7731" w:rsidR="00297AEF">
        <w:rPr>
          <w:rFonts w:ascii="Calibri" w:hAnsi="Calibri" w:cs="Calibri"/>
          <w:sz w:val="22"/>
          <w:szCs w:val="22"/>
          <w:lang w:val="nl-NL" w:eastAsia="zh-CN"/>
        </w:rPr>
        <w:t>-aanvallen</w:t>
      </w:r>
      <w:r w:rsidRPr="00BF7731" w:rsidR="00824733">
        <w:rPr>
          <w:rFonts w:ascii="Calibri" w:hAnsi="Calibri" w:cs="Calibri"/>
          <w:sz w:val="22"/>
          <w:szCs w:val="22"/>
          <w:lang w:val="nl-NL" w:eastAsia="zh-CN"/>
        </w:rPr>
        <w:t>.</w:t>
      </w:r>
      <w:r w:rsidRPr="00BF7731" w:rsidR="00297AEF">
        <w:rPr>
          <w:rFonts w:ascii="Calibri" w:hAnsi="Calibri" w:cs="Calibri"/>
          <w:sz w:val="22"/>
          <w:szCs w:val="22"/>
          <w:lang w:val="nl-NL" w:eastAsia="zh-CN"/>
        </w:rPr>
        <w:t xml:space="preserve"> </w:t>
      </w:r>
      <w:r w:rsidRPr="00BF7731" w:rsidR="00506D5D">
        <w:rPr>
          <w:rFonts w:ascii="Calibri" w:hAnsi="Calibri" w:cs="Calibri"/>
          <w:sz w:val="22"/>
          <w:szCs w:val="22"/>
          <w:lang w:val="nl-NL"/>
        </w:rPr>
        <w:t>Deze data verzameling kan</w:t>
      </w:r>
      <w:r w:rsidRPr="00BF7731" w:rsidR="0002180F">
        <w:rPr>
          <w:rFonts w:ascii="Calibri" w:hAnsi="Calibri" w:cs="Calibri"/>
          <w:sz w:val="22"/>
          <w:szCs w:val="22"/>
          <w:lang w:val="nl-NL"/>
        </w:rPr>
        <w:t xml:space="preserve"> er namelijk</w:t>
      </w:r>
      <w:r w:rsidRPr="00BF7731" w:rsidR="00506D5D">
        <w:rPr>
          <w:rFonts w:ascii="Calibri" w:hAnsi="Calibri" w:cs="Calibri"/>
          <w:sz w:val="22"/>
          <w:szCs w:val="22"/>
          <w:lang w:val="nl-NL"/>
        </w:rPr>
        <w:t xml:space="preserve"> </w:t>
      </w:r>
      <w:r w:rsidRPr="00BF7731" w:rsidR="00081174">
        <w:rPr>
          <w:rFonts w:ascii="Calibri" w:hAnsi="Calibri" w:cs="Calibri"/>
          <w:sz w:val="22"/>
          <w:szCs w:val="22"/>
          <w:lang w:val="nl-NL"/>
        </w:rPr>
        <w:t xml:space="preserve">onder meer </w:t>
      </w:r>
      <w:r w:rsidRPr="00BF7731" w:rsidR="0002180F">
        <w:rPr>
          <w:rFonts w:ascii="Calibri" w:hAnsi="Calibri" w:cs="Calibri"/>
          <w:sz w:val="22"/>
          <w:szCs w:val="22"/>
          <w:lang w:val="nl-NL"/>
        </w:rPr>
        <w:t>t</w:t>
      </w:r>
      <w:r w:rsidRPr="00BF7731" w:rsidR="00506D5D">
        <w:rPr>
          <w:rFonts w:ascii="Calibri" w:hAnsi="Calibri" w:cs="Calibri"/>
          <w:sz w:val="22"/>
          <w:szCs w:val="22"/>
          <w:lang w:val="nl-NL"/>
        </w:rPr>
        <w:t>oe bijdragen</w:t>
      </w:r>
      <w:r w:rsidRPr="00BF7731" w:rsidR="0002180F">
        <w:rPr>
          <w:rFonts w:ascii="Calibri" w:hAnsi="Calibri" w:cs="Calibri"/>
          <w:sz w:val="22"/>
          <w:szCs w:val="22"/>
          <w:lang w:val="nl-NL"/>
        </w:rPr>
        <w:t xml:space="preserve"> </w:t>
      </w:r>
      <w:r w:rsidRPr="00BF7731" w:rsidR="00286653">
        <w:rPr>
          <w:rFonts w:ascii="Calibri" w:hAnsi="Calibri" w:cs="Calibri"/>
          <w:sz w:val="22"/>
          <w:szCs w:val="22"/>
          <w:lang w:val="nl-NL"/>
        </w:rPr>
        <w:t xml:space="preserve">dat </w:t>
      </w:r>
      <w:r w:rsidRPr="00BF7731" w:rsidR="0002180F">
        <w:rPr>
          <w:rFonts w:ascii="Calibri" w:hAnsi="Calibri" w:cs="Calibri"/>
          <w:sz w:val="22"/>
          <w:szCs w:val="22"/>
          <w:lang w:val="nl-NL"/>
        </w:rPr>
        <w:t xml:space="preserve">er betere </w:t>
      </w:r>
      <w:r w:rsidRPr="00BF7731" w:rsidR="0002180F">
        <w:rPr>
          <w:rFonts w:ascii="Calibri" w:hAnsi="Calibri" w:cs="Calibri"/>
          <w:sz w:val="22"/>
          <w:szCs w:val="22"/>
          <w:lang w:val="nl-NL"/>
        </w:rPr>
        <w:lastRenderedPageBreak/>
        <w:t>ondersteuning</w:t>
      </w:r>
      <w:r w:rsidRPr="00BF7731" w:rsidR="00081174">
        <w:rPr>
          <w:rFonts w:ascii="Calibri" w:hAnsi="Calibri" w:cs="Calibri"/>
          <w:sz w:val="22"/>
          <w:szCs w:val="22"/>
          <w:lang w:val="nl-NL"/>
        </w:rPr>
        <w:t xml:space="preserve"> van deze entiteiten</w:t>
      </w:r>
      <w:r w:rsidRPr="00BF7731" w:rsidR="0002180F">
        <w:rPr>
          <w:rFonts w:ascii="Calibri" w:hAnsi="Calibri" w:cs="Calibri"/>
          <w:sz w:val="22"/>
          <w:szCs w:val="22"/>
          <w:lang w:val="nl-NL"/>
        </w:rPr>
        <w:t xml:space="preserve"> kan plaatsvinden door </w:t>
      </w:r>
      <w:r w:rsidRPr="00BF7731" w:rsidR="00F84E93">
        <w:rPr>
          <w:rFonts w:ascii="Calibri" w:hAnsi="Calibri" w:cs="Calibri"/>
          <w:sz w:val="22"/>
          <w:szCs w:val="22"/>
          <w:lang w:val="nl-NL"/>
        </w:rPr>
        <w:t xml:space="preserve">de </w:t>
      </w:r>
      <w:proofErr w:type="spellStart"/>
      <w:r w:rsidRPr="00BF7731" w:rsidR="0002180F">
        <w:rPr>
          <w:rFonts w:ascii="Calibri" w:hAnsi="Calibri" w:cs="Calibri"/>
          <w:sz w:val="22"/>
          <w:szCs w:val="22"/>
          <w:lang w:val="nl-NL"/>
        </w:rPr>
        <w:t>CSIRT</w:t>
      </w:r>
      <w:r w:rsidRPr="00BF7731" w:rsidR="00F84E93">
        <w:rPr>
          <w:rFonts w:ascii="Calibri" w:hAnsi="Calibri" w:cs="Calibri"/>
          <w:sz w:val="22"/>
          <w:szCs w:val="22"/>
          <w:lang w:val="nl-NL"/>
        </w:rPr>
        <w:t>’s</w:t>
      </w:r>
      <w:proofErr w:type="spellEnd"/>
      <w:r w:rsidRPr="00BF7731" w:rsidR="0002180F">
        <w:rPr>
          <w:rFonts w:ascii="Calibri" w:hAnsi="Calibri" w:cs="Calibri"/>
          <w:sz w:val="22"/>
          <w:szCs w:val="22"/>
          <w:lang w:val="nl-NL"/>
        </w:rPr>
        <w:t xml:space="preserve"> </w:t>
      </w:r>
      <w:r w:rsidRPr="00BF7731" w:rsidR="00286653">
        <w:rPr>
          <w:rFonts w:ascii="Calibri" w:hAnsi="Calibri" w:cs="Calibri"/>
          <w:sz w:val="22"/>
          <w:szCs w:val="22"/>
          <w:lang w:val="nl-NL"/>
        </w:rPr>
        <w:t xml:space="preserve">en het zicht </w:t>
      </w:r>
      <w:r w:rsidRPr="00BF7731" w:rsidR="00506D5D">
        <w:rPr>
          <w:rFonts w:ascii="Calibri" w:hAnsi="Calibri" w:cs="Calibri"/>
          <w:sz w:val="22"/>
          <w:szCs w:val="22"/>
          <w:lang w:val="nl-NL"/>
        </w:rPr>
        <w:t xml:space="preserve">op </w:t>
      </w:r>
      <w:proofErr w:type="spellStart"/>
      <w:r w:rsidRPr="00BF7731" w:rsidR="00506D5D">
        <w:rPr>
          <w:rFonts w:ascii="Calibri" w:hAnsi="Calibri" w:cs="Calibri"/>
          <w:i/>
          <w:iCs/>
          <w:sz w:val="22"/>
          <w:szCs w:val="22"/>
          <w:lang w:val="nl-NL"/>
        </w:rPr>
        <w:t>ransomware</w:t>
      </w:r>
      <w:proofErr w:type="spellEnd"/>
      <w:r w:rsidRPr="00BF7731" w:rsidR="00081174">
        <w:rPr>
          <w:rFonts w:ascii="Calibri" w:hAnsi="Calibri" w:cs="Calibri"/>
          <w:sz w:val="22"/>
          <w:szCs w:val="22"/>
          <w:lang w:val="nl-NL"/>
        </w:rPr>
        <w:t>-aanvallen</w:t>
      </w:r>
      <w:r w:rsidRPr="00BF7731" w:rsidR="00506D5D">
        <w:rPr>
          <w:rFonts w:ascii="Calibri" w:hAnsi="Calibri" w:cs="Calibri"/>
          <w:sz w:val="22"/>
          <w:szCs w:val="22"/>
          <w:lang w:val="nl-NL"/>
        </w:rPr>
        <w:t xml:space="preserve"> </w:t>
      </w:r>
      <w:r w:rsidRPr="00BF7731" w:rsidR="00F84E93">
        <w:rPr>
          <w:rFonts w:ascii="Calibri" w:hAnsi="Calibri" w:cs="Calibri"/>
          <w:sz w:val="22"/>
          <w:szCs w:val="22"/>
          <w:lang w:val="nl-NL"/>
        </w:rPr>
        <w:t xml:space="preserve">binnen </w:t>
      </w:r>
      <w:r w:rsidRPr="00BF7731" w:rsidR="00506D5D">
        <w:rPr>
          <w:rFonts w:ascii="Calibri" w:hAnsi="Calibri" w:cs="Calibri"/>
          <w:sz w:val="22"/>
          <w:szCs w:val="22"/>
          <w:lang w:val="nl-NL"/>
        </w:rPr>
        <w:t xml:space="preserve">de EU </w:t>
      </w:r>
      <w:r w:rsidRPr="00BF7731" w:rsidR="00081174">
        <w:rPr>
          <w:rFonts w:ascii="Calibri" w:hAnsi="Calibri" w:cs="Calibri"/>
          <w:sz w:val="22"/>
          <w:szCs w:val="22"/>
          <w:lang w:val="nl-NL"/>
        </w:rPr>
        <w:t xml:space="preserve">wordt </w:t>
      </w:r>
      <w:r w:rsidRPr="00BF7731" w:rsidR="00506D5D">
        <w:rPr>
          <w:rFonts w:ascii="Calibri" w:hAnsi="Calibri" w:cs="Calibri"/>
          <w:sz w:val="22"/>
          <w:szCs w:val="22"/>
          <w:lang w:val="nl-NL"/>
        </w:rPr>
        <w:t>vergroot.</w:t>
      </w:r>
      <w:r w:rsidRPr="00BF7731" w:rsidR="00506D5D">
        <w:rPr>
          <w:rFonts w:ascii="Calibri" w:hAnsi="Calibri" w:cs="Calibri"/>
          <w:sz w:val="22"/>
          <w:szCs w:val="22"/>
          <w:lang w:val="nl-NL" w:eastAsia="zh-CN"/>
        </w:rPr>
        <w:t xml:space="preserve"> </w:t>
      </w:r>
    </w:p>
    <w:p w:rsidRPr="00BF7731" w:rsidR="00F84E93" w:rsidP="007B6E63" w:rsidRDefault="00F84E93" w14:paraId="58B8EDF6" w14:textId="77777777">
      <w:pPr>
        <w:pStyle w:val="Spreekpunten"/>
        <w:numPr>
          <w:ilvl w:val="0"/>
          <w:numId w:val="0"/>
        </w:numPr>
        <w:rPr>
          <w:rFonts w:ascii="Calibri" w:hAnsi="Calibri" w:cs="Calibri"/>
          <w:sz w:val="22"/>
          <w:szCs w:val="22"/>
          <w:lang w:val="nl-NL" w:eastAsia="zh-CN"/>
        </w:rPr>
      </w:pPr>
    </w:p>
    <w:p w:rsidRPr="00BF7731" w:rsidR="00F84E93" w:rsidP="007B6E63" w:rsidRDefault="00F84E93" w14:paraId="537F922A" w14:textId="25CC5C4C">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Het kabinet heeft wel vragen over de wijze waarop het voorstel is ingericht</w:t>
      </w:r>
      <w:r w:rsidRPr="00BF7731" w:rsidR="00142F86">
        <w:rPr>
          <w:rFonts w:ascii="Calibri" w:hAnsi="Calibri" w:cs="Calibri"/>
          <w:sz w:val="22"/>
          <w:szCs w:val="22"/>
          <w:lang w:val="nl-NL" w:eastAsia="zh-CN"/>
        </w:rPr>
        <w:t>. H</w:t>
      </w:r>
      <w:r w:rsidRPr="00BF7731">
        <w:rPr>
          <w:rFonts w:ascii="Calibri" w:hAnsi="Calibri" w:cs="Calibri"/>
          <w:sz w:val="22"/>
          <w:szCs w:val="22"/>
          <w:lang w:val="nl-NL" w:eastAsia="zh-CN"/>
        </w:rPr>
        <w:t xml:space="preserve">et voorgestelde artikel 23, twaalfde lid, NIS2-richtlijn, waarbij aanvullende informatie wordt gevraagd </w:t>
      </w:r>
      <w:r w:rsidRPr="00BF7731" w:rsidR="00142F86">
        <w:rPr>
          <w:rFonts w:ascii="Calibri" w:hAnsi="Calibri" w:cs="Calibri"/>
          <w:sz w:val="22"/>
          <w:szCs w:val="22"/>
          <w:lang w:val="nl-NL" w:eastAsia="zh-CN"/>
        </w:rPr>
        <w:t>o</w:t>
      </w:r>
      <w:r w:rsidRPr="00BF7731">
        <w:rPr>
          <w:rFonts w:ascii="Calibri" w:hAnsi="Calibri" w:cs="Calibri"/>
          <w:sz w:val="22"/>
          <w:szCs w:val="22"/>
          <w:lang w:val="nl-NL" w:eastAsia="zh-CN"/>
        </w:rPr>
        <w:t xml:space="preserve">ver de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-aanval, wordt gekoppeld aan (toekomstige) uitvoeringshandelingen. Terwijl het voorgestelde artikel 23, dertiende lid, waarbij – op verzoek van het CSIRT – aanvullende informatie wordt gevraagd over eventuele betalingen, </w:t>
      </w:r>
      <w:r w:rsidRPr="00BF7731">
        <w:rPr>
          <w:rFonts w:ascii="Calibri" w:hAnsi="Calibri" w:cs="Calibri"/>
          <w:i/>
          <w:iCs/>
          <w:sz w:val="22"/>
          <w:szCs w:val="22"/>
          <w:lang w:val="nl-NL" w:eastAsia="zh-CN"/>
        </w:rPr>
        <w:t>niet</w:t>
      </w:r>
      <w:r w:rsidRPr="00BF7731">
        <w:rPr>
          <w:rFonts w:ascii="Calibri" w:hAnsi="Calibri" w:cs="Calibri"/>
          <w:sz w:val="22"/>
          <w:szCs w:val="22"/>
          <w:lang w:val="nl-NL" w:eastAsia="zh-CN"/>
        </w:rPr>
        <w:t xml:space="preserve"> gekoppeld is aan (toekomstige) uitvoeringshandelingen. Het kabinet is </w:t>
      </w:r>
      <w:r w:rsidRPr="00BF7731" w:rsidR="003135F6">
        <w:rPr>
          <w:rFonts w:ascii="Calibri" w:hAnsi="Calibri" w:cs="Calibri"/>
          <w:sz w:val="22"/>
          <w:szCs w:val="22"/>
          <w:lang w:val="nl-NL" w:eastAsia="zh-CN"/>
        </w:rPr>
        <w:t xml:space="preserve">van oordeel dat de in het twaalfde lid bedoelde informatie over </w:t>
      </w:r>
      <w:proofErr w:type="spellStart"/>
      <w:r w:rsidRPr="00BF7731" w:rsidR="003135F6">
        <w:rPr>
          <w:rFonts w:ascii="Calibri" w:hAnsi="Calibri" w:cs="Calibri"/>
          <w:i/>
          <w:iCs/>
          <w:sz w:val="22"/>
          <w:szCs w:val="22"/>
          <w:lang w:val="nl-NL" w:eastAsia="zh-CN"/>
        </w:rPr>
        <w:t>ransomware</w:t>
      </w:r>
      <w:proofErr w:type="spellEnd"/>
      <w:r w:rsidRPr="00BF7731" w:rsidR="003135F6">
        <w:rPr>
          <w:rFonts w:ascii="Calibri" w:hAnsi="Calibri" w:cs="Calibri"/>
          <w:sz w:val="22"/>
          <w:szCs w:val="22"/>
          <w:lang w:val="nl-NL" w:eastAsia="zh-CN"/>
        </w:rPr>
        <w:t>-aanvallen onlosmakelijk is verbonden met d</w:t>
      </w:r>
      <w:r w:rsidRPr="00BF7731" w:rsidR="00142F86">
        <w:rPr>
          <w:rFonts w:ascii="Calibri" w:hAnsi="Calibri" w:cs="Calibri"/>
          <w:sz w:val="22"/>
          <w:szCs w:val="22"/>
          <w:lang w:val="nl-NL" w:eastAsia="zh-CN"/>
        </w:rPr>
        <w:t>e informatie</w:t>
      </w:r>
      <w:r w:rsidRPr="00BF7731" w:rsidR="003135F6">
        <w:rPr>
          <w:rFonts w:ascii="Calibri" w:hAnsi="Calibri" w:cs="Calibri"/>
          <w:sz w:val="22"/>
          <w:szCs w:val="22"/>
          <w:lang w:val="nl-NL" w:eastAsia="zh-CN"/>
        </w:rPr>
        <w:t xml:space="preserve"> in het dertiende lid en dat daarom geldt dat het verstrekken van die in het twaalfde lid bedoelde informatie eveneens in de NIS2-richtlijn zelf zou moeten worden opgenomen. Het kabinet vraagt de Commissie hierover graag om nadere uitleg</w:t>
      </w:r>
      <w:r w:rsidRPr="00BF7731">
        <w:rPr>
          <w:rFonts w:ascii="Calibri" w:hAnsi="Calibri" w:cs="Calibri"/>
          <w:sz w:val="22"/>
          <w:szCs w:val="22"/>
          <w:lang w:val="nl-NL" w:eastAsia="zh-CN"/>
        </w:rPr>
        <w:t xml:space="preserve">. </w:t>
      </w:r>
    </w:p>
    <w:p w:rsidRPr="00BF7731" w:rsidR="00A62745" w:rsidP="007B6E63" w:rsidRDefault="00A62745" w14:paraId="23B1DD5F" w14:textId="77777777">
      <w:pPr>
        <w:pStyle w:val="Spreekpunten"/>
        <w:numPr>
          <w:ilvl w:val="0"/>
          <w:numId w:val="0"/>
        </w:numPr>
        <w:rPr>
          <w:rFonts w:ascii="Calibri" w:hAnsi="Calibri" w:cs="Calibri"/>
          <w:sz w:val="22"/>
          <w:szCs w:val="22"/>
          <w:lang w:val="nl-NL" w:eastAsia="zh-CN"/>
        </w:rPr>
      </w:pPr>
    </w:p>
    <w:p w:rsidRPr="00BF7731" w:rsidR="00506D5D" w:rsidP="007B6E63" w:rsidRDefault="00005170" w14:paraId="0E0412E9" w14:textId="40EC1024">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merkt </w:t>
      </w:r>
      <w:r w:rsidRPr="00BF7731" w:rsidR="00463082">
        <w:rPr>
          <w:rFonts w:ascii="Calibri" w:hAnsi="Calibri" w:cs="Calibri"/>
          <w:sz w:val="22"/>
          <w:szCs w:val="22"/>
          <w:lang w:val="nl-NL" w:eastAsia="zh-CN"/>
        </w:rPr>
        <w:t xml:space="preserve">ook </w:t>
      </w:r>
      <w:r w:rsidRPr="00BF7731">
        <w:rPr>
          <w:rFonts w:ascii="Calibri" w:hAnsi="Calibri" w:cs="Calibri"/>
          <w:sz w:val="22"/>
          <w:szCs w:val="22"/>
          <w:lang w:val="nl-NL" w:eastAsia="zh-CN"/>
        </w:rPr>
        <w:t xml:space="preserve">op dat een duidelijke definitie van het begrip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 ontbreekt. </w:t>
      </w:r>
      <w:r w:rsidRPr="00BF7731" w:rsidR="000C7C29">
        <w:rPr>
          <w:rFonts w:ascii="Calibri" w:hAnsi="Calibri" w:cs="Calibri"/>
          <w:sz w:val="22"/>
          <w:szCs w:val="22"/>
          <w:lang w:val="nl-NL" w:eastAsia="zh-CN"/>
        </w:rPr>
        <w:t xml:space="preserve">Een eenduidige definitie is van belang voor de gewenste geharmoniseerde datacollectie. </w:t>
      </w:r>
      <w:r w:rsidRPr="00BF7731" w:rsidR="00286653">
        <w:rPr>
          <w:rFonts w:ascii="Calibri" w:hAnsi="Calibri" w:cs="Calibri"/>
          <w:sz w:val="22"/>
          <w:szCs w:val="22"/>
          <w:lang w:val="nl-NL" w:eastAsia="zh-CN"/>
        </w:rPr>
        <w:t>Het kabinet heeft een voorkeur voor een definitie die aansluit bij de definitie die momenteel nationaal wordt gehanteerd, waarbij er niet per definitie sprake hoeft te zijn van versleuteling</w:t>
      </w:r>
      <w:r w:rsidRPr="00BF7731" w:rsidR="009C2B22">
        <w:rPr>
          <w:rFonts w:ascii="Calibri" w:hAnsi="Calibri" w:cs="Calibri"/>
          <w:sz w:val="22"/>
          <w:szCs w:val="22"/>
          <w:lang w:val="nl-NL" w:eastAsia="zh-CN"/>
        </w:rPr>
        <w:t xml:space="preserve"> van de gegevens</w:t>
      </w:r>
      <w:r w:rsidRPr="00BF7731" w:rsidR="00AA10A5">
        <w:rPr>
          <w:rFonts w:ascii="Calibri" w:hAnsi="Calibri" w:cs="Calibri"/>
          <w:sz w:val="22"/>
          <w:szCs w:val="22"/>
          <w:lang w:val="nl-NL" w:eastAsia="zh-CN"/>
        </w:rPr>
        <w:t>, maar van alle gevallen waarin losgeld gevraagd wordt</w:t>
      </w:r>
      <w:r w:rsidRPr="00BF7731" w:rsidR="00286653">
        <w:rPr>
          <w:rFonts w:ascii="Calibri" w:hAnsi="Calibri" w:cs="Calibri"/>
          <w:sz w:val="22"/>
          <w:szCs w:val="22"/>
          <w:lang w:val="nl-NL" w:eastAsia="zh-CN"/>
        </w:rPr>
        <w:t xml:space="preserve">. </w:t>
      </w:r>
      <w:r w:rsidRPr="00BF7731" w:rsidR="00A63D97">
        <w:rPr>
          <w:rFonts w:ascii="Calibri" w:hAnsi="Calibri" w:cs="Calibri"/>
          <w:sz w:val="22"/>
          <w:szCs w:val="22"/>
          <w:lang w:val="nl-NL" w:eastAsia="zh-CN"/>
        </w:rPr>
        <w:t xml:space="preserve">Het kabinet denkt graag mee met opstellen van een passende definitie in lijn met de huidige ontwikkelingen in de ICT. </w:t>
      </w:r>
      <w:r w:rsidRPr="00BF7731" w:rsidR="00A62745">
        <w:rPr>
          <w:rFonts w:ascii="Calibri" w:hAnsi="Calibri" w:cs="Calibri"/>
          <w:sz w:val="22"/>
          <w:szCs w:val="22"/>
          <w:lang w:val="nl-NL" w:eastAsia="zh-CN"/>
        </w:rPr>
        <w:t xml:space="preserve">Tot slot is het de inzet van het kabinet om in de wijze waarop de voorstellen </w:t>
      </w:r>
      <w:r w:rsidRPr="00BF7731" w:rsidR="005F2132">
        <w:rPr>
          <w:rFonts w:ascii="Calibri" w:hAnsi="Calibri" w:cs="Calibri"/>
          <w:sz w:val="22"/>
          <w:szCs w:val="22"/>
          <w:lang w:val="nl-NL" w:eastAsia="zh-CN"/>
        </w:rPr>
        <w:t xml:space="preserve">die zien op </w:t>
      </w:r>
      <w:proofErr w:type="spellStart"/>
      <w:r w:rsidRPr="00BF7731" w:rsidR="005F2132">
        <w:rPr>
          <w:rFonts w:ascii="Calibri" w:hAnsi="Calibri" w:cs="Calibri"/>
          <w:i/>
          <w:iCs/>
          <w:sz w:val="22"/>
          <w:szCs w:val="22"/>
          <w:lang w:val="nl-NL" w:eastAsia="zh-CN"/>
        </w:rPr>
        <w:t>ransomware</w:t>
      </w:r>
      <w:proofErr w:type="spellEnd"/>
      <w:r w:rsidRPr="00BF7731" w:rsidR="005F2132">
        <w:rPr>
          <w:rFonts w:ascii="Calibri" w:hAnsi="Calibri" w:cs="Calibri"/>
          <w:sz w:val="22"/>
          <w:szCs w:val="22"/>
          <w:lang w:val="nl-NL" w:eastAsia="zh-CN"/>
        </w:rPr>
        <w:t xml:space="preserve"> </w:t>
      </w:r>
      <w:r w:rsidRPr="00BF7731" w:rsidR="00A62745">
        <w:rPr>
          <w:rFonts w:ascii="Calibri" w:hAnsi="Calibri" w:cs="Calibri"/>
          <w:sz w:val="22"/>
          <w:szCs w:val="22"/>
          <w:lang w:val="nl-NL" w:eastAsia="zh-CN"/>
        </w:rPr>
        <w:t>worden vormgegeven, de belangen van de rechtshandhaving te waarborgen.</w:t>
      </w:r>
    </w:p>
    <w:p w:rsidRPr="00BF7731" w:rsidR="00DE5D1F" w:rsidP="007B6E63" w:rsidRDefault="00DE5D1F" w14:paraId="7847418C" w14:textId="77777777">
      <w:pPr>
        <w:pStyle w:val="Spreekpunten"/>
        <w:numPr>
          <w:ilvl w:val="0"/>
          <w:numId w:val="0"/>
        </w:numPr>
        <w:rPr>
          <w:rFonts w:ascii="Calibri" w:hAnsi="Calibri" w:cs="Calibri"/>
          <w:sz w:val="22"/>
          <w:szCs w:val="22"/>
          <w:lang w:val="nl-NL" w:eastAsia="zh-CN"/>
        </w:rPr>
      </w:pPr>
    </w:p>
    <w:p w:rsidRPr="00BF7731" w:rsidR="00071D97" w:rsidP="008E6E07" w:rsidRDefault="007F62FB" w14:paraId="6BBB413D" w14:textId="2761D8FE">
      <w:pPr>
        <w:pStyle w:val="Geenafstand"/>
        <w:spacing w:line="360" w:lineRule="auto"/>
        <w:rPr>
          <w:rFonts w:ascii="Calibri" w:hAnsi="Calibri" w:cs="Calibri"/>
          <w:szCs w:val="22"/>
        </w:rPr>
      </w:pPr>
      <w:bookmarkStart w:name="_Hlk221531394" w:id="9"/>
      <w:r w:rsidRPr="00BF7731">
        <w:rPr>
          <w:rFonts w:ascii="Calibri" w:hAnsi="Calibri" w:cs="Calibri"/>
          <w:iCs/>
          <w:szCs w:val="22"/>
        </w:rPr>
        <w:t xml:space="preserve">Het kabinet kijkt positief naar de </w:t>
      </w:r>
      <w:r w:rsidRPr="00BF7731" w:rsidR="00286653">
        <w:rPr>
          <w:rFonts w:ascii="Calibri" w:hAnsi="Calibri" w:cs="Calibri"/>
          <w:iCs/>
          <w:szCs w:val="22"/>
        </w:rPr>
        <w:t>voorgestelde</w:t>
      </w:r>
      <w:r w:rsidRPr="00BF7731">
        <w:rPr>
          <w:rFonts w:ascii="Calibri" w:hAnsi="Calibri" w:cs="Calibri"/>
          <w:iCs/>
          <w:szCs w:val="22"/>
        </w:rPr>
        <w:t xml:space="preserve"> rol </w:t>
      </w:r>
      <w:r w:rsidRPr="00BF7731" w:rsidR="00286653">
        <w:rPr>
          <w:rFonts w:ascii="Calibri" w:hAnsi="Calibri" w:cs="Calibri"/>
          <w:iCs/>
          <w:szCs w:val="22"/>
        </w:rPr>
        <w:t>voor</w:t>
      </w:r>
      <w:r w:rsidRPr="00BF7731">
        <w:rPr>
          <w:rFonts w:ascii="Calibri" w:hAnsi="Calibri" w:cs="Calibri"/>
          <w:iCs/>
          <w:szCs w:val="22"/>
        </w:rPr>
        <w:t xml:space="preserve"> ENISA om de samenwerking tussen </w:t>
      </w:r>
      <w:r w:rsidRPr="00BF7731" w:rsidR="002473FD">
        <w:rPr>
          <w:rFonts w:ascii="Calibri" w:hAnsi="Calibri" w:cs="Calibri"/>
          <w:iCs/>
          <w:szCs w:val="22"/>
        </w:rPr>
        <w:t>de bevoegde autoriteiten binnen de EU</w:t>
      </w:r>
      <w:r w:rsidRPr="00BF7731">
        <w:rPr>
          <w:rFonts w:ascii="Calibri" w:hAnsi="Calibri" w:cs="Calibri"/>
          <w:iCs/>
          <w:szCs w:val="22"/>
        </w:rPr>
        <w:t xml:space="preserve"> te bevorderen</w:t>
      </w:r>
      <w:r w:rsidRPr="00BF7731" w:rsidR="00E844C9">
        <w:rPr>
          <w:rFonts w:ascii="Calibri" w:hAnsi="Calibri" w:cs="Calibri"/>
          <w:iCs/>
          <w:szCs w:val="22"/>
        </w:rPr>
        <w:t xml:space="preserve"> en te assisteren in</w:t>
      </w:r>
      <w:r w:rsidRPr="00BF7731">
        <w:rPr>
          <w:rFonts w:ascii="Calibri" w:hAnsi="Calibri" w:cs="Calibri"/>
          <w:iCs/>
          <w:szCs w:val="22"/>
        </w:rPr>
        <w:t xml:space="preserve"> wederzijdse bijstan</w:t>
      </w:r>
      <w:r w:rsidRPr="00BF7731" w:rsidR="002473FD">
        <w:rPr>
          <w:rFonts w:ascii="Calibri" w:hAnsi="Calibri" w:cs="Calibri"/>
          <w:iCs/>
          <w:szCs w:val="22"/>
        </w:rPr>
        <w:t>d</w:t>
      </w:r>
      <w:r w:rsidRPr="00BF7731" w:rsidR="00286653">
        <w:rPr>
          <w:rFonts w:ascii="Calibri" w:hAnsi="Calibri" w:cs="Calibri"/>
          <w:iCs/>
          <w:szCs w:val="22"/>
        </w:rPr>
        <w:t xml:space="preserve"> tussen die autoriteiten</w:t>
      </w:r>
      <w:r w:rsidRPr="00BF7731" w:rsidR="005D7717">
        <w:rPr>
          <w:rFonts w:ascii="Calibri" w:hAnsi="Calibri" w:cs="Calibri"/>
          <w:iCs/>
          <w:szCs w:val="22"/>
        </w:rPr>
        <w:t xml:space="preserve">. </w:t>
      </w:r>
      <w:r w:rsidRPr="00BF7731" w:rsidR="00693D09">
        <w:rPr>
          <w:rFonts w:ascii="Calibri" w:hAnsi="Calibri" w:cs="Calibri"/>
          <w:iCs/>
          <w:szCs w:val="22"/>
        </w:rPr>
        <w:t xml:space="preserve">In dit verband wil ENISA ook analyses over grensoverschrijdende cyberrisico’s opstellen om in het kader daarvan, </w:t>
      </w:r>
      <w:r w:rsidRPr="00BF7731" w:rsidR="005F2132">
        <w:rPr>
          <w:rFonts w:ascii="Calibri" w:hAnsi="Calibri" w:cs="Calibri"/>
          <w:iCs/>
          <w:szCs w:val="22"/>
        </w:rPr>
        <w:t xml:space="preserve">al dan niet </w:t>
      </w:r>
      <w:r w:rsidRPr="00BF7731" w:rsidR="00693D09">
        <w:rPr>
          <w:rFonts w:ascii="Calibri" w:hAnsi="Calibri" w:cs="Calibri"/>
          <w:iCs/>
          <w:szCs w:val="22"/>
        </w:rPr>
        <w:t xml:space="preserve">op verzoek van de bevoegde autoriteiten, </w:t>
      </w:r>
      <w:r w:rsidRPr="00BF7731" w:rsidR="005F2132">
        <w:rPr>
          <w:rFonts w:ascii="Calibri" w:hAnsi="Calibri" w:cs="Calibri"/>
          <w:iCs/>
          <w:szCs w:val="22"/>
        </w:rPr>
        <w:t xml:space="preserve">ondersteunde maatregelen te nemen (waaronder </w:t>
      </w:r>
      <w:proofErr w:type="spellStart"/>
      <w:r w:rsidRPr="00BF7731" w:rsidR="005F2132">
        <w:rPr>
          <w:rFonts w:ascii="Calibri" w:hAnsi="Calibri" w:cs="Calibri"/>
          <w:i/>
          <w:szCs w:val="22"/>
        </w:rPr>
        <w:t>guidelines</w:t>
      </w:r>
      <w:proofErr w:type="spellEnd"/>
      <w:r w:rsidRPr="00BF7731" w:rsidR="005F2132">
        <w:rPr>
          <w:rFonts w:ascii="Calibri" w:hAnsi="Calibri" w:cs="Calibri"/>
          <w:iCs/>
          <w:szCs w:val="22"/>
        </w:rPr>
        <w:t xml:space="preserve"> voor gezamenlijke </w:t>
      </w:r>
      <w:proofErr w:type="spellStart"/>
      <w:r w:rsidRPr="00BF7731" w:rsidR="005F2132">
        <w:rPr>
          <w:rFonts w:ascii="Calibri" w:hAnsi="Calibri" w:cs="Calibri"/>
          <w:iCs/>
          <w:szCs w:val="22"/>
        </w:rPr>
        <w:t>toezichtsacties</w:t>
      </w:r>
      <w:proofErr w:type="spellEnd"/>
      <w:r w:rsidRPr="00BF7731" w:rsidR="005F2132">
        <w:rPr>
          <w:rFonts w:ascii="Calibri" w:hAnsi="Calibri" w:cs="Calibri"/>
          <w:iCs/>
          <w:szCs w:val="22"/>
        </w:rPr>
        <w:t xml:space="preserve">). </w:t>
      </w:r>
      <w:r w:rsidRPr="00BF7731" w:rsidR="00693D09">
        <w:rPr>
          <w:rFonts w:ascii="Calibri" w:hAnsi="Calibri" w:cs="Calibri"/>
          <w:iCs/>
          <w:szCs w:val="22"/>
        </w:rPr>
        <w:t>Het kabinet ondersteun</w:t>
      </w:r>
      <w:r w:rsidRPr="00BF7731" w:rsidR="005F2132">
        <w:rPr>
          <w:rFonts w:ascii="Calibri" w:hAnsi="Calibri" w:cs="Calibri"/>
          <w:iCs/>
          <w:szCs w:val="22"/>
        </w:rPr>
        <w:t>t</w:t>
      </w:r>
      <w:r w:rsidRPr="00BF7731" w:rsidR="00693D09">
        <w:rPr>
          <w:rFonts w:ascii="Calibri" w:hAnsi="Calibri" w:cs="Calibri"/>
          <w:iCs/>
          <w:szCs w:val="22"/>
        </w:rPr>
        <w:t xml:space="preserve"> het principe dat</w:t>
      </w:r>
      <w:r w:rsidRPr="00BF7731" w:rsidR="005F2132">
        <w:rPr>
          <w:rFonts w:ascii="Calibri" w:hAnsi="Calibri" w:cs="Calibri"/>
          <w:iCs/>
          <w:szCs w:val="22"/>
        </w:rPr>
        <w:t>, omdat verschillende essentiële</w:t>
      </w:r>
      <w:r w:rsidRPr="00BF7731" w:rsidR="00463082">
        <w:rPr>
          <w:rFonts w:ascii="Calibri" w:hAnsi="Calibri" w:cs="Calibri"/>
          <w:iCs/>
          <w:szCs w:val="22"/>
        </w:rPr>
        <w:t xml:space="preserve"> entiteiten</w:t>
      </w:r>
      <w:r w:rsidRPr="00BF7731" w:rsidR="005F2132">
        <w:rPr>
          <w:rFonts w:ascii="Calibri" w:hAnsi="Calibri" w:cs="Calibri"/>
          <w:iCs/>
          <w:szCs w:val="22"/>
        </w:rPr>
        <w:t xml:space="preserve"> of belangrijke entiteiten in meer dan één lidstaat diensten verlenen, </w:t>
      </w:r>
      <w:r w:rsidRPr="00BF7731" w:rsidR="00693D09">
        <w:rPr>
          <w:rFonts w:ascii="Calibri" w:hAnsi="Calibri" w:cs="Calibri"/>
          <w:szCs w:val="22"/>
        </w:rPr>
        <w:t xml:space="preserve">efficiënte internationale samenwerking tussen toezichthouders noodzakelijk is en ziet in dat verband meerwaarde in het inzichtelijk krijgen van </w:t>
      </w:r>
      <w:r w:rsidRPr="00BF7731" w:rsidR="00693D09">
        <w:rPr>
          <w:rFonts w:ascii="Calibri" w:hAnsi="Calibri" w:cs="Calibri"/>
          <w:iCs/>
          <w:szCs w:val="22"/>
        </w:rPr>
        <w:t xml:space="preserve">grensoverschrijdende cyberrisico’s. </w:t>
      </w:r>
      <w:r w:rsidRPr="00BF7731" w:rsidR="00071D97">
        <w:rPr>
          <w:rFonts w:ascii="Calibri" w:hAnsi="Calibri" w:cs="Calibri"/>
          <w:iCs/>
          <w:szCs w:val="22"/>
        </w:rPr>
        <w:t xml:space="preserve">Het kabinet ondersteunt het vrijwillige karakter van deze wederzijdse bijstand, zodat lidstaten de ruimte hebben om deze bijstand te verzoeken. Het kabinet </w:t>
      </w:r>
      <w:r w:rsidRPr="00BF7731" w:rsidR="008E6E07">
        <w:rPr>
          <w:rFonts w:ascii="Calibri" w:hAnsi="Calibri" w:cs="Calibri"/>
          <w:iCs/>
          <w:szCs w:val="22"/>
        </w:rPr>
        <w:t xml:space="preserve">volgt de uitwerking van dit voorstel dan ook met interesse, specifiek hoe deze nieuwe rol van ENISA zich gaat verhouden tot </w:t>
      </w:r>
      <w:r w:rsidRPr="00BF7731" w:rsidR="00693D09">
        <w:rPr>
          <w:rFonts w:ascii="Calibri" w:hAnsi="Calibri" w:cs="Calibri"/>
          <w:iCs/>
          <w:szCs w:val="22"/>
        </w:rPr>
        <w:t>het taakgebied van nationale instanties en bevoegde autoriteiten</w:t>
      </w:r>
      <w:r w:rsidRPr="00BF7731" w:rsidR="008E6E07">
        <w:rPr>
          <w:rFonts w:ascii="Calibri" w:hAnsi="Calibri" w:cs="Calibri"/>
          <w:iCs/>
          <w:szCs w:val="22"/>
        </w:rPr>
        <w:t>.</w:t>
      </w:r>
    </w:p>
    <w:p w:rsidRPr="00BF7731" w:rsidR="00693D09" w:rsidP="007F62FB" w:rsidRDefault="00693D09" w14:paraId="737BDC49" w14:textId="77777777">
      <w:pPr>
        <w:spacing w:line="360" w:lineRule="auto"/>
        <w:rPr>
          <w:rFonts w:ascii="Calibri" w:hAnsi="Calibri" w:cs="Calibri"/>
          <w:iCs/>
          <w:szCs w:val="22"/>
        </w:rPr>
      </w:pPr>
    </w:p>
    <w:p w:rsidRPr="00BF7731" w:rsidR="00A36D39" w:rsidP="007F62FB" w:rsidRDefault="005632D1" w14:paraId="48270AF1" w14:textId="3C09F0F6">
      <w:pPr>
        <w:spacing w:line="360" w:lineRule="auto"/>
        <w:rPr>
          <w:rFonts w:ascii="Calibri" w:hAnsi="Calibri" w:cs="Calibri"/>
          <w:iCs/>
          <w:szCs w:val="22"/>
        </w:rPr>
      </w:pPr>
      <w:r w:rsidRPr="00BF7731">
        <w:rPr>
          <w:rFonts w:ascii="Calibri" w:hAnsi="Calibri" w:cs="Calibri"/>
          <w:iCs/>
          <w:szCs w:val="22"/>
        </w:rPr>
        <w:t xml:space="preserve">Ook is het </w:t>
      </w:r>
      <w:r w:rsidRPr="00BF7731" w:rsidR="009232D7">
        <w:rPr>
          <w:rFonts w:ascii="Calibri" w:hAnsi="Calibri" w:cs="Calibri"/>
          <w:iCs/>
          <w:szCs w:val="22"/>
        </w:rPr>
        <w:t>voor het kabinet (nog) onduidelijk of</w:t>
      </w:r>
      <w:r w:rsidRPr="00BF7731" w:rsidR="00D5342D">
        <w:rPr>
          <w:rFonts w:ascii="Calibri" w:hAnsi="Calibri" w:cs="Calibri"/>
          <w:iCs/>
          <w:szCs w:val="22"/>
        </w:rPr>
        <w:t xml:space="preserve"> </w:t>
      </w:r>
      <w:r w:rsidRPr="00BF7731" w:rsidR="009232D7">
        <w:rPr>
          <w:rFonts w:ascii="Calibri" w:hAnsi="Calibri" w:cs="Calibri"/>
          <w:iCs/>
          <w:szCs w:val="22"/>
        </w:rPr>
        <w:t>de uitbreiding van het register van entiteiten in beheer bij ENISA</w:t>
      </w:r>
      <w:r w:rsidRPr="00BF7731" w:rsidR="00EB6A43">
        <w:rPr>
          <w:rFonts w:ascii="Calibri" w:hAnsi="Calibri" w:cs="Calibri"/>
          <w:iCs/>
          <w:szCs w:val="22"/>
        </w:rPr>
        <w:t xml:space="preserve">, waarbij de verplichting voor lidstaten is opgenomen om </w:t>
      </w:r>
      <w:r w:rsidRPr="00BF7731" w:rsidR="00EB6A43">
        <w:rPr>
          <w:rFonts w:ascii="Calibri" w:hAnsi="Calibri" w:cs="Calibri"/>
          <w:szCs w:val="22"/>
        </w:rPr>
        <w:t>voortaan voor alle essentiële entiteiten en belangrijke entiteiten informatie aan te leveren, b</w:t>
      </w:r>
      <w:r w:rsidRPr="00BF7731" w:rsidR="009232D7">
        <w:rPr>
          <w:rFonts w:ascii="Calibri" w:hAnsi="Calibri" w:cs="Calibri"/>
          <w:iCs/>
          <w:szCs w:val="22"/>
        </w:rPr>
        <w:t>edoeld is voor de</w:t>
      </w:r>
      <w:r w:rsidRPr="00BF7731" w:rsidR="00D5342D">
        <w:rPr>
          <w:rFonts w:ascii="Calibri" w:hAnsi="Calibri" w:cs="Calibri"/>
          <w:iCs/>
          <w:szCs w:val="22"/>
        </w:rPr>
        <w:t xml:space="preserve"> </w:t>
      </w:r>
      <w:r w:rsidRPr="00BF7731" w:rsidR="009232D7">
        <w:rPr>
          <w:rFonts w:ascii="Calibri" w:hAnsi="Calibri" w:cs="Calibri"/>
          <w:iCs/>
          <w:szCs w:val="22"/>
        </w:rPr>
        <w:t xml:space="preserve">assisterende rol van ENISA. </w:t>
      </w:r>
      <w:r w:rsidRPr="00BF7731" w:rsidR="00452503">
        <w:rPr>
          <w:rFonts w:ascii="Calibri" w:hAnsi="Calibri" w:cs="Calibri"/>
          <w:iCs/>
          <w:szCs w:val="22"/>
        </w:rPr>
        <w:t xml:space="preserve">Het kabinet vraagt zich </w:t>
      </w:r>
      <w:r w:rsidRPr="00BF7731" w:rsidR="00EB6A43">
        <w:rPr>
          <w:rFonts w:ascii="Calibri" w:hAnsi="Calibri" w:cs="Calibri"/>
          <w:iCs/>
          <w:szCs w:val="22"/>
        </w:rPr>
        <w:t>in dit verband</w:t>
      </w:r>
      <w:r w:rsidRPr="00BF7731" w:rsidR="00452503">
        <w:rPr>
          <w:rFonts w:ascii="Calibri" w:hAnsi="Calibri" w:cs="Calibri"/>
          <w:iCs/>
          <w:szCs w:val="22"/>
        </w:rPr>
        <w:t xml:space="preserve"> af of het noodzakelijk is om</w:t>
      </w:r>
      <w:r w:rsidRPr="00BF7731" w:rsidR="009232D7">
        <w:rPr>
          <w:rFonts w:ascii="Calibri" w:hAnsi="Calibri" w:cs="Calibri"/>
          <w:iCs/>
          <w:szCs w:val="22"/>
        </w:rPr>
        <w:t xml:space="preserve"> in het kader van de</w:t>
      </w:r>
      <w:r w:rsidRPr="00BF7731" w:rsidR="00EB6A43">
        <w:rPr>
          <w:rFonts w:ascii="Calibri" w:hAnsi="Calibri" w:cs="Calibri"/>
          <w:iCs/>
          <w:szCs w:val="22"/>
        </w:rPr>
        <w:t xml:space="preserve"> bovenbedoelde</w:t>
      </w:r>
      <w:r w:rsidRPr="00BF7731" w:rsidR="009232D7">
        <w:rPr>
          <w:rFonts w:ascii="Calibri" w:hAnsi="Calibri" w:cs="Calibri"/>
          <w:iCs/>
          <w:szCs w:val="22"/>
        </w:rPr>
        <w:t xml:space="preserve"> analyses de</w:t>
      </w:r>
      <w:r w:rsidRPr="00BF7731" w:rsidR="00EB6A43">
        <w:rPr>
          <w:rFonts w:ascii="Calibri" w:hAnsi="Calibri" w:cs="Calibri"/>
          <w:iCs/>
          <w:szCs w:val="22"/>
        </w:rPr>
        <w:t xml:space="preserve">ze </w:t>
      </w:r>
      <w:r w:rsidRPr="00BF7731" w:rsidR="009232D7">
        <w:rPr>
          <w:rFonts w:ascii="Calibri" w:hAnsi="Calibri" w:cs="Calibri"/>
          <w:iCs/>
          <w:szCs w:val="22"/>
        </w:rPr>
        <w:t>verplichting voor lidstaten op te</w:t>
      </w:r>
      <w:r w:rsidRPr="00BF7731" w:rsidR="00EB6A43">
        <w:rPr>
          <w:rFonts w:ascii="Calibri" w:hAnsi="Calibri" w:cs="Calibri"/>
          <w:iCs/>
          <w:szCs w:val="22"/>
        </w:rPr>
        <w:t xml:space="preserve"> nemen.</w:t>
      </w:r>
      <w:r w:rsidRPr="00BF7731" w:rsidR="00655A5B">
        <w:rPr>
          <w:rFonts w:ascii="Calibri" w:hAnsi="Calibri" w:cs="Calibri"/>
          <w:iCs/>
          <w:szCs w:val="22"/>
        </w:rPr>
        <w:t xml:space="preserve"> </w:t>
      </w:r>
      <w:r w:rsidRPr="00BF7731" w:rsidR="00452503">
        <w:rPr>
          <w:rFonts w:ascii="Calibri" w:hAnsi="Calibri" w:cs="Calibri"/>
          <w:iCs/>
          <w:szCs w:val="22"/>
        </w:rPr>
        <w:t>Het kabinet ziet</w:t>
      </w:r>
      <w:r w:rsidRPr="00BF7731" w:rsidR="009232D7">
        <w:rPr>
          <w:rFonts w:ascii="Calibri" w:hAnsi="Calibri" w:cs="Calibri"/>
          <w:iCs/>
          <w:szCs w:val="22"/>
        </w:rPr>
        <w:t xml:space="preserve"> </w:t>
      </w:r>
      <w:r w:rsidRPr="00BF7731" w:rsidR="00EB6A43">
        <w:rPr>
          <w:rFonts w:ascii="Calibri" w:hAnsi="Calibri" w:cs="Calibri"/>
          <w:iCs/>
          <w:szCs w:val="22"/>
        </w:rPr>
        <w:t>hierover</w:t>
      </w:r>
      <w:r w:rsidRPr="00BF7731" w:rsidR="00452503">
        <w:rPr>
          <w:rFonts w:ascii="Calibri" w:hAnsi="Calibri" w:cs="Calibri"/>
          <w:iCs/>
          <w:szCs w:val="22"/>
        </w:rPr>
        <w:t xml:space="preserve"> graag </w:t>
      </w:r>
      <w:r w:rsidRPr="00BF7731" w:rsidR="009232D7">
        <w:rPr>
          <w:rFonts w:ascii="Calibri" w:hAnsi="Calibri" w:cs="Calibri"/>
          <w:iCs/>
          <w:szCs w:val="22"/>
        </w:rPr>
        <w:t xml:space="preserve">een </w:t>
      </w:r>
      <w:r w:rsidRPr="00BF7731" w:rsidR="00452503">
        <w:rPr>
          <w:rFonts w:ascii="Calibri" w:hAnsi="Calibri" w:cs="Calibri"/>
          <w:iCs/>
          <w:szCs w:val="22"/>
        </w:rPr>
        <w:t>nadere onderbouwing. Het kabinet vraagt zich daarnaast af</w:t>
      </w:r>
      <w:r w:rsidRPr="00BF7731" w:rsidR="009232D7">
        <w:rPr>
          <w:rFonts w:ascii="Calibri" w:hAnsi="Calibri" w:cs="Calibri"/>
          <w:iCs/>
          <w:szCs w:val="22"/>
        </w:rPr>
        <w:t xml:space="preserve"> of en zo ja, </w:t>
      </w:r>
      <w:r w:rsidRPr="00BF7731" w:rsidR="00452503">
        <w:rPr>
          <w:rFonts w:ascii="Calibri" w:hAnsi="Calibri" w:cs="Calibri"/>
          <w:iCs/>
          <w:szCs w:val="22"/>
        </w:rPr>
        <w:t>waarvoor de</w:t>
      </w:r>
      <w:r w:rsidRPr="00BF7731" w:rsidR="009232D7">
        <w:rPr>
          <w:rFonts w:ascii="Calibri" w:hAnsi="Calibri" w:cs="Calibri"/>
          <w:iCs/>
          <w:szCs w:val="22"/>
        </w:rPr>
        <w:t xml:space="preserve"> </w:t>
      </w:r>
      <w:r w:rsidRPr="00BF7731" w:rsidR="005F2132">
        <w:rPr>
          <w:rFonts w:ascii="Calibri" w:hAnsi="Calibri" w:cs="Calibri"/>
          <w:iCs/>
          <w:szCs w:val="22"/>
        </w:rPr>
        <w:t xml:space="preserve">ten behoeve van het register bij ENISA aan te leveren informatie </w:t>
      </w:r>
      <w:r w:rsidRPr="00BF7731" w:rsidR="00452503">
        <w:rPr>
          <w:rFonts w:ascii="Calibri" w:hAnsi="Calibri" w:cs="Calibri"/>
          <w:iCs/>
          <w:szCs w:val="22"/>
        </w:rPr>
        <w:t xml:space="preserve">nog meer gebruikt </w:t>
      </w:r>
      <w:r w:rsidRPr="00BF7731" w:rsidR="009232D7">
        <w:rPr>
          <w:rFonts w:ascii="Calibri" w:hAnsi="Calibri" w:cs="Calibri"/>
          <w:iCs/>
          <w:szCs w:val="22"/>
        </w:rPr>
        <w:t xml:space="preserve">zou </w:t>
      </w:r>
      <w:r w:rsidRPr="00BF7731" w:rsidR="00452503">
        <w:rPr>
          <w:rFonts w:ascii="Calibri" w:hAnsi="Calibri" w:cs="Calibri"/>
          <w:iCs/>
          <w:szCs w:val="22"/>
        </w:rPr>
        <w:t>(</w:t>
      </w:r>
      <w:r w:rsidRPr="00BF7731" w:rsidR="009232D7">
        <w:rPr>
          <w:rFonts w:ascii="Calibri" w:hAnsi="Calibri" w:cs="Calibri"/>
          <w:iCs/>
          <w:szCs w:val="22"/>
        </w:rPr>
        <w:t>kunnen</w:t>
      </w:r>
      <w:r w:rsidRPr="00BF7731" w:rsidR="00452503">
        <w:rPr>
          <w:rFonts w:ascii="Calibri" w:hAnsi="Calibri" w:cs="Calibri"/>
          <w:iCs/>
          <w:szCs w:val="22"/>
        </w:rPr>
        <w:t xml:space="preserve">) worden, </w:t>
      </w:r>
      <w:r w:rsidRPr="00BF7731" w:rsidR="009232D7">
        <w:rPr>
          <w:rFonts w:ascii="Calibri" w:hAnsi="Calibri" w:cs="Calibri"/>
          <w:iCs/>
          <w:szCs w:val="22"/>
        </w:rPr>
        <w:t xml:space="preserve">waarom </w:t>
      </w:r>
      <w:r w:rsidRPr="00BF7731" w:rsidR="00452503">
        <w:rPr>
          <w:rFonts w:ascii="Calibri" w:hAnsi="Calibri" w:cs="Calibri"/>
          <w:iCs/>
          <w:szCs w:val="22"/>
        </w:rPr>
        <w:t xml:space="preserve">het voorstel </w:t>
      </w:r>
      <w:r w:rsidRPr="00BF7731" w:rsidR="005F109E">
        <w:rPr>
          <w:rFonts w:ascii="Calibri" w:hAnsi="Calibri" w:cs="Calibri"/>
          <w:iCs/>
          <w:szCs w:val="22"/>
        </w:rPr>
        <w:t>voor</w:t>
      </w:r>
      <w:r w:rsidRPr="00BF7731" w:rsidR="009232D7">
        <w:rPr>
          <w:rFonts w:ascii="Calibri" w:hAnsi="Calibri" w:cs="Calibri"/>
          <w:iCs/>
          <w:szCs w:val="22"/>
        </w:rPr>
        <w:t xml:space="preserve"> een uitbreiding van d</w:t>
      </w:r>
      <w:r w:rsidRPr="00BF7731" w:rsidR="00EB6A43">
        <w:rPr>
          <w:rFonts w:ascii="Calibri" w:hAnsi="Calibri" w:cs="Calibri"/>
          <w:iCs/>
          <w:szCs w:val="22"/>
        </w:rPr>
        <w:t>a</w:t>
      </w:r>
      <w:r w:rsidRPr="00BF7731" w:rsidR="009232D7">
        <w:rPr>
          <w:rFonts w:ascii="Calibri" w:hAnsi="Calibri" w:cs="Calibri"/>
          <w:iCs/>
          <w:szCs w:val="22"/>
        </w:rPr>
        <w:t xml:space="preserve">t register van entiteiten bij ENISA </w:t>
      </w:r>
      <w:r w:rsidRPr="00BF7731" w:rsidR="00452503">
        <w:rPr>
          <w:rFonts w:ascii="Calibri" w:hAnsi="Calibri" w:cs="Calibri"/>
          <w:iCs/>
          <w:szCs w:val="22"/>
        </w:rPr>
        <w:t>ongeclausuleerd is</w:t>
      </w:r>
      <w:r w:rsidRPr="00BF7731" w:rsidR="009232D7">
        <w:rPr>
          <w:rFonts w:ascii="Calibri" w:hAnsi="Calibri" w:cs="Calibri"/>
          <w:iCs/>
          <w:szCs w:val="22"/>
        </w:rPr>
        <w:t xml:space="preserve"> </w:t>
      </w:r>
      <w:r w:rsidRPr="00BF7731" w:rsidR="00EE3A56">
        <w:rPr>
          <w:rFonts w:ascii="Calibri" w:hAnsi="Calibri" w:cs="Calibri"/>
          <w:iCs/>
          <w:szCs w:val="22"/>
        </w:rPr>
        <w:t>e</w:t>
      </w:r>
      <w:r w:rsidRPr="00BF7731" w:rsidR="009232D7">
        <w:rPr>
          <w:rFonts w:ascii="Calibri" w:hAnsi="Calibri" w:cs="Calibri"/>
          <w:iCs/>
          <w:szCs w:val="22"/>
        </w:rPr>
        <w:t xml:space="preserve">n waarom gebruikmaking van het register </w:t>
      </w:r>
      <w:r w:rsidRPr="00BF7731" w:rsidR="005F2132">
        <w:rPr>
          <w:rFonts w:ascii="Calibri" w:hAnsi="Calibri" w:cs="Calibri"/>
          <w:iCs/>
          <w:szCs w:val="22"/>
        </w:rPr>
        <w:t xml:space="preserve">noodzakelijk zou zijn voor het verrichten van eventuele andere doeleinden. </w:t>
      </w:r>
      <w:r w:rsidRPr="00BF7731" w:rsidR="00655A5B">
        <w:rPr>
          <w:rFonts w:ascii="Calibri" w:hAnsi="Calibri" w:cs="Calibri"/>
          <w:iCs/>
          <w:szCs w:val="22"/>
        </w:rPr>
        <w:t xml:space="preserve">Daarbij verwijst </w:t>
      </w:r>
      <w:r w:rsidRPr="00BF7731" w:rsidR="00B538D4">
        <w:rPr>
          <w:rFonts w:ascii="Calibri" w:hAnsi="Calibri" w:cs="Calibri"/>
          <w:iCs/>
          <w:szCs w:val="22"/>
        </w:rPr>
        <w:t xml:space="preserve">het </w:t>
      </w:r>
      <w:r w:rsidRPr="00BF7731" w:rsidR="00655A5B">
        <w:rPr>
          <w:rFonts w:ascii="Calibri" w:hAnsi="Calibri" w:cs="Calibri"/>
          <w:iCs/>
          <w:szCs w:val="22"/>
        </w:rPr>
        <w:t xml:space="preserve">kabinet naar de zorgen die zij reeds in het </w:t>
      </w:r>
      <w:r w:rsidRPr="00BF7731" w:rsidR="00E0597D">
        <w:rPr>
          <w:rFonts w:ascii="Calibri" w:hAnsi="Calibri" w:cs="Calibri"/>
          <w:iCs/>
          <w:szCs w:val="22"/>
        </w:rPr>
        <w:t>fiche</w:t>
      </w:r>
      <w:r w:rsidRPr="00BF7731" w:rsidR="00655A5B">
        <w:rPr>
          <w:rFonts w:ascii="Calibri" w:hAnsi="Calibri" w:cs="Calibri"/>
          <w:iCs/>
          <w:szCs w:val="22"/>
        </w:rPr>
        <w:t xml:space="preserve"> aangaande de Digitale Omnibus </w:t>
      </w:r>
      <w:r w:rsidRPr="00BF7731" w:rsidR="00EE3A56">
        <w:rPr>
          <w:rFonts w:ascii="Calibri" w:hAnsi="Calibri" w:cs="Calibri"/>
          <w:iCs/>
          <w:szCs w:val="22"/>
        </w:rPr>
        <w:t>e</w:t>
      </w:r>
      <w:r w:rsidRPr="00BF7731" w:rsidR="00655A5B">
        <w:rPr>
          <w:rFonts w:ascii="Calibri" w:hAnsi="Calibri" w:cs="Calibri"/>
          <w:iCs/>
          <w:szCs w:val="22"/>
        </w:rPr>
        <w:t xml:space="preserve">n het </w:t>
      </w:r>
      <w:r w:rsidRPr="00BF7731" w:rsidR="00E0597D">
        <w:rPr>
          <w:rFonts w:ascii="Calibri" w:hAnsi="Calibri" w:cs="Calibri"/>
          <w:iCs/>
          <w:szCs w:val="22"/>
        </w:rPr>
        <w:t>fiche</w:t>
      </w:r>
      <w:r w:rsidRPr="00BF7731" w:rsidR="00655A5B">
        <w:rPr>
          <w:rFonts w:ascii="Calibri" w:hAnsi="Calibri" w:cs="Calibri"/>
          <w:iCs/>
          <w:szCs w:val="22"/>
        </w:rPr>
        <w:t xml:space="preserve"> aangaande de </w:t>
      </w:r>
      <w:r w:rsidRPr="00BF7731" w:rsidR="00E0597D">
        <w:rPr>
          <w:rFonts w:ascii="Calibri" w:hAnsi="Calibri" w:cs="Calibri"/>
          <w:iCs/>
          <w:szCs w:val="22"/>
        </w:rPr>
        <w:t>CSA-herziening</w:t>
      </w:r>
      <w:r w:rsidRPr="00BF7731" w:rsidR="00655A5B">
        <w:rPr>
          <w:rFonts w:ascii="Calibri" w:hAnsi="Calibri" w:cs="Calibri"/>
          <w:iCs/>
          <w:szCs w:val="22"/>
        </w:rPr>
        <w:t xml:space="preserve"> heeft geuit bij de rol van ENISA ten aanzien van een Europees centraal platform voor</w:t>
      </w:r>
      <w:r w:rsidRPr="00BF7731" w:rsidR="00D5342D">
        <w:rPr>
          <w:rFonts w:ascii="Calibri" w:hAnsi="Calibri" w:cs="Calibri"/>
          <w:iCs/>
          <w:szCs w:val="22"/>
        </w:rPr>
        <w:t xml:space="preserve"> </w:t>
      </w:r>
      <w:r w:rsidRPr="00BF7731" w:rsidR="00655A5B">
        <w:rPr>
          <w:rFonts w:ascii="Calibri" w:hAnsi="Calibri" w:cs="Calibri"/>
          <w:iCs/>
          <w:szCs w:val="22"/>
        </w:rPr>
        <w:t>rapportageverplichtin</w:t>
      </w:r>
      <w:r w:rsidRPr="00BF7731" w:rsidR="00D5342D">
        <w:rPr>
          <w:rFonts w:ascii="Calibri" w:hAnsi="Calibri" w:cs="Calibri"/>
          <w:iCs/>
          <w:szCs w:val="22"/>
        </w:rPr>
        <w:t>ge</w:t>
      </w:r>
      <w:r w:rsidRPr="00BF7731" w:rsidR="00655A5B">
        <w:rPr>
          <w:rFonts w:ascii="Calibri" w:hAnsi="Calibri" w:cs="Calibri"/>
          <w:iCs/>
          <w:szCs w:val="22"/>
        </w:rPr>
        <w:t xml:space="preserve">n, voor zover deze nog niet zijn weggenomen. </w:t>
      </w:r>
    </w:p>
    <w:p w:rsidRPr="00BF7731" w:rsidR="00D5342D" w:rsidP="00A36D39" w:rsidRDefault="00D5342D" w14:paraId="4BF041F6" w14:textId="77777777">
      <w:pPr>
        <w:spacing w:line="360" w:lineRule="auto"/>
        <w:rPr>
          <w:rFonts w:ascii="Calibri" w:hAnsi="Calibri" w:cs="Calibri"/>
          <w:iCs/>
          <w:szCs w:val="22"/>
        </w:rPr>
      </w:pPr>
    </w:p>
    <w:p w:rsidRPr="00BF7731" w:rsidR="00A36D39" w:rsidP="004C2DF2" w:rsidRDefault="00A36D39" w14:paraId="6A6BC6B2" w14:textId="3F6CA1A9">
      <w:pPr>
        <w:spacing w:line="360" w:lineRule="auto"/>
        <w:rPr>
          <w:rFonts w:ascii="Calibri" w:hAnsi="Calibri" w:cs="Calibri"/>
          <w:iCs/>
          <w:szCs w:val="22"/>
        </w:rPr>
      </w:pPr>
      <w:r w:rsidRPr="00BF7731">
        <w:rPr>
          <w:rFonts w:ascii="Calibri" w:hAnsi="Calibri" w:cs="Calibri"/>
          <w:iCs/>
          <w:szCs w:val="22"/>
        </w:rPr>
        <w:t>Tot slot</w:t>
      </w:r>
      <w:r w:rsidRPr="00BF7731" w:rsidR="00901BD1">
        <w:rPr>
          <w:rFonts w:ascii="Calibri" w:hAnsi="Calibri" w:cs="Calibri"/>
          <w:iCs/>
          <w:szCs w:val="22"/>
        </w:rPr>
        <w:t xml:space="preserve"> vraagt het kabinet zich af of het noodzakelijk is </w:t>
      </w:r>
      <w:r w:rsidRPr="00BF7731">
        <w:rPr>
          <w:rFonts w:ascii="Calibri" w:hAnsi="Calibri" w:cs="Calibri"/>
          <w:iCs/>
          <w:szCs w:val="22"/>
        </w:rPr>
        <w:t xml:space="preserve">om ENISA als volwaardig lid aan te merken van </w:t>
      </w:r>
      <w:r w:rsidRPr="00BF7731">
        <w:rPr>
          <w:rFonts w:ascii="Calibri" w:hAnsi="Calibri" w:cs="Calibri"/>
          <w:szCs w:val="22"/>
        </w:rPr>
        <w:t xml:space="preserve">het netwerk van nationale </w:t>
      </w:r>
      <w:proofErr w:type="spellStart"/>
      <w:r w:rsidRPr="00BF7731">
        <w:rPr>
          <w:rFonts w:ascii="Calibri" w:hAnsi="Calibri" w:cs="Calibri"/>
          <w:szCs w:val="22"/>
        </w:rPr>
        <w:t>CSIRT</w:t>
      </w:r>
      <w:r w:rsidRPr="00BF7731" w:rsidR="00901BD1">
        <w:rPr>
          <w:rFonts w:ascii="Calibri" w:hAnsi="Calibri" w:cs="Calibri"/>
          <w:szCs w:val="22"/>
        </w:rPr>
        <w:t>’</w:t>
      </w:r>
      <w:r w:rsidRPr="00BF7731">
        <w:rPr>
          <w:rFonts w:ascii="Calibri" w:hAnsi="Calibri" w:cs="Calibri"/>
          <w:szCs w:val="22"/>
        </w:rPr>
        <w:t>s</w:t>
      </w:r>
      <w:proofErr w:type="spellEnd"/>
      <w:r w:rsidRPr="00BF7731" w:rsidR="00901BD1">
        <w:rPr>
          <w:rFonts w:ascii="Calibri" w:hAnsi="Calibri" w:cs="Calibri"/>
          <w:szCs w:val="22"/>
        </w:rPr>
        <w:t xml:space="preserve"> en ziet hiervoor graag een nadere onderbouwing</w:t>
      </w:r>
      <w:r w:rsidRPr="00BF7731" w:rsidR="00047332">
        <w:rPr>
          <w:rFonts w:ascii="Calibri" w:hAnsi="Calibri" w:cs="Calibri"/>
          <w:szCs w:val="22"/>
        </w:rPr>
        <w:t xml:space="preserve"> gekoppeld aan de taken van E</w:t>
      </w:r>
      <w:r w:rsidRPr="00BF7731" w:rsidR="00E57859">
        <w:rPr>
          <w:rFonts w:ascii="Calibri" w:hAnsi="Calibri" w:cs="Calibri"/>
          <w:szCs w:val="22"/>
        </w:rPr>
        <w:t>NISA</w:t>
      </w:r>
      <w:r w:rsidRPr="00BF7731">
        <w:rPr>
          <w:rFonts w:ascii="Calibri" w:hAnsi="Calibri" w:cs="Calibri"/>
          <w:szCs w:val="22"/>
        </w:rPr>
        <w:t>.</w:t>
      </w:r>
    </w:p>
    <w:bookmarkEnd w:id="9"/>
    <w:p w:rsidRPr="00BF7731" w:rsidR="00993EDF" w:rsidP="00E844C9" w:rsidRDefault="00993EDF" w14:paraId="4C96AB95" w14:textId="36A74F09">
      <w:pPr>
        <w:spacing w:line="360" w:lineRule="auto"/>
        <w:rPr>
          <w:rFonts w:ascii="Calibri" w:hAnsi="Calibri" w:cs="Calibri"/>
          <w:i/>
          <w:szCs w:val="22"/>
        </w:rPr>
      </w:pPr>
    </w:p>
    <w:p w:rsidRPr="00BF7731" w:rsidR="00417CBB" w:rsidP="00417CBB" w:rsidRDefault="0018227F" w14:paraId="5EC70DCB" w14:textId="77777777">
      <w:pPr>
        <w:numPr>
          <w:ilvl w:val="0"/>
          <w:numId w:val="6"/>
        </w:numPr>
        <w:spacing w:line="360" w:lineRule="auto"/>
        <w:rPr>
          <w:rFonts w:ascii="Calibri" w:hAnsi="Calibri" w:cs="Calibri"/>
          <w:i/>
          <w:szCs w:val="22"/>
        </w:rPr>
      </w:pPr>
      <w:r w:rsidRPr="00BF7731">
        <w:rPr>
          <w:rFonts w:ascii="Calibri" w:hAnsi="Calibri" w:cs="Calibri"/>
          <w:i/>
          <w:szCs w:val="22"/>
        </w:rPr>
        <w:t>Eerste inschatting van k</w:t>
      </w:r>
      <w:r w:rsidRPr="00BF7731" w:rsidR="00F74E07">
        <w:rPr>
          <w:rFonts w:ascii="Calibri" w:hAnsi="Calibri" w:cs="Calibri"/>
          <w:i/>
          <w:szCs w:val="22"/>
        </w:rPr>
        <w:t>rachtenveld</w:t>
      </w:r>
    </w:p>
    <w:p w:rsidRPr="00BF7731" w:rsidR="00417CBB" w:rsidP="00417CBB" w:rsidRDefault="00417CBB" w14:paraId="45442AE1" w14:textId="00ABE0A4">
      <w:pPr>
        <w:spacing w:line="360" w:lineRule="auto"/>
        <w:rPr>
          <w:rFonts w:ascii="Calibri" w:hAnsi="Calibri" w:cs="Calibri"/>
          <w:bCs/>
          <w:szCs w:val="22"/>
        </w:rPr>
      </w:pPr>
      <w:r w:rsidRPr="00BF7731">
        <w:rPr>
          <w:rFonts w:ascii="Calibri" w:hAnsi="Calibri" w:cs="Calibri"/>
          <w:bCs/>
          <w:szCs w:val="22"/>
        </w:rPr>
        <w:t xml:space="preserve">De meerderheid van lidstaten verwelkomt naar verwachting dat de Commissie met dit voorstel </w:t>
      </w:r>
      <w:r w:rsidRPr="00BF7731" w:rsidR="00EB6A43">
        <w:rPr>
          <w:rFonts w:ascii="Calibri" w:hAnsi="Calibri" w:cs="Calibri"/>
          <w:bCs/>
          <w:szCs w:val="22"/>
        </w:rPr>
        <w:t xml:space="preserve">de NIS2-richtlijn </w:t>
      </w:r>
      <w:r w:rsidRPr="00BF7731">
        <w:rPr>
          <w:rFonts w:ascii="Calibri" w:hAnsi="Calibri" w:cs="Calibri"/>
          <w:bCs/>
          <w:szCs w:val="22"/>
        </w:rPr>
        <w:t>wil versimpelen en regeldruk wil verlagen. Ook het</w:t>
      </w:r>
      <w:r w:rsidRPr="00BF7731" w:rsidR="00EB6A43">
        <w:rPr>
          <w:rFonts w:ascii="Calibri" w:hAnsi="Calibri" w:cs="Calibri"/>
          <w:bCs/>
          <w:szCs w:val="22"/>
        </w:rPr>
        <w:t xml:space="preserve"> verduidelijken van enkele beschrijvingen en de uitbreiding van </w:t>
      </w:r>
      <w:r w:rsidRPr="00BF7731" w:rsidR="00D5342D">
        <w:rPr>
          <w:rFonts w:ascii="Calibri" w:hAnsi="Calibri" w:cs="Calibri"/>
          <w:bCs/>
          <w:szCs w:val="22"/>
        </w:rPr>
        <w:t>het toepassingsbereik</w:t>
      </w:r>
      <w:r w:rsidRPr="00BF7731" w:rsidR="00EB6A43">
        <w:rPr>
          <w:rFonts w:ascii="Calibri" w:hAnsi="Calibri" w:cs="Calibri"/>
          <w:bCs/>
          <w:szCs w:val="22"/>
        </w:rPr>
        <w:t xml:space="preserve"> van de NIS2-</w:t>
      </w:r>
      <w:r w:rsidRPr="00BF7731" w:rsidR="00D5342D">
        <w:rPr>
          <w:rFonts w:ascii="Calibri" w:hAnsi="Calibri" w:cs="Calibri"/>
          <w:bCs/>
          <w:szCs w:val="22"/>
        </w:rPr>
        <w:t>richtlijn</w:t>
      </w:r>
      <w:r w:rsidRPr="00BF7731" w:rsidR="00EB6A43">
        <w:rPr>
          <w:rFonts w:ascii="Calibri" w:hAnsi="Calibri" w:cs="Calibri"/>
          <w:bCs/>
          <w:szCs w:val="22"/>
        </w:rPr>
        <w:t xml:space="preserve"> kan naar verwachting op hun steun rekenen. </w:t>
      </w:r>
      <w:r w:rsidRPr="00BF7731">
        <w:rPr>
          <w:rFonts w:ascii="Calibri" w:hAnsi="Calibri" w:cs="Calibri"/>
          <w:bCs/>
          <w:szCs w:val="22"/>
        </w:rPr>
        <w:t xml:space="preserve">Lidstaten zullen goed de samenhang bestuderen met </w:t>
      </w:r>
      <w:r w:rsidRPr="00BF7731" w:rsidR="00EB6A43">
        <w:rPr>
          <w:rFonts w:ascii="Calibri" w:hAnsi="Calibri" w:cs="Calibri"/>
          <w:bCs/>
          <w:szCs w:val="22"/>
        </w:rPr>
        <w:t xml:space="preserve">het voorstel voor </w:t>
      </w:r>
      <w:r w:rsidRPr="00BF7731">
        <w:rPr>
          <w:rFonts w:ascii="Calibri" w:hAnsi="Calibri" w:cs="Calibri"/>
          <w:bCs/>
          <w:szCs w:val="22"/>
        </w:rPr>
        <w:t xml:space="preserve">de </w:t>
      </w:r>
      <w:r w:rsidRPr="00BF7731" w:rsidR="00D31234">
        <w:rPr>
          <w:rFonts w:ascii="Calibri" w:hAnsi="Calibri" w:cs="Calibri"/>
          <w:bCs/>
          <w:szCs w:val="22"/>
        </w:rPr>
        <w:t>CSA</w:t>
      </w:r>
      <w:r w:rsidRPr="00BF7731">
        <w:rPr>
          <w:rFonts w:ascii="Calibri" w:hAnsi="Calibri" w:cs="Calibri"/>
          <w:bCs/>
          <w:szCs w:val="22"/>
        </w:rPr>
        <w:t>2</w:t>
      </w:r>
      <w:r w:rsidRPr="00BF7731" w:rsidR="00EB6A43">
        <w:rPr>
          <w:rFonts w:ascii="Calibri" w:hAnsi="Calibri" w:cs="Calibri"/>
          <w:bCs/>
          <w:szCs w:val="22"/>
        </w:rPr>
        <w:t xml:space="preserve"> als het gaat </w:t>
      </w:r>
      <w:r w:rsidRPr="00BF7731" w:rsidR="00E0597D">
        <w:rPr>
          <w:rFonts w:ascii="Calibri" w:hAnsi="Calibri" w:cs="Calibri"/>
          <w:bCs/>
          <w:szCs w:val="22"/>
        </w:rPr>
        <w:t>om certificering</w:t>
      </w:r>
      <w:r w:rsidRPr="00BF7731">
        <w:rPr>
          <w:rFonts w:ascii="Calibri" w:hAnsi="Calibri" w:cs="Calibri"/>
          <w:bCs/>
          <w:szCs w:val="22"/>
        </w:rPr>
        <w:t xml:space="preserve"> en de rol van ENISA, evenals de Digitale Omnibus</w:t>
      </w:r>
      <w:r w:rsidRPr="00BF7731" w:rsidR="00EB6A43">
        <w:rPr>
          <w:rFonts w:ascii="Calibri" w:hAnsi="Calibri" w:cs="Calibri"/>
          <w:bCs/>
          <w:szCs w:val="22"/>
        </w:rPr>
        <w:t xml:space="preserve">, ten aanzien waarvan geldt dat </w:t>
      </w:r>
      <w:r w:rsidRPr="00BF7731">
        <w:rPr>
          <w:rFonts w:ascii="Calibri" w:hAnsi="Calibri" w:cs="Calibri"/>
          <w:bCs/>
          <w:szCs w:val="22"/>
        </w:rPr>
        <w:t xml:space="preserve">een grote groep lidstaten zorgen </w:t>
      </w:r>
      <w:r w:rsidRPr="00BF7731" w:rsidR="003D2A33">
        <w:rPr>
          <w:rFonts w:ascii="Calibri" w:hAnsi="Calibri" w:cs="Calibri"/>
          <w:bCs/>
          <w:szCs w:val="22"/>
        </w:rPr>
        <w:t xml:space="preserve">heeft </w:t>
      </w:r>
      <w:r w:rsidRPr="00BF7731">
        <w:rPr>
          <w:rFonts w:ascii="Calibri" w:hAnsi="Calibri" w:cs="Calibri"/>
          <w:bCs/>
          <w:szCs w:val="22"/>
        </w:rPr>
        <w:t xml:space="preserve">geuit over de oprichting van </w:t>
      </w:r>
      <w:r w:rsidRPr="00BF7731" w:rsidR="00D60A48">
        <w:rPr>
          <w:rFonts w:ascii="Calibri" w:hAnsi="Calibri" w:cs="Calibri"/>
          <w:bCs/>
          <w:szCs w:val="22"/>
        </w:rPr>
        <w:t>één</w:t>
      </w:r>
      <w:r w:rsidRPr="00BF7731">
        <w:rPr>
          <w:rFonts w:ascii="Calibri" w:hAnsi="Calibri" w:cs="Calibri"/>
          <w:bCs/>
          <w:szCs w:val="22"/>
        </w:rPr>
        <w:t xml:space="preserve"> Europees meldpunt</w:t>
      </w:r>
      <w:r w:rsidRPr="00BF7731" w:rsidR="001A5B1E">
        <w:rPr>
          <w:rFonts w:ascii="Calibri" w:hAnsi="Calibri" w:cs="Calibri"/>
          <w:bCs/>
          <w:szCs w:val="22"/>
        </w:rPr>
        <w:t xml:space="preserve"> van incidenten</w:t>
      </w:r>
      <w:r w:rsidRPr="00BF7731">
        <w:rPr>
          <w:rFonts w:ascii="Calibri" w:hAnsi="Calibri" w:cs="Calibri"/>
          <w:bCs/>
          <w:szCs w:val="22"/>
        </w:rPr>
        <w:t xml:space="preserve">. </w:t>
      </w:r>
      <w:r w:rsidRPr="00BF7731" w:rsidR="00802E55">
        <w:rPr>
          <w:rFonts w:ascii="Calibri" w:hAnsi="Calibri" w:cs="Calibri"/>
          <w:bCs/>
          <w:szCs w:val="22"/>
        </w:rPr>
        <w:t>De positie van het Europees Parlement is onbekend.</w:t>
      </w:r>
    </w:p>
    <w:p w:rsidRPr="00BF7731" w:rsidR="00E539A8" w:rsidP="00D31234" w:rsidRDefault="00E539A8" w14:paraId="620085B7" w14:textId="77777777">
      <w:pPr>
        <w:spacing w:line="360" w:lineRule="auto"/>
        <w:rPr>
          <w:rFonts w:ascii="Calibri" w:hAnsi="Calibri" w:cs="Calibri"/>
          <w:b/>
          <w:szCs w:val="22"/>
        </w:rPr>
      </w:pPr>
    </w:p>
    <w:p w:rsidRPr="00BF7731" w:rsidR="00A15B58" w:rsidP="00982D08" w:rsidRDefault="00A15B58" w14:paraId="4916B704" w14:textId="77777777">
      <w:pPr>
        <w:numPr>
          <w:ilvl w:val="0"/>
          <w:numId w:val="3"/>
        </w:numPr>
        <w:spacing w:line="360" w:lineRule="auto"/>
        <w:rPr>
          <w:rFonts w:ascii="Calibri" w:hAnsi="Calibri" w:cs="Calibri"/>
          <w:i/>
          <w:iCs/>
          <w:szCs w:val="22"/>
        </w:rPr>
      </w:pPr>
      <w:bookmarkStart w:name="_Hlk221178782" w:id="10"/>
      <w:r w:rsidRPr="00BF7731">
        <w:rPr>
          <w:rFonts w:ascii="Calibri" w:hAnsi="Calibri" w:cs="Calibri"/>
          <w:b/>
          <w:szCs w:val="22"/>
        </w:rPr>
        <w:t xml:space="preserve">Beoordeling bevoegdheid, subsidiariteit en proportionaliteit </w:t>
      </w:r>
    </w:p>
    <w:p w:rsidRPr="00BF7731" w:rsidR="008E05AE" w:rsidP="008E05AE" w:rsidRDefault="00076EDE" w14:paraId="54C851AE" w14:textId="059DF0E8">
      <w:pPr>
        <w:pStyle w:val="Spreekpunten"/>
        <w:numPr>
          <w:ilvl w:val="0"/>
          <w:numId w:val="7"/>
        </w:numPr>
        <w:rPr>
          <w:rFonts w:ascii="Calibri" w:hAnsi="Calibri" w:cs="Calibri"/>
          <w:i/>
          <w:iCs/>
          <w:sz w:val="22"/>
          <w:szCs w:val="22"/>
          <w:lang w:val="nl-NL" w:eastAsia="zh-CN"/>
        </w:rPr>
      </w:pPr>
      <w:r w:rsidRPr="00BF7731">
        <w:rPr>
          <w:rFonts w:ascii="Calibri" w:hAnsi="Calibri" w:cs="Calibri"/>
          <w:i/>
          <w:iCs/>
          <w:sz w:val="22"/>
          <w:szCs w:val="22"/>
          <w:lang w:val="nl-NL" w:eastAsia="zh-CN"/>
        </w:rPr>
        <w:t>B</w:t>
      </w:r>
      <w:r w:rsidRPr="00BF7731" w:rsidR="00A15B58">
        <w:rPr>
          <w:rFonts w:ascii="Calibri" w:hAnsi="Calibri" w:cs="Calibri"/>
          <w:i/>
          <w:iCs/>
          <w:sz w:val="22"/>
          <w:szCs w:val="22"/>
          <w:lang w:val="nl-NL" w:eastAsia="zh-CN"/>
        </w:rPr>
        <w:t>evoegdheid</w:t>
      </w:r>
    </w:p>
    <w:p w:rsidRPr="00BF7731" w:rsidR="00E46992" w:rsidP="00615FE4" w:rsidRDefault="00615FE4" w14:paraId="3F734598" w14:textId="77777777">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w:t>
      </w:r>
      <w:r w:rsidRPr="00BF7731" w:rsidR="007B66D4">
        <w:rPr>
          <w:rFonts w:ascii="Calibri" w:hAnsi="Calibri" w:cs="Calibri"/>
          <w:sz w:val="22"/>
          <w:szCs w:val="22"/>
          <w:lang w:val="nl-NL" w:eastAsia="zh-CN"/>
        </w:rPr>
        <w:t>over de bevoegdheid</w:t>
      </w:r>
      <w:r w:rsidRPr="00BF7731">
        <w:rPr>
          <w:rFonts w:ascii="Calibri" w:hAnsi="Calibri" w:cs="Calibri"/>
          <w:sz w:val="22"/>
          <w:szCs w:val="22"/>
          <w:lang w:val="nl-NL" w:eastAsia="zh-CN"/>
        </w:rPr>
        <w:t xml:space="preserve"> voor dit voorstel tot wijziging van de NIS2-richtlijn positief. </w:t>
      </w:r>
    </w:p>
    <w:p w:rsidRPr="00BF7731" w:rsidR="00615FE4" w:rsidP="00615FE4" w:rsidRDefault="00615FE4" w14:paraId="0ED3F751" w14:textId="57219C3A">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eastAsia="zh-CN"/>
        </w:rPr>
        <w:lastRenderedPageBreak/>
        <w:t xml:space="preserve">Het voorstel is gebaseerd op artikel 114 VWEU. Artikel 114 VWEU </w:t>
      </w:r>
      <w:r w:rsidRPr="00BF7731">
        <w:rPr>
          <w:rFonts w:ascii="Calibri" w:hAnsi="Calibri" w:cs="Calibri"/>
          <w:sz w:val="22"/>
          <w:szCs w:val="22"/>
          <w:lang w:val="nl-NL"/>
        </w:rPr>
        <w:t xml:space="preserve">geeft de EU de bevoegdheid tot het vaststellen van maatregelen betreffende de interne markt. Het kabinet kan zich vinden in deze voorgestelde rechtsgrondslag, </w:t>
      </w:r>
      <w:r w:rsidRPr="00BF7731" w:rsidR="00A1707D">
        <w:rPr>
          <w:rFonts w:ascii="Calibri" w:hAnsi="Calibri" w:cs="Calibri"/>
          <w:sz w:val="22"/>
          <w:szCs w:val="22"/>
          <w:lang w:val="nl-NL"/>
        </w:rPr>
        <w:t xml:space="preserve"> nu </w:t>
      </w:r>
      <w:r w:rsidRPr="00BF7731">
        <w:rPr>
          <w:rFonts w:ascii="Calibri" w:hAnsi="Calibri" w:cs="Calibri"/>
          <w:sz w:val="22"/>
          <w:szCs w:val="22"/>
          <w:lang w:val="nl-NL"/>
        </w:rPr>
        <w:t xml:space="preserve">de in dit voorstel vervatte bepalingen </w:t>
      </w:r>
      <w:r w:rsidRPr="00BF7731" w:rsidR="008B5BC2">
        <w:rPr>
          <w:rFonts w:ascii="Calibri" w:hAnsi="Calibri" w:cs="Calibri"/>
          <w:sz w:val="22"/>
          <w:szCs w:val="22"/>
          <w:lang w:val="nl-NL"/>
        </w:rPr>
        <w:t xml:space="preserve">in hoofdzaak </w:t>
      </w:r>
      <w:r w:rsidRPr="00BF7731">
        <w:rPr>
          <w:rFonts w:ascii="Calibri" w:hAnsi="Calibri" w:cs="Calibri"/>
          <w:sz w:val="22"/>
          <w:szCs w:val="22"/>
          <w:lang w:val="nl-NL"/>
        </w:rPr>
        <w:t>betrekking hebben op de werking van de interne markt. Op het terrein van de interne markt is sprake van een gedeelde bevoegdheid tussen de EU en de lidstaten (artikel 4, tweede lid, sub a, VWEU). Het kabinet zal er steeds op toe blijven zien dat de inhoud van het voorstel, bijvoorbeeld als het gaat om de voorgestelde maximum harmonisatie in relatie tot de uitvoeringshandelingen betreffende de zorgplicht, niet op gespannen voet komt te staan met in het bijzonder de uitsluitende verantwoordelijkheid van de lidstaten op het gebied van de nationale veiligheid (artikel 4, tweede lid, VEU).</w:t>
      </w:r>
    </w:p>
    <w:p w:rsidRPr="00BF7731" w:rsidR="00F12BA4" w:rsidP="00974E4C" w:rsidRDefault="00F12BA4" w14:paraId="0E81A19D" w14:textId="77777777">
      <w:pPr>
        <w:pStyle w:val="Spreekpunten"/>
        <w:numPr>
          <w:ilvl w:val="0"/>
          <w:numId w:val="0"/>
        </w:numPr>
        <w:rPr>
          <w:rFonts w:ascii="Calibri" w:hAnsi="Calibri" w:cs="Calibri"/>
          <w:sz w:val="22"/>
          <w:szCs w:val="22"/>
          <w:lang w:val="nl-NL" w:eastAsia="zh-CN"/>
        </w:rPr>
      </w:pPr>
    </w:p>
    <w:p w:rsidRPr="00BF7731" w:rsidR="00A15B58" w:rsidP="00982D08" w:rsidRDefault="00076EDE" w14:paraId="1CCFDE02" w14:textId="77777777">
      <w:pPr>
        <w:pStyle w:val="Spreekpunten"/>
        <w:numPr>
          <w:ilvl w:val="0"/>
          <w:numId w:val="7"/>
        </w:numPr>
        <w:rPr>
          <w:rFonts w:ascii="Calibri" w:hAnsi="Calibri" w:cs="Calibri"/>
          <w:i/>
          <w:iCs/>
          <w:sz w:val="22"/>
          <w:szCs w:val="22"/>
          <w:lang w:val="nl-NL" w:eastAsia="zh-CN"/>
        </w:rPr>
      </w:pPr>
      <w:r w:rsidRPr="00BF7731">
        <w:rPr>
          <w:rFonts w:ascii="Calibri" w:hAnsi="Calibri" w:cs="Calibri"/>
          <w:i/>
          <w:iCs/>
          <w:sz w:val="22"/>
          <w:szCs w:val="22"/>
          <w:lang w:val="nl-NL" w:eastAsia="zh-CN"/>
        </w:rPr>
        <w:t>S</w:t>
      </w:r>
      <w:r w:rsidRPr="00BF7731" w:rsidR="00A15B58">
        <w:rPr>
          <w:rFonts w:ascii="Calibri" w:hAnsi="Calibri" w:cs="Calibri"/>
          <w:i/>
          <w:iCs/>
          <w:sz w:val="22"/>
          <w:szCs w:val="22"/>
          <w:lang w:val="nl-NL" w:eastAsia="zh-CN"/>
        </w:rPr>
        <w:t>ubsidiariteit</w:t>
      </w:r>
    </w:p>
    <w:p w:rsidRPr="00BF7731" w:rsidR="00615FE4" w:rsidP="00615FE4" w:rsidRDefault="00615FE4" w14:paraId="591F5C2E" w14:textId="40ED15FC">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BF7731" w:rsidR="00615FE4" w:rsidP="00615FE4" w:rsidRDefault="00615FE4" w14:paraId="47717969" w14:textId="77777777">
      <w:pPr>
        <w:spacing w:line="360" w:lineRule="auto"/>
        <w:rPr>
          <w:rFonts w:ascii="Calibri" w:hAnsi="Calibri" w:cs="Calibri"/>
          <w:szCs w:val="22"/>
        </w:rPr>
      </w:pPr>
    </w:p>
    <w:p w:rsidRPr="00BF7731" w:rsidR="00615FE4" w:rsidP="00615FE4" w:rsidRDefault="00615FE4" w14:paraId="232034E4" w14:textId="0A8EC975">
      <w:pPr>
        <w:spacing w:line="360" w:lineRule="auto"/>
        <w:rPr>
          <w:rFonts w:ascii="Calibri" w:hAnsi="Calibri" w:cs="Calibri"/>
          <w:szCs w:val="22"/>
        </w:rPr>
      </w:pPr>
      <w:r w:rsidRPr="00BF7731">
        <w:rPr>
          <w:rFonts w:ascii="Calibri" w:hAnsi="Calibri" w:cs="Calibri"/>
          <w:szCs w:val="22"/>
        </w:rPr>
        <w:t xml:space="preserve">Het oordeel van het kabinet </w:t>
      </w:r>
      <w:r w:rsidRPr="00BF7731" w:rsidR="007B66D4">
        <w:rPr>
          <w:rFonts w:ascii="Calibri" w:hAnsi="Calibri" w:cs="Calibri"/>
          <w:szCs w:val="22"/>
        </w:rPr>
        <w:t xml:space="preserve">over de subsidiariteit </w:t>
      </w:r>
      <w:r w:rsidRPr="00BF7731">
        <w:rPr>
          <w:rFonts w:ascii="Calibri" w:hAnsi="Calibri" w:cs="Calibri"/>
          <w:szCs w:val="22"/>
        </w:rPr>
        <w:t>is voor dit voorstel positief</w:t>
      </w:r>
      <w:r w:rsidRPr="00BF7731" w:rsidR="00F75140">
        <w:rPr>
          <w:rFonts w:ascii="Calibri" w:hAnsi="Calibri" w:cs="Calibri"/>
          <w:szCs w:val="22"/>
        </w:rPr>
        <w:t xml:space="preserve">. </w:t>
      </w:r>
      <w:r w:rsidRPr="00BF7731">
        <w:rPr>
          <w:rFonts w:ascii="Calibri" w:hAnsi="Calibri" w:cs="Calibri"/>
          <w:szCs w:val="22"/>
        </w:rPr>
        <w:t>Vanwege de hoge mate van verwevenheid van digitale processen binnen de EU en de grensoverschrijdende gevolgen van incidenten is een gemeenschappelijke benadering voor een hoog gezamenlijk niveau van cyberbeveiliging noodzakelijk. Het voorstel heeft tot doel om het gezamenlijke cyberbeveiligingsniveau in de EU te verhogen</w:t>
      </w:r>
      <w:r w:rsidRPr="00BF7731" w:rsidR="007142AB">
        <w:rPr>
          <w:rFonts w:ascii="Calibri" w:hAnsi="Calibri" w:cs="Calibri"/>
          <w:szCs w:val="22"/>
        </w:rPr>
        <w:t>. Om dat te bereiken wordt de NIS2-richtlijn verder gesimplificeerd en geharmoniseerd.</w:t>
      </w:r>
      <w:r w:rsidRPr="00BF7731">
        <w:rPr>
          <w:rFonts w:ascii="Calibri" w:hAnsi="Calibri" w:cs="Calibri"/>
          <w:szCs w:val="22"/>
        </w:rPr>
        <w:t xml:space="preserve">. Deze doelstelling kan onvoldoende door afzonderlijk optreden van de lidstaten op centraal, regionaal of lokaal niveau worden verwezenlijkt. Daarom is optreden op EU-niveau nodig. Daar komt bij dat een wijziging van bestaande EU-regelgeving slechts op EU-niveau kan plaatsvinden. </w:t>
      </w:r>
    </w:p>
    <w:p w:rsidRPr="00BF7731" w:rsidR="00FB687B" w:rsidP="00705697" w:rsidRDefault="00FB687B" w14:paraId="01EE3D3E" w14:textId="77777777">
      <w:pPr>
        <w:pStyle w:val="Spreekpunten"/>
        <w:numPr>
          <w:ilvl w:val="0"/>
          <w:numId w:val="0"/>
        </w:numPr>
        <w:rPr>
          <w:rFonts w:ascii="Calibri" w:hAnsi="Calibri" w:cs="Calibri"/>
          <w:sz w:val="22"/>
          <w:szCs w:val="22"/>
          <w:lang w:val="nl-NL" w:eastAsia="zh-CN"/>
        </w:rPr>
      </w:pPr>
    </w:p>
    <w:p w:rsidRPr="00BF7731" w:rsidR="00A15B58" w:rsidP="00982D08" w:rsidRDefault="00076EDE" w14:paraId="6D84C5F8" w14:textId="77777777">
      <w:pPr>
        <w:pStyle w:val="Spreekpunten"/>
        <w:numPr>
          <w:ilvl w:val="0"/>
          <w:numId w:val="7"/>
        </w:numPr>
        <w:rPr>
          <w:rFonts w:ascii="Calibri" w:hAnsi="Calibri" w:cs="Calibri"/>
          <w:i/>
          <w:iCs/>
          <w:sz w:val="22"/>
          <w:szCs w:val="22"/>
          <w:lang w:val="nl-NL" w:eastAsia="zh-CN"/>
        </w:rPr>
      </w:pPr>
      <w:r w:rsidRPr="00BF7731">
        <w:rPr>
          <w:rFonts w:ascii="Calibri" w:hAnsi="Calibri" w:cs="Calibri"/>
          <w:i/>
          <w:iCs/>
          <w:sz w:val="22"/>
          <w:szCs w:val="22"/>
          <w:lang w:val="nl-NL" w:eastAsia="zh-CN"/>
        </w:rPr>
        <w:t>P</w:t>
      </w:r>
      <w:r w:rsidRPr="00BF7731" w:rsidR="00A15B58">
        <w:rPr>
          <w:rFonts w:ascii="Calibri" w:hAnsi="Calibri" w:cs="Calibri"/>
          <w:i/>
          <w:iCs/>
          <w:sz w:val="22"/>
          <w:szCs w:val="22"/>
          <w:lang w:val="nl-NL" w:eastAsia="zh-CN"/>
        </w:rPr>
        <w:t>roportionaliteit</w:t>
      </w:r>
    </w:p>
    <w:bookmarkEnd w:id="10"/>
    <w:p w:rsidRPr="00BF7731" w:rsidR="00615FE4" w:rsidP="00615FE4" w:rsidRDefault="00615FE4" w14:paraId="0EEAD6EB" w14:textId="6E191A17">
      <w:pPr>
        <w:pStyle w:val="Spreekpunten"/>
        <w:numPr>
          <w:ilvl w:val="0"/>
          <w:numId w:val="0"/>
        </w:numPr>
        <w:tabs>
          <w:tab w:val="left" w:pos="708"/>
        </w:tabs>
        <w:rPr>
          <w:rFonts w:ascii="Calibri" w:hAnsi="Calibri" w:cs="Calibri"/>
          <w:sz w:val="22"/>
          <w:szCs w:val="22"/>
          <w:lang w:val="nl-NL" w:eastAsia="zh-CN"/>
        </w:rPr>
      </w:pPr>
      <w:r w:rsidRPr="00BF7731">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w:t>
      </w:r>
      <w:r w:rsidRPr="00BF7731">
        <w:rPr>
          <w:rFonts w:ascii="Calibri" w:hAnsi="Calibri" w:cs="Calibri"/>
          <w:sz w:val="22"/>
          <w:szCs w:val="22"/>
          <w:lang w:val="nl-NL" w:eastAsia="zh-CN"/>
        </w:rPr>
        <w:lastRenderedPageBreak/>
        <w:t>van het kabinet ten aanzien van de proportionaliteit is  positief met enkele kanttekeningen.</w:t>
      </w:r>
      <w:r w:rsidRPr="00BF7731">
        <w:rPr>
          <w:rFonts w:ascii="Calibri" w:hAnsi="Calibri" w:cs="Calibri"/>
          <w:sz w:val="22"/>
          <w:szCs w:val="22"/>
          <w:lang w:val="nl-NL"/>
        </w:rPr>
        <w:t xml:space="preserve"> Het voorstel heeft zoals boven toegelicht tot doel </w:t>
      </w:r>
      <w:r w:rsidRPr="00BF7731">
        <w:rPr>
          <w:rFonts w:ascii="Calibri" w:hAnsi="Calibri" w:cs="Calibri"/>
          <w:sz w:val="22"/>
          <w:szCs w:val="22"/>
          <w:lang w:val="nl-NL" w:eastAsia="zh-CN"/>
        </w:rPr>
        <w:t>om het gezamenlijke cyberbeveiligingsniveau in de EU te verhogen</w:t>
      </w:r>
      <w:r w:rsidRPr="00BF7731" w:rsidR="00B079B4">
        <w:rPr>
          <w:rFonts w:ascii="Calibri" w:hAnsi="Calibri" w:cs="Calibri"/>
          <w:sz w:val="22"/>
          <w:szCs w:val="22"/>
          <w:lang w:val="nl-NL" w:eastAsia="zh-CN"/>
        </w:rPr>
        <w:t xml:space="preserve">. </w:t>
      </w:r>
      <w:r w:rsidRPr="00BF7731" w:rsidR="00B079B4">
        <w:rPr>
          <w:rFonts w:ascii="Calibri" w:hAnsi="Calibri" w:cs="Calibri"/>
          <w:sz w:val="22"/>
          <w:szCs w:val="22"/>
          <w:lang w:val="nl-NL"/>
        </w:rPr>
        <w:t>Om dat te bereiken wordt de NIS2-richtlijn verder gesimplificeerd en geharmoniseerd.</w:t>
      </w:r>
      <w:r w:rsidRPr="00BF7731">
        <w:rPr>
          <w:rFonts w:ascii="Calibri" w:hAnsi="Calibri" w:cs="Calibri"/>
          <w:sz w:val="22"/>
          <w:szCs w:val="22"/>
          <w:lang w:val="nl-NL" w:eastAsia="zh-CN"/>
        </w:rPr>
        <w:t xml:space="preserve"> Het kabinet acht dit voorstel op de meeste onderdelen, waaronder het verduidelijken en uitbreiden van soorten entiteiten die onder het toepassingsbereik van de NIS2-richtlijn vallen én het in geval van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-aanvallen door essentiële entiteiten en belangrijke entiteiten in het kader van de meldplicht daarover verschaffen van informatie, geschikt om dat doel te bereiken en niet verdergaand dan met het oog op dat doel noodzakelijk is. </w:t>
      </w:r>
    </w:p>
    <w:p w:rsidRPr="00BF7731" w:rsidR="00615FE4" w:rsidP="00615FE4" w:rsidRDefault="00615FE4" w14:paraId="078098D8" w14:textId="5F8775A6">
      <w:pPr>
        <w:spacing w:line="360" w:lineRule="auto"/>
        <w:rPr>
          <w:rFonts w:ascii="Calibri" w:hAnsi="Calibri" w:cs="Calibri"/>
          <w:szCs w:val="22"/>
        </w:rPr>
      </w:pPr>
      <w:r w:rsidRPr="00BF7731">
        <w:rPr>
          <w:rFonts w:ascii="Calibri" w:hAnsi="Calibri" w:cs="Calibri"/>
          <w:szCs w:val="22"/>
        </w:rPr>
        <w:t xml:space="preserve">Wel heeft het kabinet </w:t>
      </w:r>
      <w:r w:rsidRPr="00BF7731" w:rsidR="007B66D4">
        <w:rPr>
          <w:rFonts w:ascii="Calibri" w:hAnsi="Calibri" w:cs="Calibri"/>
          <w:szCs w:val="22"/>
        </w:rPr>
        <w:t xml:space="preserve"> bij drie onderdelen van het voorstel</w:t>
      </w:r>
      <w:r w:rsidRPr="00BF7731" w:rsidR="00DD5FF4">
        <w:rPr>
          <w:rFonts w:ascii="Calibri" w:hAnsi="Calibri" w:cs="Calibri"/>
          <w:szCs w:val="22"/>
        </w:rPr>
        <w:t xml:space="preserve"> </w:t>
      </w:r>
      <w:r w:rsidRPr="00BF7731">
        <w:rPr>
          <w:rFonts w:ascii="Calibri" w:hAnsi="Calibri" w:cs="Calibri"/>
          <w:szCs w:val="22"/>
        </w:rPr>
        <w:t>kanttekeningen. Ten eerste plaatst het kabinet, zolang een nadere toelichting hierop niet is gegeven, een kanttekening bij de voorgestelde uitbreiding van het register bij ENISA, bedoeld in artikel 27 van de NIS2-richtlijn, met gegevens over voortaan alle essentiële entiteiten en belangrijke entiteiten, mede ook omdat daarbij in het desbetreffende artikel niet expliciet wordt gemaakt voor welke taken van ENISA die uitbreiding van de registratie nodig is. Deze voorgestelde uitbreiding van het register lijkt verder te gaan dan noodzakelijk is voor het bereiken van het doel van het voorstel, met name ook omdat dit voorstel niet duidelijk is gekoppeld aan een of meer specifieke taken van ENISA, de uitbreiding daarmee ongeclausuleerd is, en het gelet hierop niet helder is waarom het noodzakelijk is dat ENISA gegevens bij zou gaan houden over alle essentiële entiteiten en belangrijke entiteiten. Het kabinet ziet daarom graag eerst een nadere onderbouwing van dit voorstel, en in het bijzonder op de hiervoor genoemde punten, om te kunnen beoordelen of de voorgestelde uitbreiding van het register al dan niet noodzakelijk is.</w:t>
      </w:r>
    </w:p>
    <w:p w:rsidRPr="00BF7731" w:rsidR="00615FE4" w:rsidP="008D7485" w:rsidRDefault="00615FE4" w14:paraId="3EE664B6" w14:textId="77777777">
      <w:pPr>
        <w:spacing w:line="360" w:lineRule="auto"/>
        <w:rPr>
          <w:rFonts w:ascii="Calibri" w:hAnsi="Calibri" w:cs="Calibri"/>
          <w:szCs w:val="22"/>
        </w:rPr>
      </w:pPr>
    </w:p>
    <w:p w:rsidRPr="00BF7731" w:rsidR="00615FE4" w:rsidP="008D7485" w:rsidRDefault="00615FE4" w14:paraId="6B745661" w14:textId="77777777">
      <w:pPr>
        <w:spacing w:line="360" w:lineRule="auto"/>
        <w:rPr>
          <w:rFonts w:ascii="Calibri" w:hAnsi="Calibri" w:cs="Calibri"/>
          <w:szCs w:val="22"/>
        </w:rPr>
      </w:pPr>
      <w:r w:rsidRPr="00BF7731">
        <w:rPr>
          <w:rFonts w:ascii="Calibri" w:hAnsi="Calibri" w:cs="Calibri"/>
          <w:szCs w:val="22"/>
        </w:rPr>
        <w:t xml:space="preserve">Daarnaast plaatst het kabinet een kanttekening bij de voorgestelde wijziging van artikel 21, vijfde lid, in samenhang met die van artikel 5, van de NIS2-richtlijn, die lidstaten de mogelijkheid ontzegt om in geval van een uitvoeringshandeling als bedoeld in artikel 21, vijfde lid, aanvullende eisen te stellen aan de maatregelen in het kader van de zorgplicht. Niet duidelijk is hoe verstrekkend het ontzeggen van die mogelijkheid moet worden geacht te zijn én in samenhang daarmee of daarvoor geldt dat dat noodzakelijk is. Zo is bijvoorbeeld onduidelijk of lidstaten al dan niet nog eisen kunnen stellen met betrekking tot andere dan de in artikel 21, tweede lid, onder a tot en met j, uitdrukkelijk benoemde maatregelen in het kader van de zorgplicht. Ook vraagt het kabinet zich af of en waarom het voor lidstaten eventueel niet meer mogelijk zou moeten zijn om, in geval van specifieke dreigingen in een lidstaat, eisen te stellen aan zorgplichtmaatregelen. Daarbij geldt overigens ook dat het risico aanwezig is dat de voorgestelde wijziging zou kunnen inhouden dat lidstaten hiermee wordt belet dergelijke eisen te stellen in situaties waarin de bescherming van de nationale veiligheid </w:t>
      </w:r>
      <w:r w:rsidRPr="00BF7731">
        <w:rPr>
          <w:rFonts w:ascii="Calibri" w:hAnsi="Calibri" w:cs="Calibri"/>
          <w:szCs w:val="22"/>
        </w:rPr>
        <w:lastRenderedPageBreak/>
        <w:t>naar het oordeel van een lidstaat hiertoe noodzaakt. Indien de voorgestelde wijziging lidstaten, zonder enig onderscheid, belet om in genoemde situaties nadere eisen met betrekking tot de maatregelen in het kader van de zorgplicht te stellen, gaat dit verder dan noodzakelijk is om het doel van het voorstel te bereiken.</w:t>
      </w:r>
    </w:p>
    <w:p w:rsidRPr="00BF7731" w:rsidR="008D7485" w:rsidP="008D7485" w:rsidRDefault="008D7485" w14:paraId="20E6265C" w14:textId="77777777">
      <w:pPr>
        <w:spacing w:line="360" w:lineRule="auto"/>
        <w:rPr>
          <w:rFonts w:ascii="Calibri" w:hAnsi="Calibri" w:cs="Calibri"/>
          <w:szCs w:val="22"/>
        </w:rPr>
      </w:pPr>
    </w:p>
    <w:p w:rsidRPr="00BF7731" w:rsidR="002E1831" w:rsidP="008D7485" w:rsidRDefault="008D7485" w14:paraId="1E5B221A" w14:textId="77777777">
      <w:pPr>
        <w:spacing w:line="360" w:lineRule="auto"/>
        <w:rPr>
          <w:rFonts w:ascii="Calibri" w:hAnsi="Calibri" w:cs="Calibri"/>
          <w:bCs/>
          <w:szCs w:val="22"/>
          <w:lang w:eastAsia="nl-NL"/>
        </w:rPr>
      </w:pPr>
      <w:r w:rsidRPr="00BF7731">
        <w:rPr>
          <w:rFonts w:ascii="Calibri" w:hAnsi="Calibri" w:cs="Calibri"/>
          <w:bCs/>
          <w:szCs w:val="22"/>
          <w:lang w:eastAsia="nl-NL"/>
        </w:rPr>
        <w:t xml:space="preserve">Het kabinet </w:t>
      </w:r>
      <w:r w:rsidRPr="00BF7731" w:rsidR="00DA6193">
        <w:rPr>
          <w:rFonts w:ascii="Calibri" w:hAnsi="Calibri" w:cs="Calibri"/>
          <w:bCs/>
          <w:szCs w:val="22"/>
          <w:lang w:eastAsia="nl-NL"/>
        </w:rPr>
        <w:t xml:space="preserve">plaatst tot slot een kanttekening bij de beperking van de auditbevoegdheden. Het kabinet is van </w:t>
      </w:r>
      <w:r w:rsidRPr="00BF7731">
        <w:rPr>
          <w:rFonts w:ascii="Calibri" w:hAnsi="Calibri" w:cs="Calibri"/>
          <w:bCs/>
          <w:szCs w:val="22"/>
          <w:lang w:eastAsia="nl-NL"/>
        </w:rPr>
        <w:t>mening dat de beperking op de auditbevoegdheden van toezichthouders in geval van certificering, verder gaat dan strikt noodzakelijk</w:t>
      </w:r>
      <w:r w:rsidRPr="00BF7731" w:rsidR="00DA6193">
        <w:rPr>
          <w:rFonts w:ascii="Calibri" w:hAnsi="Calibri" w:cs="Calibri"/>
          <w:bCs/>
          <w:szCs w:val="22"/>
          <w:lang w:eastAsia="nl-NL"/>
        </w:rPr>
        <w:t xml:space="preserve"> om het doel van het voorstel te bereiken</w:t>
      </w:r>
      <w:r w:rsidRPr="00BF7731">
        <w:rPr>
          <w:rFonts w:ascii="Calibri" w:hAnsi="Calibri" w:cs="Calibri"/>
          <w:bCs/>
          <w:szCs w:val="22"/>
          <w:lang w:eastAsia="nl-NL"/>
        </w:rPr>
        <w:t>. In tegenstelling tot certificering, kan een audit betrekking hebben op specifieke kwetsbaarheden en actuele risico’s. Ook biedt een audit</w:t>
      </w:r>
      <w:r w:rsidRPr="00BF7731" w:rsidR="000C288D">
        <w:rPr>
          <w:rFonts w:ascii="Calibri" w:hAnsi="Calibri" w:cs="Calibri"/>
          <w:bCs/>
          <w:szCs w:val="22"/>
          <w:lang w:eastAsia="nl-NL"/>
        </w:rPr>
        <w:t xml:space="preserve"> de</w:t>
      </w:r>
      <w:r w:rsidRPr="00BF7731">
        <w:rPr>
          <w:rFonts w:ascii="Calibri" w:hAnsi="Calibri" w:cs="Calibri"/>
          <w:bCs/>
          <w:szCs w:val="22"/>
          <w:lang w:eastAsia="nl-NL"/>
        </w:rPr>
        <w:t xml:space="preserve"> mogelijkheid om in dialoog te treden over de genomen of te nemen maatregelen. Het beperken van de bevoegdheid audits te doen leidt naar verwachting tot een lagere cyberweerbaarheid</w:t>
      </w:r>
      <w:r w:rsidRPr="00BF7731" w:rsidR="00DA6193">
        <w:rPr>
          <w:rFonts w:ascii="Calibri" w:hAnsi="Calibri" w:cs="Calibri"/>
          <w:bCs/>
          <w:szCs w:val="22"/>
          <w:lang w:eastAsia="nl-NL"/>
        </w:rPr>
        <w:t>, waarmee afbreuk wordt gedaan aan het uiteindelijke doel om cyberveiligheid te vergroten</w:t>
      </w:r>
      <w:r w:rsidRPr="00BF7731">
        <w:rPr>
          <w:rFonts w:ascii="Calibri" w:hAnsi="Calibri" w:cs="Calibri"/>
          <w:bCs/>
          <w:szCs w:val="22"/>
          <w:lang w:eastAsia="nl-NL"/>
        </w:rPr>
        <w:t xml:space="preserve">. Het kabinet onderkent de wens om de toezichtlasten laag te houden en onderschrijft in principe het vertrouwen dat partijen in deze certificering mogen hebben. </w:t>
      </w:r>
    </w:p>
    <w:p w:rsidRPr="00BF7731" w:rsidR="008D7485" w:rsidP="008D7485" w:rsidRDefault="008D7485" w14:paraId="50AB6EE1" w14:textId="437FF15C">
      <w:pPr>
        <w:spacing w:line="360" w:lineRule="auto"/>
        <w:rPr>
          <w:rFonts w:ascii="Calibri" w:hAnsi="Calibri" w:cs="Calibri"/>
          <w:bCs/>
          <w:szCs w:val="22"/>
          <w:lang w:eastAsia="nl-NL"/>
        </w:rPr>
      </w:pPr>
      <w:r w:rsidRPr="00BF7731">
        <w:rPr>
          <w:rFonts w:ascii="Calibri" w:hAnsi="Calibri" w:cs="Calibri"/>
          <w:bCs/>
          <w:szCs w:val="22"/>
          <w:lang w:eastAsia="nl-NL"/>
        </w:rPr>
        <w:t>Het kabinet ziet echter graag dat lagere toezichtlasten op een andere wijze worden bereikt dan een beperking van de juridische bevoegdheid audits te doen en treedt daarover graag in overleg met de Commissie.</w:t>
      </w:r>
    </w:p>
    <w:p w:rsidRPr="00BF7731" w:rsidR="00A15B58" w:rsidP="008D7485" w:rsidRDefault="00A15B58" w14:paraId="19ABB3BB" w14:textId="77777777">
      <w:pPr>
        <w:spacing w:line="360" w:lineRule="auto"/>
        <w:rPr>
          <w:rFonts w:ascii="Calibri" w:hAnsi="Calibri" w:cs="Calibri"/>
          <w:b/>
          <w:szCs w:val="22"/>
        </w:rPr>
      </w:pPr>
    </w:p>
    <w:p w:rsidRPr="00BF7731" w:rsidR="00CB7FF8" w:rsidP="00982D08" w:rsidRDefault="00CB7FF8" w14:paraId="6B1AD17E" w14:textId="77777777">
      <w:pPr>
        <w:numPr>
          <w:ilvl w:val="0"/>
          <w:numId w:val="3"/>
        </w:numPr>
        <w:spacing w:line="360" w:lineRule="auto"/>
        <w:rPr>
          <w:rFonts w:ascii="Calibri" w:hAnsi="Calibri" w:cs="Calibri"/>
          <w:b/>
          <w:szCs w:val="22"/>
        </w:rPr>
      </w:pPr>
      <w:r w:rsidRPr="00BF7731">
        <w:rPr>
          <w:rFonts w:ascii="Calibri" w:hAnsi="Calibri" w:cs="Calibri"/>
          <w:b/>
          <w:szCs w:val="22"/>
        </w:rPr>
        <w:t xml:space="preserve">Financiële </w:t>
      </w:r>
      <w:r w:rsidRPr="00BF7731" w:rsidR="00313255">
        <w:rPr>
          <w:rFonts w:ascii="Calibri" w:hAnsi="Calibri" w:cs="Calibri"/>
          <w:b/>
          <w:szCs w:val="22"/>
        </w:rPr>
        <w:t>consequenties</w:t>
      </w:r>
      <w:r w:rsidRPr="00BF7731">
        <w:rPr>
          <w:rFonts w:ascii="Calibri" w:hAnsi="Calibri" w:cs="Calibri"/>
          <w:b/>
          <w:szCs w:val="22"/>
        </w:rPr>
        <w:t>, gevolgen voor regeldruk</w:t>
      </w:r>
      <w:r w:rsidRPr="00BF7731" w:rsidR="000A39A4">
        <w:rPr>
          <w:rFonts w:ascii="Calibri" w:hAnsi="Calibri" w:cs="Calibri"/>
          <w:b/>
          <w:szCs w:val="22"/>
        </w:rPr>
        <w:t>, concurrentiekracht en geopolitieke aspecten</w:t>
      </w:r>
      <w:r w:rsidRPr="00BF7731">
        <w:rPr>
          <w:rFonts w:ascii="Calibri" w:hAnsi="Calibri" w:cs="Calibri"/>
          <w:b/>
          <w:szCs w:val="22"/>
        </w:rPr>
        <w:t xml:space="preserve"> </w:t>
      </w:r>
    </w:p>
    <w:p w:rsidRPr="00BF7731" w:rsidR="005F1779" w:rsidP="005F1779" w:rsidRDefault="00CB7FF8" w14:paraId="76B06BC4" w14:textId="612FAD38">
      <w:pPr>
        <w:numPr>
          <w:ilvl w:val="0"/>
          <w:numId w:val="8"/>
        </w:numPr>
        <w:spacing w:line="360" w:lineRule="auto"/>
        <w:outlineLvl w:val="0"/>
        <w:rPr>
          <w:rFonts w:ascii="Calibri" w:hAnsi="Calibri" w:cs="Calibri"/>
          <w:bCs/>
          <w:i/>
          <w:iCs/>
          <w:szCs w:val="22"/>
        </w:rPr>
      </w:pPr>
      <w:r w:rsidRPr="00BF7731">
        <w:rPr>
          <w:rFonts w:ascii="Calibri" w:hAnsi="Calibri" w:cs="Calibri"/>
          <w:bCs/>
          <w:i/>
          <w:iCs/>
          <w:szCs w:val="22"/>
        </w:rPr>
        <w:t>Consequenties EU-begroting</w:t>
      </w:r>
    </w:p>
    <w:p w:rsidRPr="00BF7731" w:rsidR="005F1779" w:rsidP="005F1779" w:rsidRDefault="00A819A1" w14:paraId="22795B2F" w14:textId="03C4B78D">
      <w:pPr>
        <w:spacing w:line="360" w:lineRule="auto"/>
        <w:rPr>
          <w:rFonts w:ascii="Calibri" w:hAnsi="Calibri" w:cs="Calibri"/>
          <w:szCs w:val="22"/>
        </w:rPr>
      </w:pPr>
      <w:r w:rsidRPr="00BF7731">
        <w:rPr>
          <w:rFonts w:ascii="Calibri" w:hAnsi="Calibri" w:cs="Calibri"/>
          <w:szCs w:val="22"/>
        </w:rPr>
        <w:t>Voor de consequenties voor de EU-begroting wordt u verwezen naar het BNC-fiche Herziening CSA.</w:t>
      </w:r>
      <w:r w:rsidRPr="00BF7731">
        <w:rPr>
          <w:rStyle w:val="Voetnootmarkering"/>
          <w:rFonts w:ascii="Calibri" w:hAnsi="Calibri" w:cs="Calibri"/>
          <w:szCs w:val="22"/>
        </w:rPr>
        <w:footnoteReference w:id="12"/>
      </w:r>
      <w:r w:rsidRPr="00BF7731" w:rsidR="00386C32">
        <w:rPr>
          <w:rFonts w:ascii="Calibri" w:hAnsi="Calibri" w:cs="Calibri"/>
          <w:szCs w:val="22"/>
        </w:rPr>
        <w:t xml:space="preserve"> Het kabinet is van mening dat de benodigde EU-middelen gevonden dienen te worden binnen de in de Raad afgesproken financiële kaders van de EU-begroting 2021-2027 en dat deze moeten passen bij een prudente ontwikkeling van de jaarbegroting. </w:t>
      </w:r>
      <w:r w:rsidRPr="00BF7731" w:rsidR="005F1779">
        <w:rPr>
          <w:rFonts w:ascii="Calibri" w:hAnsi="Calibri" w:cs="Calibri"/>
          <w:szCs w:val="22"/>
        </w:rPr>
        <w:t xml:space="preserve">Het kabinet wil niet </w:t>
      </w:r>
      <w:r w:rsidRPr="00BF7731" w:rsidR="00E0597D">
        <w:rPr>
          <w:rFonts w:ascii="Calibri" w:hAnsi="Calibri" w:cs="Calibri"/>
          <w:szCs w:val="22"/>
        </w:rPr>
        <w:t>vooruitlopen</w:t>
      </w:r>
      <w:r w:rsidRPr="00BF7731" w:rsidR="005F1779">
        <w:rPr>
          <w:rFonts w:ascii="Calibri" w:hAnsi="Calibri" w:cs="Calibri"/>
          <w:szCs w:val="22"/>
        </w:rPr>
        <w:t xml:space="preserve"> op de integrale afweging van middelen na 2027. Daarnaast moet de ontwikkeling van de administratieve uitgaven in lijn zijn met de ER-conclusies van juli 2020 over het MFK-akkoord. Het kabinet is kritisch over de stijging van het aantal werknemers.</w:t>
      </w:r>
      <w:r w:rsidRPr="00BF7731" w:rsidR="00386C32">
        <w:rPr>
          <w:rFonts w:ascii="Calibri" w:hAnsi="Calibri" w:cs="Calibri"/>
          <w:szCs w:val="22"/>
        </w:rPr>
        <w:t xml:space="preserve"> </w:t>
      </w:r>
    </w:p>
    <w:p w:rsidRPr="00BF7731" w:rsidR="005F1779" w:rsidP="005F1779" w:rsidRDefault="005F1779" w14:paraId="5FC0CAD7" w14:textId="77777777">
      <w:pPr>
        <w:spacing w:line="360" w:lineRule="auto"/>
        <w:outlineLvl w:val="0"/>
        <w:rPr>
          <w:rFonts w:ascii="Calibri" w:hAnsi="Calibri" w:cs="Calibri"/>
          <w:bCs/>
          <w:szCs w:val="22"/>
        </w:rPr>
      </w:pPr>
    </w:p>
    <w:p w:rsidRPr="00BF7731" w:rsidR="00CB7FF8" w:rsidP="00982D08" w:rsidRDefault="00CB7FF8" w14:paraId="7FF07388" w14:textId="77777777">
      <w:pPr>
        <w:numPr>
          <w:ilvl w:val="0"/>
          <w:numId w:val="8"/>
        </w:numPr>
        <w:spacing w:line="360" w:lineRule="auto"/>
        <w:outlineLvl w:val="0"/>
        <w:rPr>
          <w:rFonts w:ascii="Calibri" w:hAnsi="Calibri" w:cs="Calibri"/>
          <w:bCs/>
          <w:i/>
          <w:iCs/>
          <w:szCs w:val="22"/>
        </w:rPr>
      </w:pPr>
      <w:r w:rsidRPr="00BF7731">
        <w:rPr>
          <w:rFonts w:ascii="Calibri" w:hAnsi="Calibri" w:cs="Calibri"/>
          <w:bCs/>
          <w:i/>
          <w:iCs/>
          <w:szCs w:val="22"/>
        </w:rPr>
        <w:t>Financiële consequenties (incl. personele)</w:t>
      </w:r>
      <w:r w:rsidRPr="00BF7731" w:rsidR="000A39A4">
        <w:rPr>
          <w:rFonts w:ascii="Calibri" w:hAnsi="Calibri" w:cs="Calibri"/>
          <w:bCs/>
          <w:i/>
          <w:iCs/>
          <w:szCs w:val="22"/>
        </w:rPr>
        <w:t xml:space="preserve"> </w:t>
      </w:r>
      <w:r w:rsidRPr="00BF7731">
        <w:rPr>
          <w:rFonts w:ascii="Calibri" w:hAnsi="Calibri" w:cs="Calibri"/>
          <w:bCs/>
          <w:i/>
          <w:iCs/>
          <w:szCs w:val="22"/>
        </w:rPr>
        <w:t xml:space="preserve">voor rijksoverheid en/ of </w:t>
      </w:r>
      <w:r w:rsidRPr="00BF7731" w:rsidR="002F38E5">
        <w:rPr>
          <w:rFonts w:ascii="Calibri" w:hAnsi="Calibri" w:cs="Calibri"/>
          <w:bCs/>
          <w:i/>
          <w:iCs/>
          <w:szCs w:val="22"/>
        </w:rPr>
        <w:t>mede</w:t>
      </w:r>
      <w:r w:rsidRPr="00BF7731">
        <w:rPr>
          <w:rFonts w:ascii="Calibri" w:hAnsi="Calibri" w:cs="Calibri"/>
          <w:bCs/>
          <w:i/>
          <w:iCs/>
          <w:szCs w:val="22"/>
        </w:rPr>
        <w:t>overheden</w:t>
      </w:r>
    </w:p>
    <w:p w:rsidRPr="00BF7731" w:rsidR="005F1779" w:rsidP="005F1779" w:rsidRDefault="00A819A1" w14:paraId="6372FC4A" w14:textId="13D7B090">
      <w:pPr>
        <w:spacing w:line="360" w:lineRule="auto"/>
        <w:outlineLvl w:val="0"/>
        <w:rPr>
          <w:rFonts w:ascii="Calibri" w:hAnsi="Calibri" w:cs="Calibri"/>
          <w:bCs/>
          <w:szCs w:val="22"/>
        </w:rPr>
      </w:pPr>
      <w:r w:rsidRPr="00BF7731">
        <w:rPr>
          <w:rFonts w:ascii="Calibri" w:hAnsi="Calibri" w:cs="Calibri"/>
          <w:szCs w:val="22"/>
        </w:rPr>
        <w:t xml:space="preserve">Voor de financiële consequenties wordt u verwezen naar het BNC-fiche Herziening CSA. </w:t>
      </w:r>
      <w:r w:rsidRPr="00BF7731">
        <w:rPr>
          <w:rStyle w:val="Voetnootmarkering"/>
          <w:rFonts w:ascii="Calibri" w:hAnsi="Calibri" w:cs="Calibri"/>
          <w:szCs w:val="22"/>
        </w:rPr>
        <w:footnoteReference w:id="13"/>
      </w:r>
      <w:r w:rsidRPr="00BF7731">
        <w:rPr>
          <w:rFonts w:ascii="Calibri" w:hAnsi="Calibri" w:cs="Calibri"/>
          <w:szCs w:val="22"/>
        </w:rPr>
        <w:t xml:space="preserve"> </w:t>
      </w:r>
      <w:r w:rsidRPr="00BF7731" w:rsidR="005F1779">
        <w:rPr>
          <w:rFonts w:ascii="Calibri" w:hAnsi="Calibri" w:cs="Calibri"/>
          <w:szCs w:val="22"/>
        </w:rPr>
        <w:t>De budgettaire gevolgen worden ingepast op de begroting van het/</w:t>
      </w:r>
      <w:r w:rsidRPr="00BF7731" w:rsidR="00E0597D">
        <w:rPr>
          <w:rFonts w:ascii="Calibri" w:hAnsi="Calibri" w:cs="Calibri"/>
          <w:szCs w:val="22"/>
        </w:rPr>
        <w:t xml:space="preserve">het beleidsverantwoordelijk </w:t>
      </w:r>
      <w:r w:rsidRPr="00BF7731" w:rsidR="00E0597D">
        <w:rPr>
          <w:rFonts w:ascii="Calibri" w:hAnsi="Calibri" w:cs="Calibri"/>
          <w:szCs w:val="22"/>
        </w:rPr>
        <w:lastRenderedPageBreak/>
        <w:t>departement</w:t>
      </w:r>
      <w:r w:rsidRPr="00BF7731" w:rsidR="005F1779">
        <w:rPr>
          <w:rFonts w:ascii="Calibri" w:hAnsi="Calibri" w:cs="Calibri"/>
          <w:szCs w:val="22"/>
        </w:rPr>
        <w:t>, conform de regels van de budgetdiscipline.</w:t>
      </w:r>
      <w:r w:rsidRPr="00BF7731" w:rsidR="001441C4">
        <w:rPr>
          <w:rFonts w:ascii="Calibri" w:hAnsi="Calibri" w:cs="Calibri"/>
          <w:szCs w:val="22"/>
        </w:rPr>
        <w:t xml:space="preserve"> Voor zover we nu kunnen inschatten zullen eventuele gevolgen voor de rijksoverheid beperkt zijn.</w:t>
      </w:r>
    </w:p>
    <w:p w:rsidRPr="00BF7731" w:rsidR="005F109E" w:rsidP="005F109E" w:rsidRDefault="005F109E" w14:paraId="3D892AC5" w14:textId="77777777">
      <w:pPr>
        <w:spacing w:line="360" w:lineRule="auto"/>
        <w:ind w:left="360"/>
        <w:outlineLvl w:val="0"/>
        <w:rPr>
          <w:rFonts w:ascii="Calibri" w:hAnsi="Calibri" w:cs="Calibri"/>
          <w:bCs/>
          <w:i/>
          <w:iCs/>
          <w:szCs w:val="22"/>
        </w:rPr>
      </w:pPr>
    </w:p>
    <w:p w:rsidRPr="00BF7731" w:rsidR="00451274" w:rsidP="00451274" w:rsidRDefault="00CB7FF8" w14:paraId="2ACFCD1A" w14:textId="22703D3B">
      <w:pPr>
        <w:numPr>
          <w:ilvl w:val="0"/>
          <w:numId w:val="8"/>
        </w:numPr>
        <w:spacing w:line="360" w:lineRule="auto"/>
        <w:rPr>
          <w:rFonts w:ascii="Calibri" w:hAnsi="Calibri" w:cs="Calibri"/>
          <w:bCs/>
          <w:i/>
          <w:iCs/>
          <w:szCs w:val="22"/>
        </w:rPr>
      </w:pPr>
      <w:r w:rsidRPr="00BF7731">
        <w:rPr>
          <w:rFonts w:ascii="Calibri" w:hAnsi="Calibri" w:cs="Calibri"/>
          <w:bCs/>
          <w:i/>
          <w:iCs/>
          <w:szCs w:val="22"/>
        </w:rPr>
        <w:t xml:space="preserve">Financiële </w:t>
      </w:r>
      <w:r w:rsidRPr="00BF7731" w:rsidR="00E0597D">
        <w:rPr>
          <w:rFonts w:ascii="Calibri" w:hAnsi="Calibri" w:cs="Calibri"/>
          <w:bCs/>
          <w:i/>
          <w:iCs/>
          <w:szCs w:val="22"/>
        </w:rPr>
        <w:t>consequenties en</w:t>
      </w:r>
      <w:r w:rsidRPr="00BF7731" w:rsidR="000A39A4">
        <w:rPr>
          <w:rFonts w:ascii="Calibri" w:hAnsi="Calibri" w:cs="Calibri"/>
          <w:bCs/>
          <w:i/>
          <w:iCs/>
          <w:szCs w:val="22"/>
        </w:rPr>
        <w:t xml:space="preserve"> gevolgen voor regeldruk</w:t>
      </w:r>
      <w:r w:rsidRPr="00BF7731">
        <w:rPr>
          <w:rFonts w:ascii="Calibri" w:hAnsi="Calibri" w:cs="Calibri"/>
          <w:bCs/>
          <w:i/>
          <w:iCs/>
          <w:szCs w:val="22"/>
        </w:rPr>
        <w:t xml:space="preserve"> voor bedrijfsleven en burger</w:t>
      </w:r>
    </w:p>
    <w:p w:rsidRPr="00BF7731" w:rsidR="00BD7863" w:rsidP="00BD7863" w:rsidRDefault="00BD7863" w14:paraId="04FA0932" w14:textId="77777777">
      <w:pPr>
        <w:spacing w:line="360" w:lineRule="auto"/>
        <w:rPr>
          <w:rFonts w:ascii="Calibri" w:hAnsi="Calibri" w:cs="Calibri"/>
          <w:bCs/>
          <w:szCs w:val="22"/>
        </w:rPr>
      </w:pPr>
      <w:r w:rsidRPr="00BF7731">
        <w:rPr>
          <w:rFonts w:ascii="Calibri" w:hAnsi="Calibri" w:cs="Calibri"/>
          <w:szCs w:val="22"/>
        </w:rPr>
        <w:t>Nederland zet zich in voor het verminderen van regeldruk en het bevorderen van betere regelgeving, zoals vastgelegd in het Actieprogramma Minder Druk Met Regels (MDMR).</w:t>
      </w:r>
      <w:r w:rsidRPr="00BF7731">
        <w:rPr>
          <w:rStyle w:val="Voetnootmarkering"/>
          <w:rFonts w:ascii="Calibri" w:hAnsi="Calibri" w:cs="Calibri"/>
          <w:szCs w:val="22"/>
        </w:rPr>
        <w:footnoteReference w:id="14"/>
      </w:r>
      <w:r w:rsidRPr="00BF7731">
        <w:rPr>
          <w:rFonts w:ascii="Calibri" w:hAnsi="Calibri" w:cs="Calibri"/>
          <w:szCs w:val="22"/>
        </w:rPr>
        <w:t xml:space="preserve"> In lijn met deze inzet is een van de uitgangspunten van het kabinet in de non-paper over regeldruk en digitale wetgeving in november 2025 met uw Kamer gedeeld.</w:t>
      </w:r>
      <w:r w:rsidRPr="00BF7731">
        <w:rPr>
          <w:rStyle w:val="Voetnootmarkering"/>
          <w:rFonts w:ascii="Calibri" w:hAnsi="Calibri" w:cs="Calibri"/>
          <w:szCs w:val="22"/>
        </w:rPr>
        <w:footnoteReference w:id="15"/>
      </w:r>
      <w:r w:rsidRPr="00BF7731">
        <w:rPr>
          <w:rFonts w:ascii="Calibri" w:hAnsi="Calibri" w:cs="Calibri"/>
          <w:szCs w:val="22"/>
        </w:rPr>
        <w:t xml:space="preserve"> De simplificatievoorstellen uit het voorstel passen binnen de bredere doelstelling van het kabinet om de regeldruk terug te dringen. Daarbij zal het voorstel volgens het kabinet in brede zin bijdragen aan het vergroten van de cyberveiligheid en weerbaarheid in de gehele Unie.</w:t>
      </w:r>
      <w:r w:rsidRPr="00BF7731">
        <w:rPr>
          <w:rFonts w:ascii="Calibri" w:hAnsi="Calibri" w:cs="Calibri"/>
          <w:bCs/>
          <w:szCs w:val="22"/>
        </w:rPr>
        <w:t xml:space="preserve"> </w:t>
      </w:r>
    </w:p>
    <w:p w:rsidRPr="00BF7731" w:rsidR="00BD7863" w:rsidP="00BD7863" w:rsidRDefault="00BD7863" w14:paraId="073F6483" w14:textId="77777777">
      <w:pPr>
        <w:spacing w:line="360" w:lineRule="auto"/>
        <w:rPr>
          <w:rFonts w:ascii="Calibri" w:hAnsi="Calibri" w:cs="Calibri"/>
          <w:bCs/>
          <w:szCs w:val="22"/>
        </w:rPr>
      </w:pPr>
    </w:p>
    <w:p w:rsidRPr="00BF7731" w:rsidR="00BD7863" w:rsidP="00BD7863" w:rsidRDefault="00BD7863" w14:paraId="25FFA28C" w14:textId="77777777">
      <w:pPr>
        <w:spacing w:line="360" w:lineRule="auto"/>
        <w:rPr>
          <w:rFonts w:ascii="Calibri" w:hAnsi="Calibri" w:cs="Calibri"/>
          <w:bCs/>
          <w:szCs w:val="22"/>
        </w:rPr>
      </w:pPr>
      <w:r w:rsidRPr="00BF7731">
        <w:rPr>
          <w:rFonts w:ascii="Calibri" w:hAnsi="Calibri" w:cs="Calibri"/>
          <w:bCs/>
          <w:szCs w:val="22"/>
        </w:rPr>
        <w:t>In lijn met bovenstaande heeft Nederland de NIS2-richtlijn beleidsarm geïmplementeerd en zijn er geen nationale koppen toegevoegd. Nog voordat de NIS2-richtlijn in Nederland is geïmplementeerd, heeft de Commissie een simplificatie van de NIS2-richtlijn aangekondigd. Het doel van dit voorstel is het verlagen van de regeldruk. Zowel de NIS2-richtlijn als de simplificatie van de NIS2-richtlijn, hebben geen gevolgen voor de regeldruk voor burgers, evenmin voor entiteiten die niet binnen het toepassingsbereik van de NIS2-richlijn vallen. Hieronder zal per onderdeel nader worden ingegaan op de regeldrukimplicaties voor bedrijven die wel binnen het bereik van de NIS2-richtlijn vallen.</w:t>
      </w:r>
    </w:p>
    <w:p w:rsidRPr="00BF7731" w:rsidR="00BD7863" w:rsidP="00BD7863" w:rsidRDefault="00BD7863" w14:paraId="6A22DBBB" w14:textId="77777777">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rPr>
        <w:t>Het voorstel ziet allereerst op een uitbreiding van het toepassingsbereik</w:t>
      </w:r>
      <w:r w:rsidRPr="00BF7731">
        <w:rPr>
          <w:rFonts w:ascii="Calibri" w:hAnsi="Calibri" w:cs="Calibri"/>
          <w:bCs w:val="0"/>
          <w:sz w:val="22"/>
          <w:szCs w:val="22"/>
          <w:lang w:val="nl-NL"/>
        </w:rPr>
        <w:t xml:space="preserve">. </w:t>
      </w:r>
      <w:r w:rsidRPr="00BF7731">
        <w:rPr>
          <w:rFonts w:ascii="Calibri" w:hAnsi="Calibri" w:cs="Calibri"/>
          <w:sz w:val="22"/>
          <w:szCs w:val="22"/>
          <w:lang w:val="nl-NL"/>
        </w:rPr>
        <w:t>Hierdoor moet</w:t>
      </w:r>
      <w:r w:rsidRPr="00BF7731">
        <w:rPr>
          <w:rFonts w:ascii="Calibri" w:hAnsi="Calibri" w:cs="Calibri"/>
          <w:bCs w:val="0"/>
          <w:sz w:val="22"/>
          <w:szCs w:val="22"/>
          <w:lang w:val="nl-NL"/>
        </w:rPr>
        <w:t>en</w:t>
      </w:r>
      <w:r w:rsidRPr="00BF7731">
        <w:rPr>
          <w:rFonts w:ascii="Calibri" w:hAnsi="Calibri" w:cs="Calibri"/>
          <w:sz w:val="22"/>
          <w:szCs w:val="22"/>
          <w:lang w:val="nl-NL"/>
        </w:rPr>
        <w:t xml:space="preserve"> ‘nieuwe groep</w:t>
      </w:r>
      <w:r w:rsidRPr="00BF7731">
        <w:rPr>
          <w:rFonts w:ascii="Calibri" w:hAnsi="Calibri" w:cs="Calibri"/>
          <w:bCs w:val="0"/>
          <w:sz w:val="22"/>
          <w:szCs w:val="22"/>
          <w:lang w:val="nl-NL"/>
        </w:rPr>
        <w:t>en</w:t>
      </w:r>
      <w:r w:rsidRPr="00BF7731">
        <w:rPr>
          <w:rFonts w:ascii="Calibri" w:hAnsi="Calibri" w:cs="Calibri"/>
          <w:sz w:val="22"/>
          <w:szCs w:val="22"/>
          <w:lang w:val="nl-NL"/>
        </w:rPr>
        <w:t xml:space="preserve"> van entiteiten’ onder andere voldoen aan de zorgplicht, meldplicht en registratieplicht. De verwachting is dat deze entiteiten, in het kader van de zorgplicht, veelal beveiligingsmaatregelen hebben getroffen, zijnde een combinatie van technische, operationele en organisatorische maatregelen. Voor de continuïteit van hun eigen bedrijfsvoering is het immers cruciaal dat maatregelen worden getroffen op het gebied van netwerk- en informatiebeveiliging. Op dit moment is het voor het kabinet nog onduidelijk hoeveel nieuwe entiteiten onder de NIS2-richtlijn komen te vallen, het kabinet streeft ernaar hier zo snel mogelijk inzicht in te krijgen. </w:t>
      </w:r>
    </w:p>
    <w:p w:rsidRPr="00BF7731" w:rsidR="00BD7863" w:rsidP="00BD7863" w:rsidRDefault="00BD7863" w14:paraId="56548F4A" w14:textId="77777777">
      <w:pPr>
        <w:pStyle w:val="Spreekpunten"/>
        <w:numPr>
          <w:ilvl w:val="0"/>
          <w:numId w:val="0"/>
        </w:numPr>
        <w:rPr>
          <w:rFonts w:ascii="Calibri" w:hAnsi="Calibri" w:cs="Calibri"/>
          <w:sz w:val="22"/>
          <w:szCs w:val="22"/>
          <w:lang w:val="nl-NL" w:eastAsia="zh-CN"/>
        </w:rPr>
      </w:pPr>
    </w:p>
    <w:p w:rsidRPr="00BF7731" w:rsidR="00BD7863" w:rsidP="00BD7863" w:rsidRDefault="00BD7863" w14:paraId="0509FB7A" w14:textId="77777777">
      <w:pPr>
        <w:pStyle w:val="Spreekpunten"/>
        <w:numPr>
          <w:ilvl w:val="0"/>
          <w:numId w:val="0"/>
        </w:numPr>
        <w:rPr>
          <w:rFonts w:ascii="Calibri" w:hAnsi="Calibri" w:cs="Calibri"/>
          <w:sz w:val="22"/>
          <w:szCs w:val="22"/>
          <w:lang w:val="nl-NL" w:eastAsia="zh-CN"/>
        </w:rPr>
      </w:pPr>
      <w:r w:rsidRPr="00BF7731">
        <w:rPr>
          <w:rFonts w:ascii="Calibri" w:hAnsi="Calibri" w:cs="Calibri"/>
          <w:bCs w:val="0"/>
          <w:sz w:val="22"/>
          <w:szCs w:val="22"/>
          <w:lang w:val="nl-NL"/>
        </w:rPr>
        <w:t xml:space="preserve">Om de regeldruk voor onder andere entiteiten te beperken, introduceert het voorstel een nieuwe categorie </w:t>
      </w:r>
      <w:r w:rsidRPr="00BF7731">
        <w:rPr>
          <w:rFonts w:ascii="Calibri" w:hAnsi="Calibri" w:cs="Calibri"/>
          <w:bCs w:val="0"/>
          <w:i/>
          <w:iCs/>
          <w:sz w:val="22"/>
          <w:szCs w:val="22"/>
          <w:lang w:val="nl-NL"/>
        </w:rPr>
        <w:t xml:space="preserve">small mid-cap </w:t>
      </w:r>
      <w:r w:rsidRPr="00BF7731">
        <w:rPr>
          <w:rFonts w:ascii="Calibri" w:hAnsi="Calibri" w:cs="Calibri"/>
          <w:bCs w:val="0"/>
          <w:sz w:val="22"/>
          <w:szCs w:val="22"/>
          <w:lang w:val="nl-NL"/>
        </w:rPr>
        <w:t xml:space="preserve">bedrijven. </w:t>
      </w:r>
      <w:r w:rsidRPr="00BF7731">
        <w:rPr>
          <w:rFonts w:ascii="Calibri" w:hAnsi="Calibri" w:cs="Calibri"/>
          <w:sz w:val="22"/>
          <w:szCs w:val="22"/>
          <w:lang w:val="nl-NL" w:eastAsia="zh-CN"/>
        </w:rPr>
        <w:t>Het gaat daarbij om een categorie die tussen middelgrote en grote ondernemingen in komt</w:t>
      </w:r>
      <w:r w:rsidRPr="00BF7731">
        <w:rPr>
          <w:rFonts w:ascii="Calibri" w:hAnsi="Calibri" w:cs="Calibri"/>
          <w:sz w:val="22"/>
          <w:szCs w:val="22"/>
          <w:lang w:val="nl-NL"/>
        </w:rPr>
        <w:t xml:space="preserve">. </w:t>
      </w:r>
      <w:r w:rsidRPr="00BF7731">
        <w:rPr>
          <w:rFonts w:ascii="Calibri" w:hAnsi="Calibri" w:cs="Calibri"/>
          <w:sz w:val="22"/>
          <w:szCs w:val="22"/>
          <w:lang w:val="nl-NL" w:eastAsia="zh-CN"/>
        </w:rPr>
        <w:t xml:space="preserve">Deze bedrijven worden nu als essentiële entiteiten aangemerkt, maar met het voorstel als belangrijke entiteit aangemerkt. Onder de NIS2-richtlijn is er verschil in toezicht </w:t>
      </w:r>
      <w:r w:rsidRPr="00BF7731">
        <w:rPr>
          <w:rFonts w:ascii="Calibri" w:hAnsi="Calibri" w:cs="Calibri"/>
          <w:sz w:val="22"/>
          <w:szCs w:val="22"/>
          <w:lang w:val="nl-NL" w:eastAsia="zh-CN"/>
        </w:rPr>
        <w:lastRenderedPageBreak/>
        <w:t xml:space="preserve">tussen essentiële entiteiten en belangrijke entiteiten: essentiële entiteiten staan onder proactief toezicht en belangrijke entiteiten staan onder reactief toezicht. Daarnaast beschikt de bevoegde autoriteit in de handhaving van de naleving van de verplichtingen door essentiële entiteiten, over meer bevoegdheden dan ten aanzien van de handhaving van de naleving van de verplichtingen door belangrijke entiteiten. Doordat deze nieuwe categorie </w:t>
      </w:r>
      <w:r w:rsidRPr="00BF7731">
        <w:rPr>
          <w:rFonts w:ascii="Calibri" w:hAnsi="Calibri" w:cs="Calibri"/>
          <w:i/>
          <w:iCs/>
          <w:sz w:val="22"/>
          <w:szCs w:val="22"/>
          <w:lang w:val="nl-NL" w:eastAsia="zh-CN"/>
        </w:rPr>
        <w:t>small mid-cap</w:t>
      </w:r>
      <w:r w:rsidRPr="00BF7731">
        <w:rPr>
          <w:rFonts w:ascii="Calibri" w:hAnsi="Calibri" w:cs="Calibri"/>
          <w:sz w:val="22"/>
          <w:szCs w:val="22"/>
          <w:lang w:val="nl-NL"/>
        </w:rPr>
        <w:t xml:space="preserve"> onder een lichter toezichtregime zullen vallen, zal dit leiden tot minder regeldruk voor deze entiteiten ten aanzien van toezicht. Op dit moment is het voor het kabinet nog onduidelijk hoeveel entiteiten onder deze nieuwe categorie komen te vallen, het kabinet streeft ernaar hier zo snel mogelijk inzicht in te krijgen. </w:t>
      </w:r>
    </w:p>
    <w:p w:rsidRPr="00BF7731" w:rsidR="00BD7863" w:rsidP="00BD7863" w:rsidRDefault="00BD7863" w14:paraId="6B0138E1" w14:textId="77777777">
      <w:pPr>
        <w:spacing w:line="360" w:lineRule="auto"/>
        <w:rPr>
          <w:rFonts w:ascii="Calibri" w:hAnsi="Calibri" w:cs="Calibri"/>
          <w:bCs/>
          <w:szCs w:val="22"/>
        </w:rPr>
      </w:pPr>
    </w:p>
    <w:p w:rsidRPr="00BF7731" w:rsidR="00BD7863" w:rsidP="00BD7863" w:rsidRDefault="00BD7863" w14:paraId="28F00D78" w14:textId="27CB410C">
      <w:pPr>
        <w:spacing w:line="360" w:lineRule="auto"/>
        <w:rPr>
          <w:rFonts w:ascii="Calibri" w:hAnsi="Calibri" w:cs="Calibri"/>
          <w:bCs/>
          <w:szCs w:val="22"/>
        </w:rPr>
      </w:pPr>
      <w:r w:rsidRPr="00BF7731">
        <w:rPr>
          <w:rFonts w:ascii="Calibri" w:hAnsi="Calibri" w:cs="Calibri"/>
          <w:szCs w:val="22"/>
        </w:rPr>
        <w:t xml:space="preserve">Ook doet de Commissie voorstellen zodat certificering expliciet ingezet kan worden ter ondersteuning van EU-wetgeving. Op deze wijze kan </w:t>
      </w:r>
      <w:proofErr w:type="spellStart"/>
      <w:r w:rsidRPr="00BF7731">
        <w:rPr>
          <w:rFonts w:ascii="Calibri" w:hAnsi="Calibri" w:cs="Calibri"/>
          <w:i/>
          <w:iCs/>
          <w:szCs w:val="22"/>
        </w:rPr>
        <w:t>cyberposture</w:t>
      </w:r>
      <w:proofErr w:type="spellEnd"/>
      <w:r w:rsidRPr="00BF7731">
        <w:rPr>
          <w:rFonts w:ascii="Calibri" w:hAnsi="Calibri" w:cs="Calibri"/>
          <w:szCs w:val="22"/>
        </w:rPr>
        <w:t xml:space="preserve"> certificering worden ingezet om daarmee aantoonbaar te voldoen aan de zorgplichtmaatregelen, bedoeld in de NIS2-richtlijn.</w:t>
      </w:r>
      <w:r w:rsidRPr="00BF7731" w:rsidR="00673E68">
        <w:rPr>
          <w:rFonts w:ascii="Calibri" w:hAnsi="Calibri" w:cs="Calibri"/>
          <w:color w:val="FF0000"/>
          <w:szCs w:val="22"/>
          <w:highlight w:val="yellow"/>
        </w:rPr>
        <w:t xml:space="preserve"> </w:t>
      </w:r>
      <w:r w:rsidRPr="00BF7731" w:rsidR="00673E68">
        <w:rPr>
          <w:rFonts w:ascii="Calibri" w:hAnsi="Calibri" w:cs="Calibri"/>
          <w:szCs w:val="22"/>
        </w:rPr>
        <w:t>Hoewel in het voorstel geen verplichting is opgenomen voor entiteiten om zich te certificeren heeft de Commissie hiervoor de mogelijke kosten in kaart gebracht:</w:t>
      </w:r>
      <w:r w:rsidRPr="00BF7731">
        <w:rPr>
          <w:rFonts w:ascii="Calibri" w:hAnsi="Calibri" w:cs="Calibri"/>
          <w:szCs w:val="22"/>
        </w:rPr>
        <w:t xml:space="preserve"> </w:t>
      </w:r>
      <w:r w:rsidRPr="00BF7731" w:rsidR="00673E68">
        <w:rPr>
          <w:rFonts w:ascii="Calibri" w:hAnsi="Calibri" w:cs="Calibri"/>
          <w:bCs/>
          <w:szCs w:val="22"/>
        </w:rPr>
        <w:t>i</w:t>
      </w:r>
      <w:r w:rsidRPr="00BF7731">
        <w:rPr>
          <w:rFonts w:ascii="Calibri" w:hAnsi="Calibri" w:cs="Calibri"/>
          <w:bCs/>
          <w:szCs w:val="22"/>
        </w:rPr>
        <w:t>n haar impact assessment gaat de Europese Commissie uit van een bedrag van €30.000 voor het behalen van certificering. De structurele kosten om gecertificeerd te blijven worden over heel Europa geschat op 501 miljoen euro over vijf jaar. Dit is eenzelfde bedrag als de eenmalige kosten voor certificering. Daarmee zullen de structurele kosten voor het behoud van certificering op €6000 per jaar worden geschat</w:t>
      </w:r>
      <w:r w:rsidRPr="00BF7731">
        <w:rPr>
          <w:rFonts w:ascii="Calibri" w:hAnsi="Calibri" w:cs="Calibri"/>
          <w:szCs w:val="22"/>
        </w:rPr>
        <w:t xml:space="preserve">. </w:t>
      </w:r>
      <w:r w:rsidRPr="00BF7731" w:rsidR="00673E68">
        <w:rPr>
          <w:rFonts w:ascii="Calibri" w:hAnsi="Calibri" w:cs="Calibri"/>
          <w:szCs w:val="22"/>
        </w:rPr>
        <w:t>Het kabinet zal verduidelijking vragen over de kosten van het periodiek vernieuwen van de certificering.</w:t>
      </w:r>
    </w:p>
    <w:p w:rsidRPr="00BF7731" w:rsidR="00BD7863" w:rsidP="00BD7863" w:rsidRDefault="00BD7863" w14:paraId="1C4186A5" w14:textId="77777777">
      <w:pPr>
        <w:spacing w:line="360" w:lineRule="auto"/>
        <w:rPr>
          <w:rFonts w:ascii="Calibri" w:hAnsi="Calibri" w:cs="Calibri"/>
          <w:bCs/>
          <w:szCs w:val="22"/>
        </w:rPr>
      </w:pPr>
    </w:p>
    <w:p w:rsidRPr="00BF7731" w:rsidR="002E1831" w:rsidP="00BD7863" w:rsidRDefault="00BD7863" w14:paraId="5EC288C0" w14:textId="77777777">
      <w:pPr>
        <w:spacing w:line="360" w:lineRule="auto"/>
        <w:rPr>
          <w:rFonts w:ascii="Calibri" w:hAnsi="Calibri" w:cs="Calibri"/>
          <w:szCs w:val="22"/>
        </w:rPr>
      </w:pPr>
      <w:r w:rsidRPr="00BF7731">
        <w:rPr>
          <w:rFonts w:ascii="Calibri" w:hAnsi="Calibri" w:cs="Calibri"/>
          <w:szCs w:val="22"/>
        </w:rPr>
        <w:t xml:space="preserve">Ook stelt de Commissie maximum harmonisatie van de uitvoeringshandelingen voor met betrekking tot de zorgplichtmaatregelen. De Commissie beoordeelt regelmatig of er uitvoeringshandelingen voor specifieke sectoren of soorten entiteiten moeten worden vastgesteld. De Commissie heeft momenteel nog geen nieuwe uitvoeringshandelingen aangekondigd, waardoor het voor het kabinet nog niet duidelijk is voor welke specifieke sectoren of soorten entiteiten eventuele uitvoeringshandelingen worden verwacht. </w:t>
      </w:r>
    </w:p>
    <w:p w:rsidRPr="00BF7731" w:rsidR="00BD7863" w:rsidP="00BD7863" w:rsidRDefault="00BD7863" w14:paraId="18D71773" w14:textId="4499E3BC">
      <w:pPr>
        <w:spacing w:line="360" w:lineRule="auto"/>
        <w:rPr>
          <w:rFonts w:ascii="Calibri" w:hAnsi="Calibri" w:cs="Calibri"/>
          <w:szCs w:val="22"/>
        </w:rPr>
      </w:pPr>
      <w:r w:rsidRPr="00BF7731">
        <w:rPr>
          <w:rFonts w:ascii="Calibri" w:hAnsi="Calibri" w:cs="Calibri"/>
          <w:szCs w:val="22"/>
        </w:rPr>
        <w:t xml:space="preserve">Het </w:t>
      </w:r>
      <w:r w:rsidRPr="00BF7731" w:rsidR="00BA3D95">
        <w:rPr>
          <w:rFonts w:ascii="Calibri" w:hAnsi="Calibri" w:cs="Calibri"/>
          <w:szCs w:val="22"/>
        </w:rPr>
        <w:t>k</w:t>
      </w:r>
      <w:r w:rsidRPr="00BF7731">
        <w:rPr>
          <w:rFonts w:ascii="Calibri" w:hAnsi="Calibri" w:cs="Calibri"/>
          <w:szCs w:val="22"/>
        </w:rPr>
        <w:t xml:space="preserve">abinet merkt daarnaast op dat de onzekerheid die voortkomt uit mogelijke uitvoeringshandelingen een risico op (onvoorziene) regeldruk met zich meebrengt. </w:t>
      </w:r>
    </w:p>
    <w:p w:rsidRPr="00BF7731" w:rsidR="00BD7863" w:rsidP="00BD7863" w:rsidRDefault="00BD7863" w14:paraId="0EAB5067" w14:textId="77777777">
      <w:pPr>
        <w:spacing w:line="360" w:lineRule="auto"/>
        <w:rPr>
          <w:rFonts w:ascii="Calibri" w:hAnsi="Calibri" w:cs="Calibri"/>
          <w:bCs/>
          <w:szCs w:val="22"/>
        </w:rPr>
      </w:pPr>
    </w:p>
    <w:p w:rsidRPr="00BF7731" w:rsidR="00BD7863" w:rsidP="00BD7863" w:rsidRDefault="00BD7863" w14:paraId="5D3826AE" w14:textId="77777777">
      <w:pPr>
        <w:spacing w:line="360" w:lineRule="auto"/>
        <w:rPr>
          <w:rFonts w:ascii="Calibri" w:hAnsi="Calibri" w:cs="Calibri"/>
          <w:bCs/>
          <w:szCs w:val="22"/>
        </w:rPr>
      </w:pPr>
      <w:r w:rsidRPr="00BF7731">
        <w:rPr>
          <w:rFonts w:ascii="Calibri" w:hAnsi="Calibri" w:cs="Calibri"/>
          <w:bCs/>
          <w:szCs w:val="22"/>
        </w:rPr>
        <w:t xml:space="preserve">Het voorstel richt zich ook op harmonisatie en verbeterde datacollectie van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 Deze modaliteit zal een aanvulling zijn op de al bestaande verplichting tot het melden van significante </w:t>
      </w:r>
    </w:p>
    <w:p w:rsidRPr="00BF7731" w:rsidR="00BD7863" w:rsidP="00BD7863" w:rsidRDefault="00BD7863" w14:paraId="4E30C1F1" w14:textId="77777777">
      <w:pPr>
        <w:spacing w:line="360" w:lineRule="auto"/>
        <w:rPr>
          <w:rFonts w:ascii="Calibri" w:hAnsi="Calibri" w:cs="Calibri"/>
          <w:bCs/>
          <w:szCs w:val="22"/>
        </w:rPr>
      </w:pPr>
      <w:r w:rsidRPr="00BF7731">
        <w:rPr>
          <w:rFonts w:ascii="Calibri" w:hAnsi="Calibri" w:cs="Calibri"/>
          <w:bCs/>
          <w:szCs w:val="22"/>
        </w:rPr>
        <w:t xml:space="preserve">Incidenten. In geval het hier gaat om een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 dient er meer informatie te worden ingevuld en volgen er meer vervolghandelingen. De kostenimpact wordt door de Commissie als nihil </w:t>
      </w:r>
      <w:r w:rsidRPr="00BF7731">
        <w:rPr>
          <w:rFonts w:ascii="Calibri" w:hAnsi="Calibri" w:cs="Calibri"/>
          <w:bCs/>
          <w:szCs w:val="22"/>
        </w:rPr>
        <w:lastRenderedPageBreak/>
        <w:t xml:space="preserve">ingeschat, omdat de verplichting reeds bestaat voor het melden van incidenten en het aanleveren van de extra informatie geen tot nauwelijks extra tijd kost. Door de extra informatie hoopt de Commissie op termijn meer inzicht te krijgen in </w:t>
      </w:r>
      <w:proofErr w:type="spellStart"/>
      <w:r w:rsidRPr="00BF7731">
        <w:rPr>
          <w:rFonts w:ascii="Calibri" w:hAnsi="Calibri" w:cs="Calibri"/>
          <w:bCs/>
          <w:i/>
          <w:iCs/>
          <w:szCs w:val="22"/>
        </w:rPr>
        <w:t>ransom</w:t>
      </w:r>
      <w:proofErr w:type="spellEnd"/>
      <w:r w:rsidRPr="00BF7731">
        <w:rPr>
          <w:rFonts w:ascii="Calibri" w:hAnsi="Calibri" w:cs="Calibri"/>
          <w:bCs/>
          <w:szCs w:val="22"/>
        </w:rPr>
        <w:t xml:space="preserve"> en daarmee hopen ze een kostenbesparing door te voeren. Hoewel Nederland een bredere definitie aanhangt van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 dan de Commissie, levert dit extra regeldruk op voor de entiteiten die een meldingen moeten maken, omdat de kostenimpact als nihil wordt ingeschat.</w:t>
      </w:r>
    </w:p>
    <w:p w:rsidRPr="00BF7731" w:rsidR="00BD7863" w:rsidP="00BD7863" w:rsidRDefault="00BD7863" w14:paraId="3F8D277F" w14:textId="77777777">
      <w:pPr>
        <w:spacing w:line="360" w:lineRule="auto"/>
        <w:rPr>
          <w:rFonts w:ascii="Calibri" w:hAnsi="Calibri" w:cs="Calibri"/>
          <w:bCs/>
          <w:szCs w:val="22"/>
        </w:rPr>
      </w:pPr>
    </w:p>
    <w:p w:rsidRPr="00BF7731" w:rsidR="00BD7863" w:rsidP="00BD7863" w:rsidRDefault="00BD7863" w14:paraId="25311106" w14:textId="77777777">
      <w:pPr>
        <w:spacing w:line="360" w:lineRule="auto"/>
        <w:rPr>
          <w:rFonts w:ascii="Calibri" w:hAnsi="Calibri" w:cs="Calibri"/>
          <w:bCs/>
          <w:szCs w:val="22"/>
        </w:rPr>
      </w:pPr>
      <w:r w:rsidRPr="00BF7731">
        <w:rPr>
          <w:rFonts w:ascii="Calibri" w:hAnsi="Calibri" w:cs="Calibri"/>
          <w:bCs/>
          <w:szCs w:val="22"/>
        </w:rPr>
        <w:t>Het kabinet merkt tot slot op dat de wijziging op bestaande processen en procedures bij bedrijven naar aanleiding van het voorstel ook kosten met zich mee kunnen brengen.</w:t>
      </w:r>
    </w:p>
    <w:p w:rsidRPr="00BF7731" w:rsidR="003B0AF1" w:rsidP="00A819A1" w:rsidRDefault="003B0AF1" w14:paraId="01930368"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BF7731" w:rsidR="004210C3" w:rsidP="004210C3" w:rsidRDefault="004210C3" w14:paraId="2A65A3EE" w14:textId="77777777">
      <w:pPr>
        <w:spacing w:line="360" w:lineRule="auto"/>
        <w:rPr>
          <w:rFonts w:ascii="Calibri" w:hAnsi="Calibri" w:cs="Calibri"/>
          <w:bCs/>
          <w:i/>
          <w:iCs/>
          <w:szCs w:val="22"/>
        </w:rPr>
      </w:pPr>
      <w:bookmarkStart w:name="_Hlk221811335" w:id="11"/>
      <w:r w:rsidRPr="00BF7731">
        <w:rPr>
          <w:rFonts w:ascii="Calibri" w:hAnsi="Calibri" w:cs="Calibri"/>
          <w:bCs/>
          <w:i/>
          <w:iCs/>
          <w:szCs w:val="22"/>
        </w:rPr>
        <w:t>ATR advies</w:t>
      </w:r>
    </w:p>
    <w:p w:rsidRPr="00BF7731" w:rsidR="00BD7863" w:rsidP="00A819A1" w:rsidRDefault="00BD7863" w14:paraId="7E6CB76E" w14:textId="77777777">
      <w:pPr>
        <w:spacing w:line="360" w:lineRule="auto"/>
        <w:rPr>
          <w:rFonts w:ascii="Calibri" w:hAnsi="Calibri" w:cs="Calibri"/>
          <w:szCs w:val="22"/>
        </w:rPr>
      </w:pPr>
      <w:r w:rsidRPr="00BF7731">
        <w:rPr>
          <w:rFonts w:ascii="Calibri" w:hAnsi="Calibri" w:cs="Calibri"/>
          <w:szCs w:val="22"/>
        </w:rPr>
        <w:t>Het eerste concept van het BNC-fiche is voor advies voorgelegd aan het Adviescollege toetsing regeldruk (ATR). Het ATR adviseert over de regeldrukeffecten van het voorstel van de Europese Commissie. Het ATR adviseert als volgt:</w:t>
      </w:r>
    </w:p>
    <w:bookmarkEnd w:id="11"/>
    <w:p w:rsidRPr="00BF7731" w:rsidR="00BD7863" w:rsidP="00A819A1" w:rsidRDefault="00C03209" w14:paraId="2BC5EABA" w14:textId="1290432F">
      <w:pPr>
        <w:spacing w:line="360" w:lineRule="auto"/>
        <w:rPr>
          <w:rFonts w:ascii="Calibri" w:hAnsi="Calibri" w:cs="Calibri"/>
          <w:szCs w:val="22"/>
        </w:rPr>
      </w:pPr>
      <w:r w:rsidRPr="00BF7731">
        <w:rPr>
          <w:rFonts w:ascii="Calibri" w:hAnsi="Calibri" w:cs="Calibri"/>
          <w:szCs w:val="22"/>
        </w:rPr>
        <w:t>“</w:t>
      </w:r>
      <w:r w:rsidRPr="00BF7731" w:rsidR="00BD7863">
        <w:rPr>
          <w:rFonts w:ascii="Calibri" w:hAnsi="Calibri" w:cs="Calibri"/>
          <w:szCs w:val="22"/>
        </w:rPr>
        <w:t xml:space="preserve">1. ATR adviseert om de regeldrukgevolgen vanwege het uitgebreidere toepassingsbereik in kaart te brengen, conform de Rijksbrede methodiek. </w:t>
      </w:r>
    </w:p>
    <w:p w:rsidRPr="00BF7731" w:rsidR="00BD7863" w:rsidP="00A819A1" w:rsidRDefault="00BD7863" w14:paraId="62CAAD79" w14:textId="77777777">
      <w:pPr>
        <w:spacing w:line="360" w:lineRule="auto"/>
        <w:rPr>
          <w:rFonts w:ascii="Calibri" w:hAnsi="Calibri" w:cs="Calibri"/>
          <w:szCs w:val="22"/>
        </w:rPr>
      </w:pPr>
      <w:r w:rsidRPr="00BF7731">
        <w:rPr>
          <w:rFonts w:ascii="Calibri" w:hAnsi="Calibri" w:cs="Calibri"/>
          <w:szCs w:val="22"/>
        </w:rPr>
        <w:t xml:space="preserve">2. ATR adviseert om in beeld te brengen bij hoeveel bedrijven certificering leidt tot effecten voor de regeldruk. </w:t>
      </w:r>
    </w:p>
    <w:p w:rsidRPr="00BF7731" w:rsidR="00BD7863" w:rsidP="00A819A1" w:rsidRDefault="00BD7863" w14:paraId="146DD4E0" w14:textId="77777777">
      <w:pPr>
        <w:spacing w:line="360" w:lineRule="auto"/>
        <w:rPr>
          <w:rFonts w:ascii="Calibri" w:hAnsi="Calibri" w:cs="Calibri"/>
          <w:szCs w:val="22"/>
        </w:rPr>
      </w:pPr>
      <w:r w:rsidRPr="00BF7731">
        <w:rPr>
          <w:rFonts w:ascii="Calibri" w:hAnsi="Calibri" w:cs="Calibri"/>
          <w:szCs w:val="22"/>
        </w:rPr>
        <w:t xml:space="preserve">3. ATR adviseert om te inventariseren wat cyberbeveiliging aan bedrijfseigen kosten oplevert en hoe zich dat verhoudt tot de (versimpeling van) NIS2-verplichtingen. </w:t>
      </w:r>
    </w:p>
    <w:p w:rsidRPr="00BF7731" w:rsidR="00BD7863" w:rsidP="00A819A1" w:rsidRDefault="00BD7863" w14:paraId="548C47A7" w14:textId="77777777">
      <w:pPr>
        <w:spacing w:line="360" w:lineRule="auto"/>
        <w:rPr>
          <w:rFonts w:ascii="Calibri" w:hAnsi="Calibri" w:cs="Calibri"/>
          <w:szCs w:val="22"/>
        </w:rPr>
      </w:pPr>
      <w:r w:rsidRPr="00BF7731">
        <w:rPr>
          <w:rFonts w:ascii="Calibri" w:hAnsi="Calibri" w:cs="Calibri"/>
          <w:szCs w:val="22"/>
        </w:rPr>
        <w:t xml:space="preserve">4. ATR adviseert om toe te lichten wat de verschillende toezichtregimes inhouden en welke regeldrukgevolgen een lichter en/of reactief toezichtregime heeft. </w:t>
      </w:r>
    </w:p>
    <w:p w:rsidRPr="00BF7731" w:rsidR="00A819A1" w:rsidP="00A819A1" w:rsidRDefault="00BD7863" w14:paraId="433CB81D" w14:textId="5C2B6277">
      <w:pPr>
        <w:spacing w:line="360" w:lineRule="auto"/>
        <w:rPr>
          <w:rFonts w:ascii="Calibri" w:hAnsi="Calibri" w:cs="Calibri"/>
          <w:szCs w:val="22"/>
        </w:rPr>
      </w:pPr>
      <w:r w:rsidRPr="00BF7731">
        <w:rPr>
          <w:rFonts w:ascii="Calibri" w:hAnsi="Calibri" w:cs="Calibri"/>
          <w:szCs w:val="22"/>
        </w:rPr>
        <w:t xml:space="preserve">5. ATR adviseert om tijdig in kaart te brengen wat de regeldrukgevolgen zijn van de door de Europese Commissie vast te stellen uitvoeringshandelingen en van de door ENISA op te stellen </w:t>
      </w:r>
      <w:proofErr w:type="spellStart"/>
      <w:r w:rsidRPr="00BF7731">
        <w:rPr>
          <w:rFonts w:ascii="Calibri" w:hAnsi="Calibri" w:cs="Calibri"/>
          <w:i/>
          <w:iCs/>
          <w:szCs w:val="22"/>
        </w:rPr>
        <w:t>guidelines</w:t>
      </w:r>
      <w:proofErr w:type="spellEnd"/>
      <w:r w:rsidRPr="00BF7731">
        <w:rPr>
          <w:rFonts w:ascii="Calibri" w:hAnsi="Calibri" w:cs="Calibri"/>
          <w:szCs w:val="22"/>
        </w:rPr>
        <w:t xml:space="preserve">. </w:t>
      </w:r>
    </w:p>
    <w:p w:rsidRPr="00BF7731" w:rsidR="00A14785" w:rsidP="00A14785" w:rsidRDefault="00A14785" w14:paraId="6BEE0CE4" w14:textId="77777777">
      <w:pPr>
        <w:spacing w:line="360" w:lineRule="auto"/>
        <w:rPr>
          <w:rFonts w:ascii="Calibri" w:hAnsi="Calibri" w:cs="Calibri"/>
          <w:szCs w:val="22"/>
        </w:rPr>
      </w:pPr>
      <w:bookmarkStart w:name="_Hlk221811383" w:id="12"/>
      <w:r w:rsidRPr="00BF7731">
        <w:rPr>
          <w:rFonts w:ascii="Calibri" w:hAnsi="Calibri" w:cs="Calibri"/>
          <w:szCs w:val="22"/>
        </w:rPr>
        <w:t>- ATR adviseert dit keer uitsluitend op basis van de regeldrukparagraaf. ATR heeft op basis van de verstrekte informatie niet kunnen adviseren over de volle breedte van de taakopdracht met betrekking tot de BNC-fiches.</w:t>
      </w:r>
    </w:p>
    <w:p w:rsidRPr="00BF7731" w:rsidR="00993FB2" w:rsidP="00993FB2" w:rsidRDefault="00993FB2" w14:paraId="39280E97" w14:textId="3FC2925F">
      <w:pPr>
        <w:spacing w:line="360" w:lineRule="auto"/>
        <w:rPr>
          <w:rFonts w:ascii="Calibri" w:hAnsi="Calibri" w:cs="Calibri"/>
          <w:szCs w:val="22"/>
        </w:rPr>
      </w:pPr>
    </w:p>
    <w:p w:rsidRPr="00BF7731" w:rsidR="00BD7863" w:rsidP="00993FB2" w:rsidRDefault="00BD7863" w14:paraId="24BDF49E" w14:textId="40AFBD8B">
      <w:pPr>
        <w:spacing w:line="360" w:lineRule="auto"/>
        <w:rPr>
          <w:rFonts w:ascii="Calibri" w:hAnsi="Calibri" w:cs="Calibri"/>
          <w:szCs w:val="22"/>
        </w:rPr>
      </w:pPr>
      <w:r w:rsidRPr="00BF7731">
        <w:rPr>
          <w:rFonts w:ascii="Calibri" w:hAnsi="Calibri" w:cs="Calibri"/>
          <w:szCs w:val="22"/>
        </w:rPr>
        <w:t>Hieronder volgt een reactie van het kabinet op de adviespunten:</w:t>
      </w:r>
    </w:p>
    <w:p w:rsidRPr="00BF7731" w:rsidR="00CC4E5B" w:rsidP="00A819A1" w:rsidRDefault="00CC4E5B" w14:paraId="26366128" w14:textId="77777777">
      <w:pPr>
        <w:spacing w:line="360" w:lineRule="auto"/>
        <w:rPr>
          <w:rFonts w:ascii="Calibri" w:hAnsi="Calibri" w:cs="Calibri"/>
          <w:szCs w:val="22"/>
        </w:rPr>
      </w:pPr>
    </w:p>
    <w:p w:rsidRPr="00BF7731" w:rsidR="00E32221" w:rsidP="00E32221" w:rsidRDefault="00E32221" w14:paraId="5F330B8B" w14:textId="77777777">
      <w:pPr>
        <w:spacing w:line="360" w:lineRule="auto"/>
        <w:rPr>
          <w:rFonts w:ascii="Calibri" w:hAnsi="Calibri" w:cs="Calibri"/>
          <w:i/>
          <w:iCs/>
          <w:szCs w:val="22"/>
        </w:rPr>
      </w:pPr>
      <w:r w:rsidRPr="00BF7731">
        <w:rPr>
          <w:rFonts w:ascii="Calibri" w:hAnsi="Calibri" w:cs="Calibri"/>
          <w:i/>
          <w:iCs/>
          <w:szCs w:val="22"/>
        </w:rPr>
        <w:t>Reactie kabinet</w:t>
      </w:r>
    </w:p>
    <w:p w:rsidRPr="00BF7731" w:rsidR="00BD7863" w:rsidP="00A819A1" w:rsidRDefault="00BD7863" w14:paraId="265E08C6" w14:textId="5BD56FFF">
      <w:pPr>
        <w:spacing w:line="360" w:lineRule="auto"/>
        <w:rPr>
          <w:rFonts w:ascii="Calibri" w:hAnsi="Calibri" w:cs="Calibri"/>
          <w:szCs w:val="22"/>
        </w:rPr>
      </w:pPr>
      <w:r w:rsidRPr="00BF7731">
        <w:rPr>
          <w:rFonts w:ascii="Calibri" w:hAnsi="Calibri" w:cs="Calibri"/>
          <w:szCs w:val="22"/>
        </w:rPr>
        <w:t xml:space="preserve">Het kabinet licht ten aanzien van de specifieke punten het volgende toe: </w:t>
      </w:r>
    </w:p>
    <w:p w:rsidRPr="00BF7731" w:rsidR="00E57859" w:rsidP="00A819A1" w:rsidRDefault="00E57859" w14:paraId="2128E688" w14:textId="77777777">
      <w:pPr>
        <w:spacing w:line="360" w:lineRule="auto"/>
        <w:rPr>
          <w:rFonts w:ascii="Calibri" w:hAnsi="Calibri" w:cs="Calibri"/>
          <w:szCs w:val="22"/>
        </w:rPr>
      </w:pPr>
    </w:p>
    <w:bookmarkEnd w:id="12"/>
    <w:p w:rsidRPr="00BF7731" w:rsidR="00A1707D" w:rsidP="00E57859" w:rsidRDefault="00A1707D" w14:paraId="40EDC7A1" w14:textId="77777777">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lastRenderedPageBreak/>
        <w:t>Voor nieuwe entiteiten die onder het toepassingsbereik van de NIS2-richtlijn worden gebracht, zal de regeldruk worden berekend conform de methodiek die de Rijksoverheid heeft gehanteerd bij de Cyberbeveiligingswet (</w:t>
      </w:r>
      <w:proofErr w:type="spellStart"/>
      <w:r w:rsidRPr="00BF7731">
        <w:rPr>
          <w:rFonts w:ascii="Calibri" w:hAnsi="Calibri" w:cs="Calibri"/>
          <w:szCs w:val="22"/>
        </w:rPr>
        <w:t>Cbw</w:t>
      </w:r>
      <w:proofErr w:type="spellEnd"/>
      <w:r w:rsidRPr="00BF7731">
        <w:rPr>
          <w:rFonts w:ascii="Calibri" w:hAnsi="Calibri" w:cs="Calibri"/>
          <w:szCs w:val="22"/>
        </w:rPr>
        <w:t xml:space="preserve">) en de onderliggende regelgeving. </w:t>
      </w:r>
    </w:p>
    <w:p w:rsidRPr="00BF7731" w:rsidR="003C2F9E" w:rsidP="00E57859" w:rsidRDefault="003C2F9E" w14:paraId="5A0B1538" w14:textId="77777777">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t xml:space="preserve">Het voorstel geeft lidstaten de bevoegdheid om entiteiten te verplichten zich te certificeren, oftewel er is hier geen sprake van een verplichting met gevolgen voor de regeldruk. In de situatie dat NL een dergelijke bevoegdheid zou willen inzetten, zal de regeldruk voor bedrijven integraal bij een dergelijk besluit moeten worden betrokken en worden berekend en zal hierover – zoals gebruikelijk - ook advies aan ATR worden gevraagd. </w:t>
      </w:r>
    </w:p>
    <w:p w:rsidRPr="00BF7731" w:rsidR="00BD7863" w:rsidP="00E57859" w:rsidRDefault="003C2F9E" w14:paraId="479AA216" w14:textId="52C29740">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t>Het voorstel bevat geen inhoudelijke voorstellen ten aanzien van de beveiligingsmaatregelen die entiteiten moeten treffen en daarmee heeft dit voorstel op dit punt geen gevolgen voor de regeldruk</w:t>
      </w:r>
      <w:r w:rsidRPr="00BF7731">
        <w:rPr>
          <w:rFonts w:ascii="Calibri" w:hAnsi="Calibri" w:cs="Calibri"/>
          <w:i/>
          <w:iCs/>
          <w:szCs w:val="22"/>
        </w:rPr>
        <w:t xml:space="preserve">. </w:t>
      </w:r>
      <w:r w:rsidRPr="00BF7731" w:rsidR="00BD7863">
        <w:rPr>
          <w:rFonts w:ascii="Calibri" w:hAnsi="Calibri" w:cs="Calibri"/>
          <w:szCs w:val="22"/>
        </w:rPr>
        <w:t xml:space="preserve">Het kabinet heeft toegelicht wat de verschillende toezichtregimes inhouden. Voor het kwantificeren van de regeldruk zal eerst het aantal entiteiten in kaart gebracht moeten worden. </w:t>
      </w:r>
    </w:p>
    <w:p w:rsidRPr="00BF7731" w:rsidR="00BD7863" w:rsidP="00E57859" w:rsidRDefault="00BD7863" w14:paraId="1248EF93" w14:textId="77777777">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t xml:space="preserve">Het kabinet zal wanneer hier voldoende informatie over is de regeldrukgevolgen van de uitvoeringshandelingen en </w:t>
      </w:r>
      <w:proofErr w:type="spellStart"/>
      <w:r w:rsidRPr="00BF7731">
        <w:rPr>
          <w:rFonts w:ascii="Calibri" w:hAnsi="Calibri" w:cs="Calibri"/>
          <w:i/>
          <w:iCs/>
          <w:szCs w:val="22"/>
        </w:rPr>
        <w:t>guidelines</w:t>
      </w:r>
      <w:proofErr w:type="spellEnd"/>
      <w:r w:rsidRPr="00BF7731">
        <w:rPr>
          <w:rFonts w:ascii="Calibri" w:hAnsi="Calibri" w:cs="Calibri"/>
          <w:szCs w:val="22"/>
        </w:rPr>
        <w:t xml:space="preserve"> bezien. </w:t>
      </w:r>
    </w:p>
    <w:p w:rsidRPr="00BF7731" w:rsidR="00993FB2" w:rsidP="00993FB2" w:rsidRDefault="00BD7863" w14:paraId="410D87D4" w14:textId="77777777">
      <w:pPr>
        <w:spacing w:line="360" w:lineRule="auto"/>
        <w:rPr>
          <w:rFonts w:ascii="Calibri" w:hAnsi="Calibri" w:cs="Calibri"/>
          <w:szCs w:val="22"/>
        </w:rPr>
      </w:pPr>
      <w:r w:rsidRPr="00BF7731">
        <w:rPr>
          <w:rFonts w:ascii="Calibri" w:hAnsi="Calibri" w:cs="Calibri"/>
          <w:szCs w:val="22"/>
        </w:rPr>
        <w:t xml:space="preserve">Wanneer duidelijk is of en in welke vorm de voorstellen van de Europese Commissie daadwerkelijk tot wet worden verheven en er daarmee meer informatie is over de regeldrukeffecten, zal het kabinet weer bezien op welke manier gevolg kan worden gegeven aan de adviespunten van het ATR. </w:t>
      </w:r>
    </w:p>
    <w:p w:rsidRPr="00BF7731" w:rsidR="00993FB2" w:rsidP="00993FB2" w:rsidRDefault="00993FB2" w14:paraId="794760AC" w14:textId="77777777">
      <w:pPr>
        <w:spacing w:line="360" w:lineRule="auto"/>
        <w:rPr>
          <w:rFonts w:ascii="Calibri" w:hAnsi="Calibri" w:cs="Calibri"/>
          <w:szCs w:val="22"/>
        </w:rPr>
      </w:pPr>
      <w:r w:rsidRPr="00BF7731">
        <w:rPr>
          <w:rFonts w:ascii="Calibri" w:hAnsi="Calibri" w:cs="Calibri"/>
          <w:szCs w:val="22"/>
        </w:rPr>
        <w:t xml:space="preserve">Wat betreft het punt van het ATR over de advisering op basis van de regeldrukparagraaf hecht het kabinet te benoemen dat het ATR vroegtijdig is betrokken en een conceptversie van het fiche heeft ontvangen. Het kabinet hecht waarde aan deze adviestaak van het ATR en gaat met ATR in gesprek over de informatievoorziening aan het ATR bij toekomstige Commissievoorstellen voor deze nieuwe adviestaak. </w:t>
      </w:r>
    </w:p>
    <w:p w:rsidRPr="00BF7731" w:rsidR="00BD7863" w:rsidP="00A819A1" w:rsidRDefault="00BD7863" w14:paraId="131B9C1E" w14:textId="045A3BA5">
      <w:pPr>
        <w:spacing w:line="360" w:lineRule="auto"/>
        <w:rPr>
          <w:rFonts w:ascii="Calibri" w:hAnsi="Calibri" w:cs="Calibri"/>
          <w:szCs w:val="22"/>
        </w:rPr>
      </w:pPr>
      <w:r w:rsidRPr="00BF7731">
        <w:rPr>
          <w:rFonts w:ascii="Calibri" w:hAnsi="Calibri" w:cs="Calibri"/>
          <w:szCs w:val="22"/>
        </w:rPr>
        <w:t xml:space="preserve">   </w:t>
      </w:r>
    </w:p>
    <w:p w:rsidRPr="00BF7731" w:rsidR="00CB7FF8" w:rsidP="00982D08" w:rsidRDefault="00F936B2" w14:paraId="32052748" w14:textId="77777777">
      <w:pPr>
        <w:numPr>
          <w:ilvl w:val="0"/>
          <w:numId w:val="8"/>
        </w:numPr>
        <w:spacing w:line="360" w:lineRule="auto"/>
        <w:rPr>
          <w:rFonts w:ascii="Calibri" w:hAnsi="Calibri" w:cs="Calibri"/>
          <w:bCs/>
          <w:i/>
          <w:iCs/>
          <w:szCs w:val="22"/>
        </w:rPr>
      </w:pPr>
      <w:r w:rsidRPr="00BF7731">
        <w:rPr>
          <w:rFonts w:ascii="Calibri" w:hAnsi="Calibri" w:cs="Calibri"/>
          <w:bCs/>
          <w:i/>
          <w:iCs/>
          <w:szCs w:val="22"/>
        </w:rPr>
        <w:t>Gevolgen voor concurrentiekracht</w:t>
      </w:r>
      <w:r w:rsidRPr="00BF7731" w:rsidR="00CB7FF8">
        <w:rPr>
          <w:rFonts w:ascii="Calibri" w:hAnsi="Calibri" w:cs="Calibri"/>
          <w:bCs/>
          <w:i/>
          <w:iCs/>
          <w:szCs w:val="22"/>
        </w:rPr>
        <w:t xml:space="preserve"> </w:t>
      </w:r>
      <w:r w:rsidRPr="00BF7731" w:rsidR="000A39A4">
        <w:rPr>
          <w:rFonts w:ascii="Calibri" w:hAnsi="Calibri" w:cs="Calibri"/>
          <w:bCs/>
          <w:i/>
          <w:iCs/>
          <w:szCs w:val="22"/>
        </w:rPr>
        <w:t>en geopolitieke aspecten</w:t>
      </w:r>
    </w:p>
    <w:p w:rsidRPr="00BF7731" w:rsidR="00CB7FF8" w:rsidP="00CB7FF8" w:rsidRDefault="00682497" w14:paraId="0AC0B30D" w14:textId="10725A31">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r w:rsidRPr="00BF7731">
        <w:rPr>
          <w:rFonts w:ascii="Calibri" w:hAnsi="Calibri" w:cs="Calibri"/>
          <w:iCs/>
          <w:szCs w:val="22"/>
        </w:rPr>
        <w:t xml:space="preserve">De Commissie heeft </w:t>
      </w:r>
      <w:r w:rsidRPr="00BF7731" w:rsidR="00272C37">
        <w:rPr>
          <w:rFonts w:ascii="Calibri" w:hAnsi="Calibri" w:cs="Calibri"/>
          <w:iCs/>
          <w:szCs w:val="22"/>
        </w:rPr>
        <w:t>dit voorstel</w:t>
      </w:r>
      <w:r w:rsidRPr="00BF7731" w:rsidR="0046454C">
        <w:rPr>
          <w:rFonts w:ascii="Calibri" w:hAnsi="Calibri" w:cs="Calibri"/>
          <w:iCs/>
          <w:szCs w:val="22"/>
        </w:rPr>
        <w:t xml:space="preserve"> gepubliceerd</w:t>
      </w:r>
      <w:r w:rsidRPr="00BF7731">
        <w:rPr>
          <w:rFonts w:ascii="Calibri" w:hAnsi="Calibri" w:cs="Calibri"/>
          <w:iCs/>
          <w:szCs w:val="22"/>
        </w:rPr>
        <w:t xml:space="preserve"> om wetgeving te simplificeren en daarmee de interne markt binnen Europa te bevorderen.</w:t>
      </w:r>
      <w:r w:rsidRPr="00BF7731" w:rsidR="008E6CAF">
        <w:rPr>
          <w:rFonts w:ascii="Calibri" w:hAnsi="Calibri" w:cs="Calibri"/>
          <w:iCs/>
          <w:szCs w:val="22"/>
        </w:rPr>
        <w:t xml:space="preserve"> </w:t>
      </w:r>
      <w:r w:rsidRPr="00BF7731" w:rsidR="00370DC4">
        <w:rPr>
          <w:rFonts w:ascii="Calibri" w:hAnsi="Calibri" w:cs="Calibri"/>
          <w:iCs/>
          <w:szCs w:val="22"/>
        </w:rPr>
        <w:t xml:space="preserve">Dit kan op langere termijn positief uitwerken op de concurrentiekracht van de Europese digitale economie. </w:t>
      </w:r>
    </w:p>
    <w:p w:rsidRPr="00BF7731" w:rsidR="00682497" w:rsidP="00CB7FF8" w:rsidRDefault="00682497" w14:paraId="2309B2BB"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BF7731" w:rsidR="00CB7FF8" w:rsidP="00982D08" w:rsidRDefault="00CB7FF8" w14:paraId="1DA1AE8D" w14:textId="77777777">
      <w:pPr>
        <w:numPr>
          <w:ilvl w:val="0"/>
          <w:numId w:val="3"/>
        </w:numPr>
        <w:spacing w:line="360" w:lineRule="auto"/>
        <w:rPr>
          <w:rFonts w:ascii="Calibri" w:hAnsi="Calibri" w:cs="Calibri"/>
          <w:b/>
          <w:szCs w:val="22"/>
        </w:rPr>
      </w:pPr>
      <w:bookmarkStart w:name="_Hlk221178802" w:id="13"/>
      <w:r w:rsidRPr="00BF7731">
        <w:rPr>
          <w:rFonts w:ascii="Calibri" w:hAnsi="Calibri" w:cs="Calibri"/>
          <w:b/>
          <w:szCs w:val="22"/>
        </w:rPr>
        <w:t>Implicaties juridisch</w:t>
      </w:r>
    </w:p>
    <w:p w:rsidRPr="00BF7731" w:rsidR="00CB7FF8" w:rsidP="00982D08" w:rsidRDefault="00CB7FF8" w14:paraId="5EB20CDF" w14:textId="28D61161">
      <w:pPr>
        <w:numPr>
          <w:ilvl w:val="0"/>
          <w:numId w:val="9"/>
        </w:numPr>
        <w:spacing w:line="360" w:lineRule="auto"/>
        <w:rPr>
          <w:rFonts w:ascii="Calibri" w:hAnsi="Calibri" w:cs="Calibri"/>
          <w:bCs/>
          <w:i/>
          <w:iCs/>
          <w:szCs w:val="22"/>
        </w:rPr>
      </w:pPr>
      <w:r w:rsidRPr="00BF7731">
        <w:rPr>
          <w:rFonts w:ascii="Calibri" w:hAnsi="Calibri" w:cs="Calibri"/>
          <w:bCs/>
          <w:i/>
          <w:iCs/>
          <w:szCs w:val="22"/>
        </w:rPr>
        <w:t>Consequenties voor nationale en decentrale regelgeving en/of sanctionering beleid (</w:t>
      </w:r>
      <w:r w:rsidRPr="00BF7731" w:rsidR="00E0597D">
        <w:rPr>
          <w:rFonts w:ascii="Calibri" w:hAnsi="Calibri" w:cs="Calibri"/>
          <w:bCs/>
          <w:i/>
          <w:iCs/>
          <w:szCs w:val="22"/>
        </w:rPr>
        <w:t>inclusief toepassing</w:t>
      </w:r>
      <w:r w:rsidRPr="00BF7731">
        <w:rPr>
          <w:rFonts w:ascii="Calibri" w:hAnsi="Calibri" w:cs="Calibri"/>
          <w:bCs/>
          <w:i/>
          <w:iCs/>
          <w:szCs w:val="22"/>
        </w:rPr>
        <w:t xml:space="preserve"> van de lex </w:t>
      </w:r>
      <w:proofErr w:type="spellStart"/>
      <w:r w:rsidRPr="00BF7731">
        <w:rPr>
          <w:rFonts w:ascii="Calibri" w:hAnsi="Calibri" w:cs="Calibri"/>
          <w:bCs/>
          <w:i/>
          <w:iCs/>
          <w:szCs w:val="22"/>
        </w:rPr>
        <w:t>silencio</w:t>
      </w:r>
      <w:proofErr w:type="spellEnd"/>
      <w:r w:rsidRPr="00BF7731">
        <w:rPr>
          <w:rFonts w:ascii="Calibri" w:hAnsi="Calibri" w:cs="Calibri"/>
          <w:bCs/>
          <w:i/>
          <w:iCs/>
          <w:szCs w:val="22"/>
        </w:rPr>
        <w:t xml:space="preserve"> positivo) </w:t>
      </w:r>
    </w:p>
    <w:p w:rsidRPr="00BF7731" w:rsidR="00667C32" w:rsidP="00667C32" w:rsidRDefault="00667C32" w14:paraId="1BA96B5A" w14:textId="58E76717">
      <w:pPr>
        <w:spacing w:line="360" w:lineRule="auto"/>
        <w:rPr>
          <w:rFonts w:ascii="Calibri" w:hAnsi="Calibri" w:cs="Calibri"/>
          <w:bCs/>
          <w:szCs w:val="22"/>
        </w:rPr>
      </w:pPr>
      <w:r w:rsidRPr="00BF7731">
        <w:rPr>
          <w:rFonts w:ascii="Calibri" w:hAnsi="Calibri" w:cs="Calibri"/>
          <w:bCs/>
          <w:szCs w:val="22"/>
        </w:rPr>
        <w:t>Het voorstel vergt verschillende aanpassingen van nationale wetgeving (in het bijzonder de aanstaande Cyberbeveiligingswet).</w:t>
      </w:r>
    </w:p>
    <w:p w:rsidRPr="00BF7731" w:rsidR="00667C32" w:rsidP="008B4D8D" w:rsidRDefault="00667C32" w14:paraId="122BA90D" w14:textId="77777777">
      <w:pPr>
        <w:spacing w:line="360" w:lineRule="auto"/>
        <w:rPr>
          <w:rFonts w:ascii="Calibri" w:hAnsi="Calibri" w:cs="Calibri"/>
          <w:bCs/>
          <w:szCs w:val="22"/>
        </w:rPr>
      </w:pPr>
    </w:p>
    <w:p w:rsidRPr="00BF7731" w:rsidR="00667C32" w:rsidP="008B4D8D" w:rsidRDefault="00F74E07" w14:paraId="27474ACD" w14:textId="1B5CF2E6">
      <w:pPr>
        <w:numPr>
          <w:ilvl w:val="0"/>
          <w:numId w:val="9"/>
        </w:numPr>
        <w:tabs>
          <w:tab w:val="left" w:pos="-426"/>
        </w:tabs>
        <w:suppressAutoHyphens/>
        <w:spacing w:line="360" w:lineRule="auto"/>
        <w:rPr>
          <w:rFonts w:ascii="Calibri" w:hAnsi="Calibri" w:cs="Calibri"/>
          <w:bCs/>
          <w:i/>
          <w:iCs/>
          <w:szCs w:val="22"/>
        </w:rPr>
      </w:pPr>
      <w:r w:rsidRPr="00BF7731">
        <w:rPr>
          <w:rFonts w:ascii="Calibri" w:hAnsi="Calibri" w:cs="Calibri"/>
          <w:bCs/>
          <w:i/>
          <w:iCs/>
          <w:szCs w:val="22"/>
        </w:rPr>
        <w:lastRenderedPageBreak/>
        <w:t>Gedelegeerde en/of uitvoeringshandelingen, incl. NL-beoordeling daarvan</w:t>
      </w:r>
    </w:p>
    <w:p w:rsidRPr="00BF7731" w:rsidR="008D7485" w:rsidP="008D7485" w:rsidRDefault="008D7485" w14:paraId="6722E682" w14:textId="77777777">
      <w:pPr>
        <w:tabs>
          <w:tab w:val="left" w:pos="-426"/>
        </w:tabs>
        <w:suppressAutoHyphens/>
        <w:spacing w:line="360" w:lineRule="auto"/>
        <w:rPr>
          <w:rFonts w:ascii="Calibri" w:hAnsi="Calibri" w:cs="Calibri"/>
          <w:bCs/>
          <w:szCs w:val="22"/>
        </w:rPr>
      </w:pPr>
      <w:r w:rsidRPr="00BF7731">
        <w:rPr>
          <w:rFonts w:ascii="Calibri" w:hAnsi="Calibri" w:cs="Calibri"/>
          <w:bCs/>
          <w:szCs w:val="22"/>
        </w:rPr>
        <w:t>Het kabinet oordeelt op zich positief over het voorstel van de Commissie tot aanvulling van de in artikel 21, vijfde lid, tweede alinea, reeds opgenomen bevoegdheid voor de Commissie om uitvoeringshandelingen vast te stellen met technologische en methodologische vereisten voor de maatregelen, bedoeld in artikel 21, tweede lid, van de NIS-richtlijn met betrekking tot andere essentiële en belangrijke entiteiten dan die genoemd in de eerste alinea van artikel 21, vijfde lid. Die aanvulling behelst dat de Commissie regelmatig zal monitoren of die uitvoeringshandelingen voor specifieke sectoren of soorten entiteiten moeten worden vastgesteld én dat de Commissie daarbij in het bijzonder de nadruk zal leggen op het grensoverschrijdende karakter van sectoren of soorten entiteiten. Ook met inachtneming hiervan geldt naar het oordeel van het kabinet dat toekenning van deze bevoegdheid nog steeds mogelijk is, omdat het hierbij niet gaat om essentiële onderdelen van de regelgeving. De keuze voor een uitvoeringshandeling in plaats van delegatie ligt hierbij nog steeds voor de hand, omdat deze handelingen waarborgen dat de richtlijn in alle lidstaten volgens eenvormige voorwaarden wordt uitgevoerd. Deze uitvoeringshandelingen worden vastgesteld overeenkomstig de onderzoeksprocedure als bedoeld in artikel 5 van Verordening (EU) nr. 182/2011. Toepassing van die procedure is hier volgens het kabinet op zijn plaats, omdat het uitvoeringshandelingen van algemene strekking betreft.</w:t>
      </w:r>
    </w:p>
    <w:p w:rsidRPr="00BF7731" w:rsidR="008D7485" w:rsidP="008D7485" w:rsidRDefault="008D7485" w14:paraId="40F1F593" w14:textId="77777777">
      <w:pPr>
        <w:pStyle w:val="Lijstalinea"/>
        <w:tabs>
          <w:tab w:val="left" w:pos="-426"/>
        </w:tabs>
        <w:suppressAutoHyphens/>
        <w:spacing w:line="360" w:lineRule="auto"/>
        <w:ind w:left="360"/>
        <w:rPr>
          <w:rFonts w:ascii="Calibri" w:hAnsi="Calibri" w:cs="Calibri"/>
          <w:bCs/>
          <w:szCs w:val="22"/>
        </w:rPr>
      </w:pPr>
    </w:p>
    <w:p w:rsidRPr="00BF7731" w:rsidR="008D7485" w:rsidP="008D7485" w:rsidRDefault="008D7485" w14:paraId="1D66D4E8" w14:textId="77777777">
      <w:pPr>
        <w:tabs>
          <w:tab w:val="left" w:pos="-426"/>
        </w:tabs>
        <w:suppressAutoHyphens/>
        <w:spacing w:line="360" w:lineRule="auto"/>
        <w:rPr>
          <w:rFonts w:ascii="Calibri" w:hAnsi="Calibri" w:cs="Calibri"/>
          <w:bCs/>
          <w:szCs w:val="22"/>
        </w:rPr>
      </w:pPr>
      <w:r w:rsidRPr="00BF7731">
        <w:rPr>
          <w:rFonts w:ascii="Calibri" w:hAnsi="Calibri" w:cs="Calibri"/>
          <w:bCs/>
          <w:szCs w:val="22"/>
        </w:rPr>
        <w:t xml:space="preserve">Daarnaast bevat het voorstel een aanvulling op de reeds in artikel 23, elfde lid, van de NIS2-richtlijn opgenomen bevoegdheid van de Commissie om uitvoeringshandelingen vast te stellen over het soort informatie, het format en de procedure betreffende verplichte meldingen van significante incidenten. Daarbij gaat het om een nieuw twaalfde lid van datzelfde artikel, inhoudende dat de Commissie in geval van een dergelijke uitvoeringshandeling als vereist zal opnemen dat informatie door de betrokken entiteit wordt verstrekt over het al dan niet gedetecteerd hebben van een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 de aanvalsvector van die aanval en het al dan niet getroffen zijn van mitigerende maatregelen in verband met die aanval. Toekenning van deze aanvulling op de bevoegdheid van de Commissie is niet mogelijk, omdat deze aanvulling naar het oordeel van het kabinet een essentieel onderdeel van de regelgeving betreft. Dat blijkt naar het oordeel van het kabinet in het bijzonder ook uit de omstandigheid dat met dit voorstel tevens een nieuw dertiende lid aan artikel 23 wordt toegevoegd, dat net als het twaalfde lid betrekking heeft op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-aanvallen én inhoudt dat de betrokken entiteit in het kader van de meldplicht bij dergelijke aanvallen het CSIRT of de bevoegde autoriteit erover informeert of een </w:t>
      </w:r>
      <w:proofErr w:type="spellStart"/>
      <w:r w:rsidRPr="00BF7731">
        <w:rPr>
          <w:rFonts w:ascii="Calibri" w:hAnsi="Calibri" w:cs="Calibri"/>
          <w:bCs/>
          <w:i/>
          <w:iCs/>
          <w:szCs w:val="22"/>
        </w:rPr>
        <w:t>ransom</w:t>
      </w:r>
      <w:proofErr w:type="spellEnd"/>
      <w:r w:rsidRPr="00BF7731">
        <w:rPr>
          <w:rFonts w:ascii="Calibri" w:hAnsi="Calibri" w:cs="Calibri"/>
          <w:bCs/>
          <w:szCs w:val="22"/>
        </w:rPr>
        <w:t xml:space="preserve">-verzoek is gedaan, of daaraan is voldaan, en welk bedrag daarbij is betaald. Naar het oordeel van het kabinet geldt voor de in het twaalfde lid bedoelde informatie over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-aanvallen dat die onlosmakelijk is </w:t>
      </w:r>
      <w:r w:rsidRPr="00BF7731">
        <w:rPr>
          <w:rFonts w:ascii="Calibri" w:hAnsi="Calibri" w:cs="Calibri"/>
          <w:bCs/>
          <w:szCs w:val="22"/>
        </w:rPr>
        <w:lastRenderedPageBreak/>
        <w:t xml:space="preserve">verbonden met die in het dertiende lid, dat het verstrekken van ook die in het twaalfde lid bedoelde informatie niet van een eventuele uitvoeringshandeling afhankelijk zou moeten zijn, en dat het verstrekken van laatstbedoelde informatie dan ook eveneens, in relatie tot de meldplicht, in de richtlijn zelf zou moeten worden opgenomen.        </w:t>
      </w:r>
    </w:p>
    <w:p w:rsidRPr="00BF7731" w:rsidR="00667C32" w:rsidP="008B4D8D" w:rsidRDefault="00667C32" w14:paraId="1B64309F" w14:textId="77777777">
      <w:pPr>
        <w:tabs>
          <w:tab w:val="left" w:pos="-426"/>
        </w:tabs>
        <w:suppressAutoHyphens/>
        <w:spacing w:line="360" w:lineRule="auto"/>
        <w:rPr>
          <w:rFonts w:ascii="Calibri" w:hAnsi="Calibri" w:cs="Calibri"/>
          <w:bCs/>
          <w:i/>
          <w:iCs/>
          <w:szCs w:val="22"/>
        </w:rPr>
      </w:pPr>
    </w:p>
    <w:p w:rsidRPr="00BF7731" w:rsidR="00CB7FF8" w:rsidP="00982D08" w:rsidRDefault="00CB7FF8" w14:paraId="1A0C1940" w14:textId="77777777">
      <w:pPr>
        <w:numPr>
          <w:ilvl w:val="0"/>
          <w:numId w:val="9"/>
        </w:numPr>
        <w:spacing w:line="360" w:lineRule="auto"/>
        <w:rPr>
          <w:rFonts w:ascii="Calibri" w:hAnsi="Calibri" w:cs="Calibri"/>
          <w:bCs/>
          <w:i/>
          <w:iCs/>
          <w:szCs w:val="22"/>
        </w:rPr>
      </w:pPr>
      <w:r w:rsidRPr="00BF7731">
        <w:rPr>
          <w:rFonts w:ascii="Calibri" w:hAnsi="Calibri" w:cs="Calibri"/>
          <w:bCs/>
          <w:i/>
          <w:iCs/>
          <w:szCs w:val="22"/>
        </w:rPr>
        <w:t>Voorgestelde implementatietermijn (bij richtlijnen), dan wel voorgestelde datum inwerkingtreding (bij verordeningen en bes</w:t>
      </w:r>
      <w:r w:rsidRPr="00BF7731" w:rsidR="00AE735B">
        <w:rPr>
          <w:rFonts w:ascii="Calibri" w:hAnsi="Calibri" w:cs="Calibri"/>
          <w:bCs/>
          <w:i/>
          <w:iCs/>
          <w:szCs w:val="22"/>
        </w:rPr>
        <w:t>luiten</w:t>
      </w:r>
      <w:r w:rsidRPr="00BF7731">
        <w:rPr>
          <w:rFonts w:ascii="Calibri" w:hAnsi="Calibri" w:cs="Calibri"/>
          <w:bCs/>
          <w:i/>
          <w:iCs/>
          <w:szCs w:val="22"/>
        </w:rPr>
        <w:t>) met commentaar t.a.v. haalbaarheid</w:t>
      </w:r>
    </w:p>
    <w:p w:rsidRPr="00BF7731" w:rsidR="00667C32" w:rsidP="008B4D8D" w:rsidRDefault="00667C32" w14:paraId="2F046956" w14:textId="77777777">
      <w:pPr>
        <w:spacing w:line="360" w:lineRule="auto"/>
        <w:rPr>
          <w:rFonts w:ascii="Calibri" w:hAnsi="Calibri" w:cs="Calibri"/>
          <w:bCs/>
          <w:szCs w:val="22"/>
        </w:rPr>
      </w:pPr>
      <w:r w:rsidRPr="00BF7731">
        <w:rPr>
          <w:rFonts w:ascii="Calibri" w:hAnsi="Calibri" w:cs="Calibri"/>
          <w:bCs/>
          <w:szCs w:val="22"/>
        </w:rPr>
        <w:t>De door de Commissie voorgestelde termijn van twaalf maanden is voor Nederland, gelet op de benodigde wijzigingen van wetgeving, niet haalbaar. In plaats hiervan wordt daarom aangedrongen op een termijn van ten minste achttien maanden.</w:t>
      </w:r>
    </w:p>
    <w:p w:rsidRPr="00BF7731" w:rsidR="002E1831" w:rsidP="008B4D8D" w:rsidRDefault="002E1831" w14:paraId="6D3D256F" w14:textId="77777777">
      <w:pPr>
        <w:spacing w:line="360" w:lineRule="auto"/>
        <w:rPr>
          <w:rFonts w:ascii="Calibri" w:hAnsi="Calibri" w:cs="Calibri"/>
          <w:bCs/>
          <w:szCs w:val="22"/>
        </w:rPr>
      </w:pPr>
    </w:p>
    <w:p w:rsidRPr="00BF7731" w:rsidR="00CB7FF8" w:rsidP="00982D08" w:rsidRDefault="00CB7FF8" w14:paraId="5D315F20" w14:textId="77777777">
      <w:pPr>
        <w:numPr>
          <w:ilvl w:val="0"/>
          <w:numId w:val="9"/>
        </w:numPr>
        <w:spacing w:line="360" w:lineRule="auto"/>
        <w:rPr>
          <w:rFonts w:ascii="Calibri" w:hAnsi="Calibri" w:cs="Calibri"/>
          <w:bCs/>
          <w:i/>
          <w:iCs/>
          <w:szCs w:val="22"/>
        </w:rPr>
      </w:pPr>
      <w:r w:rsidRPr="00BF7731">
        <w:rPr>
          <w:rFonts w:ascii="Calibri" w:hAnsi="Calibri" w:cs="Calibri"/>
          <w:bCs/>
          <w:i/>
          <w:iCs/>
          <w:szCs w:val="22"/>
        </w:rPr>
        <w:t>Wenselijkheid evaluatie-/horizonbepaling</w:t>
      </w:r>
    </w:p>
    <w:p w:rsidRPr="00BF7731" w:rsidR="00AC6BBB" w:rsidP="00AC6BBB" w:rsidRDefault="00AC6BBB" w14:paraId="41750EE8" w14:textId="77777777">
      <w:pPr>
        <w:spacing w:line="360" w:lineRule="auto"/>
        <w:rPr>
          <w:rFonts w:ascii="Calibri" w:hAnsi="Calibri" w:cs="Calibri"/>
          <w:bCs/>
          <w:szCs w:val="22"/>
        </w:rPr>
      </w:pPr>
      <w:r w:rsidRPr="00BF7731">
        <w:rPr>
          <w:rFonts w:ascii="Calibri" w:hAnsi="Calibri" w:cs="Calibri"/>
          <w:bCs/>
          <w:szCs w:val="22"/>
        </w:rPr>
        <w:t xml:space="preserve">Het voorstel bevat geen evaluatiebepaling. Voor de NIS2-richtlijn geldt echter dat in artikel 40 is geregeld dat de Commissie de werking van die richtlijn periodiek evalueert en daarover verslag uitbrengt aan het Europees Parlement en de Raad. Het kabinet gaat ervan uit dat de wijzigingen van de NIS2-richtlijn in dit voorstel, zodra dat voorstel richtlijn is geworden en in werking is getreden, deel gaan uitmaken van de evaluaties van de NIS2-richtlijn als bedoeld in artikel 40. Met het oog hierop is het kabinet van oordeel dat een afzonderlijke evaluatiebepaling in dit voorstel inderdaad achterwege kan blijven.  </w:t>
      </w:r>
    </w:p>
    <w:p w:rsidRPr="00BF7731" w:rsidR="00AC6BBB" w:rsidP="008B4D8D" w:rsidRDefault="00AC6BBB" w14:paraId="4884AE2F" w14:textId="77777777">
      <w:pPr>
        <w:spacing w:line="360" w:lineRule="auto"/>
        <w:rPr>
          <w:rFonts w:ascii="Calibri" w:hAnsi="Calibri" w:cs="Calibri"/>
          <w:bCs/>
          <w:i/>
          <w:iCs/>
          <w:szCs w:val="22"/>
        </w:rPr>
      </w:pPr>
    </w:p>
    <w:p w:rsidRPr="00BF7731" w:rsidR="00667C32" w:rsidP="00667C32" w:rsidRDefault="00B538E7" w14:paraId="0C0BBA4E" w14:textId="211A4340">
      <w:pPr>
        <w:numPr>
          <w:ilvl w:val="0"/>
          <w:numId w:val="9"/>
        </w:numPr>
        <w:spacing w:line="360" w:lineRule="auto"/>
        <w:rPr>
          <w:rFonts w:ascii="Calibri" w:hAnsi="Calibri" w:cs="Calibri"/>
          <w:bCs/>
          <w:i/>
          <w:iCs/>
          <w:szCs w:val="22"/>
        </w:rPr>
      </w:pPr>
      <w:r w:rsidRPr="00BF7731">
        <w:rPr>
          <w:rFonts w:ascii="Calibri" w:hAnsi="Calibri" w:cs="Calibri"/>
          <w:bCs/>
          <w:i/>
          <w:iCs/>
          <w:szCs w:val="22"/>
        </w:rPr>
        <w:t>Constitutionele toets</w:t>
      </w:r>
    </w:p>
    <w:p w:rsidRPr="00BF7731" w:rsidR="00667C32" w:rsidP="008B4D8D" w:rsidRDefault="0025724D" w14:paraId="39E11BF2" w14:textId="6DC907F5">
      <w:pPr>
        <w:spacing w:line="360" w:lineRule="auto"/>
        <w:rPr>
          <w:rFonts w:ascii="Calibri" w:hAnsi="Calibri" w:cs="Calibri"/>
          <w:bCs/>
          <w:szCs w:val="22"/>
        </w:rPr>
      </w:pPr>
      <w:r w:rsidRPr="00BF7731">
        <w:rPr>
          <w:rFonts w:ascii="Calibri" w:hAnsi="Calibri" w:cs="Calibri"/>
          <w:bCs/>
          <w:szCs w:val="22"/>
        </w:rPr>
        <w:t>N.v.t.</w:t>
      </w:r>
    </w:p>
    <w:bookmarkEnd w:id="13"/>
    <w:p w:rsidRPr="00BF7731"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BF7731" w:rsidR="00CB7FF8" w:rsidP="00982D08" w:rsidRDefault="00CB7FF8" w14:paraId="3ED8E89C" w14:textId="77777777">
      <w:pPr>
        <w:numPr>
          <w:ilvl w:val="0"/>
          <w:numId w:val="3"/>
        </w:numPr>
        <w:spacing w:line="360" w:lineRule="auto"/>
        <w:rPr>
          <w:rFonts w:ascii="Calibri" w:hAnsi="Calibri" w:cs="Calibri"/>
          <w:b/>
          <w:szCs w:val="22"/>
        </w:rPr>
      </w:pPr>
      <w:r w:rsidRPr="00BF7731">
        <w:rPr>
          <w:rFonts w:ascii="Calibri" w:hAnsi="Calibri" w:cs="Calibri"/>
          <w:b/>
          <w:szCs w:val="22"/>
        </w:rPr>
        <w:t>Implicaties voor uitvoering en</w:t>
      </w:r>
      <w:r w:rsidRPr="00BF7731" w:rsidR="007B66D0">
        <w:rPr>
          <w:rFonts w:ascii="Calibri" w:hAnsi="Calibri" w:cs="Calibri"/>
          <w:b/>
          <w:szCs w:val="22"/>
        </w:rPr>
        <w:t>/of</w:t>
      </w:r>
      <w:r w:rsidRPr="00BF7731">
        <w:rPr>
          <w:rFonts w:ascii="Calibri" w:hAnsi="Calibri" w:cs="Calibri"/>
          <w:b/>
          <w:szCs w:val="22"/>
        </w:rPr>
        <w:t xml:space="preserve"> handhaving</w:t>
      </w:r>
    </w:p>
    <w:p w:rsidRPr="00BF7731" w:rsidR="00682497" w:rsidP="00682497" w:rsidRDefault="00682497" w14:paraId="14FD66A4" w14:textId="1FEE3372">
      <w:pPr>
        <w:suppressAutoHyphens/>
        <w:spacing w:line="360" w:lineRule="auto"/>
        <w:rPr>
          <w:rFonts w:ascii="Calibri" w:hAnsi="Calibri" w:cs="Calibri"/>
          <w:bCs/>
          <w:szCs w:val="22"/>
        </w:rPr>
      </w:pPr>
      <w:r w:rsidRPr="00BF7731">
        <w:rPr>
          <w:rFonts w:ascii="Calibri" w:hAnsi="Calibri" w:cs="Calibri"/>
          <w:bCs/>
          <w:szCs w:val="22"/>
        </w:rPr>
        <w:t xml:space="preserve">Uitvoeringsorganisaties hechten aan vereenvoudiging van wet- en regelgeving. Zodra de details van de </w:t>
      </w:r>
      <w:r w:rsidRPr="00BF7731" w:rsidR="008E6CAF">
        <w:rPr>
          <w:rFonts w:ascii="Calibri" w:hAnsi="Calibri" w:cs="Calibri"/>
          <w:bCs/>
          <w:szCs w:val="22"/>
        </w:rPr>
        <w:t xml:space="preserve">simplificatie van de NIS2-richtlijn </w:t>
      </w:r>
      <w:r w:rsidRPr="00BF7731">
        <w:rPr>
          <w:rFonts w:ascii="Calibri" w:hAnsi="Calibri" w:cs="Calibri"/>
          <w:bCs/>
          <w:szCs w:val="22"/>
        </w:rPr>
        <w:t>meer duidelijk zijn, moeten de implicaties in kaart worden gebracht met de uitvoeringstoets. Daarnaast is het wenselijk dat er meer duidelijkheid komt over de samenhang tussen de recente wetsvoorstellen van de Commissie onderling en bestaande wet- en regelgeving. Tevens is het wenselijk om de uitvoeringsconsequenties van het totaal van nieuwe wet- en regelgeving te onderzoeken.</w:t>
      </w:r>
    </w:p>
    <w:p w:rsidRPr="00BF7731" w:rsidR="00CB7FF8" w:rsidP="00CB7FF8" w:rsidRDefault="00CB7FF8" w14:paraId="22609099" w14:textId="585755E0">
      <w:pPr>
        <w:suppressAutoHyphens/>
        <w:spacing w:line="360" w:lineRule="auto"/>
        <w:rPr>
          <w:rFonts w:ascii="Calibri" w:hAnsi="Calibri" w:cs="Calibri"/>
          <w:b/>
          <w:szCs w:val="22"/>
        </w:rPr>
      </w:pPr>
    </w:p>
    <w:p w:rsidRPr="00BF7731" w:rsidR="00CB7FF8" w:rsidP="00982D08" w:rsidRDefault="00CB7FF8" w14:paraId="6D9814F2" w14:textId="77777777">
      <w:pPr>
        <w:numPr>
          <w:ilvl w:val="0"/>
          <w:numId w:val="3"/>
        </w:numPr>
        <w:spacing w:line="360" w:lineRule="auto"/>
        <w:rPr>
          <w:rFonts w:ascii="Calibri" w:hAnsi="Calibri" w:cs="Calibri"/>
          <w:b/>
          <w:szCs w:val="22"/>
        </w:rPr>
      </w:pPr>
      <w:r w:rsidRPr="00BF7731">
        <w:rPr>
          <w:rFonts w:ascii="Calibri" w:hAnsi="Calibri" w:cs="Calibri"/>
          <w:b/>
          <w:szCs w:val="22"/>
        </w:rPr>
        <w:t>Implicaties voor ontwikkelingslanden</w:t>
      </w:r>
    </w:p>
    <w:p w:rsidRPr="00BF7731" w:rsidR="009A3B1D" w:rsidP="006C2829" w:rsidRDefault="00C67899" w14:paraId="6B379056" w14:textId="3CA8ACAD">
      <w:pPr>
        <w:suppressAutoHyphens/>
        <w:spacing w:line="360" w:lineRule="auto"/>
        <w:rPr>
          <w:rFonts w:ascii="Calibri" w:hAnsi="Calibri" w:cs="Calibri"/>
          <w:iCs/>
          <w:szCs w:val="22"/>
        </w:rPr>
      </w:pPr>
      <w:r w:rsidRPr="00BF7731">
        <w:rPr>
          <w:rFonts w:ascii="Calibri" w:hAnsi="Calibri" w:cs="Calibri"/>
          <w:iCs/>
          <w:szCs w:val="22"/>
        </w:rPr>
        <w:t>Geen implicaties voor ontwikkelingslanden.</w:t>
      </w:r>
      <w:bookmarkEnd w:id="0"/>
      <w:bookmarkEnd w:id="1"/>
    </w:p>
    <w:sectPr w:rsidRPr="00BF7731" w:rsidR="009A3B1D" w:rsidSect="00330FE7">
      <w:footerReference w:type="even" r:id="rId13"/>
      <w:footerReference w:type="first" r:id="rId14"/>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9CA0" w14:textId="77777777" w:rsidR="00591EED" w:rsidRDefault="00591EED">
      <w:r>
        <w:separator/>
      </w:r>
    </w:p>
  </w:endnote>
  <w:endnote w:type="continuationSeparator" w:id="0">
    <w:p w14:paraId="5C4A0D4D" w14:textId="77777777" w:rsidR="00591EED" w:rsidRDefault="00591EED">
      <w:r>
        <w:continuationSeparator/>
      </w:r>
    </w:p>
  </w:endnote>
  <w:endnote w:type="continuationNotice" w:id="1">
    <w:p w14:paraId="667FC8D8" w14:textId="77777777" w:rsidR="00591EED" w:rsidRDefault="00591E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0E4AA071" w:rsidR="0037596E" w:rsidRDefault="00DB5F3D">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5FF9B902" wp14:editId="630CC8AA">
              <wp:simplePos x="635" y="635"/>
              <wp:positionH relativeFrom="page">
                <wp:align>left</wp:align>
              </wp:positionH>
              <wp:positionV relativeFrom="page">
                <wp:align>bottom</wp:align>
              </wp:positionV>
              <wp:extent cx="1009015" cy="368300"/>
              <wp:effectExtent l="0" t="0" r="635" b="0"/>
              <wp:wrapNone/>
              <wp:docPr id="178216079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C70B67C" w14:textId="6B15980C"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F9B902"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C70B67C" w14:textId="6B15980C"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3BBF4F64"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7C97B9BD" w:rsidR="00EB777D" w:rsidRDefault="00DB5F3D">
    <w:pPr>
      <w:pStyle w:val="Voettekst"/>
    </w:pPr>
    <w:r>
      <w:rPr>
        <w:noProof/>
      </w:rPr>
      <mc:AlternateContent>
        <mc:Choice Requires="wps">
          <w:drawing>
            <wp:anchor distT="0" distB="0" distL="0" distR="0" simplePos="0" relativeHeight="251658240" behindDoc="0" locked="0" layoutInCell="1" allowOverlap="1" wp14:anchorId="63BD877C" wp14:editId="7E31870F">
              <wp:simplePos x="635" y="635"/>
              <wp:positionH relativeFrom="page">
                <wp:align>left</wp:align>
              </wp:positionH>
              <wp:positionV relativeFrom="page">
                <wp:align>bottom</wp:align>
              </wp:positionV>
              <wp:extent cx="1009015" cy="368300"/>
              <wp:effectExtent l="0" t="0" r="635" b="0"/>
              <wp:wrapNone/>
              <wp:docPr id="213283253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E3BCDD5" w14:textId="5754506D"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BD877C"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7E3BCDD5" w14:textId="5754506D"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90D9" w14:textId="77777777" w:rsidR="00591EED" w:rsidRDefault="00591EED">
      <w:r>
        <w:separator/>
      </w:r>
    </w:p>
  </w:footnote>
  <w:footnote w:type="continuationSeparator" w:id="0">
    <w:p w14:paraId="07A468BB" w14:textId="77777777" w:rsidR="00591EED" w:rsidRDefault="00591EED">
      <w:r>
        <w:continuationSeparator/>
      </w:r>
    </w:p>
  </w:footnote>
  <w:footnote w:type="continuationNotice" w:id="1">
    <w:p w14:paraId="7D5549A6" w14:textId="77777777" w:rsidR="00591EED" w:rsidRDefault="00591EED">
      <w:pPr>
        <w:spacing w:line="240" w:lineRule="auto"/>
      </w:pPr>
    </w:p>
  </w:footnote>
  <w:footnote w:id="2">
    <w:p w14:paraId="4DBFD153" w14:textId="5EEB25D9" w:rsidR="008109B3" w:rsidRPr="00BF7731" w:rsidRDefault="008109B3">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w:t>
      </w:r>
      <w:hyperlink r:id="rId1" w:history="1">
        <w:r w:rsidRPr="00BF7731">
          <w:rPr>
            <w:rStyle w:val="Hyperlink"/>
            <w:rFonts w:ascii="Calibri" w:hAnsi="Calibri" w:cs="Calibri"/>
            <w:sz w:val="20"/>
          </w:rPr>
          <w:t>https://eur-lex.europa.eu/legal-content/EN/TXT/?uri=CELEX%3A52026PC0013</w:t>
        </w:r>
      </w:hyperlink>
      <w:r w:rsidRPr="00BF7731">
        <w:rPr>
          <w:rFonts w:ascii="Calibri" w:hAnsi="Calibri" w:cs="Calibri"/>
          <w:sz w:val="20"/>
        </w:rPr>
        <w:t xml:space="preserve">. </w:t>
      </w:r>
    </w:p>
  </w:footnote>
  <w:footnote w:id="3">
    <w:p w14:paraId="27352DAA" w14:textId="4700C474" w:rsidR="00B4083D" w:rsidRPr="00BF7731" w:rsidRDefault="00B4083D" w:rsidP="004119A0">
      <w:pPr>
        <w:pStyle w:val="Geenafstand"/>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ook de </w:t>
      </w:r>
      <w:r w:rsidR="008109B3" w:rsidRPr="00BF7731">
        <w:rPr>
          <w:rFonts w:ascii="Calibri" w:hAnsi="Calibri" w:cs="Calibri"/>
          <w:sz w:val="20"/>
        </w:rPr>
        <w:t>K</w:t>
      </w:r>
      <w:r w:rsidRPr="00BF7731">
        <w:rPr>
          <w:rFonts w:ascii="Calibri" w:hAnsi="Calibri" w:cs="Calibri"/>
          <w:sz w:val="20"/>
        </w:rPr>
        <w:t xml:space="preserve">amerbrief over gevolgen niet tijdige implementatie NIS2 en </w:t>
      </w:r>
      <w:r w:rsidR="00E0597D" w:rsidRPr="00BF7731">
        <w:rPr>
          <w:rFonts w:ascii="Calibri" w:hAnsi="Calibri" w:cs="Calibri"/>
          <w:sz w:val="20"/>
        </w:rPr>
        <w:t>CER-richtlijn</w:t>
      </w:r>
      <w:r w:rsidR="00E44F52" w:rsidRPr="00BF7731">
        <w:rPr>
          <w:rFonts w:ascii="Calibri" w:hAnsi="Calibri" w:cs="Calibri"/>
          <w:sz w:val="20"/>
        </w:rPr>
        <w:t xml:space="preserve">, </w:t>
      </w:r>
      <w:hyperlink r:id="rId2" w:history="1">
        <w:r w:rsidRPr="00BF7731">
          <w:rPr>
            <w:rStyle w:val="Hyperlink"/>
            <w:rFonts w:ascii="Calibri" w:hAnsi="Calibri" w:cs="Calibri"/>
            <w:sz w:val="20"/>
          </w:rPr>
          <w:t xml:space="preserve">Kamerbrief over gevolgen niet tijdige implementatie NIS2 en </w:t>
        </w:r>
        <w:r w:rsidR="00E0597D" w:rsidRPr="00BF7731">
          <w:rPr>
            <w:rStyle w:val="Hyperlink"/>
            <w:rFonts w:ascii="Calibri" w:hAnsi="Calibri" w:cs="Calibri"/>
            <w:sz w:val="20"/>
          </w:rPr>
          <w:t>CER-richtlijn</w:t>
        </w:r>
        <w:r w:rsidRPr="00BF7731">
          <w:rPr>
            <w:rStyle w:val="Hyperlink"/>
            <w:rFonts w:ascii="Calibri" w:hAnsi="Calibri" w:cs="Calibri"/>
            <w:sz w:val="20"/>
          </w:rPr>
          <w:t xml:space="preserve"> | Kamerstuk | Rijksoverheid.nl</w:t>
        </w:r>
      </w:hyperlink>
      <w:r w:rsidR="00374CCE" w:rsidRPr="00BF7731">
        <w:rPr>
          <w:rFonts w:ascii="Calibri" w:hAnsi="Calibri" w:cs="Calibri"/>
          <w:sz w:val="20"/>
        </w:rPr>
        <w:t>.</w:t>
      </w:r>
    </w:p>
  </w:footnote>
  <w:footnote w:id="4">
    <w:p w14:paraId="1DC4CE00" w14:textId="178B7EC4" w:rsidR="008D3260" w:rsidRPr="00BF7731" w:rsidRDefault="008D3260" w:rsidP="004119A0">
      <w:pPr>
        <w:spacing w:line="240" w:lineRule="auto"/>
        <w:rPr>
          <w:rFonts w:ascii="Calibri" w:hAnsi="Calibri" w:cs="Calibri"/>
          <w:sz w:val="20"/>
          <w:lang w:val="en-US"/>
        </w:rPr>
      </w:pPr>
      <w:r w:rsidRPr="00BF7731">
        <w:rPr>
          <w:rStyle w:val="Voetnootmarkering"/>
          <w:rFonts w:ascii="Calibri" w:hAnsi="Calibri" w:cs="Calibri"/>
          <w:sz w:val="20"/>
        </w:rPr>
        <w:footnoteRef/>
      </w:r>
      <w:r w:rsidRPr="00BF7731">
        <w:rPr>
          <w:rFonts w:ascii="Calibri" w:hAnsi="Calibri" w:cs="Calibri"/>
          <w:sz w:val="20"/>
          <w:lang w:val="en-US"/>
        </w:rPr>
        <w:t xml:space="preserve"> Zie</w:t>
      </w:r>
      <w:r w:rsidR="0023245A" w:rsidRPr="00BF7731">
        <w:rPr>
          <w:rFonts w:ascii="Calibri" w:hAnsi="Calibri" w:cs="Calibri"/>
          <w:sz w:val="20"/>
          <w:lang w:val="en-US"/>
        </w:rPr>
        <w:t xml:space="preserve"> </w:t>
      </w:r>
      <w:r w:rsidR="0023245A" w:rsidRPr="00BF7731">
        <w:rPr>
          <w:rFonts w:ascii="Calibri" w:hAnsi="Calibri" w:cs="Calibri"/>
          <w:sz w:val="20"/>
          <w:lang w:val="en-US"/>
        </w:rPr>
        <w:t>ook</w:t>
      </w:r>
      <w:r w:rsidRPr="00BF7731">
        <w:rPr>
          <w:rFonts w:ascii="Calibri" w:hAnsi="Calibri" w:cs="Calibri"/>
          <w:sz w:val="20"/>
          <w:lang w:val="en-US"/>
        </w:rPr>
        <w:t xml:space="preserve"> ANNEX to the Proposal for a DIRECTIVE OF THE EUROPEAN PARLIAMENT AND OF THE COUNCIL amending Directive (EU) 2022/2555 as regards simplification measures and alignment with the [Proposal for the Cybersecurity Act 2]</w:t>
      </w:r>
      <w:r w:rsidR="0023245A" w:rsidRPr="00BF7731">
        <w:rPr>
          <w:rFonts w:ascii="Calibri" w:hAnsi="Calibri" w:cs="Calibri"/>
          <w:sz w:val="20"/>
          <w:lang w:val="en-US"/>
        </w:rPr>
        <w:t xml:space="preserve">, </w:t>
      </w:r>
      <w:hyperlink r:id="rId3" w:history="1">
        <w:r w:rsidR="0023245A" w:rsidRPr="00BF7731">
          <w:rPr>
            <w:rStyle w:val="Hyperlink"/>
            <w:rFonts w:ascii="Calibri" w:hAnsi="Calibri" w:cs="Calibri"/>
            <w:sz w:val="20"/>
            <w:lang w:val="en-US"/>
          </w:rPr>
          <w:t>EUR-Lex - 52026PC0013 - EN - EUR-Lex</w:t>
        </w:r>
      </w:hyperlink>
      <w:r w:rsidR="0023245A" w:rsidRPr="00BF7731">
        <w:rPr>
          <w:rFonts w:ascii="Calibri" w:hAnsi="Calibri" w:cs="Calibri"/>
          <w:sz w:val="20"/>
          <w:lang w:val="en-US"/>
        </w:rPr>
        <w:t>.</w:t>
      </w:r>
    </w:p>
  </w:footnote>
  <w:footnote w:id="5">
    <w:p w14:paraId="1C228526" w14:textId="34EDB6C1" w:rsidR="004119A0" w:rsidRPr="00BF7731" w:rsidRDefault="004119A0" w:rsidP="004119A0">
      <w:pPr>
        <w:pStyle w:val="Voetnoottekst"/>
        <w:spacing w:line="240" w:lineRule="auto"/>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ook </w:t>
      </w:r>
      <w:hyperlink r:id="rId4" w:history="1">
        <w:r w:rsidRPr="00BF7731">
          <w:rPr>
            <w:rStyle w:val="Hyperlink"/>
            <w:rFonts w:ascii="Calibri" w:hAnsi="Calibri" w:cs="Calibri"/>
            <w:sz w:val="20"/>
          </w:rPr>
          <w:t>Richtlijn - EU - 2024/1788 - EN - EUR-Lex</w:t>
        </w:r>
      </w:hyperlink>
      <w:r w:rsidRPr="00BF7731">
        <w:rPr>
          <w:rFonts w:ascii="Calibri" w:hAnsi="Calibri" w:cs="Calibri"/>
          <w:sz w:val="20"/>
        </w:rPr>
        <w:t>.</w:t>
      </w:r>
    </w:p>
  </w:footnote>
  <w:footnote w:id="6">
    <w:p w14:paraId="5D6DF14D" w14:textId="0DFABEEE" w:rsidR="005A1212" w:rsidRPr="00BF7731" w:rsidRDefault="005A1212">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r w:rsidRPr="00BF7731">
        <w:rPr>
          <w:rFonts w:ascii="Calibri" w:hAnsi="Calibri" w:cs="Calibri"/>
          <w:sz w:val="20"/>
        </w:rPr>
        <w:t xml:space="preserve">Domaine Name </w:t>
      </w:r>
      <w:r w:rsidR="00535E49" w:rsidRPr="00BF7731">
        <w:rPr>
          <w:rFonts w:ascii="Calibri" w:hAnsi="Calibri" w:cs="Calibri"/>
          <w:sz w:val="20"/>
        </w:rPr>
        <w:t>S</w:t>
      </w:r>
      <w:r w:rsidRPr="00BF7731">
        <w:rPr>
          <w:rFonts w:ascii="Calibri" w:hAnsi="Calibri" w:cs="Calibri"/>
          <w:sz w:val="20"/>
        </w:rPr>
        <w:t xml:space="preserve">ystem </w:t>
      </w:r>
    </w:p>
  </w:footnote>
  <w:footnote w:id="7">
    <w:p w14:paraId="07EF6ABE" w14:textId="77777777" w:rsidR="00EA0534" w:rsidRPr="00BF7731" w:rsidRDefault="00EA0534" w:rsidP="004119A0">
      <w:pPr>
        <w:spacing w:line="240" w:lineRule="auto"/>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ook VERORDENING VAN HET EUROPEES PARLEMENT EN DE RAAD</w:t>
      </w:r>
      <w:r w:rsidRPr="00BF7731">
        <w:rPr>
          <w:rFonts w:ascii="Calibri" w:hAnsi="Calibri" w:cs="Calibri"/>
          <w:b/>
          <w:bCs/>
          <w:sz w:val="20"/>
        </w:rPr>
        <w:t xml:space="preserve"> </w:t>
      </w:r>
      <w:r w:rsidRPr="00BF7731">
        <w:rPr>
          <w:rFonts w:ascii="Calibri" w:hAnsi="Calibri" w:cs="Calibri"/>
          <w:sz w:val="20"/>
        </w:rPr>
        <w:t xml:space="preserve">tot vaststelling van een kader van maatregelen om het vervoer van militair materieel en personeel en van militaire goederen in de hele Unie te vergemakkelijken, </w:t>
      </w:r>
      <w:hyperlink r:id="rId5" w:history="1">
        <w:r w:rsidRPr="00BF7731">
          <w:rPr>
            <w:rStyle w:val="Hyperlink"/>
            <w:rFonts w:ascii="Calibri" w:hAnsi="Calibri" w:cs="Calibri"/>
            <w:sz w:val="20"/>
          </w:rPr>
          <w:t>EUR-Lex - 52025PC0847 - EN - EUR-Lex</w:t>
        </w:r>
      </w:hyperlink>
      <w:r w:rsidRPr="00BF7731">
        <w:rPr>
          <w:rFonts w:ascii="Calibri" w:hAnsi="Calibri" w:cs="Calibri"/>
          <w:sz w:val="20"/>
        </w:rPr>
        <w:t xml:space="preserve">. </w:t>
      </w:r>
    </w:p>
  </w:footnote>
  <w:footnote w:id="8">
    <w:p w14:paraId="5C04F6B9" w14:textId="77777777" w:rsidR="00014BEE" w:rsidRPr="00BF7731" w:rsidRDefault="00014BEE" w:rsidP="00192C2C">
      <w:pPr>
        <w:pStyle w:val="Geenafstand"/>
        <w:rPr>
          <w:rFonts w:ascii="Calibri" w:hAnsi="Calibri" w:cs="Calibri"/>
          <w:sz w:val="20"/>
          <w:lang w:val="en-US"/>
        </w:rPr>
      </w:pPr>
      <w:r w:rsidRPr="00BF7731">
        <w:rPr>
          <w:rStyle w:val="Voetnootmarkering"/>
          <w:rFonts w:ascii="Calibri" w:hAnsi="Calibri" w:cs="Calibri"/>
          <w:sz w:val="20"/>
        </w:rPr>
        <w:footnoteRef/>
      </w:r>
      <w:r w:rsidRPr="00BF7731">
        <w:rPr>
          <w:rFonts w:ascii="Calibri" w:hAnsi="Calibri" w:cs="Calibri"/>
          <w:sz w:val="20"/>
          <w:lang w:val="en-US"/>
        </w:rPr>
        <w:t xml:space="preserve"> Commission Recommendation (EU) 2025/1099 of 21 May 2025 on the definition of small mid-cap enterprises (OJ L, 2025/1099, 28.5.2025, ELI: </w:t>
      </w:r>
      <w:r>
        <w:fldChar w:fldCharType="begin"/>
      </w:r>
      <w:r w:rsidRPr="006F0DB4">
        <w:rPr>
          <w:lang w:val="en-US"/>
        </w:rPr>
        <w:instrText>HYPERLINK "http://data.europa.eu/eli/reco/2025/1099/oj"</w:instrText>
      </w:r>
      <w:r>
        <w:fldChar w:fldCharType="separate"/>
      </w:r>
      <w:r w:rsidRPr="00BF7731">
        <w:rPr>
          <w:rStyle w:val="Hyperlink"/>
          <w:rFonts w:ascii="Calibri" w:hAnsi="Calibri" w:cs="Calibri"/>
          <w:sz w:val="20"/>
          <w:lang w:val="en-US"/>
        </w:rPr>
        <w:t>http://data.europa.eu/eli/reco/2025/1099/oj</w:t>
      </w:r>
      <w:r>
        <w:fldChar w:fldCharType="end"/>
      </w:r>
      <w:r w:rsidRPr="00BF7731">
        <w:rPr>
          <w:rFonts w:ascii="Calibri" w:hAnsi="Calibri" w:cs="Calibri"/>
          <w:sz w:val="20"/>
          <w:lang w:val="en-US"/>
        </w:rPr>
        <w:t xml:space="preserve">).  </w:t>
      </w:r>
    </w:p>
  </w:footnote>
  <w:footnote w:id="9">
    <w:p w14:paraId="4A244503" w14:textId="65DBAB70" w:rsidR="002A6A10" w:rsidRPr="00BF7731" w:rsidRDefault="002A6A10" w:rsidP="00192C2C">
      <w:pPr>
        <w:pStyle w:val="Geenafstand"/>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De Commissie beoordeelt regelmatig of er uitvoeringshandelingen voor specifieke sectoren of soorten entiteiten moeten worden vastgesteld. De Europese Commissie heeft op 17 oktober 2024 een uitvoeringsverordening vastgesteld voor de digitale sector die zowel de meldplicht als de zorgplicht voor deze sector specificeert (</w:t>
      </w:r>
      <w:hyperlink r:id="rId6" w:history="1">
        <w:r w:rsidRPr="00BF7731">
          <w:rPr>
            <w:rStyle w:val="Hyperlink"/>
            <w:rFonts w:ascii="Calibri" w:hAnsi="Calibri" w:cs="Calibri"/>
            <w:sz w:val="20"/>
          </w:rPr>
          <w:t>Implementing regulation - EU - 2024/2690 - EN - EUR-Lex</w:t>
        </w:r>
      </w:hyperlink>
      <w:r w:rsidRPr="00BF7731">
        <w:rPr>
          <w:rFonts w:ascii="Calibri" w:hAnsi="Calibri" w:cs="Calibri"/>
          <w:sz w:val="20"/>
        </w:rPr>
        <w:t xml:space="preserve">). </w:t>
      </w:r>
    </w:p>
  </w:footnote>
  <w:footnote w:id="10">
    <w:p w14:paraId="2167C0A1" w14:textId="33B80D89" w:rsidR="00A819A1" w:rsidRPr="00BF7731" w:rsidRDefault="00A819A1">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BNC-fiche Herziening CSA</w:t>
      </w:r>
    </w:p>
  </w:footnote>
  <w:footnote w:id="11">
    <w:p w14:paraId="12A9CC4D" w14:textId="77777777" w:rsidR="00484455" w:rsidRPr="00BF7731" w:rsidRDefault="00484455" w:rsidP="004C2DF2">
      <w:pPr>
        <w:pStyle w:val="Voetnoottekst"/>
        <w:spacing w:line="240" w:lineRule="auto"/>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hyperlink r:id="rId7" w:history="1">
        <w:r w:rsidRPr="00BF7731">
          <w:rPr>
            <w:rStyle w:val="Hyperlink"/>
            <w:rFonts w:ascii="Calibri" w:hAnsi="Calibri" w:cs="Calibri"/>
            <w:sz w:val="20"/>
          </w:rPr>
          <w:t>Nederlandse Cybersecuritystrategie 2022-2028 | Nationaal Coördinator Terrorismebestrijding en Veiligheid</w:t>
        </w:r>
      </w:hyperlink>
      <w:r w:rsidRPr="00BF7731">
        <w:rPr>
          <w:rFonts w:ascii="Calibri" w:hAnsi="Calibri" w:cs="Calibri"/>
          <w:sz w:val="20"/>
        </w:rPr>
        <w:t>.</w:t>
      </w:r>
    </w:p>
  </w:footnote>
  <w:footnote w:id="12">
    <w:p w14:paraId="48DFC340" w14:textId="48C7874E" w:rsidR="00A819A1" w:rsidRPr="00BF7731" w:rsidRDefault="00A819A1">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BNC-fiche Herziening CSA</w:t>
      </w:r>
    </w:p>
  </w:footnote>
  <w:footnote w:id="13">
    <w:p w14:paraId="556352DE" w14:textId="69CF1B91" w:rsidR="00A819A1" w:rsidRPr="00BF7731" w:rsidRDefault="00A819A1">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BNC-fiche Herziening CSA</w:t>
      </w:r>
    </w:p>
  </w:footnote>
  <w:footnote w:id="14">
    <w:p w14:paraId="2540E9D7" w14:textId="77777777" w:rsidR="00BD7863" w:rsidRPr="00BF7731" w:rsidRDefault="00BD7863" w:rsidP="00BD7863">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hyperlink r:id="rId8" w:history="1">
        <w:r w:rsidRPr="00BF7731">
          <w:rPr>
            <w:rStyle w:val="Hyperlink"/>
            <w:rFonts w:ascii="Calibri" w:hAnsi="Calibri" w:cs="Calibri"/>
            <w:sz w:val="20"/>
          </w:rPr>
          <w:t>Kamerbrief over actieprogramma Minder Druk Met Regels | Kamerstuk | Rijksoverheid.nl</w:t>
        </w:r>
      </w:hyperlink>
      <w:r w:rsidRPr="00BF7731">
        <w:rPr>
          <w:rFonts w:ascii="Calibri" w:hAnsi="Calibri" w:cs="Calibri"/>
          <w:sz w:val="20"/>
        </w:rPr>
        <w:t>.</w:t>
      </w:r>
    </w:p>
  </w:footnote>
  <w:footnote w:id="15">
    <w:p w14:paraId="4657A6C3" w14:textId="77777777" w:rsidR="00BD7863" w:rsidRPr="00BF7731" w:rsidRDefault="00BD7863" w:rsidP="00BD7863">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hyperlink r:id="rId9" w:history="1">
        <w:r w:rsidRPr="00BF7731">
          <w:rPr>
            <w:rStyle w:val="Hyperlink"/>
            <w:rFonts w:ascii="Calibri" w:hAnsi="Calibri" w:cs="Calibri"/>
            <w:sz w:val="20"/>
          </w:rPr>
          <w:t>https://www.tweedekamer.nl/kamerstukken/detail?id=2025D46264&amp;did=2025D46264</w:t>
        </w:r>
      </w:hyperlink>
      <w:r w:rsidRPr="00BF7731">
        <w:rPr>
          <w:rFonts w:ascii="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E1C"/>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027473"/>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CD33A6"/>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A75AC"/>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931365"/>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A7A52"/>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DA6A9C"/>
    <w:multiLevelType w:val="hybridMultilevel"/>
    <w:tmpl w:val="26BC7A5C"/>
    <w:lvl w:ilvl="0" w:tplc="B34E5A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1E2E09"/>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B82F35"/>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C0AE7"/>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E7B0D96"/>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C1D4E"/>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D44E94"/>
    <w:multiLevelType w:val="hybridMultilevel"/>
    <w:tmpl w:val="E356D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DF58FF"/>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EC13BF"/>
    <w:multiLevelType w:val="hybridMultilevel"/>
    <w:tmpl w:val="40DED4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DE864F3"/>
    <w:multiLevelType w:val="hybridMultilevel"/>
    <w:tmpl w:val="2E46AC8A"/>
    <w:lvl w:ilvl="0" w:tplc="A5ECCC6E">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0967DF"/>
    <w:multiLevelType w:val="hybridMultilevel"/>
    <w:tmpl w:val="8A1CFC70"/>
    <w:lvl w:ilvl="0" w:tplc="110662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F0716B"/>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9913C46"/>
    <w:multiLevelType w:val="hybridMultilevel"/>
    <w:tmpl w:val="9FAAAA14"/>
    <w:lvl w:ilvl="0" w:tplc="A97A1B8E">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95540443">
    <w:abstractNumId w:val="15"/>
  </w:num>
  <w:num w:numId="2" w16cid:durableId="2094887896">
    <w:abstractNumId w:val="6"/>
  </w:num>
  <w:num w:numId="3" w16cid:durableId="348415807">
    <w:abstractNumId w:val="29"/>
  </w:num>
  <w:num w:numId="4" w16cid:durableId="1409696305">
    <w:abstractNumId w:val="16"/>
  </w:num>
  <w:num w:numId="5" w16cid:durableId="2104450230">
    <w:abstractNumId w:val="25"/>
  </w:num>
  <w:num w:numId="6" w16cid:durableId="1500001612">
    <w:abstractNumId w:val="13"/>
  </w:num>
  <w:num w:numId="7" w16cid:durableId="1150170982">
    <w:abstractNumId w:val="9"/>
  </w:num>
  <w:num w:numId="8" w16cid:durableId="131682718">
    <w:abstractNumId w:val="27"/>
  </w:num>
  <w:num w:numId="9" w16cid:durableId="1107970461">
    <w:abstractNumId w:val="14"/>
  </w:num>
  <w:num w:numId="10" w16cid:durableId="1160196870">
    <w:abstractNumId w:val="2"/>
  </w:num>
  <w:num w:numId="11" w16cid:durableId="336159022">
    <w:abstractNumId w:val="23"/>
  </w:num>
  <w:num w:numId="12" w16cid:durableId="1738481083">
    <w:abstractNumId w:val="22"/>
  </w:num>
  <w:num w:numId="13" w16cid:durableId="330332881">
    <w:abstractNumId w:val="19"/>
  </w:num>
  <w:num w:numId="14" w16cid:durableId="1641809184">
    <w:abstractNumId w:val="17"/>
  </w:num>
  <w:num w:numId="15" w16cid:durableId="2133203107">
    <w:abstractNumId w:val="20"/>
  </w:num>
  <w:num w:numId="16" w16cid:durableId="134223945">
    <w:abstractNumId w:val="0"/>
  </w:num>
  <w:num w:numId="17" w16cid:durableId="517818813">
    <w:abstractNumId w:val="28"/>
  </w:num>
  <w:num w:numId="18" w16cid:durableId="1329988240">
    <w:abstractNumId w:val="24"/>
  </w:num>
  <w:num w:numId="19" w16cid:durableId="1037660554">
    <w:abstractNumId w:val="5"/>
  </w:num>
  <w:num w:numId="20" w16cid:durableId="1797217741">
    <w:abstractNumId w:val="18"/>
  </w:num>
  <w:num w:numId="21" w16cid:durableId="1101802469">
    <w:abstractNumId w:val="11"/>
  </w:num>
  <w:num w:numId="22" w16cid:durableId="669720107">
    <w:abstractNumId w:val="3"/>
  </w:num>
  <w:num w:numId="23" w16cid:durableId="2057315025">
    <w:abstractNumId w:val="7"/>
  </w:num>
  <w:num w:numId="24" w16cid:durableId="1591546658">
    <w:abstractNumId w:val="12"/>
  </w:num>
  <w:num w:numId="25" w16cid:durableId="945967620">
    <w:abstractNumId w:val="1"/>
  </w:num>
  <w:num w:numId="26" w16cid:durableId="407508801">
    <w:abstractNumId w:val="4"/>
  </w:num>
  <w:num w:numId="27" w16cid:durableId="1409420756">
    <w:abstractNumId w:val="10"/>
  </w:num>
  <w:num w:numId="28" w16cid:durableId="1401711037">
    <w:abstractNumId w:val="6"/>
  </w:num>
  <w:num w:numId="29" w16cid:durableId="310524133">
    <w:abstractNumId w:val="8"/>
  </w:num>
  <w:num w:numId="30" w16cid:durableId="1949001023">
    <w:abstractNumId w:val="26"/>
  </w:num>
  <w:num w:numId="31" w16cid:durableId="4049591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0E"/>
    <w:rsid w:val="00002917"/>
    <w:rsid w:val="000038CD"/>
    <w:rsid w:val="000048A6"/>
    <w:rsid w:val="00005170"/>
    <w:rsid w:val="00007492"/>
    <w:rsid w:val="00014BEE"/>
    <w:rsid w:val="0001548F"/>
    <w:rsid w:val="00016D97"/>
    <w:rsid w:val="00021406"/>
    <w:rsid w:val="0002180F"/>
    <w:rsid w:val="000250E9"/>
    <w:rsid w:val="00030FC2"/>
    <w:rsid w:val="00033F17"/>
    <w:rsid w:val="00037B1F"/>
    <w:rsid w:val="00041294"/>
    <w:rsid w:val="00043437"/>
    <w:rsid w:val="00047332"/>
    <w:rsid w:val="0005427D"/>
    <w:rsid w:val="0005716C"/>
    <w:rsid w:val="00057B23"/>
    <w:rsid w:val="00071D97"/>
    <w:rsid w:val="00072BDD"/>
    <w:rsid w:val="00074A15"/>
    <w:rsid w:val="00076EDE"/>
    <w:rsid w:val="00076FB9"/>
    <w:rsid w:val="00077097"/>
    <w:rsid w:val="00080CC1"/>
    <w:rsid w:val="00081174"/>
    <w:rsid w:val="000847C7"/>
    <w:rsid w:val="00092C14"/>
    <w:rsid w:val="000A0381"/>
    <w:rsid w:val="000A2FF7"/>
    <w:rsid w:val="000A39A4"/>
    <w:rsid w:val="000B0049"/>
    <w:rsid w:val="000B1BBB"/>
    <w:rsid w:val="000B211E"/>
    <w:rsid w:val="000B2BA7"/>
    <w:rsid w:val="000C288D"/>
    <w:rsid w:val="000C3727"/>
    <w:rsid w:val="000C4244"/>
    <w:rsid w:val="000C4EC9"/>
    <w:rsid w:val="000C6AA9"/>
    <w:rsid w:val="000C7C29"/>
    <w:rsid w:val="000D4EC2"/>
    <w:rsid w:val="000D543C"/>
    <w:rsid w:val="000E00E2"/>
    <w:rsid w:val="000E0CFF"/>
    <w:rsid w:val="000E1F75"/>
    <w:rsid w:val="000E47E5"/>
    <w:rsid w:val="000E4BC4"/>
    <w:rsid w:val="000F3E34"/>
    <w:rsid w:val="000F4024"/>
    <w:rsid w:val="001004C2"/>
    <w:rsid w:val="00100B90"/>
    <w:rsid w:val="00103254"/>
    <w:rsid w:val="0010587F"/>
    <w:rsid w:val="001118F5"/>
    <w:rsid w:val="00113410"/>
    <w:rsid w:val="001144F9"/>
    <w:rsid w:val="001215A0"/>
    <w:rsid w:val="00123185"/>
    <w:rsid w:val="0012767F"/>
    <w:rsid w:val="00131AFE"/>
    <w:rsid w:val="00132D4A"/>
    <w:rsid w:val="00135D19"/>
    <w:rsid w:val="00136C14"/>
    <w:rsid w:val="00137049"/>
    <w:rsid w:val="00140570"/>
    <w:rsid w:val="00140984"/>
    <w:rsid w:val="00142F86"/>
    <w:rsid w:val="001441C4"/>
    <w:rsid w:val="00144C3C"/>
    <w:rsid w:val="001469D3"/>
    <w:rsid w:val="00151774"/>
    <w:rsid w:val="00172364"/>
    <w:rsid w:val="00175C6A"/>
    <w:rsid w:val="001772F1"/>
    <w:rsid w:val="001816D2"/>
    <w:rsid w:val="0018227F"/>
    <w:rsid w:val="00182535"/>
    <w:rsid w:val="00183AC1"/>
    <w:rsid w:val="00191427"/>
    <w:rsid w:val="00192C2C"/>
    <w:rsid w:val="001A5B1E"/>
    <w:rsid w:val="001B3A6D"/>
    <w:rsid w:val="001D1BF6"/>
    <w:rsid w:val="001D3FBF"/>
    <w:rsid w:val="001D76DE"/>
    <w:rsid w:val="001E303A"/>
    <w:rsid w:val="001E7161"/>
    <w:rsid w:val="001F4421"/>
    <w:rsid w:val="001F4766"/>
    <w:rsid w:val="001F61CE"/>
    <w:rsid w:val="00203DDE"/>
    <w:rsid w:val="00211E3E"/>
    <w:rsid w:val="00214630"/>
    <w:rsid w:val="0021593A"/>
    <w:rsid w:val="00215AA4"/>
    <w:rsid w:val="00217EB2"/>
    <w:rsid w:val="00224FD6"/>
    <w:rsid w:val="0023245A"/>
    <w:rsid w:val="00232600"/>
    <w:rsid w:val="00235B28"/>
    <w:rsid w:val="00236716"/>
    <w:rsid w:val="00237D41"/>
    <w:rsid w:val="00241577"/>
    <w:rsid w:val="002473FD"/>
    <w:rsid w:val="002506D6"/>
    <w:rsid w:val="002514B4"/>
    <w:rsid w:val="002547F2"/>
    <w:rsid w:val="0025724D"/>
    <w:rsid w:val="00257561"/>
    <w:rsid w:val="00260A95"/>
    <w:rsid w:val="00265744"/>
    <w:rsid w:val="00266E8A"/>
    <w:rsid w:val="00272C37"/>
    <w:rsid w:val="00280EDF"/>
    <w:rsid w:val="0028660D"/>
    <w:rsid w:val="00286653"/>
    <w:rsid w:val="00287822"/>
    <w:rsid w:val="00297AEF"/>
    <w:rsid w:val="002A6A10"/>
    <w:rsid w:val="002B0A5A"/>
    <w:rsid w:val="002B2CEC"/>
    <w:rsid w:val="002B51ED"/>
    <w:rsid w:val="002B54C2"/>
    <w:rsid w:val="002B76EC"/>
    <w:rsid w:val="002C3954"/>
    <w:rsid w:val="002C3A41"/>
    <w:rsid w:val="002D0844"/>
    <w:rsid w:val="002D2C5F"/>
    <w:rsid w:val="002E1831"/>
    <w:rsid w:val="002E5174"/>
    <w:rsid w:val="002F2E18"/>
    <w:rsid w:val="002F38E5"/>
    <w:rsid w:val="002F4E99"/>
    <w:rsid w:val="002F5125"/>
    <w:rsid w:val="00302526"/>
    <w:rsid w:val="003038FA"/>
    <w:rsid w:val="00304C2F"/>
    <w:rsid w:val="00311E9C"/>
    <w:rsid w:val="00312296"/>
    <w:rsid w:val="00313255"/>
    <w:rsid w:val="003135F6"/>
    <w:rsid w:val="00317BC9"/>
    <w:rsid w:val="00330FE7"/>
    <w:rsid w:val="003339F3"/>
    <w:rsid w:val="00333E77"/>
    <w:rsid w:val="00343D3D"/>
    <w:rsid w:val="00354AF4"/>
    <w:rsid w:val="0036741B"/>
    <w:rsid w:val="00370DC4"/>
    <w:rsid w:val="00374CCE"/>
    <w:rsid w:val="0037596E"/>
    <w:rsid w:val="00380AB4"/>
    <w:rsid w:val="00383328"/>
    <w:rsid w:val="00386C32"/>
    <w:rsid w:val="00391F28"/>
    <w:rsid w:val="00396E5B"/>
    <w:rsid w:val="003A1339"/>
    <w:rsid w:val="003A3E56"/>
    <w:rsid w:val="003A60F0"/>
    <w:rsid w:val="003A6E5B"/>
    <w:rsid w:val="003B0AF1"/>
    <w:rsid w:val="003B19B9"/>
    <w:rsid w:val="003B2FD5"/>
    <w:rsid w:val="003B3339"/>
    <w:rsid w:val="003B709B"/>
    <w:rsid w:val="003C20D8"/>
    <w:rsid w:val="003C23A5"/>
    <w:rsid w:val="003C2F9E"/>
    <w:rsid w:val="003C36AF"/>
    <w:rsid w:val="003C64C4"/>
    <w:rsid w:val="003C6593"/>
    <w:rsid w:val="003D2A33"/>
    <w:rsid w:val="003D6555"/>
    <w:rsid w:val="003E1EFE"/>
    <w:rsid w:val="003E5FB1"/>
    <w:rsid w:val="003F154C"/>
    <w:rsid w:val="004025AC"/>
    <w:rsid w:val="0040742E"/>
    <w:rsid w:val="00410C86"/>
    <w:rsid w:val="004119A0"/>
    <w:rsid w:val="00412CD4"/>
    <w:rsid w:val="00417CBB"/>
    <w:rsid w:val="004210C3"/>
    <w:rsid w:val="00424B44"/>
    <w:rsid w:val="00436A6C"/>
    <w:rsid w:val="004414D3"/>
    <w:rsid w:val="00451274"/>
    <w:rsid w:val="00452503"/>
    <w:rsid w:val="00456691"/>
    <w:rsid w:val="00456C84"/>
    <w:rsid w:val="00456CF3"/>
    <w:rsid w:val="00463082"/>
    <w:rsid w:val="0046454C"/>
    <w:rsid w:val="004655C3"/>
    <w:rsid w:val="0047159D"/>
    <w:rsid w:val="0047219C"/>
    <w:rsid w:val="00475A4D"/>
    <w:rsid w:val="00482439"/>
    <w:rsid w:val="00483C06"/>
    <w:rsid w:val="00484455"/>
    <w:rsid w:val="00490FA5"/>
    <w:rsid w:val="004A291A"/>
    <w:rsid w:val="004A3440"/>
    <w:rsid w:val="004A48B5"/>
    <w:rsid w:val="004B2EB6"/>
    <w:rsid w:val="004B47DD"/>
    <w:rsid w:val="004B6477"/>
    <w:rsid w:val="004C2DF2"/>
    <w:rsid w:val="004C5D0F"/>
    <w:rsid w:val="004D38AB"/>
    <w:rsid w:val="004D637F"/>
    <w:rsid w:val="004E11A1"/>
    <w:rsid w:val="0050434B"/>
    <w:rsid w:val="00506D5D"/>
    <w:rsid w:val="00513C84"/>
    <w:rsid w:val="00514FCE"/>
    <w:rsid w:val="00524BA9"/>
    <w:rsid w:val="00525ABC"/>
    <w:rsid w:val="00527EED"/>
    <w:rsid w:val="00532E5C"/>
    <w:rsid w:val="0053361D"/>
    <w:rsid w:val="00535E49"/>
    <w:rsid w:val="0054103C"/>
    <w:rsid w:val="00543E94"/>
    <w:rsid w:val="00544C1C"/>
    <w:rsid w:val="00550C9A"/>
    <w:rsid w:val="00551F6F"/>
    <w:rsid w:val="00552D55"/>
    <w:rsid w:val="005545CC"/>
    <w:rsid w:val="00563002"/>
    <w:rsid w:val="005632D1"/>
    <w:rsid w:val="00571132"/>
    <w:rsid w:val="00577472"/>
    <w:rsid w:val="005818DA"/>
    <w:rsid w:val="00582A27"/>
    <w:rsid w:val="00585C75"/>
    <w:rsid w:val="00586166"/>
    <w:rsid w:val="00591EED"/>
    <w:rsid w:val="005931D9"/>
    <w:rsid w:val="005A1212"/>
    <w:rsid w:val="005A3829"/>
    <w:rsid w:val="005B359C"/>
    <w:rsid w:val="005B617F"/>
    <w:rsid w:val="005B7E10"/>
    <w:rsid w:val="005C6340"/>
    <w:rsid w:val="005D2B54"/>
    <w:rsid w:val="005D4DB0"/>
    <w:rsid w:val="005D7717"/>
    <w:rsid w:val="005E1012"/>
    <w:rsid w:val="005E1393"/>
    <w:rsid w:val="005E3CCE"/>
    <w:rsid w:val="005E4BF8"/>
    <w:rsid w:val="005E5D9C"/>
    <w:rsid w:val="005E7E90"/>
    <w:rsid w:val="005F107F"/>
    <w:rsid w:val="005F109E"/>
    <w:rsid w:val="005F1779"/>
    <w:rsid w:val="005F2132"/>
    <w:rsid w:val="005F60A9"/>
    <w:rsid w:val="00601113"/>
    <w:rsid w:val="0060290D"/>
    <w:rsid w:val="00602D97"/>
    <w:rsid w:val="00603B6D"/>
    <w:rsid w:val="00615FE4"/>
    <w:rsid w:val="00631D16"/>
    <w:rsid w:val="00635F0D"/>
    <w:rsid w:val="00640591"/>
    <w:rsid w:val="0065055E"/>
    <w:rsid w:val="00655A5B"/>
    <w:rsid w:val="00661F80"/>
    <w:rsid w:val="00667C32"/>
    <w:rsid w:val="0067171C"/>
    <w:rsid w:val="00671A44"/>
    <w:rsid w:val="0067324D"/>
    <w:rsid w:val="0067359D"/>
    <w:rsid w:val="00673E68"/>
    <w:rsid w:val="00674CFC"/>
    <w:rsid w:val="0067778C"/>
    <w:rsid w:val="00682497"/>
    <w:rsid w:val="00683B62"/>
    <w:rsid w:val="00686253"/>
    <w:rsid w:val="006914CC"/>
    <w:rsid w:val="00692037"/>
    <w:rsid w:val="00692415"/>
    <w:rsid w:val="00693D09"/>
    <w:rsid w:val="0069743A"/>
    <w:rsid w:val="006A4A70"/>
    <w:rsid w:val="006B1426"/>
    <w:rsid w:val="006B26E5"/>
    <w:rsid w:val="006B3C5B"/>
    <w:rsid w:val="006C09CC"/>
    <w:rsid w:val="006C185D"/>
    <w:rsid w:val="006C2829"/>
    <w:rsid w:val="006C4AA5"/>
    <w:rsid w:val="006C610A"/>
    <w:rsid w:val="006C7CDC"/>
    <w:rsid w:val="006E0AFF"/>
    <w:rsid w:val="006E3D0A"/>
    <w:rsid w:val="006F0DB4"/>
    <w:rsid w:val="006F64C0"/>
    <w:rsid w:val="006F76F6"/>
    <w:rsid w:val="00705697"/>
    <w:rsid w:val="00707C49"/>
    <w:rsid w:val="0071092B"/>
    <w:rsid w:val="007142AB"/>
    <w:rsid w:val="00714A97"/>
    <w:rsid w:val="007158A3"/>
    <w:rsid w:val="00715ABA"/>
    <w:rsid w:val="00725BE3"/>
    <w:rsid w:val="00732909"/>
    <w:rsid w:val="007330F4"/>
    <w:rsid w:val="00734515"/>
    <w:rsid w:val="00735FCC"/>
    <w:rsid w:val="007441B5"/>
    <w:rsid w:val="00747180"/>
    <w:rsid w:val="00750316"/>
    <w:rsid w:val="0076311D"/>
    <w:rsid w:val="007700D5"/>
    <w:rsid w:val="0077047D"/>
    <w:rsid w:val="00770A96"/>
    <w:rsid w:val="007760AC"/>
    <w:rsid w:val="00782341"/>
    <w:rsid w:val="0078545A"/>
    <w:rsid w:val="007931AA"/>
    <w:rsid w:val="007A03A7"/>
    <w:rsid w:val="007A4785"/>
    <w:rsid w:val="007B06DF"/>
    <w:rsid w:val="007B3C79"/>
    <w:rsid w:val="007B66D0"/>
    <w:rsid w:val="007B66D4"/>
    <w:rsid w:val="007B6E63"/>
    <w:rsid w:val="007B7D36"/>
    <w:rsid w:val="007C05D3"/>
    <w:rsid w:val="007C6B9B"/>
    <w:rsid w:val="007E01ED"/>
    <w:rsid w:val="007E0CD8"/>
    <w:rsid w:val="007F2B58"/>
    <w:rsid w:val="007F2BAB"/>
    <w:rsid w:val="007F62FB"/>
    <w:rsid w:val="00801636"/>
    <w:rsid w:val="00802E55"/>
    <w:rsid w:val="008109B3"/>
    <w:rsid w:val="00811D9F"/>
    <w:rsid w:val="00814D40"/>
    <w:rsid w:val="00822A89"/>
    <w:rsid w:val="00824733"/>
    <w:rsid w:val="00835050"/>
    <w:rsid w:val="00843B76"/>
    <w:rsid w:val="00846161"/>
    <w:rsid w:val="008471EB"/>
    <w:rsid w:val="00854409"/>
    <w:rsid w:val="00854D35"/>
    <w:rsid w:val="00857DF2"/>
    <w:rsid w:val="00862DB6"/>
    <w:rsid w:val="008647EE"/>
    <w:rsid w:val="00873EE4"/>
    <w:rsid w:val="00880CBF"/>
    <w:rsid w:val="00883AAA"/>
    <w:rsid w:val="008860BB"/>
    <w:rsid w:val="00894854"/>
    <w:rsid w:val="008A3D7B"/>
    <w:rsid w:val="008A6140"/>
    <w:rsid w:val="008A7219"/>
    <w:rsid w:val="008B4D8D"/>
    <w:rsid w:val="008B5BC2"/>
    <w:rsid w:val="008B6378"/>
    <w:rsid w:val="008B6B47"/>
    <w:rsid w:val="008C1E1C"/>
    <w:rsid w:val="008C56A4"/>
    <w:rsid w:val="008D1277"/>
    <w:rsid w:val="008D13BC"/>
    <w:rsid w:val="008D3260"/>
    <w:rsid w:val="008D38A2"/>
    <w:rsid w:val="008D410C"/>
    <w:rsid w:val="008D4E3A"/>
    <w:rsid w:val="008D7485"/>
    <w:rsid w:val="008E05AE"/>
    <w:rsid w:val="008E1384"/>
    <w:rsid w:val="008E2137"/>
    <w:rsid w:val="008E2FC7"/>
    <w:rsid w:val="008E37DC"/>
    <w:rsid w:val="008E6CAF"/>
    <w:rsid w:val="008E6E07"/>
    <w:rsid w:val="008E7031"/>
    <w:rsid w:val="008F1F5E"/>
    <w:rsid w:val="008F5071"/>
    <w:rsid w:val="00901BD1"/>
    <w:rsid w:val="009115C5"/>
    <w:rsid w:val="00911A2E"/>
    <w:rsid w:val="00921F21"/>
    <w:rsid w:val="009232D7"/>
    <w:rsid w:val="009250EE"/>
    <w:rsid w:val="00934044"/>
    <w:rsid w:val="00950ABF"/>
    <w:rsid w:val="00954818"/>
    <w:rsid w:val="00960DF6"/>
    <w:rsid w:val="0096611D"/>
    <w:rsid w:val="00966CCB"/>
    <w:rsid w:val="0096770F"/>
    <w:rsid w:val="00974CDA"/>
    <w:rsid w:val="00974E4C"/>
    <w:rsid w:val="00982D08"/>
    <w:rsid w:val="009864DC"/>
    <w:rsid w:val="00987582"/>
    <w:rsid w:val="00990B5B"/>
    <w:rsid w:val="00990FEB"/>
    <w:rsid w:val="00993EDF"/>
    <w:rsid w:val="00993FB2"/>
    <w:rsid w:val="0099754A"/>
    <w:rsid w:val="009A0B05"/>
    <w:rsid w:val="009A3B1D"/>
    <w:rsid w:val="009A618F"/>
    <w:rsid w:val="009B3C6F"/>
    <w:rsid w:val="009B4D0D"/>
    <w:rsid w:val="009C08C9"/>
    <w:rsid w:val="009C2B22"/>
    <w:rsid w:val="009C5214"/>
    <w:rsid w:val="009C6354"/>
    <w:rsid w:val="009C6827"/>
    <w:rsid w:val="009D5AB9"/>
    <w:rsid w:val="009E2E86"/>
    <w:rsid w:val="00A01C10"/>
    <w:rsid w:val="00A03163"/>
    <w:rsid w:val="00A03A16"/>
    <w:rsid w:val="00A04ABA"/>
    <w:rsid w:val="00A1295F"/>
    <w:rsid w:val="00A14785"/>
    <w:rsid w:val="00A15B58"/>
    <w:rsid w:val="00A1707D"/>
    <w:rsid w:val="00A364ED"/>
    <w:rsid w:val="00A36D39"/>
    <w:rsid w:val="00A46EDB"/>
    <w:rsid w:val="00A51315"/>
    <w:rsid w:val="00A53785"/>
    <w:rsid w:val="00A61EF8"/>
    <w:rsid w:val="00A62745"/>
    <w:rsid w:val="00A63D97"/>
    <w:rsid w:val="00A819A1"/>
    <w:rsid w:val="00A87559"/>
    <w:rsid w:val="00A90B14"/>
    <w:rsid w:val="00A97EA7"/>
    <w:rsid w:val="00AA10A5"/>
    <w:rsid w:val="00AA10D9"/>
    <w:rsid w:val="00AA2AFF"/>
    <w:rsid w:val="00AA34A7"/>
    <w:rsid w:val="00AA4139"/>
    <w:rsid w:val="00AA4ACA"/>
    <w:rsid w:val="00AA4EEB"/>
    <w:rsid w:val="00AB20DB"/>
    <w:rsid w:val="00AB3158"/>
    <w:rsid w:val="00AB5A89"/>
    <w:rsid w:val="00AC2B6B"/>
    <w:rsid w:val="00AC6BBB"/>
    <w:rsid w:val="00AD0B26"/>
    <w:rsid w:val="00AD16B4"/>
    <w:rsid w:val="00AD1CD7"/>
    <w:rsid w:val="00AD20A7"/>
    <w:rsid w:val="00AE735B"/>
    <w:rsid w:val="00AF24A7"/>
    <w:rsid w:val="00AF4E16"/>
    <w:rsid w:val="00AF5525"/>
    <w:rsid w:val="00B02E8A"/>
    <w:rsid w:val="00B07270"/>
    <w:rsid w:val="00B079B4"/>
    <w:rsid w:val="00B11895"/>
    <w:rsid w:val="00B14D7A"/>
    <w:rsid w:val="00B27A3E"/>
    <w:rsid w:val="00B35F9B"/>
    <w:rsid w:val="00B402F1"/>
    <w:rsid w:val="00B4083D"/>
    <w:rsid w:val="00B4271F"/>
    <w:rsid w:val="00B468CA"/>
    <w:rsid w:val="00B50B89"/>
    <w:rsid w:val="00B538D4"/>
    <w:rsid w:val="00B538E7"/>
    <w:rsid w:val="00B54F1C"/>
    <w:rsid w:val="00B560C5"/>
    <w:rsid w:val="00B563F5"/>
    <w:rsid w:val="00B64BAC"/>
    <w:rsid w:val="00B6515C"/>
    <w:rsid w:val="00B67CCC"/>
    <w:rsid w:val="00B777A8"/>
    <w:rsid w:val="00B77902"/>
    <w:rsid w:val="00B83BDC"/>
    <w:rsid w:val="00B84B85"/>
    <w:rsid w:val="00B9558C"/>
    <w:rsid w:val="00B9591E"/>
    <w:rsid w:val="00BA3D95"/>
    <w:rsid w:val="00BA46AB"/>
    <w:rsid w:val="00BB190B"/>
    <w:rsid w:val="00BB29CB"/>
    <w:rsid w:val="00BB3943"/>
    <w:rsid w:val="00BB4C95"/>
    <w:rsid w:val="00BC2368"/>
    <w:rsid w:val="00BC3894"/>
    <w:rsid w:val="00BC43AD"/>
    <w:rsid w:val="00BD0C72"/>
    <w:rsid w:val="00BD11E2"/>
    <w:rsid w:val="00BD180E"/>
    <w:rsid w:val="00BD7863"/>
    <w:rsid w:val="00BE0204"/>
    <w:rsid w:val="00BE28A5"/>
    <w:rsid w:val="00BE290B"/>
    <w:rsid w:val="00BE30DA"/>
    <w:rsid w:val="00BE34D3"/>
    <w:rsid w:val="00BF3EE3"/>
    <w:rsid w:val="00BF4D4D"/>
    <w:rsid w:val="00BF75E6"/>
    <w:rsid w:val="00BF7731"/>
    <w:rsid w:val="00C00764"/>
    <w:rsid w:val="00C02BAE"/>
    <w:rsid w:val="00C03209"/>
    <w:rsid w:val="00C146A7"/>
    <w:rsid w:val="00C164C8"/>
    <w:rsid w:val="00C16EE3"/>
    <w:rsid w:val="00C23E3F"/>
    <w:rsid w:val="00C25C00"/>
    <w:rsid w:val="00C27EBD"/>
    <w:rsid w:val="00C31DFE"/>
    <w:rsid w:val="00C37BEA"/>
    <w:rsid w:val="00C4291E"/>
    <w:rsid w:val="00C50071"/>
    <w:rsid w:val="00C61C75"/>
    <w:rsid w:val="00C6505D"/>
    <w:rsid w:val="00C66DC1"/>
    <w:rsid w:val="00C67899"/>
    <w:rsid w:val="00C7026A"/>
    <w:rsid w:val="00C73047"/>
    <w:rsid w:val="00C744F0"/>
    <w:rsid w:val="00C776C8"/>
    <w:rsid w:val="00C85F76"/>
    <w:rsid w:val="00C87947"/>
    <w:rsid w:val="00C9224C"/>
    <w:rsid w:val="00CA04E4"/>
    <w:rsid w:val="00CB42BA"/>
    <w:rsid w:val="00CB434B"/>
    <w:rsid w:val="00CB7FF8"/>
    <w:rsid w:val="00CC0373"/>
    <w:rsid w:val="00CC105B"/>
    <w:rsid w:val="00CC107D"/>
    <w:rsid w:val="00CC472D"/>
    <w:rsid w:val="00CC4E5B"/>
    <w:rsid w:val="00CC6978"/>
    <w:rsid w:val="00CD201B"/>
    <w:rsid w:val="00CD5B79"/>
    <w:rsid w:val="00CE39B7"/>
    <w:rsid w:val="00CE6BE5"/>
    <w:rsid w:val="00CE72F7"/>
    <w:rsid w:val="00CF2237"/>
    <w:rsid w:val="00CF4814"/>
    <w:rsid w:val="00D05B2E"/>
    <w:rsid w:val="00D12E54"/>
    <w:rsid w:val="00D212B0"/>
    <w:rsid w:val="00D31234"/>
    <w:rsid w:val="00D370D1"/>
    <w:rsid w:val="00D44007"/>
    <w:rsid w:val="00D5342D"/>
    <w:rsid w:val="00D60A48"/>
    <w:rsid w:val="00D66F34"/>
    <w:rsid w:val="00D751AF"/>
    <w:rsid w:val="00D76021"/>
    <w:rsid w:val="00D85808"/>
    <w:rsid w:val="00D91E9D"/>
    <w:rsid w:val="00DA0282"/>
    <w:rsid w:val="00DA1708"/>
    <w:rsid w:val="00DA19A2"/>
    <w:rsid w:val="00DA4B54"/>
    <w:rsid w:val="00DA6193"/>
    <w:rsid w:val="00DB5F3D"/>
    <w:rsid w:val="00DB6947"/>
    <w:rsid w:val="00DC47A2"/>
    <w:rsid w:val="00DD00AE"/>
    <w:rsid w:val="00DD2E8E"/>
    <w:rsid w:val="00DD5019"/>
    <w:rsid w:val="00DD5FF4"/>
    <w:rsid w:val="00DD6D9C"/>
    <w:rsid w:val="00DD7131"/>
    <w:rsid w:val="00DD7CBB"/>
    <w:rsid w:val="00DE4D70"/>
    <w:rsid w:val="00DE5D1F"/>
    <w:rsid w:val="00DE60C8"/>
    <w:rsid w:val="00DF09BB"/>
    <w:rsid w:val="00DF1891"/>
    <w:rsid w:val="00DF2411"/>
    <w:rsid w:val="00DF375E"/>
    <w:rsid w:val="00DF6A93"/>
    <w:rsid w:val="00DF7B05"/>
    <w:rsid w:val="00E00DB6"/>
    <w:rsid w:val="00E02E1E"/>
    <w:rsid w:val="00E03652"/>
    <w:rsid w:val="00E0597D"/>
    <w:rsid w:val="00E071A9"/>
    <w:rsid w:val="00E10208"/>
    <w:rsid w:val="00E102F4"/>
    <w:rsid w:val="00E14189"/>
    <w:rsid w:val="00E20D8B"/>
    <w:rsid w:val="00E26089"/>
    <w:rsid w:val="00E32221"/>
    <w:rsid w:val="00E3509E"/>
    <w:rsid w:val="00E44F52"/>
    <w:rsid w:val="00E45378"/>
    <w:rsid w:val="00E45FB5"/>
    <w:rsid w:val="00E46992"/>
    <w:rsid w:val="00E46B5D"/>
    <w:rsid w:val="00E51DA1"/>
    <w:rsid w:val="00E52CCA"/>
    <w:rsid w:val="00E539A8"/>
    <w:rsid w:val="00E57859"/>
    <w:rsid w:val="00E624AD"/>
    <w:rsid w:val="00E64736"/>
    <w:rsid w:val="00E66BCE"/>
    <w:rsid w:val="00E7000B"/>
    <w:rsid w:val="00E72AA7"/>
    <w:rsid w:val="00E76F69"/>
    <w:rsid w:val="00E844C9"/>
    <w:rsid w:val="00E84886"/>
    <w:rsid w:val="00E84E4A"/>
    <w:rsid w:val="00E91C4D"/>
    <w:rsid w:val="00E91D47"/>
    <w:rsid w:val="00E922C0"/>
    <w:rsid w:val="00E9385D"/>
    <w:rsid w:val="00EA0534"/>
    <w:rsid w:val="00EA1642"/>
    <w:rsid w:val="00EB51D4"/>
    <w:rsid w:val="00EB6A43"/>
    <w:rsid w:val="00EB777D"/>
    <w:rsid w:val="00EC6761"/>
    <w:rsid w:val="00EC7921"/>
    <w:rsid w:val="00ED36F9"/>
    <w:rsid w:val="00ED5BAE"/>
    <w:rsid w:val="00ED65D0"/>
    <w:rsid w:val="00EE12D5"/>
    <w:rsid w:val="00EE1570"/>
    <w:rsid w:val="00EE291F"/>
    <w:rsid w:val="00EE2E41"/>
    <w:rsid w:val="00EE300E"/>
    <w:rsid w:val="00EE3A56"/>
    <w:rsid w:val="00EE4DF8"/>
    <w:rsid w:val="00EE73E6"/>
    <w:rsid w:val="00EF2981"/>
    <w:rsid w:val="00EF3928"/>
    <w:rsid w:val="00EF3BCB"/>
    <w:rsid w:val="00F02744"/>
    <w:rsid w:val="00F04135"/>
    <w:rsid w:val="00F07846"/>
    <w:rsid w:val="00F11B22"/>
    <w:rsid w:val="00F12BA4"/>
    <w:rsid w:val="00F17AEC"/>
    <w:rsid w:val="00F21DF1"/>
    <w:rsid w:val="00F30C33"/>
    <w:rsid w:val="00F37B47"/>
    <w:rsid w:val="00F37D6C"/>
    <w:rsid w:val="00F431C3"/>
    <w:rsid w:val="00F46BA7"/>
    <w:rsid w:val="00F473CD"/>
    <w:rsid w:val="00F53630"/>
    <w:rsid w:val="00F54064"/>
    <w:rsid w:val="00F55A1B"/>
    <w:rsid w:val="00F622CD"/>
    <w:rsid w:val="00F70E33"/>
    <w:rsid w:val="00F71A7B"/>
    <w:rsid w:val="00F723E4"/>
    <w:rsid w:val="00F741C4"/>
    <w:rsid w:val="00F74E07"/>
    <w:rsid w:val="00F75140"/>
    <w:rsid w:val="00F7687C"/>
    <w:rsid w:val="00F84E93"/>
    <w:rsid w:val="00F85D29"/>
    <w:rsid w:val="00F878CF"/>
    <w:rsid w:val="00F90DF8"/>
    <w:rsid w:val="00F936B2"/>
    <w:rsid w:val="00F95445"/>
    <w:rsid w:val="00FA6195"/>
    <w:rsid w:val="00FA65F2"/>
    <w:rsid w:val="00FB687B"/>
    <w:rsid w:val="00FC2A16"/>
    <w:rsid w:val="00FD3ABB"/>
    <w:rsid w:val="00FF3010"/>
    <w:rsid w:val="00FF5B0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uiPriority w:val="99"/>
    <w:semiHidden/>
    <w:pPr>
      <w:spacing w:line="240" w:lineRule="atLeast"/>
      <w:ind w:left="1298" w:hanging="1298"/>
    </w:pPr>
    <w:rPr>
      <w:sz w:val="16"/>
    </w:rPr>
  </w:style>
  <w:style w:type="character" w:styleId="Voetnootmarkering">
    <w:name w:val="footnote reference"/>
    <w:uiPriority w:val="99"/>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styleId="Onopgelostemelding">
    <w:name w:val="Unresolved Mention"/>
    <w:basedOn w:val="Standaardalinea-lettertype"/>
    <w:uiPriority w:val="99"/>
    <w:semiHidden/>
    <w:unhideWhenUsed/>
    <w:rsid w:val="00482439"/>
    <w:rPr>
      <w:color w:val="605E5C"/>
      <w:shd w:val="clear" w:color="auto" w:fill="E1DFDD"/>
    </w:rPr>
  </w:style>
  <w:style w:type="paragraph" w:styleId="Geenafstand">
    <w:name w:val="No Spacing"/>
    <w:link w:val="GeenafstandChar"/>
    <w:uiPriority w:val="1"/>
    <w:qFormat/>
    <w:rsid w:val="000B2BA7"/>
    <w:rPr>
      <w:sz w:val="22"/>
      <w:lang w:eastAsia="zh-CN"/>
    </w:rPr>
  </w:style>
  <w:style w:type="character" w:customStyle="1" w:styleId="TekstopmerkingChar">
    <w:name w:val="Tekst opmerking Char"/>
    <w:basedOn w:val="Standaardalinea-lettertype"/>
    <w:link w:val="Tekstopmerking"/>
    <w:uiPriority w:val="99"/>
    <w:rsid w:val="007700D5"/>
    <w:rPr>
      <w:lang w:eastAsia="zh-CN"/>
    </w:rPr>
  </w:style>
  <w:style w:type="character" w:customStyle="1" w:styleId="VoetnoottekstChar">
    <w:name w:val="Voetnoottekst Char"/>
    <w:basedOn w:val="Standaardalinea-lettertype"/>
    <w:link w:val="Voetnoottekst"/>
    <w:uiPriority w:val="99"/>
    <w:semiHidden/>
    <w:rsid w:val="00380AB4"/>
    <w:rPr>
      <w:sz w:val="16"/>
      <w:lang w:eastAsia="zh-CN"/>
    </w:rPr>
  </w:style>
  <w:style w:type="paragraph" w:styleId="Revisie">
    <w:name w:val="Revision"/>
    <w:hidden/>
    <w:uiPriority w:val="99"/>
    <w:semiHidden/>
    <w:rsid w:val="00EA0534"/>
    <w:rPr>
      <w:sz w:val="22"/>
      <w:lang w:eastAsia="zh-CN"/>
    </w:rPr>
  </w:style>
  <w:style w:type="character" w:customStyle="1" w:styleId="cf01">
    <w:name w:val="cf01"/>
    <w:basedOn w:val="Standaardalinea-lettertype"/>
    <w:rsid w:val="009E2E86"/>
    <w:rPr>
      <w:rFonts w:ascii="Segoe UI" w:hAnsi="Segoe UI" w:cs="Segoe UI" w:hint="default"/>
      <w:sz w:val="18"/>
      <w:szCs w:val="18"/>
    </w:rPr>
  </w:style>
  <w:style w:type="character" w:customStyle="1" w:styleId="GeenafstandChar">
    <w:name w:val="Geen afstand Char"/>
    <w:basedOn w:val="Standaardalinea-lettertype"/>
    <w:link w:val="Geenafstand"/>
    <w:uiPriority w:val="1"/>
    <w:rsid w:val="000E47E5"/>
    <w:rPr>
      <w:sz w:val="22"/>
      <w:lang w:eastAsia="zh-CN"/>
    </w:rPr>
  </w:style>
  <w:style w:type="paragraph" w:customStyle="1" w:styleId="pf0">
    <w:name w:val="pf0"/>
    <w:basedOn w:val="Standaard"/>
    <w:rsid w:val="00A1707D"/>
    <w:pPr>
      <w:spacing w:before="100" w:beforeAutospacing="1" w:after="100" w:afterAutospacing="1" w:line="240" w:lineRule="auto"/>
    </w:pPr>
    <w:rPr>
      <w:sz w:val="24"/>
      <w:szCs w:val="24"/>
      <w:lang w:eastAsia="nl-NL"/>
    </w:rPr>
  </w:style>
  <w:style w:type="character" w:customStyle="1" w:styleId="cf11">
    <w:name w:val="cf11"/>
    <w:basedOn w:val="Standaardalinea-lettertype"/>
    <w:rsid w:val="00A17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850">
      <w:bodyDiv w:val="1"/>
      <w:marLeft w:val="0"/>
      <w:marRight w:val="0"/>
      <w:marTop w:val="0"/>
      <w:marBottom w:val="0"/>
      <w:divBdr>
        <w:top w:val="none" w:sz="0" w:space="0" w:color="auto"/>
        <w:left w:val="none" w:sz="0" w:space="0" w:color="auto"/>
        <w:bottom w:val="none" w:sz="0" w:space="0" w:color="auto"/>
        <w:right w:val="none" w:sz="0" w:space="0" w:color="auto"/>
      </w:divBdr>
    </w:div>
    <w:div w:id="30031795">
      <w:bodyDiv w:val="1"/>
      <w:marLeft w:val="0"/>
      <w:marRight w:val="0"/>
      <w:marTop w:val="0"/>
      <w:marBottom w:val="0"/>
      <w:divBdr>
        <w:top w:val="none" w:sz="0" w:space="0" w:color="auto"/>
        <w:left w:val="none" w:sz="0" w:space="0" w:color="auto"/>
        <w:bottom w:val="none" w:sz="0" w:space="0" w:color="auto"/>
        <w:right w:val="none" w:sz="0" w:space="0" w:color="auto"/>
      </w:divBdr>
    </w:div>
    <w:div w:id="51927873">
      <w:bodyDiv w:val="1"/>
      <w:marLeft w:val="0"/>
      <w:marRight w:val="0"/>
      <w:marTop w:val="0"/>
      <w:marBottom w:val="0"/>
      <w:divBdr>
        <w:top w:val="none" w:sz="0" w:space="0" w:color="auto"/>
        <w:left w:val="none" w:sz="0" w:space="0" w:color="auto"/>
        <w:bottom w:val="none" w:sz="0" w:space="0" w:color="auto"/>
        <w:right w:val="none" w:sz="0" w:space="0" w:color="auto"/>
      </w:divBdr>
    </w:div>
    <w:div w:id="72971360">
      <w:bodyDiv w:val="1"/>
      <w:marLeft w:val="0"/>
      <w:marRight w:val="0"/>
      <w:marTop w:val="0"/>
      <w:marBottom w:val="0"/>
      <w:divBdr>
        <w:top w:val="none" w:sz="0" w:space="0" w:color="auto"/>
        <w:left w:val="none" w:sz="0" w:space="0" w:color="auto"/>
        <w:bottom w:val="none" w:sz="0" w:space="0" w:color="auto"/>
        <w:right w:val="none" w:sz="0" w:space="0" w:color="auto"/>
      </w:divBdr>
    </w:div>
    <w:div w:id="136192269">
      <w:bodyDiv w:val="1"/>
      <w:marLeft w:val="0"/>
      <w:marRight w:val="0"/>
      <w:marTop w:val="0"/>
      <w:marBottom w:val="0"/>
      <w:divBdr>
        <w:top w:val="none" w:sz="0" w:space="0" w:color="auto"/>
        <w:left w:val="none" w:sz="0" w:space="0" w:color="auto"/>
        <w:bottom w:val="none" w:sz="0" w:space="0" w:color="auto"/>
        <w:right w:val="none" w:sz="0" w:space="0" w:color="auto"/>
      </w:divBdr>
    </w:div>
    <w:div w:id="206988249">
      <w:bodyDiv w:val="1"/>
      <w:marLeft w:val="0"/>
      <w:marRight w:val="0"/>
      <w:marTop w:val="0"/>
      <w:marBottom w:val="0"/>
      <w:divBdr>
        <w:top w:val="none" w:sz="0" w:space="0" w:color="auto"/>
        <w:left w:val="none" w:sz="0" w:space="0" w:color="auto"/>
        <w:bottom w:val="none" w:sz="0" w:space="0" w:color="auto"/>
        <w:right w:val="none" w:sz="0" w:space="0" w:color="auto"/>
      </w:divBdr>
    </w:div>
    <w:div w:id="387146257">
      <w:bodyDiv w:val="1"/>
      <w:marLeft w:val="0"/>
      <w:marRight w:val="0"/>
      <w:marTop w:val="0"/>
      <w:marBottom w:val="0"/>
      <w:divBdr>
        <w:top w:val="none" w:sz="0" w:space="0" w:color="auto"/>
        <w:left w:val="none" w:sz="0" w:space="0" w:color="auto"/>
        <w:bottom w:val="none" w:sz="0" w:space="0" w:color="auto"/>
        <w:right w:val="none" w:sz="0" w:space="0" w:color="auto"/>
      </w:divBdr>
    </w:div>
    <w:div w:id="414254010">
      <w:bodyDiv w:val="1"/>
      <w:marLeft w:val="0"/>
      <w:marRight w:val="0"/>
      <w:marTop w:val="0"/>
      <w:marBottom w:val="0"/>
      <w:divBdr>
        <w:top w:val="none" w:sz="0" w:space="0" w:color="auto"/>
        <w:left w:val="none" w:sz="0" w:space="0" w:color="auto"/>
        <w:bottom w:val="none" w:sz="0" w:space="0" w:color="auto"/>
        <w:right w:val="none" w:sz="0" w:space="0" w:color="auto"/>
      </w:divBdr>
    </w:div>
    <w:div w:id="426509164">
      <w:bodyDiv w:val="1"/>
      <w:marLeft w:val="0"/>
      <w:marRight w:val="0"/>
      <w:marTop w:val="0"/>
      <w:marBottom w:val="0"/>
      <w:divBdr>
        <w:top w:val="none" w:sz="0" w:space="0" w:color="auto"/>
        <w:left w:val="none" w:sz="0" w:space="0" w:color="auto"/>
        <w:bottom w:val="none" w:sz="0" w:space="0" w:color="auto"/>
        <w:right w:val="none" w:sz="0" w:space="0" w:color="auto"/>
      </w:divBdr>
    </w:div>
    <w:div w:id="435053827">
      <w:bodyDiv w:val="1"/>
      <w:marLeft w:val="0"/>
      <w:marRight w:val="0"/>
      <w:marTop w:val="0"/>
      <w:marBottom w:val="0"/>
      <w:divBdr>
        <w:top w:val="none" w:sz="0" w:space="0" w:color="auto"/>
        <w:left w:val="none" w:sz="0" w:space="0" w:color="auto"/>
        <w:bottom w:val="none" w:sz="0" w:space="0" w:color="auto"/>
        <w:right w:val="none" w:sz="0" w:space="0" w:color="auto"/>
      </w:divBdr>
    </w:div>
    <w:div w:id="44435411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04976571">
      <w:bodyDiv w:val="1"/>
      <w:marLeft w:val="0"/>
      <w:marRight w:val="0"/>
      <w:marTop w:val="0"/>
      <w:marBottom w:val="0"/>
      <w:divBdr>
        <w:top w:val="none" w:sz="0" w:space="0" w:color="auto"/>
        <w:left w:val="none" w:sz="0" w:space="0" w:color="auto"/>
        <w:bottom w:val="none" w:sz="0" w:space="0" w:color="auto"/>
        <w:right w:val="none" w:sz="0" w:space="0" w:color="auto"/>
      </w:divBdr>
    </w:div>
    <w:div w:id="524563325">
      <w:bodyDiv w:val="1"/>
      <w:marLeft w:val="0"/>
      <w:marRight w:val="0"/>
      <w:marTop w:val="0"/>
      <w:marBottom w:val="0"/>
      <w:divBdr>
        <w:top w:val="none" w:sz="0" w:space="0" w:color="auto"/>
        <w:left w:val="none" w:sz="0" w:space="0" w:color="auto"/>
        <w:bottom w:val="none" w:sz="0" w:space="0" w:color="auto"/>
        <w:right w:val="none" w:sz="0" w:space="0" w:color="auto"/>
      </w:divBdr>
    </w:div>
    <w:div w:id="600651080">
      <w:bodyDiv w:val="1"/>
      <w:marLeft w:val="0"/>
      <w:marRight w:val="0"/>
      <w:marTop w:val="0"/>
      <w:marBottom w:val="0"/>
      <w:divBdr>
        <w:top w:val="none" w:sz="0" w:space="0" w:color="auto"/>
        <w:left w:val="none" w:sz="0" w:space="0" w:color="auto"/>
        <w:bottom w:val="none" w:sz="0" w:space="0" w:color="auto"/>
        <w:right w:val="none" w:sz="0" w:space="0" w:color="auto"/>
      </w:divBdr>
    </w:div>
    <w:div w:id="612057898">
      <w:bodyDiv w:val="1"/>
      <w:marLeft w:val="0"/>
      <w:marRight w:val="0"/>
      <w:marTop w:val="0"/>
      <w:marBottom w:val="0"/>
      <w:divBdr>
        <w:top w:val="none" w:sz="0" w:space="0" w:color="auto"/>
        <w:left w:val="none" w:sz="0" w:space="0" w:color="auto"/>
        <w:bottom w:val="none" w:sz="0" w:space="0" w:color="auto"/>
        <w:right w:val="none" w:sz="0" w:space="0" w:color="auto"/>
      </w:divBdr>
    </w:div>
    <w:div w:id="618071520">
      <w:bodyDiv w:val="1"/>
      <w:marLeft w:val="0"/>
      <w:marRight w:val="0"/>
      <w:marTop w:val="0"/>
      <w:marBottom w:val="0"/>
      <w:divBdr>
        <w:top w:val="none" w:sz="0" w:space="0" w:color="auto"/>
        <w:left w:val="none" w:sz="0" w:space="0" w:color="auto"/>
        <w:bottom w:val="none" w:sz="0" w:space="0" w:color="auto"/>
        <w:right w:val="none" w:sz="0" w:space="0" w:color="auto"/>
      </w:divBdr>
    </w:div>
    <w:div w:id="634482954">
      <w:bodyDiv w:val="1"/>
      <w:marLeft w:val="0"/>
      <w:marRight w:val="0"/>
      <w:marTop w:val="0"/>
      <w:marBottom w:val="0"/>
      <w:divBdr>
        <w:top w:val="none" w:sz="0" w:space="0" w:color="auto"/>
        <w:left w:val="none" w:sz="0" w:space="0" w:color="auto"/>
        <w:bottom w:val="none" w:sz="0" w:space="0" w:color="auto"/>
        <w:right w:val="none" w:sz="0" w:space="0" w:color="auto"/>
      </w:divBdr>
    </w:div>
    <w:div w:id="637076165">
      <w:bodyDiv w:val="1"/>
      <w:marLeft w:val="0"/>
      <w:marRight w:val="0"/>
      <w:marTop w:val="0"/>
      <w:marBottom w:val="0"/>
      <w:divBdr>
        <w:top w:val="none" w:sz="0" w:space="0" w:color="auto"/>
        <w:left w:val="none" w:sz="0" w:space="0" w:color="auto"/>
        <w:bottom w:val="none" w:sz="0" w:space="0" w:color="auto"/>
        <w:right w:val="none" w:sz="0" w:space="0" w:color="auto"/>
      </w:divBdr>
    </w:div>
    <w:div w:id="653678951">
      <w:bodyDiv w:val="1"/>
      <w:marLeft w:val="0"/>
      <w:marRight w:val="0"/>
      <w:marTop w:val="0"/>
      <w:marBottom w:val="0"/>
      <w:divBdr>
        <w:top w:val="none" w:sz="0" w:space="0" w:color="auto"/>
        <w:left w:val="none" w:sz="0" w:space="0" w:color="auto"/>
        <w:bottom w:val="none" w:sz="0" w:space="0" w:color="auto"/>
        <w:right w:val="none" w:sz="0" w:space="0" w:color="auto"/>
      </w:divBdr>
    </w:div>
    <w:div w:id="684671408">
      <w:bodyDiv w:val="1"/>
      <w:marLeft w:val="0"/>
      <w:marRight w:val="0"/>
      <w:marTop w:val="0"/>
      <w:marBottom w:val="0"/>
      <w:divBdr>
        <w:top w:val="none" w:sz="0" w:space="0" w:color="auto"/>
        <w:left w:val="none" w:sz="0" w:space="0" w:color="auto"/>
        <w:bottom w:val="none" w:sz="0" w:space="0" w:color="auto"/>
        <w:right w:val="none" w:sz="0" w:space="0" w:color="auto"/>
      </w:divBdr>
    </w:div>
    <w:div w:id="767196967">
      <w:bodyDiv w:val="1"/>
      <w:marLeft w:val="0"/>
      <w:marRight w:val="0"/>
      <w:marTop w:val="0"/>
      <w:marBottom w:val="0"/>
      <w:divBdr>
        <w:top w:val="none" w:sz="0" w:space="0" w:color="auto"/>
        <w:left w:val="none" w:sz="0" w:space="0" w:color="auto"/>
        <w:bottom w:val="none" w:sz="0" w:space="0" w:color="auto"/>
        <w:right w:val="none" w:sz="0" w:space="0" w:color="auto"/>
      </w:divBdr>
    </w:div>
    <w:div w:id="871573357">
      <w:bodyDiv w:val="1"/>
      <w:marLeft w:val="0"/>
      <w:marRight w:val="0"/>
      <w:marTop w:val="0"/>
      <w:marBottom w:val="0"/>
      <w:divBdr>
        <w:top w:val="none" w:sz="0" w:space="0" w:color="auto"/>
        <w:left w:val="none" w:sz="0" w:space="0" w:color="auto"/>
        <w:bottom w:val="none" w:sz="0" w:space="0" w:color="auto"/>
        <w:right w:val="none" w:sz="0" w:space="0" w:color="auto"/>
      </w:divBdr>
    </w:div>
    <w:div w:id="896167207">
      <w:bodyDiv w:val="1"/>
      <w:marLeft w:val="0"/>
      <w:marRight w:val="0"/>
      <w:marTop w:val="0"/>
      <w:marBottom w:val="0"/>
      <w:divBdr>
        <w:top w:val="none" w:sz="0" w:space="0" w:color="auto"/>
        <w:left w:val="none" w:sz="0" w:space="0" w:color="auto"/>
        <w:bottom w:val="none" w:sz="0" w:space="0" w:color="auto"/>
        <w:right w:val="none" w:sz="0" w:space="0" w:color="auto"/>
      </w:divBdr>
    </w:div>
    <w:div w:id="902328648">
      <w:bodyDiv w:val="1"/>
      <w:marLeft w:val="0"/>
      <w:marRight w:val="0"/>
      <w:marTop w:val="0"/>
      <w:marBottom w:val="0"/>
      <w:divBdr>
        <w:top w:val="none" w:sz="0" w:space="0" w:color="auto"/>
        <w:left w:val="none" w:sz="0" w:space="0" w:color="auto"/>
        <w:bottom w:val="none" w:sz="0" w:space="0" w:color="auto"/>
        <w:right w:val="none" w:sz="0" w:space="0" w:color="auto"/>
      </w:divBdr>
    </w:div>
    <w:div w:id="905267238">
      <w:bodyDiv w:val="1"/>
      <w:marLeft w:val="0"/>
      <w:marRight w:val="0"/>
      <w:marTop w:val="0"/>
      <w:marBottom w:val="0"/>
      <w:divBdr>
        <w:top w:val="none" w:sz="0" w:space="0" w:color="auto"/>
        <w:left w:val="none" w:sz="0" w:space="0" w:color="auto"/>
        <w:bottom w:val="none" w:sz="0" w:space="0" w:color="auto"/>
        <w:right w:val="none" w:sz="0" w:space="0" w:color="auto"/>
      </w:divBdr>
    </w:div>
    <w:div w:id="911426883">
      <w:bodyDiv w:val="1"/>
      <w:marLeft w:val="0"/>
      <w:marRight w:val="0"/>
      <w:marTop w:val="0"/>
      <w:marBottom w:val="0"/>
      <w:divBdr>
        <w:top w:val="none" w:sz="0" w:space="0" w:color="auto"/>
        <w:left w:val="none" w:sz="0" w:space="0" w:color="auto"/>
        <w:bottom w:val="none" w:sz="0" w:space="0" w:color="auto"/>
        <w:right w:val="none" w:sz="0" w:space="0" w:color="auto"/>
      </w:divBdr>
    </w:div>
    <w:div w:id="985940868">
      <w:bodyDiv w:val="1"/>
      <w:marLeft w:val="0"/>
      <w:marRight w:val="0"/>
      <w:marTop w:val="0"/>
      <w:marBottom w:val="0"/>
      <w:divBdr>
        <w:top w:val="none" w:sz="0" w:space="0" w:color="auto"/>
        <w:left w:val="none" w:sz="0" w:space="0" w:color="auto"/>
        <w:bottom w:val="none" w:sz="0" w:space="0" w:color="auto"/>
        <w:right w:val="none" w:sz="0" w:space="0" w:color="auto"/>
      </w:divBdr>
    </w:div>
    <w:div w:id="1080952016">
      <w:bodyDiv w:val="1"/>
      <w:marLeft w:val="0"/>
      <w:marRight w:val="0"/>
      <w:marTop w:val="0"/>
      <w:marBottom w:val="0"/>
      <w:divBdr>
        <w:top w:val="none" w:sz="0" w:space="0" w:color="auto"/>
        <w:left w:val="none" w:sz="0" w:space="0" w:color="auto"/>
        <w:bottom w:val="none" w:sz="0" w:space="0" w:color="auto"/>
        <w:right w:val="none" w:sz="0" w:space="0" w:color="auto"/>
      </w:divBdr>
    </w:div>
    <w:div w:id="1100760697">
      <w:bodyDiv w:val="1"/>
      <w:marLeft w:val="0"/>
      <w:marRight w:val="0"/>
      <w:marTop w:val="0"/>
      <w:marBottom w:val="0"/>
      <w:divBdr>
        <w:top w:val="none" w:sz="0" w:space="0" w:color="auto"/>
        <w:left w:val="none" w:sz="0" w:space="0" w:color="auto"/>
        <w:bottom w:val="none" w:sz="0" w:space="0" w:color="auto"/>
        <w:right w:val="none" w:sz="0" w:space="0" w:color="auto"/>
      </w:divBdr>
    </w:div>
    <w:div w:id="1140154562">
      <w:bodyDiv w:val="1"/>
      <w:marLeft w:val="0"/>
      <w:marRight w:val="0"/>
      <w:marTop w:val="0"/>
      <w:marBottom w:val="0"/>
      <w:divBdr>
        <w:top w:val="none" w:sz="0" w:space="0" w:color="auto"/>
        <w:left w:val="none" w:sz="0" w:space="0" w:color="auto"/>
        <w:bottom w:val="none" w:sz="0" w:space="0" w:color="auto"/>
        <w:right w:val="none" w:sz="0" w:space="0" w:color="auto"/>
      </w:divBdr>
    </w:div>
    <w:div w:id="1193768191">
      <w:bodyDiv w:val="1"/>
      <w:marLeft w:val="0"/>
      <w:marRight w:val="0"/>
      <w:marTop w:val="0"/>
      <w:marBottom w:val="0"/>
      <w:divBdr>
        <w:top w:val="none" w:sz="0" w:space="0" w:color="auto"/>
        <w:left w:val="none" w:sz="0" w:space="0" w:color="auto"/>
        <w:bottom w:val="none" w:sz="0" w:space="0" w:color="auto"/>
        <w:right w:val="none" w:sz="0" w:space="0" w:color="auto"/>
      </w:divBdr>
    </w:div>
    <w:div w:id="1247107474">
      <w:bodyDiv w:val="1"/>
      <w:marLeft w:val="0"/>
      <w:marRight w:val="0"/>
      <w:marTop w:val="0"/>
      <w:marBottom w:val="0"/>
      <w:divBdr>
        <w:top w:val="none" w:sz="0" w:space="0" w:color="auto"/>
        <w:left w:val="none" w:sz="0" w:space="0" w:color="auto"/>
        <w:bottom w:val="none" w:sz="0" w:space="0" w:color="auto"/>
        <w:right w:val="none" w:sz="0" w:space="0" w:color="auto"/>
      </w:divBdr>
    </w:div>
    <w:div w:id="1280188400">
      <w:bodyDiv w:val="1"/>
      <w:marLeft w:val="0"/>
      <w:marRight w:val="0"/>
      <w:marTop w:val="0"/>
      <w:marBottom w:val="0"/>
      <w:divBdr>
        <w:top w:val="none" w:sz="0" w:space="0" w:color="auto"/>
        <w:left w:val="none" w:sz="0" w:space="0" w:color="auto"/>
        <w:bottom w:val="none" w:sz="0" w:space="0" w:color="auto"/>
        <w:right w:val="none" w:sz="0" w:space="0" w:color="auto"/>
      </w:divBdr>
    </w:div>
    <w:div w:id="1287003671">
      <w:bodyDiv w:val="1"/>
      <w:marLeft w:val="0"/>
      <w:marRight w:val="0"/>
      <w:marTop w:val="0"/>
      <w:marBottom w:val="0"/>
      <w:divBdr>
        <w:top w:val="none" w:sz="0" w:space="0" w:color="auto"/>
        <w:left w:val="none" w:sz="0" w:space="0" w:color="auto"/>
        <w:bottom w:val="none" w:sz="0" w:space="0" w:color="auto"/>
        <w:right w:val="none" w:sz="0" w:space="0" w:color="auto"/>
      </w:divBdr>
    </w:div>
    <w:div w:id="1365056061">
      <w:bodyDiv w:val="1"/>
      <w:marLeft w:val="0"/>
      <w:marRight w:val="0"/>
      <w:marTop w:val="0"/>
      <w:marBottom w:val="0"/>
      <w:divBdr>
        <w:top w:val="none" w:sz="0" w:space="0" w:color="auto"/>
        <w:left w:val="none" w:sz="0" w:space="0" w:color="auto"/>
        <w:bottom w:val="none" w:sz="0" w:space="0" w:color="auto"/>
        <w:right w:val="none" w:sz="0" w:space="0" w:color="auto"/>
      </w:divBdr>
    </w:div>
    <w:div w:id="1373654912">
      <w:bodyDiv w:val="1"/>
      <w:marLeft w:val="0"/>
      <w:marRight w:val="0"/>
      <w:marTop w:val="0"/>
      <w:marBottom w:val="0"/>
      <w:divBdr>
        <w:top w:val="none" w:sz="0" w:space="0" w:color="auto"/>
        <w:left w:val="none" w:sz="0" w:space="0" w:color="auto"/>
        <w:bottom w:val="none" w:sz="0" w:space="0" w:color="auto"/>
        <w:right w:val="none" w:sz="0" w:space="0" w:color="auto"/>
      </w:divBdr>
    </w:div>
    <w:div w:id="1428892200">
      <w:bodyDiv w:val="1"/>
      <w:marLeft w:val="0"/>
      <w:marRight w:val="0"/>
      <w:marTop w:val="0"/>
      <w:marBottom w:val="0"/>
      <w:divBdr>
        <w:top w:val="none" w:sz="0" w:space="0" w:color="auto"/>
        <w:left w:val="none" w:sz="0" w:space="0" w:color="auto"/>
        <w:bottom w:val="none" w:sz="0" w:space="0" w:color="auto"/>
        <w:right w:val="none" w:sz="0" w:space="0" w:color="auto"/>
      </w:divBdr>
    </w:div>
    <w:div w:id="1469586850">
      <w:bodyDiv w:val="1"/>
      <w:marLeft w:val="0"/>
      <w:marRight w:val="0"/>
      <w:marTop w:val="0"/>
      <w:marBottom w:val="0"/>
      <w:divBdr>
        <w:top w:val="none" w:sz="0" w:space="0" w:color="auto"/>
        <w:left w:val="none" w:sz="0" w:space="0" w:color="auto"/>
        <w:bottom w:val="none" w:sz="0" w:space="0" w:color="auto"/>
        <w:right w:val="none" w:sz="0" w:space="0" w:color="auto"/>
      </w:divBdr>
    </w:div>
    <w:div w:id="1538003622">
      <w:bodyDiv w:val="1"/>
      <w:marLeft w:val="0"/>
      <w:marRight w:val="0"/>
      <w:marTop w:val="0"/>
      <w:marBottom w:val="0"/>
      <w:divBdr>
        <w:top w:val="none" w:sz="0" w:space="0" w:color="auto"/>
        <w:left w:val="none" w:sz="0" w:space="0" w:color="auto"/>
        <w:bottom w:val="none" w:sz="0" w:space="0" w:color="auto"/>
        <w:right w:val="none" w:sz="0" w:space="0" w:color="auto"/>
      </w:divBdr>
    </w:div>
    <w:div w:id="1597714436">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625967022">
      <w:bodyDiv w:val="1"/>
      <w:marLeft w:val="0"/>
      <w:marRight w:val="0"/>
      <w:marTop w:val="0"/>
      <w:marBottom w:val="0"/>
      <w:divBdr>
        <w:top w:val="none" w:sz="0" w:space="0" w:color="auto"/>
        <w:left w:val="none" w:sz="0" w:space="0" w:color="auto"/>
        <w:bottom w:val="none" w:sz="0" w:space="0" w:color="auto"/>
        <w:right w:val="none" w:sz="0" w:space="0" w:color="auto"/>
      </w:divBdr>
    </w:div>
    <w:div w:id="1637907269">
      <w:bodyDiv w:val="1"/>
      <w:marLeft w:val="0"/>
      <w:marRight w:val="0"/>
      <w:marTop w:val="0"/>
      <w:marBottom w:val="0"/>
      <w:divBdr>
        <w:top w:val="none" w:sz="0" w:space="0" w:color="auto"/>
        <w:left w:val="none" w:sz="0" w:space="0" w:color="auto"/>
        <w:bottom w:val="none" w:sz="0" w:space="0" w:color="auto"/>
        <w:right w:val="none" w:sz="0" w:space="0" w:color="auto"/>
      </w:divBdr>
    </w:div>
    <w:div w:id="1663655751">
      <w:bodyDiv w:val="1"/>
      <w:marLeft w:val="0"/>
      <w:marRight w:val="0"/>
      <w:marTop w:val="0"/>
      <w:marBottom w:val="0"/>
      <w:divBdr>
        <w:top w:val="none" w:sz="0" w:space="0" w:color="auto"/>
        <w:left w:val="none" w:sz="0" w:space="0" w:color="auto"/>
        <w:bottom w:val="none" w:sz="0" w:space="0" w:color="auto"/>
        <w:right w:val="none" w:sz="0" w:space="0" w:color="auto"/>
      </w:divBdr>
    </w:div>
    <w:div w:id="1680498443">
      <w:bodyDiv w:val="1"/>
      <w:marLeft w:val="0"/>
      <w:marRight w:val="0"/>
      <w:marTop w:val="0"/>
      <w:marBottom w:val="0"/>
      <w:divBdr>
        <w:top w:val="none" w:sz="0" w:space="0" w:color="auto"/>
        <w:left w:val="none" w:sz="0" w:space="0" w:color="auto"/>
        <w:bottom w:val="none" w:sz="0" w:space="0" w:color="auto"/>
        <w:right w:val="none" w:sz="0" w:space="0" w:color="auto"/>
      </w:divBdr>
    </w:div>
    <w:div w:id="1717702835">
      <w:bodyDiv w:val="1"/>
      <w:marLeft w:val="0"/>
      <w:marRight w:val="0"/>
      <w:marTop w:val="0"/>
      <w:marBottom w:val="0"/>
      <w:divBdr>
        <w:top w:val="none" w:sz="0" w:space="0" w:color="auto"/>
        <w:left w:val="none" w:sz="0" w:space="0" w:color="auto"/>
        <w:bottom w:val="none" w:sz="0" w:space="0" w:color="auto"/>
        <w:right w:val="none" w:sz="0" w:space="0" w:color="auto"/>
      </w:divBdr>
    </w:div>
    <w:div w:id="1825196260">
      <w:bodyDiv w:val="1"/>
      <w:marLeft w:val="0"/>
      <w:marRight w:val="0"/>
      <w:marTop w:val="0"/>
      <w:marBottom w:val="0"/>
      <w:divBdr>
        <w:top w:val="none" w:sz="0" w:space="0" w:color="auto"/>
        <w:left w:val="none" w:sz="0" w:space="0" w:color="auto"/>
        <w:bottom w:val="none" w:sz="0" w:space="0" w:color="auto"/>
        <w:right w:val="none" w:sz="0" w:space="0" w:color="auto"/>
      </w:divBdr>
    </w:div>
    <w:div w:id="1867206338">
      <w:bodyDiv w:val="1"/>
      <w:marLeft w:val="0"/>
      <w:marRight w:val="0"/>
      <w:marTop w:val="0"/>
      <w:marBottom w:val="0"/>
      <w:divBdr>
        <w:top w:val="none" w:sz="0" w:space="0" w:color="auto"/>
        <w:left w:val="none" w:sz="0" w:space="0" w:color="auto"/>
        <w:bottom w:val="none" w:sz="0" w:space="0" w:color="auto"/>
        <w:right w:val="none" w:sz="0" w:space="0" w:color="auto"/>
      </w:divBdr>
    </w:div>
    <w:div w:id="1887063454">
      <w:bodyDiv w:val="1"/>
      <w:marLeft w:val="0"/>
      <w:marRight w:val="0"/>
      <w:marTop w:val="0"/>
      <w:marBottom w:val="0"/>
      <w:divBdr>
        <w:top w:val="none" w:sz="0" w:space="0" w:color="auto"/>
        <w:left w:val="none" w:sz="0" w:space="0" w:color="auto"/>
        <w:bottom w:val="none" w:sz="0" w:space="0" w:color="auto"/>
        <w:right w:val="none" w:sz="0" w:space="0" w:color="auto"/>
      </w:divBdr>
    </w:div>
    <w:div w:id="1889952086">
      <w:bodyDiv w:val="1"/>
      <w:marLeft w:val="0"/>
      <w:marRight w:val="0"/>
      <w:marTop w:val="0"/>
      <w:marBottom w:val="0"/>
      <w:divBdr>
        <w:top w:val="none" w:sz="0" w:space="0" w:color="auto"/>
        <w:left w:val="none" w:sz="0" w:space="0" w:color="auto"/>
        <w:bottom w:val="none" w:sz="0" w:space="0" w:color="auto"/>
        <w:right w:val="none" w:sz="0" w:space="0" w:color="auto"/>
      </w:divBdr>
    </w:div>
    <w:div w:id="1915621172">
      <w:bodyDiv w:val="1"/>
      <w:marLeft w:val="0"/>
      <w:marRight w:val="0"/>
      <w:marTop w:val="0"/>
      <w:marBottom w:val="0"/>
      <w:divBdr>
        <w:top w:val="none" w:sz="0" w:space="0" w:color="auto"/>
        <w:left w:val="none" w:sz="0" w:space="0" w:color="auto"/>
        <w:bottom w:val="none" w:sz="0" w:space="0" w:color="auto"/>
        <w:right w:val="none" w:sz="0" w:space="0" w:color="auto"/>
      </w:divBdr>
    </w:div>
    <w:div w:id="2015257532">
      <w:bodyDiv w:val="1"/>
      <w:marLeft w:val="0"/>
      <w:marRight w:val="0"/>
      <w:marTop w:val="0"/>
      <w:marBottom w:val="0"/>
      <w:divBdr>
        <w:top w:val="none" w:sz="0" w:space="0" w:color="auto"/>
        <w:left w:val="none" w:sz="0" w:space="0" w:color="auto"/>
        <w:bottom w:val="none" w:sz="0" w:space="0" w:color="auto"/>
        <w:right w:val="none" w:sz="0" w:space="0" w:color="auto"/>
      </w:divBdr>
    </w:div>
    <w:div w:id="2035420688">
      <w:bodyDiv w:val="1"/>
      <w:marLeft w:val="0"/>
      <w:marRight w:val="0"/>
      <w:marTop w:val="0"/>
      <w:marBottom w:val="0"/>
      <w:divBdr>
        <w:top w:val="none" w:sz="0" w:space="0" w:color="auto"/>
        <w:left w:val="none" w:sz="0" w:space="0" w:color="auto"/>
        <w:bottom w:val="none" w:sz="0" w:space="0" w:color="auto"/>
        <w:right w:val="none" w:sz="0" w:space="0" w:color="auto"/>
      </w:divBdr>
    </w:div>
    <w:div w:id="2054688178">
      <w:bodyDiv w:val="1"/>
      <w:marLeft w:val="0"/>
      <w:marRight w:val="0"/>
      <w:marTop w:val="0"/>
      <w:marBottom w:val="0"/>
      <w:divBdr>
        <w:top w:val="none" w:sz="0" w:space="0" w:color="auto"/>
        <w:left w:val="none" w:sz="0" w:space="0" w:color="auto"/>
        <w:bottom w:val="none" w:sz="0" w:space="0" w:color="auto"/>
        <w:right w:val="none" w:sz="0" w:space="0" w:color="auto"/>
      </w:divBdr>
    </w:div>
    <w:div w:id="21300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6PC0013"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2/09/kamerbrief-actieprogramma-minder-druk-met-regels" TargetMode="External"/><Relationship Id="rId3" Type="http://schemas.openxmlformats.org/officeDocument/2006/relationships/hyperlink" Target="https://eur-lex.europa.eu/legal-content/EN/TXT/?uri=CELEX%3A52026PC0013" TargetMode="External"/><Relationship Id="rId7" Type="http://schemas.openxmlformats.org/officeDocument/2006/relationships/hyperlink" Target="https://www.nctv.nl/documenten/2022/10/10/nederlandse-cybersecuritystrategie-2022-2028" TargetMode="External"/><Relationship Id="rId2" Type="http://schemas.openxmlformats.org/officeDocument/2006/relationships/hyperlink" Target="https://www.rijksoverheid.nl/documenten/kamerstukken/2024/10/16/tk-gevolgen-niet-tijdige-implementatie-nis2-en-cer-richtlijn" TargetMode="External"/><Relationship Id="rId1" Type="http://schemas.openxmlformats.org/officeDocument/2006/relationships/hyperlink" Target="https://eur-lex.europa.eu/legal-content/EN/TXT/?uri=CELEX%3A52026PC0013" TargetMode="External"/><Relationship Id="rId6" Type="http://schemas.openxmlformats.org/officeDocument/2006/relationships/hyperlink" Target="https://eur-lex.europa.eu/legal-content/EN/TXT/?uri=CELEX%3A32024R2690&amp;qid=1729254262885" TargetMode="External"/><Relationship Id="rId5" Type="http://schemas.openxmlformats.org/officeDocument/2006/relationships/hyperlink" Target="https://eur-lex.europa.eu/legal-content/NL/ALL/?uri=CELEX:52025PC0847" TargetMode="External"/><Relationship Id="rId4" Type="http://schemas.openxmlformats.org/officeDocument/2006/relationships/hyperlink" Target="https://eur-lex.europa.eu/legal-content/NL/TXT/?uri=CELEX:32024L1788" TargetMode="External"/><Relationship Id="rId9" Type="http://schemas.openxmlformats.org/officeDocument/2006/relationships/hyperlink" Target="https://www.tweedekamer.nl/kamerstukken/detail?id=2025D46264&amp;did=2025D4626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7722</ap:Words>
  <ap:Characters>42473</ap:Characters>
  <ap:DocSecurity>0</ap:DocSecurity>
  <ap:Lines>353</ap:Lines>
  <ap:Paragraphs>100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50095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2026-03-04T11:25:00.0000000Z</lastPrinted>
  <dcterms:created xsi:type="dcterms:W3CDTF">2026-03-11T12:32:00.0000000Z</dcterms:created>
  <dcterms:modified xsi:type="dcterms:W3CDTF">2026-03-11T12:34:00.0000000Z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ClassificationContentMarkingFooterShapeIds">
    <vt:lpwstr>7f20711b,6a399d9d,1b9adcb5</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2026-02-17T20:43:55Z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3db3e2f7-1de9-4ec1-9f01-bc2b74c6d147</vt:lpwstr>
  </property>
  <property fmtid="{D5CDD505-2E9C-101B-9397-08002B2CF9AE}" pid="17" name="MSIP_Label_6800fede-0e59-47ad-af95-4e63bbdb932d_ContentBits">
    <vt:lpwstr>0</vt:lpwstr>
  </property>
  <property fmtid="{D5CDD505-2E9C-101B-9397-08002B2CF9AE}" pid="18" name="MSIP_Label_6800fede-0e59-47ad-af95-4e63bbdb932d_Tag">
    <vt:lpwstr>10, 3, 0, 1</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9681b16a-7967-402c-a494-e9d7bb516b7a</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https://247.plaza.buzaservices.nl/subject/PV-RK2026022026/BZ2625792/Fiche%202%20-%20Simplificatie%20NIS2.docx, </vt:lpwstr>
  </property>
  <property fmtid="{D5CDD505-2E9C-101B-9397-08002B2CF9AE}" pid="39" name="BZDossierBudgetManager">
    <vt:lpwstr/>
  </property>
  <property fmtid="{D5CDD505-2E9C-101B-9397-08002B2CF9AE}" pid="40" name="BZDossierSendTo">
    <vt:lpwstr/>
  </property>
  <property fmtid="{D5CDD505-2E9C-101B-9397-08002B2CF9AE}" pid="41" name="MediaServiceImageTags">
    <vt:lpwstr/>
  </property>
</Properties>
</file>