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2493" w:rsidR="009E2493" w:rsidP="009E2493" w:rsidRDefault="009E2493" w14:paraId="17948345" w14:textId="77777777">
      <w:pPr>
        <w:pStyle w:val="Geenafstand"/>
        <w:rPr>
          <w:rFonts w:ascii="Verdana" w:hAnsi="Verdana"/>
          <w:b/>
          <w:bCs/>
          <w:sz w:val="18"/>
          <w:szCs w:val="18"/>
        </w:rPr>
      </w:pPr>
      <w:r w:rsidRPr="009E2493">
        <w:rPr>
          <w:rFonts w:ascii="Verdana" w:hAnsi="Verdana"/>
          <w:b/>
          <w:bCs/>
          <w:sz w:val="18"/>
          <w:szCs w:val="18"/>
        </w:rPr>
        <w:t>2026Z03907</w:t>
      </w:r>
    </w:p>
    <w:p w:rsidRPr="009E2493" w:rsidR="009E2493" w:rsidP="009E2493" w:rsidRDefault="009E2493" w14:paraId="377CB925" w14:textId="77777777">
      <w:pPr>
        <w:pStyle w:val="Geenafstand"/>
        <w:rPr>
          <w:rFonts w:ascii="Verdana" w:hAnsi="Verdana"/>
          <w:sz w:val="18"/>
          <w:szCs w:val="18"/>
        </w:rPr>
      </w:pPr>
      <w:r w:rsidRPr="009E2493">
        <w:rPr>
          <w:rFonts w:ascii="Verdana" w:hAnsi="Verdana"/>
          <w:sz w:val="18"/>
          <w:szCs w:val="18"/>
        </w:rPr>
        <w:t>(ingezonden 27 februari 2026)</w:t>
      </w:r>
    </w:p>
    <w:p w:rsidR="006402D8" w:rsidP="006402D8" w:rsidRDefault="009E2493" w14:paraId="6BA34542" w14:textId="77777777">
      <w:pPr>
        <w:pStyle w:val="Geenafstand"/>
        <w:rPr>
          <w:rFonts w:ascii="Verdana" w:hAnsi="Verdana"/>
          <w:sz w:val="18"/>
          <w:szCs w:val="18"/>
        </w:rPr>
      </w:pPr>
      <w:r w:rsidRPr="009E2493">
        <w:rPr>
          <w:rFonts w:ascii="Verdana" w:hAnsi="Verdana"/>
          <w:sz w:val="18"/>
          <w:szCs w:val="18"/>
        </w:rPr>
        <w:t xml:space="preserve">Vragen van het lid </w:t>
      </w:r>
      <w:proofErr w:type="spellStart"/>
      <w:r w:rsidRPr="009E2493">
        <w:rPr>
          <w:rFonts w:ascii="Verdana" w:hAnsi="Verdana"/>
          <w:sz w:val="18"/>
          <w:szCs w:val="18"/>
        </w:rPr>
        <w:t>Patijn</w:t>
      </w:r>
      <w:proofErr w:type="spellEnd"/>
      <w:r w:rsidRPr="009E2493">
        <w:rPr>
          <w:rFonts w:ascii="Verdana" w:hAnsi="Verdana"/>
          <w:sz w:val="18"/>
          <w:szCs w:val="18"/>
        </w:rPr>
        <w:t xml:space="preserve"> (GroenLinks-PvdA) aan de minister van Sociale Zaken en Werkgelegenheid over de</w:t>
      </w:r>
      <w:r>
        <w:rPr>
          <w:rFonts w:ascii="Verdana" w:hAnsi="Verdana"/>
          <w:sz w:val="18"/>
          <w:szCs w:val="18"/>
        </w:rPr>
        <w:t xml:space="preserve"> </w:t>
      </w:r>
      <w:r w:rsidRPr="009E2493">
        <w:rPr>
          <w:rFonts w:ascii="Verdana" w:hAnsi="Verdana"/>
          <w:sz w:val="18"/>
          <w:szCs w:val="18"/>
        </w:rPr>
        <w:t xml:space="preserve">houdbaarheid van de AOW (Algemene </w:t>
      </w:r>
      <w:proofErr w:type="spellStart"/>
      <w:r w:rsidRPr="009E2493">
        <w:rPr>
          <w:rFonts w:ascii="Verdana" w:hAnsi="Verdana"/>
          <w:sz w:val="18"/>
          <w:szCs w:val="18"/>
        </w:rPr>
        <w:t>Oudersdomswet</w:t>
      </w:r>
      <w:proofErr w:type="spellEnd"/>
      <w:r w:rsidRPr="009E2493">
        <w:rPr>
          <w:rFonts w:ascii="Verdana" w:hAnsi="Verdana"/>
          <w:sz w:val="18"/>
          <w:szCs w:val="18"/>
        </w:rPr>
        <w:t>).</w:t>
      </w:r>
      <w:r>
        <w:rPr>
          <w:rFonts w:ascii="Verdana" w:hAnsi="Verdana"/>
          <w:sz w:val="18"/>
          <w:szCs w:val="18"/>
        </w:rPr>
        <w:br/>
      </w:r>
    </w:p>
    <w:p w:rsidRPr="003370E6" w:rsidR="009E2493" w:rsidP="009E2493" w:rsidRDefault="009E2493" w14:paraId="6FADEA38" w14:textId="57ADE623">
      <w:pPr>
        <w:pStyle w:val="Geenafstand"/>
        <w:rPr>
          <w:rFonts w:ascii="Verdana" w:hAnsi="Verdana"/>
          <w:b/>
          <w:bCs/>
          <w:sz w:val="18"/>
          <w:szCs w:val="18"/>
        </w:rPr>
      </w:pPr>
      <w:r w:rsidRPr="003370E6">
        <w:rPr>
          <w:rFonts w:ascii="Verdana" w:hAnsi="Verdana"/>
          <w:b/>
          <w:bCs/>
          <w:sz w:val="18"/>
          <w:szCs w:val="18"/>
        </w:rPr>
        <w:t>1. Kunt u onder elkaar zetten hoe groot de beroepsbevolking naar verwachting is ten opzichte van het aantal AOW’ers in 2033, 2040, 2050 en 2060, op basis van de huidige wetgeving en de meeste</w:t>
      </w:r>
      <w:r w:rsidR="003370E6">
        <w:rPr>
          <w:rFonts w:ascii="Verdana" w:hAnsi="Verdana"/>
          <w:b/>
          <w:bCs/>
          <w:sz w:val="18"/>
          <w:szCs w:val="18"/>
        </w:rPr>
        <w:t xml:space="preserve"> </w:t>
      </w:r>
      <w:r w:rsidRPr="003370E6">
        <w:rPr>
          <w:rFonts w:ascii="Verdana" w:hAnsi="Verdana"/>
          <w:b/>
          <w:bCs/>
          <w:sz w:val="18"/>
          <w:szCs w:val="18"/>
        </w:rPr>
        <w:t>recente bevolkingsprognose? Hoeveel werkenden zijn er naar verwachting in die jaren per AOW’er?</w:t>
      </w:r>
    </w:p>
    <w:p w:rsidR="006402D8" w:rsidP="006402D8" w:rsidRDefault="006402D8" w14:paraId="78FB62D4" w14:textId="77777777">
      <w:pPr>
        <w:pStyle w:val="Geenafstand"/>
        <w:rPr>
          <w:rFonts w:ascii="Verdana" w:hAnsi="Verdana"/>
          <w:sz w:val="18"/>
          <w:szCs w:val="18"/>
        </w:rPr>
      </w:pPr>
    </w:p>
    <w:p w:rsidR="005F0790" w:rsidP="005F0790" w:rsidRDefault="005F0790" w14:paraId="608E01FB" w14:textId="77777777">
      <w:pPr>
        <w:pStyle w:val="Geenafstand"/>
        <w:rPr>
          <w:rFonts w:ascii="Verdana" w:hAnsi="Verdana"/>
          <w:sz w:val="18"/>
          <w:szCs w:val="18"/>
        </w:rPr>
      </w:pPr>
      <w:r>
        <w:rPr>
          <w:rFonts w:ascii="Verdana" w:hAnsi="Verdana"/>
          <w:sz w:val="18"/>
          <w:szCs w:val="18"/>
        </w:rPr>
        <w:t>Onderstaande figuur geeft de verwachte AOW-druk uit het afgelopen rapport van de Studiegroep Begrotingsruimte weer.</w:t>
      </w:r>
      <w:r>
        <w:rPr>
          <w:rStyle w:val="Voetnootmarkering"/>
          <w:rFonts w:ascii="Verdana" w:hAnsi="Verdana"/>
          <w:sz w:val="18"/>
          <w:szCs w:val="18"/>
        </w:rPr>
        <w:footnoteReference w:id="1"/>
      </w:r>
      <w:r>
        <w:rPr>
          <w:rFonts w:ascii="Verdana" w:hAnsi="Verdana"/>
          <w:sz w:val="18"/>
          <w:szCs w:val="18"/>
        </w:rPr>
        <w:t xml:space="preserve"> Die laat zien dat de AOW-druk per 2033 ongeveer 35% is. In 2040, 2050 en 2060 is dat respectievelijk ongeveer 37%, 35% en 34%. De AOW-druk wordt berekend op basis van de bevolkingsprognose. Dat is het aantal mensen in werkzame leeftijd (vanaf 20 tot AOW-leeftijd) ten opzichte van het aantal mensen boven de AOW-leeftijd in Nederland. De AOW-gerechtigden die in het buitenland wonen worden hierin dus niet meegerekend.</w:t>
      </w:r>
    </w:p>
    <w:p w:rsidR="006402D8" w:rsidP="006402D8" w:rsidRDefault="006402D8" w14:paraId="53C94839" w14:textId="77777777">
      <w:pPr>
        <w:pStyle w:val="Geenafstand"/>
        <w:rPr>
          <w:rFonts w:ascii="Verdana" w:hAnsi="Verdana"/>
          <w:sz w:val="18"/>
          <w:szCs w:val="18"/>
        </w:rPr>
      </w:pPr>
      <w:r w:rsidRPr="0065010F">
        <w:rPr>
          <w:rFonts w:ascii="Verdana" w:hAnsi="Verdana"/>
          <w:noProof/>
          <w:sz w:val="18"/>
          <w:szCs w:val="18"/>
        </w:rPr>
        <w:drawing>
          <wp:inline distT="0" distB="0" distL="0" distR="0" wp14:anchorId="60C9BDC2" wp14:editId="3681A37A">
            <wp:extent cx="4239217" cy="2572109"/>
            <wp:effectExtent l="0" t="0" r="9525" b="0"/>
            <wp:docPr id="10330305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0554" name=""/>
                    <pic:cNvPicPr/>
                  </pic:nvPicPr>
                  <pic:blipFill>
                    <a:blip r:embed="rId7"/>
                    <a:stretch>
                      <a:fillRect/>
                    </a:stretch>
                  </pic:blipFill>
                  <pic:spPr>
                    <a:xfrm>
                      <a:off x="0" y="0"/>
                      <a:ext cx="4239217" cy="2572109"/>
                    </a:xfrm>
                    <a:prstGeom prst="rect">
                      <a:avLst/>
                    </a:prstGeom>
                  </pic:spPr>
                </pic:pic>
              </a:graphicData>
            </a:graphic>
          </wp:inline>
        </w:drawing>
      </w:r>
    </w:p>
    <w:p w:rsidRPr="003A571D" w:rsidR="006402D8" w:rsidP="006402D8" w:rsidRDefault="006402D8" w14:paraId="6BE49742" w14:textId="77777777">
      <w:pPr>
        <w:pStyle w:val="Geenafstand"/>
        <w:rPr>
          <w:rFonts w:ascii="Verdana" w:hAnsi="Verdana"/>
          <w:sz w:val="18"/>
          <w:szCs w:val="18"/>
        </w:rPr>
      </w:pPr>
    </w:p>
    <w:tbl>
      <w:tblPr>
        <w:tblW w:w="8260" w:type="dxa"/>
        <w:tblInd w:w="-3" w:type="dxa"/>
        <w:tblBorders>
          <w:top w:val="single" w:color="auto" w:sz="8" w:space="0"/>
          <w:left w:val="single" w:color="auto" w:sz="8" w:space="0"/>
          <w:bottom w:val="single" w:color="auto" w:sz="4" w:space="0"/>
          <w:right w:val="single" w:color="auto" w:sz="8" w:space="0"/>
        </w:tblBorders>
        <w:tblCellMar>
          <w:left w:w="0" w:type="dxa"/>
          <w:right w:w="0" w:type="dxa"/>
        </w:tblCellMar>
        <w:tblLook w:val="04A0" w:firstRow="1" w:lastRow="0" w:firstColumn="1" w:lastColumn="0" w:noHBand="0" w:noVBand="1"/>
      </w:tblPr>
      <w:tblGrid>
        <w:gridCol w:w="3976"/>
        <w:gridCol w:w="204"/>
        <w:gridCol w:w="1020"/>
        <w:gridCol w:w="1020"/>
        <w:gridCol w:w="1020"/>
        <w:gridCol w:w="1020"/>
      </w:tblGrid>
      <w:tr w:rsidRPr="001E462B" w:rsidR="006402D8" w:rsidTr="00B40883" w14:paraId="434AAF60" w14:textId="77777777">
        <w:trPr>
          <w:trHeight w:val="285"/>
        </w:trPr>
        <w:tc>
          <w:tcPr>
            <w:tcW w:w="4180" w:type="dxa"/>
            <w:gridSpan w:val="2"/>
            <w:shd w:val="clear" w:color="auto" w:fill="000000" w:themeFill="text1"/>
            <w:noWrap/>
            <w:tcMar>
              <w:top w:w="0" w:type="dxa"/>
              <w:left w:w="70" w:type="dxa"/>
              <w:bottom w:w="0" w:type="dxa"/>
              <w:right w:w="70" w:type="dxa"/>
            </w:tcMar>
            <w:vAlign w:val="bottom"/>
            <w:hideMark/>
          </w:tcPr>
          <w:p w:rsidRPr="007301FE" w:rsidR="006402D8" w:rsidP="00383F7C" w:rsidRDefault="006402D8" w14:paraId="3B8BB60A" w14:textId="77777777">
            <w:pPr>
              <w:pStyle w:val="Geenafstand"/>
              <w:rPr>
                <w:rFonts w:ascii="Verdana" w:hAnsi="Verdana"/>
                <w:color w:val="FFFFFF" w:themeColor="background1"/>
                <w:sz w:val="18"/>
                <w:szCs w:val="18"/>
              </w:rPr>
            </w:pPr>
            <w:r w:rsidRPr="007301FE">
              <w:rPr>
                <w:rFonts w:ascii="Verdana" w:hAnsi="Verdana"/>
                <w:color w:val="FFFFFF" w:themeColor="background1"/>
                <w:sz w:val="18"/>
                <w:szCs w:val="18"/>
              </w:rPr>
              <w:t xml:space="preserve">(x 1.000 personen, jaargemiddelde) </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79D3693B"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2033</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3E790734"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2040</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441618A7"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2050</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1EBC9271"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2060</w:t>
            </w:r>
          </w:p>
        </w:tc>
      </w:tr>
      <w:tr w:rsidRPr="001E462B" w:rsidR="006402D8" w:rsidTr="00B40883" w14:paraId="749420DA" w14:textId="77777777">
        <w:trPr>
          <w:trHeight w:val="285"/>
        </w:trPr>
        <w:tc>
          <w:tcPr>
            <w:tcW w:w="3976" w:type="dxa"/>
            <w:noWrap/>
            <w:tcMar>
              <w:top w:w="0" w:type="dxa"/>
              <w:left w:w="70" w:type="dxa"/>
              <w:bottom w:w="0" w:type="dxa"/>
              <w:right w:w="70" w:type="dxa"/>
            </w:tcMar>
            <w:vAlign w:val="bottom"/>
            <w:hideMark/>
          </w:tcPr>
          <w:p w:rsidRPr="001E462B" w:rsidR="006402D8" w:rsidP="00383F7C" w:rsidRDefault="006402D8" w14:paraId="2336C3CD" w14:textId="77777777">
            <w:pPr>
              <w:pStyle w:val="Geenafstand"/>
              <w:rPr>
                <w:rFonts w:ascii="Verdana" w:hAnsi="Verdana"/>
                <w:sz w:val="18"/>
                <w:szCs w:val="18"/>
              </w:rPr>
            </w:pPr>
            <w:r>
              <w:rPr>
                <w:rFonts w:ascii="Verdana" w:hAnsi="Verdana"/>
                <w:sz w:val="18"/>
                <w:szCs w:val="18"/>
              </w:rPr>
              <w:t>A</w:t>
            </w:r>
            <w:r w:rsidRPr="001E462B">
              <w:rPr>
                <w:rFonts w:ascii="Verdana" w:hAnsi="Verdana"/>
                <w:sz w:val="18"/>
                <w:szCs w:val="18"/>
              </w:rPr>
              <w:t xml:space="preserve">antal </w:t>
            </w:r>
            <w:r>
              <w:rPr>
                <w:rFonts w:ascii="Verdana" w:hAnsi="Verdana"/>
                <w:sz w:val="18"/>
                <w:szCs w:val="18"/>
              </w:rPr>
              <w:t xml:space="preserve">personen in Nederland boven </w:t>
            </w:r>
            <w:r w:rsidRPr="001E462B">
              <w:rPr>
                <w:rFonts w:ascii="Verdana" w:hAnsi="Verdana"/>
                <w:sz w:val="18"/>
                <w:szCs w:val="18"/>
              </w:rPr>
              <w:t>AOW-</w:t>
            </w:r>
            <w:r>
              <w:rPr>
                <w:rFonts w:ascii="Verdana" w:hAnsi="Verdana"/>
                <w:sz w:val="18"/>
                <w:szCs w:val="18"/>
              </w:rPr>
              <w:t>leeftijd</w:t>
            </w:r>
            <w:r w:rsidRPr="001E462B">
              <w:rPr>
                <w:rFonts w:ascii="Verdana" w:hAnsi="Verdana"/>
                <w:sz w:val="18"/>
                <w:szCs w:val="18"/>
              </w:rPr>
              <w:t xml:space="preserve"> </w:t>
            </w:r>
          </w:p>
        </w:tc>
        <w:tc>
          <w:tcPr>
            <w:tcW w:w="204" w:type="dxa"/>
            <w:noWrap/>
            <w:tcMar>
              <w:top w:w="0" w:type="dxa"/>
              <w:left w:w="70" w:type="dxa"/>
              <w:bottom w:w="0" w:type="dxa"/>
              <w:right w:w="70" w:type="dxa"/>
            </w:tcMar>
            <w:vAlign w:val="bottom"/>
            <w:hideMark/>
          </w:tcPr>
          <w:p w:rsidRPr="001E462B" w:rsidR="006402D8" w:rsidP="00383F7C" w:rsidRDefault="006402D8" w14:paraId="070265B8" w14:textId="77777777">
            <w:pPr>
              <w:pStyle w:val="Geenafstand"/>
              <w:rPr>
                <w:rFonts w:ascii="Verdana" w:hAnsi="Verdana"/>
                <w:sz w:val="18"/>
                <w:szCs w:val="18"/>
              </w:rPr>
            </w:pPr>
            <w:r w:rsidRPr="001E462B">
              <w:rPr>
                <w:rFonts w:ascii="Verdana" w:hAnsi="Verdana"/>
                <w:sz w:val="18"/>
                <w:szCs w:val="18"/>
              </w:rPr>
              <w:t> </w:t>
            </w:r>
          </w:p>
        </w:tc>
        <w:tc>
          <w:tcPr>
            <w:tcW w:w="1020" w:type="dxa"/>
            <w:noWrap/>
            <w:tcMar>
              <w:top w:w="0" w:type="dxa"/>
              <w:left w:w="70" w:type="dxa"/>
              <w:bottom w:w="0" w:type="dxa"/>
              <w:right w:w="70" w:type="dxa"/>
            </w:tcMar>
            <w:vAlign w:val="bottom"/>
            <w:hideMark/>
          </w:tcPr>
          <w:p w:rsidRPr="001E462B" w:rsidR="006402D8" w:rsidP="00383F7C" w:rsidRDefault="006402D8" w14:paraId="0204F9F2" w14:textId="77777777">
            <w:pPr>
              <w:pStyle w:val="Geenafstand"/>
              <w:rPr>
                <w:rFonts w:ascii="Verdana" w:hAnsi="Verdana"/>
                <w:sz w:val="18"/>
                <w:szCs w:val="18"/>
              </w:rPr>
            </w:pPr>
            <w:r>
              <w:rPr>
                <w:rFonts w:ascii="Verdana" w:hAnsi="Verdana"/>
                <w:sz w:val="18"/>
                <w:szCs w:val="18"/>
              </w:rPr>
              <w:t>3.870</w:t>
            </w:r>
          </w:p>
        </w:tc>
        <w:tc>
          <w:tcPr>
            <w:tcW w:w="1020" w:type="dxa"/>
            <w:noWrap/>
            <w:tcMar>
              <w:top w:w="0" w:type="dxa"/>
              <w:left w:w="70" w:type="dxa"/>
              <w:bottom w:w="0" w:type="dxa"/>
              <w:right w:w="70" w:type="dxa"/>
            </w:tcMar>
            <w:vAlign w:val="bottom"/>
            <w:hideMark/>
          </w:tcPr>
          <w:p w:rsidRPr="001E462B" w:rsidR="006402D8" w:rsidP="00383F7C" w:rsidRDefault="006402D8" w14:paraId="13F571F0" w14:textId="77777777">
            <w:pPr>
              <w:pStyle w:val="Geenafstand"/>
              <w:rPr>
                <w:rFonts w:ascii="Verdana" w:hAnsi="Verdana"/>
                <w:sz w:val="18"/>
                <w:szCs w:val="18"/>
              </w:rPr>
            </w:pPr>
            <w:r>
              <w:rPr>
                <w:rFonts w:ascii="Verdana" w:hAnsi="Verdana"/>
                <w:sz w:val="18"/>
                <w:szCs w:val="18"/>
              </w:rPr>
              <w:t>4.135</w:t>
            </w:r>
          </w:p>
        </w:tc>
        <w:tc>
          <w:tcPr>
            <w:tcW w:w="1020" w:type="dxa"/>
            <w:noWrap/>
            <w:tcMar>
              <w:top w:w="0" w:type="dxa"/>
              <w:left w:w="70" w:type="dxa"/>
              <w:bottom w:w="0" w:type="dxa"/>
              <w:right w:w="70" w:type="dxa"/>
            </w:tcMar>
            <w:vAlign w:val="bottom"/>
            <w:hideMark/>
          </w:tcPr>
          <w:p w:rsidRPr="001E462B" w:rsidR="006402D8" w:rsidP="00383F7C" w:rsidRDefault="006402D8" w14:paraId="4A20C06F" w14:textId="77777777">
            <w:pPr>
              <w:pStyle w:val="Geenafstand"/>
              <w:rPr>
                <w:rFonts w:ascii="Verdana" w:hAnsi="Verdana"/>
                <w:sz w:val="18"/>
                <w:szCs w:val="18"/>
              </w:rPr>
            </w:pPr>
            <w:r>
              <w:rPr>
                <w:rFonts w:ascii="Verdana" w:hAnsi="Verdana"/>
                <w:sz w:val="18"/>
                <w:szCs w:val="18"/>
              </w:rPr>
              <w:t>4.064</w:t>
            </w:r>
          </w:p>
        </w:tc>
        <w:tc>
          <w:tcPr>
            <w:tcW w:w="1020" w:type="dxa"/>
            <w:noWrap/>
            <w:tcMar>
              <w:top w:w="0" w:type="dxa"/>
              <w:left w:w="70" w:type="dxa"/>
              <w:bottom w:w="0" w:type="dxa"/>
              <w:right w:w="70" w:type="dxa"/>
            </w:tcMar>
            <w:vAlign w:val="bottom"/>
            <w:hideMark/>
          </w:tcPr>
          <w:p w:rsidRPr="001E462B" w:rsidR="006402D8" w:rsidP="00383F7C" w:rsidRDefault="006402D8" w14:paraId="65832E4D" w14:textId="77777777">
            <w:pPr>
              <w:pStyle w:val="Geenafstand"/>
              <w:rPr>
                <w:rFonts w:ascii="Verdana" w:hAnsi="Verdana"/>
                <w:sz w:val="18"/>
                <w:szCs w:val="18"/>
              </w:rPr>
            </w:pPr>
            <w:r>
              <w:rPr>
                <w:rFonts w:ascii="Verdana" w:hAnsi="Verdana"/>
                <w:sz w:val="18"/>
                <w:szCs w:val="18"/>
              </w:rPr>
              <w:t>4.032</w:t>
            </w:r>
          </w:p>
        </w:tc>
      </w:tr>
      <w:tr w:rsidRPr="001E462B" w:rsidR="006402D8" w:rsidTr="00B40883" w14:paraId="6C72B18D" w14:textId="77777777">
        <w:trPr>
          <w:trHeight w:val="285"/>
        </w:trPr>
        <w:tc>
          <w:tcPr>
            <w:tcW w:w="3976" w:type="dxa"/>
            <w:noWrap/>
            <w:tcMar>
              <w:top w:w="0" w:type="dxa"/>
              <w:left w:w="70" w:type="dxa"/>
              <w:bottom w:w="0" w:type="dxa"/>
              <w:right w:w="70" w:type="dxa"/>
            </w:tcMar>
            <w:vAlign w:val="bottom"/>
          </w:tcPr>
          <w:p w:rsidRPr="001E462B" w:rsidR="006402D8" w:rsidP="00383F7C" w:rsidRDefault="006402D8" w14:paraId="71BD4613" w14:textId="77777777">
            <w:pPr>
              <w:pStyle w:val="Geenafstand"/>
              <w:rPr>
                <w:rFonts w:ascii="Verdana" w:hAnsi="Verdana"/>
                <w:sz w:val="18"/>
                <w:szCs w:val="18"/>
              </w:rPr>
            </w:pPr>
            <w:r>
              <w:rPr>
                <w:rFonts w:ascii="Verdana" w:hAnsi="Verdana"/>
                <w:sz w:val="18"/>
                <w:szCs w:val="18"/>
              </w:rPr>
              <w:t xml:space="preserve">Aantal personen in Nederland van 20 jaar tot AOW-leeftijd </w:t>
            </w:r>
          </w:p>
        </w:tc>
        <w:tc>
          <w:tcPr>
            <w:tcW w:w="204" w:type="dxa"/>
            <w:noWrap/>
            <w:tcMar>
              <w:top w:w="0" w:type="dxa"/>
              <w:left w:w="70" w:type="dxa"/>
              <w:bottom w:w="0" w:type="dxa"/>
              <w:right w:w="70" w:type="dxa"/>
            </w:tcMar>
            <w:vAlign w:val="bottom"/>
          </w:tcPr>
          <w:p w:rsidRPr="001E462B" w:rsidR="006402D8" w:rsidP="00383F7C" w:rsidRDefault="006402D8" w14:paraId="053642EA" w14:textId="77777777">
            <w:pPr>
              <w:pStyle w:val="Geenafstand"/>
              <w:rPr>
                <w:rFonts w:ascii="Verdana" w:hAnsi="Verdana"/>
                <w:sz w:val="18"/>
                <w:szCs w:val="18"/>
              </w:rPr>
            </w:pPr>
          </w:p>
        </w:tc>
        <w:tc>
          <w:tcPr>
            <w:tcW w:w="1020" w:type="dxa"/>
            <w:noWrap/>
            <w:tcMar>
              <w:top w:w="0" w:type="dxa"/>
              <w:left w:w="70" w:type="dxa"/>
              <w:bottom w:w="0" w:type="dxa"/>
              <w:right w:w="70" w:type="dxa"/>
            </w:tcMar>
            <w:vAlign w:val="bottom"/>
          </w:tcPr>
          <w:p w:rsidRPr="001E462B" w:rsidR="006402D8" w:rsidP="00383F7C" w:rsidRDefault="006402D8" w14:paraId="0DB1AFCD" w14:textId="77777777">
            <w:pPr>
              <w:pStyle w:val="Geenafstand"/>
              <w:rPr>
                <w:rFonts w:ascii="Verdana" w:hAnsi="Verdana"/>
                <w:sz w:val="18"/>
                <w:szCs w:val="18"/>
              </w:rPr>
            </w:pPr>
            <w:r>
              <w:rPr>
                <w:rFonts w:ascii="Verdana" w:hAnsi="Verdana"/>
                <w:sz w:val="18"/>
                <w:szCs w:val="18"/>
              </w:rPr>
              <w:t>11.147</w:t>
            </w:r>
          </w:p>
        </w:tc>
        <w:tc>
          <w:tcPr>
            <w:tcW w:w="1020" w:type="dxa"/>
            <w:noWrap/>
            <w:tcMar>
              <w:top w:w="0" w:type="dxa"/>
              <w:left w:w="70" w:type="dxa"/>
              <w:bottom w:w="0" w:type="dxa"/>
              <w:right w:w="70" w:type="dxa"/>
            </w:tcMar>
            <w:vAlign w:val="bottom"/>
          </w:tcPr>
          <w:p w:rsidRPr="001E462B" w:rsidR="006402D8" w:rsidP="00383F7C" w:rsidRDefault="006402D8" w14:paraId="74B20610" w14:textId="77777777">
            <w:pPr>
              <w:pStyle w:val="Geenafstand"/>
              <w:rPr>
                <w:rFonts w:ascii="Verdana" w:hAnsi="Verdana"/>
                <w:sz w:val="18"/>
                <w:szCs w:val="18"/>
              </w:rPr>
            </w:pPr>
            <w:r>
              <w:rPr>
                <w:rFonts w:ascii="Verdana" w:hAnsi="Verdana"/>
                <w:sz w:val="18"/>
                <w:szCs w:val="18"/>
              </w:rPr>
              <w:t>11.222</w:t>
            </w:r>
          </w:p>
        </w:tc>
        <w:tc>
          <w:tcPr>
            <w:tcW w:w="1020" w:type="dxa"/>
            <w:noWrap/>
            <w:tcMar>
              <w:top w:w="0" w:type="dxa"/>
              <w:left w:w="70" w:type="dxa"/>
              <w:bottom w:w="0" w:type="dxa"/>
              <w:right w:w="70" w:type="dxa"/>
            </w:tcMar>
            <w:vAlign w:val="bottom"/>
          </w:tcPr>
          <w:p w:rsidRPr="001E462B" w:rsidR="006402D8" w:rsidP="00383F7C" w:rsidRDefault="006402D8" w14:paraId="6C9F95A9" w14:textId="77777777">
            <w:pPr>
              <w:pStyle w:val="Geenafstand"/>
              <w:rPr>
                <w:rFonts w:ascii="Verdana" w:hAnsi="Verdana"/>
                <w:sz w:val="18"/>
                <w:szCs w:val="18"/>
              </w:rPr>
            </w:pPr>
            <w:r>
              <w:rPr>
                <w:rFonts w:ascii="Verdana" w:hAnsi="Verdana"/>
                <w:sz w:val="18"/>
                <w:szCs w:val="18"/>
              </w:rPr>
              <w:t>11.576</w:t>
            </w:r>
          </w:p>
        </w:tc>
        <w:tc>
          <w:tcPr>
            <w:tcW w:w="1020" w:type="dxa"/>
            <w:noWrap/>
            <w:tcMar>
              <w:top w:w="0" w:type="dxa"/>
              <w:left w:w="70" w:type="dxa"/>
              <w:bottom w:w="0" w:type="dxa"/>
              <w:right w:w="70" w:type="dxa"/>
            </w:tcMar>
            <w:vAlign w:val="bottom"/>
          </w:tcPr>
          <w:p w:rsidRPr="001E462B" w:rsidR="006402D8" w:rsidP="00383F7C" w:rsidRDefault="006402D8" w14:paraId="413D6C5B" w14:textId="77777777">
            <w:pPr>
              <w:pStyle w:val="Geenafstand"/>
              <w:rPr>
                <w:rFonts w:ascii="Verdana" w:hAnsi="Verdana"/>
                <w:sz w:val="18"/>
                <w:szCs w:val="18"/>
              </w:rPr>
            </w:pPr>
            <w:r>
              <w:rPr>
                <w:rFonts w:ascii="Verdana" w:hAnsi="Verdana"/>
                <w:sz w:val="18"/>
                <w:szCs w:val="18"/>
              </w:rPr>
              <w:t>12.013</w:t>
            </w:r>
          </w:p>
        </w:tc>
      </w:tr>
    </w:tbl>
    <w:p w:rsidR="006402D8" w:rsidP="006402D8" w:rsidRDefault="006402D8" w14:paraId="3FE57517" w14:textId="77777777">
      <w:pPr>
        <w:pStyle w:val="Geenafstand"/>
        <w:rPr>
          <w:rFonts w:ascii="Verdana" w:hAnsi="Verdana"/>
          <w:b/>
          <w:bCs/>
          <w:sz w:val="18"/>
          <w:szCs w:val="18"/>
        </w:rPr>
      </w:pPr>
    </w:p>
    <w:p w:rsidR="00FE40D2" w:rsidP="00FE40D2" w:rsidRDefault="00FE40D2" w14:paraId="596BFD45" w14:textId="77777777">
      <w:pPr>
        <w:pStyle w:val="Geenafstand"/>
        <w:rPr>
          <w:rFonts w:ascii="Verdana" w:hAnsi="Verdana"/>
          <w:b/>
          <w:bCs/>
          <w:sz w:val="18"/>
          <w:szCs w:val="18"/>
        </w:rPr>
      </w:pPr>
    </w:p>
    <w:p w:rsidR="00022F4A" w:rsidP="009E2493" w:rsidRDefault="00022F4A" w14:paraId="47DD49EB" w14:textId="77777777">
      <w:pPr>
        <w:pStyle w:val="Geenafstand"/>
        <w:rPr>
          <w:rFonts w:ascii="Verdana" w:hAnsi="Verdana"/>
          <w:b/>
          <w:bCs/>
          <w:sz w:val="18"/>
          <w:szCs w:val="18"/>
        </w:rPr>
      </w:pPr>
    </w:p>
    <w:p w:rsidR="009E2493" w:rsidP="009E2493" w:rsidRDefault="009E2493" w14:paraId="32CF438A" w14:textId="7781C130">
      <w:pPr>
        <w:pStyle w:val="Geenafstand"/>
        <w:rPr>
          <w:rFonts w:ascii="Verdana" w:hAnsi="Verdana"/>
          <w:b/>
          <w:bCs/>
          <w:sz w:val="18"/>
          <w:szCs w:val="18"/>
        </w:rPr>
      </w:pPr>
      <w:r w:rsidRPr="003370E6">
        <w:rPr>
          <w:rFonts w:ascii="Verdana" w:hAnsi="Verdana"/>
          <w:b/>
          <w:bCs/>
          <w:sz w:val="18"/>
          <w:szCs w:val="18"/>
        </w:rPr>
        <w:t>2. Kunt u ook onder elkaar zetten wat de verwachtingen hierover waren in 2019, nadat het</w:t>
      </w:r>
      <w:r w:rsidR="003370E6">
        <w:rPr>
          <w:rFonts w:ascii="Verdana" w:hAnsi="Verdana"/>
          <w:b/>
          <w:bCs/>
          <w:sz w:val="18"/>
          <w:szCs w:val="18"/>
        </w:rPr>
        <w:t xml:space="preserve"> </w:t>
      </w:r>
      <w:r w:rsidRPr="003370E6">
        <w:rPr>
          <w:rFonts w:ascii="Verdana" w:hAnsi="Verdana"/>
          <w:b/>
          <w:bCs/>
          <w:sz w:val="18"/>
          <w:szCs w:val="18"/>
        </w:rPr>
        <w:t>pensioenakkoord werd afgesloten, op basis van de afspraken in het pensioenakkoord en de</w:t>
      </w:r>
      <w:r w:rsidR="003370E6">
        <w:rPr>
          <w:rFonts w:ascii="Verdana" w:hAnsi="Verdana"/>
          <w:b/>
          <w:bCs/>
          <w:sz w:val="18"/>
          <w:szCs w:val="18"/>
        </w:rPr>
        <w:t xml:space="preserve"> </w:t>
      </w:r>
      <w:r w:rsidRPr="003370E6">
        <w:rPr>
          <w:rFonts w:ascii="Verdana" w:hAnsi="Verdana"/>
          <w:b/>
          <w:bCs/>
          <w:sz w:val="18"/>
          <w:szCs w:val="18"/>
        </w:rPr>
        <w:t>bevolkingsprognoses uit die tijd?</w:t>
      </w:r>
    </w:p>
    <w:p w:rsidR="003370E6" w:rsidP="009E2493" w:rsidRDefault="003370E6" w14:paraId="1108B04A" w14:textId="77777777">
      <w:pPr>
        <w:pStyle w:val="Geenafstand"/>
        <w:rPr>
          <w:rFonts w:ascii="Verdana" w:hAnsi="Verdana"/>
          <w:b/>
          <w:bCs/>
          <w:sz w:val="18"/>
          <w:szCs w:val="18"/>
        </w:rPr>
      </w:pPr>
    </w:p>
    <w:p w:rsidRPr="005879E0" w:rsidR="005879E0" w:rsidP="005879E0" w:rsidRDefault="005879E0" w14:paraId="4479F097" w14:textId="192F3AC9">
      <w:pPr>
        <w:pStyle w:val="Geenafstand"/>
        <w:rPr>
          <w:rFonts w:ascii="Verdana" w:hAnsi="Verdana"/>
          <w:sz w:val="18"/>
          <w:szCs w:val="18"/>
        </w:rPr>
      </w:pPr>
      <w:r w:rsidRPr="005879E0">
        <w:rPr>
          <w:rFonts w:ascii="Verdana" w:hAnsi="Verdana"/>
          <w:sz w:val="18"/>
          <w:szCs w:val="18"/>
        </w:rPr>
        <w:t>Zie onderstaande figuren uit het CPB-rapport ‘Zorgen om morgen’</w:t>
      </w:r>
      <w:r>
        <w:rPr>
          <w:rStyle w:val="Voetnootmarkering"/>
          <w:rFonts w:ascii="Verdana" w:hAnsi="Verdana"/>
          <w:sz w:val="18"/>
          <w:szCs w:val="18"/>
        </w:rPr>
        <w:footnoteReference w:id="2"/>
      </w:r>
      <w:r>
        <w:rPr>
          <w:rFonts w:ascii="Verdana" w:hAnsi="Verdana"/>
          <w:sz w:val="18"/>
          <w:szCs w:val="18"/>
        </w:rPr>
        <w:t xml:space="preserve"> </w:t>
      </w:r>
      <w:r w:rsidRPr="005879E0">
        <w:rPr>
          <w:rFonts w:ascii="Verdana" w:hAnsi="Verdana"/>
          <w:sz w:val="18"/>
          <w:szCs w:val="18"/>
        </w:rPr>
        <w:t xml:space="preserve">uit 2019. Daarin wordt ingegaan op de gevolgen van de vergrijzing voor onder meer de AOW. Er wordt ook stilgestaan bij de AOW-druk. Als u de figuur van vraag 1 met die hieronder vergelijkt kunt u zien dat de verwachting van de AOW-druk </w:t>
      </w:r>
      <w:r w:rsidRPr="005879E0" w:rsidR="00874A1E">
        <w:rPr>
          <w:rFonts w:ascii="Verdana" w:hAnsi="Verdana"/>
          <w:sz w:val="18"/>
          <w:szCs w:val="18"/>
        </w:rPr>
        <w:t>voor 2033 en 2060</w:t>
      </w:r>
      <w:r w:rsidR="00874A1E">
        <w:rPr>
          <w:rFonts w:ascii="Verdana" w:hAnsi="Verdana"/>
          <w:sz w:val="18"/>
          <w:szCs w:val="18"/>
        </w:rPr>
        <w:t xml:space="preserve"> </w:t>
      </w:r>
      <w:r w:rsidRPr="005879E0">
        <w:rPr>
          <w:rFonts w:ascii="Verdana" w:hAnsi="Verdana"/>
          <w:sz w:val="18"/>
          <w:szCs w:val="18"/>
        </w:rPr>
        <w:t xml:space="preserve">is afgenomen. </w:t>
      </w:r>
    </w:p>
    <w:p w:rsidR="006402D8" w:rsidP="006402D8" w:rsidRDefault="006402D8" w14:paraId="52F73700" w14:textId="77777777">
      <w:pPr>
        <w:pStyle w:val="Geenafstand"/>
        <w:rPr>
          <w:rFonts w:ascii="Verdana" w:hAnsi="Verdana"/>
          <w:sz w:val="18"/>
          <w:szCs w:val="18"/>
        </w:rPr>
      </w:pPr>
      <w:r w:rsidRPr="00DA1E15">
        <w:rPr>
          <w:rFonts w:ascii="Verdana" w:hAnsi="Verdana"/>
          <w:noProof/>
          <w:sz w:val="18"/>
          <w:szCs w:val="18"/>
        </w:rPr>
        <w:lastRenderedPageBreak/>
        <w:drawing>
          <wp:inline distT="0" distB="0" distL="0" distR="0" wp14:anchorId="0AB70BC5" wp14:editId="2B4B2E01">
            <wp:extent cx="5760720" cy="2870200"/>
            <wp:effectExtent l="0" t="0" r="0" b="6350"/>
            <wp:docPr id="12296615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1565" name=""/>
                    <pic:cNvPicPr/>
                  </pic:nvPicPr>
                  <pic:blipFill>
                    <a:blip r:embed="rId8"/>
                    <a:stretch>
                      <a:fillRect/>
                    </a:stretch>
                  </pic:blipFill>
                  <pic:spPr>
                    <a:xfrm>
                      <a:off x="0" y="0"/>
                      <a:ext cx="5760720" cy="2870200"/>
                    </a:xfrm>
                    <a:prstGeom prst="rect">
                      <a:avLst/>
                    </a:prstGeom>
                  </pic:spPr>
                </pic:pic>
              </a:graphicData>
            </a:graphic>
          </wp:inline>
        </w:drawing>
      </w:r>
    </w:p>
    <w:p w:rsidR="006402D8" w:rsidP="006402D8" w:rsidRDefault="006402D8" w14:paraId="7105E88B" w14:textId="77777777">
      <w:pPr>
        <w:pStyle w:val="Geenafstand"/>
        <w:rPr>
          <w:rFonts w:ascii="Verdana" w:hAnsi="Verdana"/>
          <w:sz w:val="18"/>
          <w:szCs w:val="18"/>
        </w:rPr>
      </w:pPr>
    </w:p>
    <w:p w:rsidR="004D448E" w:rsidP="00E63BFF" w:rsidRDefault="004D448E" w14:paraId="4C767C99" w14:textId="77777777">
      <w:pPr>
        <w:pStyle w:val="Geenafstand"/>
        <w:rPr>
          <w:rFonts w:ascii="Verdana" w:hAnsi="Verdana"/>
          <w:sz w:val="18"/>
          <w:szCs w:val="18"/>
        </w:rPr>
      </w:pPr>
    </w:p>
    <w:p w:rsidR="009E2493" w:rsidP="009E2493" w:rsidRDefault="009E2493" w14:paraId="503A003A" w14:textId="4D779950">
      <w:pPr>
        <w:pStyle w:val="Geenafstand"/>
        <w:rPr>
          <w:rFonts w:ascii="Verdana" w:hAnsi="Verdana"/>
          <w:b/>
          <w:bCs/>
          <w:sz w:val="18"/>
          <w:szCs w:val="18"/>
        </w:rPr>
      </w:pPr>
      <w:r w:rsidRPr="003370E6">
        <w:rPr>
          <w:rFonts w:ascii="Verdana" w:hAnsi="Verdana"/>
          <w:b/>
          <w:bCs/>
          <w:sz w:val="18"/>
          <w:szCs w:val="18"/>
        </w:rPr>
        <w:t>3. Kunt u onder elkaar zetten hoeveel de verwachte uitgaven aan de AOW zijn als percentage van het Bruto Binnenlands Product (BBP) in 2033, 2040, 2050 en 2060? Wat was de verwachting hierover in 2019, na het afsluiten van het pensioenakkoord?</w:t>
      </w:r>
      <w:r w:rsidRPr="003370E6">
        <w:rPr>
          <w:rFonts w:ascii="Verdana" w:hAnsi="Verdana"/>
          <w:b/>
          <w:bCs/>
          <w:sz w:val="18"/>
          <w:szCs w:val="18"/>
        </w:rPr>
        <w:br/>
      </w:r>
    </w:p>
    <w:p w:rsidRPr="006D490E" w:rsidR="006D490E" w:rsidP="009E2493" w:rsidRDefault="006D490E" w14:paraId="52931289" w14:textId="38729272">
      <w:pPr>
        <w:pStyle w:val="Geenafstand"/>
        <w:rPr>
          <w:rFonts w:ascii="Verdana" w:hAnsi="Verdana"/>
          <w:sz w:val="18"/>
          <w:szCs w:val="18"/>
        </w:rPr>
      </w:pPr>
      <w:r>
        <w:rPr>
          <w:rFonts w:ascii="Verdana" w:hAnsi="Verdana"/>
          <w:sz w:val="18"/>
          <w:szCs w:val="18"/>
        </w:rPr>
        <w:t>In onderstaande tabel wordt weergegeven wat de verwachtingen waren ten aanzien van de ontwikkeling van de AOW-uitgaven als percentage van het BBP. De cijfers zijn afkomstig uit het CPB-rapport ‘Zorgen om morgen’ (2019) en het rapport van de 18</w:t>
      </w:r>
      <w:r w:rsidRPr="006D490E">
        <w:rPr>
          <w:rFonts w:ascii="Verdana" w:hAnsi="Verdana"/>
          <w:sz w:val="18"/>
          <w:szCs w:val="18"/>
          <w:vertAlign w:val="superscript"/>
        </w:rPr>
        <w:t>e</w:t>
      </w:r>
      <w:r>
        <w:rPr>
          <w:rFonts w:ascii="Verdana" w:hAnsi="Verdana"/>
          <w:sz w:val="18"/>
          <w:szCs w:val="18"/>
        </w:rPr>
        <w:t xml:space="preserve"> Studiegroep Begrotingsruimte (2025).</w:t>
      </w:r>
      <w:r w:rsidR="005F2526">
        <w:rPr>
          <w:rFonts w:ascii="Verdana" w:hAnsi="Verdana"/>
          <w:sz w:val="18"/>
          <w:szCs w:val="18"/>
        </w:rPr>
        <w:t xml:space="preserve"> De percentages voor 2033 en 2050 zijn niet beschikbaar. </w:t>
      </w:r>
    </w:p>
    <w:p w:rsidR="006D490E" w:rsidP="009E2493" w:rsidRDefault="006D490E" w14:paraId="4FE03A2A" w14:textId="77777777">
      <w:pPr>
        <w:pStyle w:val="Geenafstand"/>
        <w:rPr>
          <w:rFonts w:ascii="Verdana" w:hAnsi="Verdana"/>
          <w:b/>
          <w:bCs/>
          <w:sz w:val="18"/>
          <w:szCs w:val="18"/>
        </w:rPr>
      </w:pPr>
    </w:p>
    <w:tbl>
      <w:tblPr>
        <w:tblW w:w="8483" w:type="dxa"/>
        <w:tblLayout w:type="fixed"/>
        <w:tblCellMar>
          <w:left w:w="70" w:type="dxa"/>
          <w:right w:w="70" w:type="dxa"/>
        </w:tblCellMar>
        <w:tblLook w:val="04A0" w:firstRow="1" w:lastRow="0" w:firstColumn="1" w:lastColumn="0" w:noHBand="0" w:noVBand="1"/>
      </w:tblPr>
      <w:tblGrid>
        <w:gridCol w:w="3403"/>
        <w:gridCol w:w="1693"/>
        <w:gridCol w:w="1694"/>
        <w:gridCol w:w="1693"/>
      </w:tblGrid>
      <w:tr w:rsidRPr="00FA5735" w:rsidR="00835EAD" w:rsidTr="00926EA4" w14:paraId="6BC3A5DD" w14:textId="77777777">
        <w:trPr>
          <w:trHeight w:val="291"/>
        </w:trPr>
        <w:tc>
          <w:tcPr>
            <w:tcW w:w="3403" w:type="dxa"/>
            <w:tcBorders>
              <w:top w:val="single" w:color="auto" w:sz="4" w:space="0"/>
              <w:left w:val="single" w:color="auto" w:sz="4" w:space="0"/>
              <w:bottom w:val="single" w:color="auto" w:sz="4" w:space="0"/>
              <w:right w:val="nil"/>
            </w:tcBorders>
            <w:shd w:val="clear" w:color="auto" w:fill="000000" w:themeFill="text1"/>
            <w:noWrap/>
            <w:vAlign w:val="bottom"/>
            <w:hideMark/>
          </w:tcPr>
          <w:p w:rsidRPr="00FA5735" w:rsidR="00835EAD" w:rsidP="00083D16" w:rsidRDefault="00835EAD" w14:paraId="7B300524" w14:textId="5CB01CAF">
            <w:pPr>
              <w:spacing w:after="0" w:line="240" w:lineRule="auto"/>
              <w:rPr>
                <w:rFonts w:ascii="Calibri" w:hAnsi="Calibri" w:eastAsia="Times New Roman" w:cs="Calibri"/>
                <w:i/>
                <w:iCs/>
                <w:color w:val="FFFFFF" w:themeColor="background1"/>
                <w:kern w:val="0"/>
                <w:sz w:val="20"/>
                <w:szCs w:val="20"/>
                <w:lang w:eastAsia="nl-NL"/>
                <w14:ligatures w14:val="none"/>
              </w:rPr>
            </w:pP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1390B540" w14:textId="3C496AE5">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2025</w:t>
            </w:r>
          </w:p>
        </w:tc>
        <w:tc>
          <w:tcPr>
            <w:tcW w:w="1694"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3186176A" w14:textId="46E0E2E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w:t>
            </w:r>
            <w:r>
              <w:rPr>
                <w:rFonts w:ascii="Calibri" w:hAnsi="Calibri" w:eastAsia="Times New Roman" w:cs="Calibri"/>
                <w:b/>
                <w:bCs/>
                <w:color w:val="FFFFFF" w:themeColor="background1"/>
                <w:kern w:val="0"/>
                <w:sz w:val="20"/>
                <w:szCs w:val="20"/>
                <w:lang w:eastAsia="nl-NL"/>
                <w14:ligatures w14:val="none"/>
              </w:rPr>
              <w:t>040</w:t>
            </w: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003D1C12" w14:textId="11B0B64C">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2060</w:t>
            </w:r>
          </w:p>
        </w:tc>
      </w:tr>
      <w:tr w:rsidRPr="00FA5735" w:rsidR="00835EAD" w:rsidTr="00926EA4" w14:paraId="464F4FF1"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hideMark/>
          </w:tcPr>
          <w:p w:rsidRPr="00FA5735" w:rsidR="00835EAD" w:rsidP="00083D16" w:rsidRDefault="00835EAD" w14:paraId="4BBF0380" w14:textId="5555695E">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2019)</w:t>
            </w:r>
          </w:p>
        </w:tc>
        <w:tc>
          <w:tcPr>
            <w:tcW w:w="1693" w:type="dxa"/>
            <w:tcBorders>
              <w:top w:val="single" w:color="auto" w:sz="4" w:space="0"/>
              <w:bottom w:val="single" w:color="auto" w:sz="4" w:space="0"/>
            </w:tcBorders>
            <w:shd w:val="clear" w:color="000000" w:fill="FFFFFF"/>
            <w:noWrap/>
            <w:vAlign w:val="bottom"/>
          </w:tcPr>
          <w:p w:rsidRPr="00FA5735" w:rsidR="00835EAD" w:rsidP="00083D16" w:rsidRDefault="00835EAD" w14:paraId="708AB061" w14:textId="1293914D">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5,1%</w:t>
            </w:r>
          </w:p>
        </w:tc>
        <w:tc>
          <w:tcPr>
            <w:tcW w:w="1694" w:type="dxa"/>
            <w:tcBorders>
              <w:top w:val="single" w:color="auto" w:sz="4" w:space="0"/>
              <w:bottom w:val="single" w:color="auto" w:sz="4" w:space="0"/>
            </w:tcBorders>
            <w:shd w:val="clear" w:color="000000" w:fill="FFFFFF"/>
            <w:noWrap/>
            <w:vAlign w:val="bottom"/>
          </w:tcPr>
          <w:p w:rsidRPr="00FA5735" w:rsidR="00835EAD" w:rsidP="00083D16" w:rsidRDefault="00835EAD" w14:paraId="139D7AA4" w14:textId="111F00F5">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6,5%</w:t>
            </w:r>
          </w:p>
        </w:tc>
        <w:tc>
          <w:tcPr>
            <w:tcW w:w="1693" w:type="dxa"/>
            <w:tcBorders>
              <w:top w:val="single" w:color="auto" w:sz="4" w:space="0"/>
              <w:bottom w:val="single" w:color="auto" w:sz="4" w:space="0"/>
              <w:right w:val="single" w:color="auto" w:sz="4" w:space="0"/>
            </w:tcBorders>
            <w:shd w:val="clear" w:color="000000" w:fill="FFFFFF"/>
            <w:noWrap/>
            <w:vAlign w:val="bottom"/>
          </w:tcPr>
          <w:p w:rsidRPr="00FA5735" w:rsidR="00835EAD" w:rsidP="00083D16" w:rsidRDefault="00835EAD" w14:paraId="1B76B3BB" w14:textId="5474EE74">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5,9%</w:t>
            </w:r>
          </w:p>
        </w:tc>
      </w:tr>
      <w:tr w:rsidRPr="00FA5735" w:rsidR="00835EAD" w:rsidTr="00926EA4" w14:paraId="486A6AE8"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tcPr>
          <w:p w:rsidRPr="00FA5735" w:rsidR="00835EAD" w:rsidP="00083D16" w:rsidRDefault="00835EAD" w14:paraId="229D63E5" w14:textId="1BC376A6">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2025)</w:t>
            </w:r>
          </w:p>
        </w:tc>
        <w:tc>
          <w:tcPr>
            <w:tcW w:w="1693" w:type="dxa"/>
            <w:tcBorders>
              <w:top w:val="single" w:color="auto" w:sz="4" w:space="0"/>
              <w:bottom w:val="single" w:color="auto" w:sz="4" w:space="0"/>
            </w:tcBorders>
            <w:shd w:val="clear" w:color="000000" w:fill="FFFFFF"/>
            <w:noWrap/>
            <w:vAlign w:val="bottom"/>
          </w:tcPr>
          <w:p w:rsidR="00835EAD" w:rsidP="00083D16" w:rsidRDefault="00835EAD" w14:paraId="3608F7ED" w14:textId="17D1F7C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4,7%</w:t>
            </w:r>
          </w:p>
        </w:tc>
        <w:tc>
          <w:tcPr>
            <w:tcW w:w="1694" w:type="dxa"/>
            <w:tcBorders>
              <w:top w:val="single" w:color="auto" w:sz="4" w:space="0"/>
              <w:bottom w:val="single" w:color="auto" w:sz="4" w:space="0"/>
            </w:tcBorders>
            <w:shd w:val="clear" w:color="000000" w:fill="FFFFFF"/>
            <w:noWrap/>
            <w:vAlign w:val="bottom"/>
          </w:tcPr>
          <w:p w:rsidR="00835EAD" w:rsidP="00083D16" w:rsidRDefault="00835EAD" w14:paraId="111C1A97" w14:textId="7CC937FF">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5,7%</w:t>
            </w:r>
          </w:p>
        </w:tc>
        <w:tc>
          <w:tcPr>
            <w:tcW w:w="1693" w:type="dxa"/>
            <w:tcBorders>
              <w:top w:val="single" w:color="auto" w:sz="4" w:space="0"/>
              <w:bottom w:val="single" w:color="auto" w:sz="4" w:space="0"/>
              <w:right w:val="single" w:color="auto" w:sz="4" w:space="0"/>
            </w:tcBorders>
            <w:shd w:val="clear" w:color="000000" w:fill="FFFFFF"/>
            <w:noWrap/>
            <w:vAlign w:val="bottom"/>
          </w:tcPr>
          <w:p w:rsidR="00835EAD" w:rsidP="00083D16" w:rsidRDefault="00835EAD" w14:paraId="7E34BE03" w14:textId="64DE6FD5">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5,4%</w:t>
            </w:r>
          </w:p>
        </w:tc>
      </w:tr>
    </w:tbl>
    <w:p w:rsidRPr="003370E6" w:rsidR="00835EAD" w:rsidP="009E2493" w:rsidRDefault="00835EAD" w14:paraId="778C740F" w14:textId="77777777">
      <w:pPr>
        <w:pStyle w:val="Geenafstand"/>
        <w:rPr>
          <w:rFonts w:ascii="Verdana" w:hAnsi="Verdana"/>
          <w:b/>
          <w:bCs/>
          <w:sz w:val="18"/>
          <w:szCs w:val="18"/>
        </w:rPr>
      </w:pPr>
    </w:p>
    <w:p w:rsidR="003370E6" w:rsidP="009E2493" w:rsidRDefault="009E2493" w14:paraId="56D7EA07" w14:textId="77777777">
      <w:pPr>
        <w:pStyle w:val="Geenafstand"/>
        <w:rPr>
          <w:rFonts w:ascii="Verdana" w:hAnsi="Verdana"/>
          <w:b/>
          <w:bCs/>
          <w:sz w:val="18"/>
          <w:szCs w:val="18"/>
        </w:rPr>
      </w:pPr>
      <w:r w:rsidRPr="003370E6">
        <w:rPr>
          <w:rFonts w:ascii="Verdana" w:hAnsi="Verdana"/>
          <w:b/>
          <w:bCs/>
          <w:sz w:val="18"/>
          <w:szCs w:val="18"/>
        </w:rPr>
        <w:t>4. In hoeverre zijn de verwachtingen over de houdbaarheid en betaalbaarheid van de AOW volgens u verbeterd of verslechterd sinds 2019, toen het pensioenakkoord werd afgesloten?</w:t>
      </w:r>
    </w:p>
    <w:p w:rsidR="003C084E" w:rsidP="003370E6" w:rsidRDefault="003C084E" w14:paraId="732D8305" w14:textId="77777777">
      <w:pPr>
        <w:pStyle w:val="Geenafstand"/>
        <w:rPr>
          <w:rFonts w:ascii="Verdana" w:hAnsi="Verdana"/>
          <w:sz w:val="18"/>
          <w:szCs w:val="18"/>
        </w:rPr>
      </w:pPr>
    </w:p>
    <w:p w:rsidR="00D24C36" w:rsidP="00DD7B52" w:rsidRDefault="00676F51" w14:paraId="222F1895" w14:textId="64DF6C5D">
      <w:pPr>
        <w:pStyle w:val="Geenafstand"/>
        <w:rPr>
          <w:rFonts w:ascii="Verdana" w:hAnsi="Verdana"/>
          <w:sz w:val="18"/>
          <w:szCs w:val="18"/>
        </w:rPr>
      </w:pPr>
      <w:r>
        <w:rPr>
          <w:rFonts w:ascii="Verdana" w:hAnsi="Verdana"/>
          <w:sz w:val="18"/>
          <w:szCs w:val="18"/>
        </w:rPr>
        <w:t xml:space="preserve">Zoals bij vraag 2 aangegeven is de verwachting dat in 2033 </w:t>
      </w:r>
      <w:r w:rsidR="00AC7A71">
        <w:rPr>
          <w:rFonts w:ascii="Verdana" w:hAnsi="Verdana"/>
          <w:sz w:val="18"/>
          <w:szCs w:val="18"/>
        </w:rPr>
        <w:t xml:space="preserve">en 2060 </w:t>
      </w:r>
      <w:r>
        <w:rPr>
          <w:rFonts w:ascii="Verdana" w:hAnsi="Verdana"/>
          <w:sz w:val="18"/>
          <w:szCs w:val="18"/>
        </w:rPr>
        <w:t xml:space="preserve">de AOW-druk minder hoog uitvalt dan in 2019 verwacht werd. </w:t>
      </w:r>
      <w:r w:rsidR="00D24C36">
        <w:rPr>
          <w:rFonts w:ascii="Verdana" w:hAnsi="Verdana"/>
          <w:sz w:val="18"/>
          <w:szCs w:val="18"/>
        </w:rPr>
        <w:t xml:space="preserve">De AOW-uitgaven als percentage van het BBP vallen volgens de prognoses uit 2025 lager uit dan in 2019 verwacht werd, zoals uit de tabel bij vraag 3 is af te lezen. Daarbij dient opgemerkt te worden dat hiervoor niet alleen de AOW-uitgaven zelf, maar ook de ontwikkeling van het BBP van belang </w:t>
      </w:r>
      <w:r w:rsidR="00582E58">
        <w:rPr>
          <w:rFonts w:ascii="Verdana" w:hAnsi="Verdana"/>
          <w:sz w:val="18"/>
          <w:szCs w:val="18"/>
        </w:rPr>
        <w:t>is</w:t>
      </w:r>
      <w:r w:rsidR="00D24C36">
        <w:rPr>
          <w:rFonts w:ascii="Verdana" w:hAnsi="Verdana"/>
          <w:sz w:val="18"/>
          <w:szCs w:val="18"/>
        </w:rPr>
        <w:t>.</w:t>
      </w:r>
    </w:p>
    <w:p w:rsidR="00D24C36" w:rsidP="00DD7B52" w:rsidRDefault="00D24C36" w14:paraId="30EF2892" w14:textId="77777777">
      <w:pPr>
        <w:pStyle w:val="Geenafstand"/>
        <w:rPr>
          <w:rFonts w:ascii="Verdana" w:hAnsi="Verdana"/>
          <w:sz w:val="18"/>
          <w:szCs w:val="18"/>
        </w:rPr>
      </w:pPr>
    </w:p>
    <w:p w:rsidR="00DD7B52" w:rsidP="00DD7B52" w:rsidRDefault="00D24C36" w14:paraId="326B895A" w14:textId="4FD22CFA">
      <w:pPr>
        <w:pStyle w:val="Geenafstand"/>
        <w:rPr>
          <w:rFonts w:ascii="Verdana" w:hAnsi="Verdana"/>
          <w:sz w:val="18"/>
          <w:szCs w:val="18"/>
        </w:rPr>
      </w:pPr>
      <w:r>
        <w:rPr>
          <w:rFonts w:ascii="Verdana" w:hAnsi="Verdana"/>
          <w:sz w:val="18"/>
          <w:szCs w:val="18"/>
        </w:rPr>
        <w:t>O</w:t>
      </w:r>
      <w:r w:rsidR="00676F51">
        <w:rPr>
          <w:rFonts w:ascii="Verdana" w:hAnsi="Verdana"/>
          <w:sz w:val="18"/>
          <w:szCs w:val="18"/>
        </w:rPr>
        <w:t>p het gebied</w:t>
      </w:r>
      <w:r w:rsidR="003C084E">
        <w:rPr>
          <w:rFonts w:ascii="Verdana" w:hAnsi="Verdana"/>
          <w:sz w:val="18"/>
          <w:szCs w:val="18"/>
        </w:rPr>
        <w:t xml:space="preserve"> van de financiering van de </w:t>
      </w:r>
      <w:r w:rsidR="00676F51">
        <w:rPr>
          <w:rFonts w:ascii="Verdana" w:hAnsi="Verdana"/>
          <w:sz w:val="18"/>
          <w:szCs w:val="18"/>
        </w:rPr>
        <w:t>AOW</w:t>
      </w:r>
      <w:r w:rsidR="003C084E">
        <w:rPr>
          <w:rFonts w:ascii="Verdana" w:hAnsi="Verdana"/>
          <w:sz w:val="18"/>
          <w:szCs w:val="18"/>
        </w:rPr>
        <w:t xml:space="preserve"> </w:t>
      </w:r>
      <w:r>
        <w:rPr>
          <w:rFonts w:ascii="Verdana" w:hAnsi="Verdana"/>
          <w:sz w:val="18"/>
          <w:szCs w:val="18"/>
        </w:rPr>
        <w:t xml:space="preserve">constateerde </w:t>
      </w:r>
      <w:r w:rsidR="003C084E">
        <w:rPr>
          <w:rFonts w:ascii="Verdana" w:hAnsi="Verdana"/>
          <w:sz w:val="18"/>
          <w:szCs w:val="18"/>
        </w:rPr>
        <w:t>het CBS in</w:t>
      </w:r>
      <w:r w:rsidR="003370E6">
        <w:rPr>
          <w:rFonts w:ascii="Verdana" w:hAnsi="Verdana"/>
          <w:sz w:val="18"/>
          <w:szCs w:val="18"/>
        </w:rPr>
        <w:t xml:space="preserve"> 2024 </w:t>
      </w:r>
      <w:r w:rsidR="003C084E">
        <w:rPr>
          <w:rFonts w:ascii="Verdana" w:hAnsi="Verdana"/>
          <w:sz w:val="18"/>
          <w:szCs w:val="18"/>
        </w:rPr>
        <w:t>dat voor</w:t>
      </w:r>
      <w:r w:rsidRPr="00655377" w:rsidR="003370E6">
        <w:rPr>
          <w:rFonts w:ascii="Verdana" w:hAnsi="Verdana"/>
          <w:sz w:val="18"/>
          <w:szCs w:val="18"/>
        </w:rPr>
        <w:t xml:space="preserve"> het eerst meer </w:t>
      </w:r>
      <w:r w:rsidR="003370E6">
        <w:rPr>
          <w:rFonts w:ascii="Verdana" w:hAnsi="Verdana"/>
          <w:sz w:val="18"/>
          <w:szCs w:val="18"/>
        </w:rPr>
        <w:t>dan 50%</w:t>
      </w:r>
      <w:r w:rsidRPr="00655377" w:rsidR="003370E6">
        <w:rPr>
          <w:rFonts w:ascii="Verdana" w:hAnsi="Verdana"/>
          <w:sz w:val="18"/>
          <w:szCs w:val="18"/>
        </w:rPr>
        <w:t xml:space="preserve"> van de </w:t>
      </w:r>
      <w:r w:rsidR="003370E6">
        <w:rPr>
          <w:rFonts w:ascii="Verdana" w:hAnsi="Verdana"/>
          <w:sz w:val="18"/>
          <w:szCs w:val="18"/>
        </w:rPr>
        <w:t>AOW-u</w:t>
      </w:r>
      <w:r w:rsidRPr="00655377" w:rsidR="003370E6">
        <w:rPr>
          <w:rFonts w:ascii="Verdana" w:hAnsi="Verdana"/>
          <w:sz w:val="18"/>
          <w:szCs w:val="18"/>
        </w:rPr>
        <w:t xml:space="preserve">itkeringen gefinancierd uit </w:t>
      </w:r>
      <w:r w:rsidR="00D907E8">
        <w:rPr>
          <w:rFonts w:ascii="Verdana" w:hAnsi="Verdana"/>
          <w:sz w:val="18"/>
          <w:szCs w:val="18"/>
        </w:rPr>
        <w:t xml:space="preserve">de </w:t>
      </w:r>
      <w:r w:rsidRPr="00655377" w:rsidR="003370E6">
        <w:rPr>
          <w:rFonts w:ascii="Verdana" w:hAnsi="Verdana"/>
          <w:sz w:val="18"/>
          <w:szCs w:val="18"/>
        </w:rPr>
        <w:t>algemene middelen oftewel belastinggeld. Dit betekent dat premie-inkomsten de AOW-uitkeringen steeds minder dekken. </w:t>
      </w:r>
      <w:r w:rsidR="003370E6">
        <w:rPr>
          <w:rFonts w:ascii="Verdana" w:hAnsi="Verdana"/>
          <w:sz w:val="18"/>
          <w:szCs w:val="18"/>
        </w:rPr>
        <w:t xml:space="preserve">Sinds 2001 </w:t>
      </w:r>
      <w:r w:rsidRPr="00930E6B" w:rsidR="003370E6">
        <w:rPr>
          <w:rFonts w:ascii="Verdana" w:hAnsi="Verdana"/>
          <w:sz w:val="18"/>
          <w:szCs w:val="18"/>
        </w:rPr>
        <w:t>zijn de AOW-premies niet meer toereikend om de volledige uitkeringen te dekken</w:t>
      </w:r>
      <w:r w:rsidR="003370E6">
        <w:rPr>
          <w:rFonts w:ascii="Verdana" w:hAnsi="Verdana"/>
          <w:sz w:val="18"/>
          <w:szCs w:val="18"/>
        </w:rPr>
        <w:t xml:space="preserve">, omdat de AOW-premie op 17,9% is gemaximeerd. </w:t>
      </w:r>
      <w:r w:rsidRPr="00655377" w:rsidR="003370E6">
        <w:rPr>
          <w:rFonts w:ascii="Verdana" w:hAnsi="Verdana"/>
          <w:sz w:val="18"/>
          <w:szCs w:val="18"/>
        </w:rPr>
        <w:t xml:space="preserve">Het aandeel van de AOW-uitkeringen dat het Rijk vanuit </w:t>
      </w:r>
      <w:r w:rsidR="00D907E8">
        <w:rPr>
          <w:rFonts w:ascii="Verdana" w:hAnsi="Verdana"/>
          <w:sz w:val="18"/>
          <w:szCs w:val="18"/>
        </w:rPr>
        <w:t xml:space="preserve">de </w:t>
      </w:r>
      <w:r w:rsidRPr="00655377" w:rsidR="003370E6">
        <w:rPr>
          <w:rFonts w:ascii="Verdana" w:hAnsi="Verdana"/>
          <w:sz w:val="18"/>
          <w:szCs w:val="18"/>
        </w:rPr>
        <w:t xml:space="preserve">algemene middelen aanvult, neemt een steeds groter deel van de overheidsuitgaven in beslag. </w:t>
      </w:r>
      <w:r w:rsidRPr="00930E6B" w:rsidR="003370E6">
        <w:rPr>
          <w:rFonts w:ascii="Verdana" w:hAnsi="Verdana"/>
          <w:sz w:val="18"/>
          <w:szCs w:val="18"/>
        </w:rPr>
        <w:t xml:space="preserve">De sneller stijgende AOW-uitgaven komen vooral door de vergrijzing. Daarnaast zijn de uitkeringen zelf verhoogd, omdat ze gekoppeld zijn aan </w:t>
      </w:r>
      <w:r w:rsidR="00D907E8">
        <w:rPr>
          <w:rFonts w:ascii="Verdana" w:hAnsi="Verdana"/>
          <w:sz w:val="18"/>
          <w:szCs w:val="18"/>
        </w:rPr>
        <w:t xml:space="preserve">de ontwikkeling van </w:t>
      </w:r>
      <w:r w:rsidRPr="00930E6B" w:rsidR="003370E6">
        <w:rPr>
          <w:rFonts w:ascii="Verdana" w:hAnsi="Verdana"/>
          <w:sz w:val="18"/>
          <w:szCs w:val="18"/>
        </w:rPr>
        <w:t>het wettelijk minimumloon</w:t>
      </w:r>
      <w:r w:rsidR="003370E6">
        <w:rPr>
          <w:rFonts w:ascii="Verdana" w:hAnsi="Verdana"/>
          <w:sz w:val="18"/>
          <w:szCs w:val="18"/>
        </w:rPr>
        <w:t xml:space="preserve"> (</w:t>
      </w:r>
      <w:proofErr w:type="spellStart"/>
      <w:r w:rsidR="003370E6">
        <w:rPr>
          <w:rFonts w:ascii="Verdana" w:hAnsi="Verdana"/>
          <w:sz w:val="18"/>
          <w:szCs w:val="18"/>
        </w:rPr>
        <w:t>Wml</w:t>
      </w:r>
      <w:proofErr w:type="spellEnd"/>
      <w:r w:rsidR="003370E6">
        <w:rPr>
          <w:rFonts w:ascii="Verdana" w:hAnsi="Verdana"/>
          <w:sz w:val="18"/>
          <w:szCs w:val="18"/>
        </w:rPr>
        <w:t>)</w:t>
      </w:r>
      <w:r w:rsidRPr="00930E6B" w:rsidR="003370E6">
        <w:rPr>
          <w:rFonts w:ascii="Verdana" w:hAnsi="Verdana"/>
          <w:sz w:val="18"/>
          <w:szCs w:val="18"/>
        </w:rPr>
        <w:t>. De premie-inkomsten stijgen veel minder dan de uitgaven.</w:t>
      </w:r>
      <w:r w:rsidR="003370E6">
        <w:rPr>
          <w:rFonts w:ascii="Verdana" w:hAnsi="Verdana"/>
          <w:sz w:val="18"/>
          <w:szCs w:val="18"/>
        </w:rPr>
        <w:t xml:space="preserve"> De verwachting is dat het aandeel gefinancierd vanuit algemene middelen in de toekomst verder zal toenemen</w:t>
      </w:r>
      <w:r w:rsidR="00DD7B52">
        <w:rPr>
          <w:rFonts w:ascii="Verdana" w:hAnsi="Verdana"/>
          <w:sz w:val="18"/>
          <w:szCs w:val="18"/>
        </w:rPr>
        <w:t xml:space="preserve">. </w:t>
      </w:r>
    </w:p>
    <w:p w:rsidR="00DD7B52" w:rsidP="00DD7B52" w:rsidRDefault="00DD7B52" w14:paraId="0D8E8E01" w14:textId="77777777">
      <w:pPr>
        <w:pStyle w:val="Geenafstand"/>
        <w:rPr>
          <w:rFonts w:ascii="Verdana" w:hAnsi="Verdana"/>
          <w:sz w:val="18"/>
          <w:szCs w:val="18"/>
        </w:rPr>
      </w:pPr>
    </w:p>
    <w:p w:rsidR="008F5E55" w:rsidP="00DD7B52" w:rsidRDefault="008F5E55" w14:paraId="2A53207A" w14:textId="77777777">
      <w:pPr>
        <w:pStyle w:val="Geenafstand"/>
        <w:rPr>
          <w:rFonts w:ascii="Verdana" w:hAnsi="Verdana"/>
          <w:sz w:val="18"/>
          <w:szCs w:val="18"/>
        </w:rPr>
      </w:pPr>
    </w:p>
    <w:p w:rsidR="008F5E55" w:rsidP="00DD7B52" w:rsidRDefault="008F5E55" w14:paraId="0B3BF422" w14:textId="77777777">
      <w:pPr>
        <w:pStyle w:val="Geenafstand"/>
        <w:rPr>
          <w:rFonts w:ascii="Verdana" w:hAnsi="Verdana"/>
          <w:sz w:val="18"/>
          <w:szCs w:val="18"/>
        </w:rPr>
      </w:pPr>
    </w:p>
    <w:p w:rsidR="009E2493" w:rsidP="009E2493" w:rsidRDefault="009E2493" w14:paraId="223E01C7" w14:textId="2DD490E6">
      <w:pPr>
        <w:pStyle w:val="Geenafstand"/>
        <w:rPr>
          <w:rFonts w:ascii="Verdana" w:hAnsi="Verdana"/>
          <w:b/>
          <w:bCs/>
          <w:sz w:val="18"/>
          <w:szCs w:val="18"/>
        </w:rPr>
      </w:pPr>
      <w:r w:rsidRPr="003370E6">
        <w:rPr>
          <w:rFonts w:ascii="Verdana" w:hAnsi="Verdana"/>
          <w:b/>
          <w:bCs/>
          <w:sz w:val="18"/>
          <w:szCs w:val="18"/>
        </w:rPr>
        <w:lastRenderedPageBreak/>
        <w:t>5. Wat is volgens u de reden dat het kabinet van plan is de AOW versneld te verhogen? In hoeverre is dit vanwege de houdbaarheid en betaalbaarheid van de AOW, en hoe verhoudt dit zich tot de prognoses in 2019 en de onderbouwing van de afspraken over dit onderwerp in het pensioenakkoord?</w:t>
      </w:r>
      <w:r w:rsidRPr="003370E6">
        <w:rPr>
          <w:rFonts w:ascii="Verdana" w:hAnsi="Verdana"/>
          <w:b/>
          <w:bCs/>
          <w:sz w:val="18"/>
          <w:szCs w:val="18"/>
        </w:rPr>
        <w:br/>
      </w:r>
    </w:p>
    <w:p w:rsidR="005D23CB" w:rsidP="005D23CB" w:rsidRDefault="00426C8A" w14:paraId="3C36F984" w14:textId="75641B7F">
      <w:pPr>
        <w:pStyle w:val="Geenafstand"/>
        <w:rPr>
          <w:rFonts w:ascii="Verdana" w:hAnsi="Verdana"/>
          <w:sz w:val="18"/>
          <w:szCs w:val="18"/>
        </w:rPr>
      </w:pPr>
      <w:r w:rsidRPr="005D23CB">
        <w:rPr>
          <w:rFonts w:ascii="Verdana" w:hAnsi="Verdana"/>
          <w:sz w:val="18"/>
          <w:szCs w:val="18"/>
        </w:rPr>
        <w:t>De uitkeringslasten van de AOW stijgen vanwege de toename van het aantal AOW’ers door de vergrijzing. Daarnaast stagneert de groei van de beroepsbevolking. Het gevolg is dat premies in de toekomst door minder werkenden moeten worden opgebracht en de AOW een grote</w:t>
      </w:r>
      <w:r>
        <w:rPr>
          <w:rFonts w:ascii="Verdana" w:hAnsi="Verdana"/>
          <w:sz w:val="18"/>
          <w:szCs w:val="18"/>
        </w:rPr>
        <w:t>r</w:t>
      </w:r>
      <w:r w:rsidRPr="005D23CB">
        <w:rPr>
          <w:rFonts w:ascii="Verdana" w:hAnsi="Verdana"/>
          <w:sz w:val="18"/>
          <w:szCs w:val="18"/>
        </w:rPr>
        <w:t xml:space="preserve"> beslag op de Rijksbegroting legt</w:t>
      </w:r>
      <w:r>
        <w:rPr>
          <w:rFonts w:ascii="Verdana" w:hAnsi="Verdana"/>
          <w:sz w:val="18"/>
          <w:szCs w:val="18"/>
        </w:rPr>
        <w:t xml:space="preserve">, zoals bij vraag 4 is uitgelegd. </w:t>
      </w:r>
      <w:r w:rsidRPr="005D23CB">
        <w:rPr>
          <w:rFonts w:ascii="Verdana" w:hAnsi="Verdana"/>
          <w:sz w:val="18"/>
          <w:szCs w:val="18"/>
        </w:rPr>
        <w:t xml:space="preserve">Daarom adviseerde de </w:t>
      </w:r>
      <w:r>
        <w:rPr>
          <w:rFonts w:ascii="Verdana" w:hAnsi="Verdana"/>
          <w:sz w:val="18"/>
          <w:szCs w:val="18"/>
        </w:rPr>
        <w:t>S</w:t>
      </w:r>
      <w:r w:rsidRPr="005D23CB">
        <w:rPr>
          <w:rFonts w:ascii="Verdana" w:hAnsi="Verdana"/>
          <w:sz w:val="18"/>
          <w:szCs w:val="18"/>
        </w:rPr>
        <w:t xml:space="preserve">tudiegroep </w:t>
      </w:r>
      <w:r>
        <w:rPr>
          <w:rFonts w:ascii="Verdana" w:hAnsi="Verdana"/>
          <w:sz w:val="18"/>
          <w:szCs w:val="18"/>
        </w:rPr>
        <w:t>B</w:t>
      </w:r>
      <w:r w:rsidRPr="005D23CB">
        <w:rPr>
          <w:rFonts w:ascii="Verdana" w:hAnsi="Verdana"/>
          <w:sz w:val="18"/>
          <w:szCs w:val="18"/>
        </w:rPr>
        <w:t xml:space="preserve">egrotingsruimte om </w:t>
      </w:r>
      <w:r>
        <w:rPr>
          <w:rFonts w:ascii="Verdana" w:hAnsi="Verdana"/>
          <w:sz w:val="18"/>
          <w:szCs w:val="18"/>
        </w:rPr>
        <w:t>maatregelen te nemen</w:t>
      </w:r>
      <w:r w:rsidRPr="005D23CB">
        <w:rPr>
          <w:rFonts w:ascii="Verdana" w:hAnsi="Verdana"/>
          <w:sz w:val="18"/>
          <w:szCs w:val="18"/>
        </w:rPr>
        <w:t xml:space="preserve"> die gericht zijn op het verlagen van de </w:t>
      </w:r>
      <w:r>
        <w:rPr>
          <w:rFonts w:ascii="Verdana" w:hAnsi="Verdana"/>
          <w:sz w:val="18"/>
          <w:szCs w:val="18"/>
        </w:rPr>
        <w:t>vergrijzingsgevoelige uitgaven.</w:t>
      </w:r>
    </w:p>
    <w:p w:rsidRPr="005D23CB" w:rsidR="00426C8A" w:rsidP="005D23CB" w:rsidRDefault="00426C8A" w14:paraId="4361BD29" w14:textId="77777777">
      <w:pPr>
        <w:pStyle w:val="Geenafstand"/>
        <w:rPr>
          <w:rFonts w:ascii="Verdana" w:hAnsi="Verdana"/>
          <w:sz w:val="18"/>
          <w:szCs w:val="18"/>
        </w:rPr>
      </w:pPr>
    </w:p>
    <w:p w:rsidR="009E2493" w:rsidP="009E2493" w:rsidRDefault="009E2493" w14:paraId="32226D1A" w14:textId="5F03EB31">
      <w:pPr>
        <w:pStyle w:val="Geenafstand"/>
        <w:rPr>
          <w:rFonts w:ascii="Verdana" w:hAnsi="Verdana"/>
          <w:b/>
          <w:bCs/>
          <w:sz w:val="18"/>
          <w:szCs w:val="18"/>
        </w:rPr>
      </w:pPr>
      <w:r w:rsidRPr="003370E6">
        <w:rPr>
          <w:rFonts w:ascii="Verdana" w:hAnsi="Verdana"/>
          <w:b/>
          <w:bCs/>
          <w:sz w:val="18"/>
          <w:szCs w:val="18"/>
        </w:rPr>
        <w:t xml:space="preserve">6. Waarom denkt u dat premier </w:t>
      </w:r>
      <w:proofErr w:type="spellStart"/>
      <w:r w:rsidRPr="003370E6">
        <w:rPr>
          <w:rFonts w:ascii="Verdana" w:hAnsi="Verdana"/>
          <w:b/>
          <w:bCs/>
          <w:sz w:val="18"/>
          <w:szCs w:val="18"/>
        </w:rPr>
        <w:t>Jetten</w:t>
      </w:r>
      <w:proofErr w:type="spellEnd"/>
      <w:r w:rsidRPr="003370E6">
        <w:rPr>
          <w:rFonts w:ascii="Verdana" w:hAnsi="Verdana"/>
          <w:b/>
          <w:bCs/>
          <w:sz w:val="18"/>
          <w:szCs w:val="18"/>
        </w:rPr>
        <w:t xml:space="preserve"> tijdens het debat over de regeringsverklaring zei dat er in 2033 maar twee werkenden per AOW’er zijn? Waar baseerde hij dat cijfer op?</w:t>
      </w:r>
      <w:r w:rsidRPr="003370E6">
        <w:rPr>
          <w:rFonts w:ascii="Verdana" w:hAnsi="Verdana"/>
          <w:b/>
          <w:bCs/>
          <w:sz w:val="18"/>
          <w:szCs w:val="18"/>
        </w:rPr>
        <w:br/>
      </w:r>
    </w:p>
    <w:p w:rsidR="00F874BE" w:rsidP="00F874BE" w:rsidRDefault="00F874BE" w14:paraId="5245B413" w14:textId="23B4A107">
      <w:pPr>
        <w:pStyle w:val="Geenafstand"/>
        <w:rPr>
          <w:rFonts w:ascii="Verdana" w:hAnsi="Verdana"/>
          <w:sz w:val="18"/>
          <w:szCs w:val="18"/>
        </w:rPr>
      </w:pPr>
      <w:r>
        <w:rPr>
          <w:rFonts w:ascii="Verdana" w:hAnsi="Verdana"/>
          <w:sz w:val="18"/>
          <w:szCs w:val="18"/>
        </w:rPr>
        <w:t xml:space="preserve">In het debat over de regeringsverklaring is voor deze verhouding de grijze druk gebruikt. </w:t>
      </w:r>
      <w:r w:rsidRPr="005D23CB">
        <w:rPr>
          <w:rFonts w:ascii="Verdana" w:hAnsi="Verdana"/>
          <w:sz w:val="18"/>
          <w:szCs w:val="18"/>
        </w:rPr>
        <w:t>Grijze druk laat de verhouding tussen het aantal mensen van 65 jaar of ouder en het aantal personen van 20 tot 65 jaar zien.</w:t>
      </w:r>
      <w:r>
        <w:rPr>
          <w:rFonts w:ascii="Verdana" w:hAnsi="Verdana"/>
          <w:sz w:val="18"/>
          <w:szCs w:val="18"/>
        </w:rPr>
        <w:t xml:space="preserve"> Deze cijfers komen terug in publicaties van de SVB en het UWV.</w:t>
      </w:r>
      <w:r>
        <w:rPr>
          <w:rStyle w:val="Voetnootmarkering"/>
          <w:rFonts w:ascii="Verdana" w:hAnsi="Verdana"/>
          <w:sz w:val="18"/>
          <w:szCs w:val="18"/>
        </w:rPr>
        <w:footnoteReference w:id="3"/>
      </w:r>
      <w:r>
        <w:rPr>
          <w:rFonts w:ascii="Verdana" w:hAnsi="Verdana"/>
          <w:sz w:val="18"/>
          <w:szCs w:val="18"/>
        </w:rPr>
        <w:t xml:space="preserve"> Het is echter zorgvuldiger om bij deze verhouding de ‘AOW-druk’ te gebruiken. Dit laat de verhouding tussen AOW-gerechtigden en de beroepsbevolking. De AOW-leeftijd ligt immers niet meer op 65 jaar.  </w:t>
      </w:r>
    </w:p>
    <w:p w:rsidRPr="005D23CB" w:rsidR="005D23CB" w:rsidP="00F874BE" w:rsidRDefault="005D23CB" w14:paraId="51BA4411" w14:textId="2DBD4D28">
      <w:pPr>
        <w:pStyle w:val="Geenafstand"/>
        <w:rPr>
          <w:rFonts w:ascii="Verdana" w:hAnsi="Verdana"/>
          <w:sz w:val="18"/>
          <w:szCs w:val="18"/>
        </w:rPr>
      </w:pPr>
      <w:r w:rsidRPr="005D23CB">
        <w:rPr>
          <w:rFonts w:ascii="Verdana" w:hAnsi="Verdana"/>
          <w:sz w:val="18"/>
          <w:szCs w:val="18"/>
        </w:rPr>
        <w:t> </w:t>
      </w:r>
    </w:p>
    <w:p w:rsidR="00710052" w:rsidP="009E2493" w:rsidRDefault="009E2493" w14:paraId="1FAB5FA8" w14:textId="1390E096">
      <w:pPr>
        <w:pStyle w:val="Geenafstand"/>
        <w:rPr>
          <w:rFonts w:ascii="Verdana" w:hAnsi="Verdana"/>
          <w:b/>
          <w:bCs/>
          <w:sz w:val="18"/>
          <w:szCs w:val="18"/>
        </w:rPr>
      </w:pPr>
      <w:r w:rsidRPr="003370E6">
        <w:rPr>
          <w:rFonts w:ascii="Verdana" w:hAnsi="Verdana"/>
          <w:b/>
          <w:bCs/>
          <w:sz w:val="18"/>
          <w:szCs w:val="18"/>
        </w:rPr>
        <w:t xml:space="preserve">7. Waarom denkt u dat premier </w:t>
      </w:r>
      <w:proofErr w:type="spellStart"/>
      <w:r w:rsidRPr="003370E6">
        <w:rPr>
          <w:rFonts w:ascii="Verdana" w:hAnsi="Verdana"/>
          <w:b/>
          <w:bCs/>
          <w:sz w:val="18"/>
          <w:szCs w:val="18"/>
        </w:rPr>
        <w:t>Jetten</w:t>
      </w:r>
      <w:proofErr w:type="spellEnd"/>
      <w:r w:rsidRPr="003370E6">
        <w:rPr>
          <w:rFonts w:ascii="Verdana" w:hAnsi="Verdana"/>
          <w:b/>
          <w:bCs/>
          <w:sz w:val="18"/>
          <w:szCs w:val="18"/>
        </w:rPr>
        <w:t xml:space="preserve"> tijdens het debat over de regeringsverklaring zei dat de reden om de AOW versneld te verhogen was dat het kabinet zich zorgen maakt over de houdbaarheid en betaalbaarheid van de AOW? Waarom heeft het kabinet die zorgen, gegeven de ontwikkeling van de prognoses hierover in de afgelopen tien jaar?</w:t>
      </w:r>
      <w:r w:rsidRPr="003370E6">
        <w:rPr>
          <w:rFonts w:ascii="Verdana" w:hAnsi="Verdana"/>
          <w:b/>
          <w:bCs/>
          <w:sz w:val="18"/>
          <w:szCs w:val="18"/>
        </w:rPr>
        <w:br/>
      </w:r>
    </w:p>
    <w:p w:rsidR="0009032B" w:rsidP="0009032B" w:rsidRDefault="0009032B" w14:paraId="2D358A6D" w14:textId="470AEE35">
      <w:pPr>
        <w:pStyle w:val="Geenafstand"/>
        <w:rPr>
          <w:rFonts w:ascii="Verdana" w:hAnsi="Verdana"/>
          <w:b/>
          <w:bCs/>
          <w:sz w:val="18"/>
          <w:szCs w:val="18"/>
        </w:rPr>
      </w:pPr>
      <w:r>
        <w:rPr>
          <w:rFonts w:ascii="Verdana" w:hAnsi="Verdana"/>
          <w:sz w:val="18"/>
          <w:szCs w:val="18"/>
        </w:rPr>
        <w:t>Zoals in de antwoorden op de vragen 1, 4 en 5 aangegeven ziet het kabinet een opgave om de AOW-uitgaven houdbaar te houden</w:t>
      </w:r>
      <w:r w:rsidR="00FD4909">
        <w:rPr>
          <w:rFonts w:ascii="Verdana" w:hAnsi="Verdana"/>
          <w:sz w:val="18"/>
          <w:szCs w:val="18"/>
        </w:rPr>
        <w:t xml:space="preserve"> in de context van de grote opgaven waar we voor staan</w:t>
      </w:r>
      <w:r>
        <w:rPr>
          <w:rFonts w:ascii="Verdana" w:hAnsi="Verdana"/>
          <w:sz w:val="18"/>
          <w:szCs w:val="18"/>
        </w:rPr>
        <w:t>. Hierover gaat het kabinet graag de komende periode met uw Kamer en de sociale partners in gesprek.</w:t>
      </w:r>
    </w:p>
    <w:p w:rsidRPr="003370E6" w:rsidR="00710052" w:rsidP="009E2493" w:rsidRDefault="00710052" w14:paraId="666412B5" w14:textId="77777777">
      <w:pPr>
        <w:pStyle w:val="Geenafstand"/>
        <w:rPr>
          <w:rFonts w:ascii="Verdana" w:hAnsi="Verdana"/>
          <w:b/>
          <w:bCs/>
          <w:sz w:val="18"/>
          <w:szCs w:val="18"/>
        </w:rPr>
      </w:pPr>
    </w:p>
    <w:p w:rsidR="00022F4A" w:rsidP="009E2493" w:rsidRDefault="009E2493" w14:paraId="5FDFD87F" w14:textId="77777777">
      <w:pPr>
        <w:pStyle w:val="Geenafstand"/>
        <w:rPr>
          <w:rFonts w:ascii="Verdana" w:hAnsi="Verdana"/>
          <w:b/>
          <w:bCs/>
          <w:sz w:val="18"/>
          <w:szCs w:val="18"/>
        </w:rPr>
      </w:pPr>
      <w:r w:rsidRPr="003370E6">
        <w:rPr>
          <w:rFonts w:ascii="Verdana" w:hAnsi="Verdana"/>
          <w:b/>
          <w:bCs/>
          <w:sz w:val="18"/>
          <w:szCs w:val="18"/>
        </w:rPr>
        <w:t>8. Kunt u een tabel maken met de jaarlijkse kosten van de AOW tot en met 2060, zowel vóór als na de voorgenomen maatregel?</w:t>
      </w:r>
    </w:p>
    <w:p w:rsidR="00022F4A" w:rsidP="009E2493" w:rsidRDefault="00022F4A" w14:paraId="62659D7E" w14:textId="77777777">
      <w:pPr>
        <w:pStyle w:val="Geenafstand"/>
        <w:rPr>
          <w:rFonts w:ascii="Verdana" w:hAnsi="Verdana"/>
          <w:b/>
          <w:bCs/>
          <w:sz w:val="18"/>
          <w:szCs w:val="18"/>
        </w:rPr>
      </w:pPr>
    </w:p>
    <w:p w:rsidR="00022F4A" w:rsidP="00022F4A" w:rsidRDefault="00022F4A" w14:paraId="6F57C429" w14:textId="2495E7F9">
      <w:pPr>
        <w:pStyle w:val="Geenafstand"/>
        <w:rPr>
          <w:rFonts w:ascii="Verdana" w:hAnsi="Verdana"/>
          <w:sz w:val="18"/>
          <w:szCs w:val="18"/>
        </w:rPr>
      </w:pPr>
      <w:r>
        <w:rPr>
          <w:rFonts w:ascii="Verdana" w:hAnsi="Verdana"/>
          <w:sz w:val="18"/>
          <w:szCs w:val="18"/>
        </w:rPr>
        <w:t>De uitgaven aan de AOW volgens de 2/3</w:t>
      </w:r>
      <w:r w:rsidRPr="00FA5735">
        <w:rPr>
          <w:rFonts w:ascii="Verdana" w:hAnsi="Verdana"/>
          <w:sz w:val="18"/>
          <w:szCs w:val="18"/>
          <w:vertAlign w:val="superscript"/>
        </w:rPr>
        <w:t>e</w:t>
      </w:r>
      <w:r>
        <w:rPr>
          <w:rFonts w:ascii="Verdana" w:hAnsi="Verdana"/>
          <w:sz w:val="18"/>
          <w:szCs w:val="18"/>
        </w:rPr>
        <w:t xml:space="preserve"> koppeling en 1-op-1 koppeling is hieronder weergegeven. Dit bevat</w:t>
      </w:r>
      <w:r w:rsidR="00DD7B52">
        <w:rPr>
          <w:rFonts w:ascii="Verdana" w:hAnsi="Verdana"/>
          <w:sz w:val="18"/>
          <w:szCs w:val="18"/>
        </w:rPr>
        <w:t xml:space="preserve"> </w:t>
      </w:r>
      <w:r>
        <w:rPr>
          <w:rFonts w:ascii="Verdana" w:hAnsi="Verdana"/>
          <w:sz w:val="18"/>
          <w:szCs w:val="18"/>
        </w:rPr>
        <w:t xml:space="preserve">niet de weglek naar andere sociale zekerheid. </w:t>
      </w:r>
    </w:p>
    <w:p w:rsidR="00022F4A" w:rsidP="00022F4A" w:rsidRDefault="00022F4A" w14:paraId="150D4D7C" w14:textId="77777777">
      <w:pPr>
        <w:pStyle w:val="Geenafstand"/>
        <w:rPr>
          <w:rFonts w:ascii="Verdana" w:hAnsi="Verdana"/>
          <w:sz w:val="18"/>
          <w:szCs w:val="18"/>
        </w:rPr>
      </w:pPr>
    </w:p>
    <w:tbl>
      <w:tblPr>
        <w:tblW w:w="9297" w:type="dxa"/>
        <w:tblLayout w:type="fixed"/>
        <w:tblCellMar>
          <w:left w:w="70" w:type="dxa"/>
          <w:right w:w="70" w:type="dxa"/>
        </w:tblCellMar>
        <w:tblLook w:val="04A0" w:firstRow="1" w:lastRow="0" w:firstColumn="1" w:lastColumn="0" w:noHBand="0" w:noVBand="1"/>
      </w:tblPr>
      <w:tblGrid>
        <w:gridCol w:w="2665"/>
        <w:gridCol w:w="1326"/>
        <w:gridCol w:w="1326"/>
        <w:gridCol w:w="1327"/>
        <w:gridCol w:w="1326"/>
        <w:gridCol w:w="1327"/>
      </w:tblGrid>
      <w:tr w:rsidRPr="00FA5735" w:rsidR="00022F4A" w:rsidTr="0078034E" w14:paraId="4D89806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3A6259CD"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A1BD973" w14:textId="325C6F43">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971F1A9" w14:textId="27784041">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350B4EA" w14:textId="0B0CD34D">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A394AA7" w14:textId="66E3C0FF">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42F1B3BF" w14:textId="132422ED">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30</w:t>
            </w:r>
          </w:p>
        </w:tc>
      </w:tr>
      <w:tr w:rsidRPr="00FA5735" w:rsidR="00022F4A" w:rsidTr="0078034E" w14:paraId="21E8F203"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2F0EC27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447E0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470AD2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1AF02C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20AC88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42BB2E3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022F4A" w:rsidTr="0078034E" w14:paraId="5D63A68D"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0099248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E19F9F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596A2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EEA37D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A6E30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4042CA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022F4A" w:rsidTr="0078034E" w14:paraId="471CF4D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52F94DE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12F94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9509D5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4B086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31513C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AA355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r>
      <w:tr w:rsidRPr="00FA5735" w:rsidR="00022F4A" w:rsidTr="0078034E" w14:paraId="0FD29D08"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3CEA1AB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C1008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0E2868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F4A3A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1DA77E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DA576F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4D46240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1DDEFC92"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E8C3D8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520A79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0C99C3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17A3CA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19758A4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2035</w:t>
            </w:r>
          </w:p>
        </w:tc>
      </w:tr>
      <w:tr w:rsidRPr="00FA5735" w:rsidR="00022F4A" w:rsidTr="0078034E" w14:paraId="623C2277"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16DFF0E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829FD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DEDFB3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5DCAB1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64.775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3F97A6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65.137</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54DAA01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66.224</w:t>
            </w:r>
          </w:p>
        </w:tc>
      </w:tr>
      <w:tr w:rsidRPr="00FA5735" w:rsidR="00022F4A" w:rsidTr="0078034E" w14:paraId="250D8EE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8030B1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7CD65B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DC421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834EE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63.705</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1ABAB5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64.080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1D9A14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65.170</w:t>
            </w:r>
          </w:p>
        </w:tc>
      </w:tr>
      <w:tr w:rsidRPr="00FA5735" w:rsidR="00022F4A" w:rsidTr="0078034E" w14:paraId="6A868184"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14308A9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54185B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DB2B20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B6502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-1.070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D122CD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D4E93B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-1.054 </w:t>
            </w:r>
          </w:p>
        </w:tc>
      </w:tr>
      <w:tr w:rsidRPr="00FA5735" w:rsidR="00022F4A" w:rsidTr="0078034E" w14:paraId="7FCCA95C"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4523863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EE096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08FEEC7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6C151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165C8F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28DB4AA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78544B76"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698A1871"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1D8A82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FB7B8B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636D2B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03FCA0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0A36EDF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2040</w:t>
            </w:r>
          </w:p>
        </w:tc>
      </w:tr>
      <w:tr w:rsidRPr="00FA5735" w:rsidR="00022F4A" w:rsidTr="0078034E" w14:paraId="37F7740E"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54DFDE2F"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B5B95B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67.398</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738AF2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67.761</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474F0D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68.855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0548DF7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69.856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57B0E2B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69.860</w:t>
            </w:r>
          </w:p>
        </w:tc>
      </w:tr>
      <w:tr w:rsidRPr="00FA5735" w:rsidR="00022F4A" w:rsidTr="0078034E" w14:paraId="45352727"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2B2C1F8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6C2E4E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65.268</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DD417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66.648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C91DD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66.661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2ED209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67.724</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7E0948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67.776</w:t>
            </w:r>
          </w:p>
        </w:tc>
      </w:tr>
      <w:tr w:rsidRPr="00FA5735" w:rsidR="00022F4A" w:rsidTr="0078034E" w14:paraId="63F5439E"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232BE002"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53D623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-2.130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EEE191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-1.113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F44A4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-2.195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771321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2C9B7C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-2.084 </w:t>
            </w:r>
          </w:p>
        </w:tc>
      </w:tr>
      <w:tr w:rsidRPr="00FA5735" w:rsidR="00022F4A" w:rsidTr="0078034E" w14:paraId="582FD44D" w14:textId="77777777">
        <w:trPr>
          <w:trHeight w:val="288"/>
        </w:trPr>
        <w:tc>
          <w:tcPr>
            <w:tcW w:w="2665" w:type="dxa"/>
            <w:tcBorders>
              <w:top w:val="nil"/>
              <w:left w:val="nil"/>
              <w:bottom w:val="nil"/>
              <w:right w:val="nil"/>
            </w:tcBorders>
            <w:shd w:val="clear" w:color="000000" w:fill="FFFFFF"/>
            <w:noWrap/>
            <w:vAlign w:val="bottom"/>
            <w:hideMark/>
          </w:tcPr>
          <w:p w:rsidR="00022F4A" w:rsidP="0078034E" w:rsidRDefault="00022F4A" w14:paraId="276130D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p w:rsidR="008B21CD" w:rsidP="0078034E" w:rsidRDefault="008B21CD" w14:paraId="38E45A0B" w14:textId="77777777">
            <w:pPr>
              <w:spacing w:after="0" w:line="240" w:lineRule="auto"/>
              <w:rPr>
                <w:rFonts w:ascii="Calibri" w:hAnsi="Calibri" w:eastAsia="Times New Roman" w:cs="Calibri"/>
                <w:color w:val="000000"/>
                <w:kern w:val="0"/>
                <w:sz w:val="20"/>
                <w:szCs w:val="20"/>
                <w:lang w:eastAsia="nl-NL"/>
                <w14:ligatures w14:val="none"/>
              </w:rPr>
            </w:pPr>
          </w:p>
          <w:p w:rsidRPr="00FA5735" w:rsidR="004548AF" w:rsidP="0078034E" w:rsidRDefault="004548AF" w14:paraId="532FF17E" w14:textId="77777777">
            <w:pPr>
              <w:spacing w:after="0" w:line="240" w:lineRule="auto"/>
              <w:rPr>
                <w:rFonts w:ascii="Calibri" w:hAnsi="Calibri" w:eastAsia="Times New Roman" w:cs="Calibri"/>
                <w:color w:val="000000"/>
                <w:kern w:val="0"/>
                <w:sz w:val="20"/>
                <w:szCs w:val="20"/>
                <w:lang w:eastAsia="nl-NL"/>
                <w14:ligatures w14:val="none"/>
              </w:rPr>
            </w:pP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1505A9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2B061A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39FBF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12713F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D8D7E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298D4445"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3DF08363"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EED38A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DA2D6F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B1D0D4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5493574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3388FE3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2045</w:t>
            </w:r>
          </w:p>
        </w:tc>
      </w:tr>
      <w:tr w:rsidRPr="00FA5735" w:rsidR="00022F4A" w:rsidTr="0078034E" w14:paraId="719E36B9"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2B80DF1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lastRenderedPageBreak/>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09FA340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70.392</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5EAB4B8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70.800</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C7E84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70.338</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CA6E95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70.449</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3A51DD2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70.616</w:t>
            </w:r>
          </w:p>
        </w:tc>
      </w:tr>
      <w:tr w:rsidRPr="00FA5735" w:rsidR="00022F4A" w:rsidTr="0078034E" w14:paraId="378F013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5DA6465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EE4C66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68.397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99B44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68.017</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490F4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68.537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7F96A7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68.713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6773DE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68.014</w:t>
            </w:r>
          </w:p>
        </w:tc>
      </w:tr>
      <w:tr w:rsidRPr="00FA5735" w:rsidR="00022F4A" w:rsidTr="0078034E" w14:paraId="3B0D935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042D7DB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03C58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-1.995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61B24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-2.783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A4E56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-1.802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A6B9D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-1.737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D7A61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-2.602 </w:t>
            </w:r>
          </w:p>
        </w:tc>
      </w:tr>
      <w:tr w:rsidRPr="00FA5735" w:rsidR="00022F4A" w:rsidTr="0078034E" w14:paraId="0EEB496E"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12DAD43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00CFB4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D0FD7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23C3E4B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2D2A13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4235397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6475816C"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736CAC5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2B1C8C5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1403CC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8682BA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F5EA61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1D15B2B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2050</w:t>
            </w:r>
          </w:p>
        </w:tc>
      </w:tr>
      <w:tr w:rsidRPr="00FA5735" w:rsidR="00022F4A" w:rsidTr="0078034E" w14:paraId="55267BF0"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0AF30AD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8F499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70.777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AA1511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70.237</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9B165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70.370</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590DB6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70.636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713D3B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70.121</w:t>
            </w:r>
          </w:p>
        </w:tc>
      </w:tr>
      <w:tr w:rsidRPr="00FA5735" w:rsidR="00022F4A" w:rsidTr="0078034E" w14:paraId="1AED6079"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406D933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6B53D1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68.185</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1F621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67.620</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A6B67A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67.731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57403E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67.053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EC5878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67.394</w:t>
            </w:r>
          </w:p>
        </w:tc>
      </w:tr>
      <w:tr w:rsidRPr="00FA5735" w:rsidR="00022F4A" w:rsidTr="0078034E" w14:paraId="1E02CCA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1F9AC34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F42FD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-2.592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7F379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-2.617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294744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-2.639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43DBA9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0F2BCA7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-2.727 </w:t>
            </w:r>
          </w:p>
        </w:tc>
      </w:tr>
      <w:tr w:rsidRPr="00FA5735" w:rsidR="00022F4A" w:rsidTr="0078034E" w14:paraId="6C20252E"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6C72474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72597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83E97D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453649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5E463D0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47A04F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7D783563"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283F4AE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F2936B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B23F5A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D94AB5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B7EED7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5F69EB6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2055</w:t>
            </w:r>
          </w:p>
        </w:tc>
      </w:tr>
      <w:tr w:rsidRPr="00FA5735" w:rsidR="00022F4A" w:rsidTr="0078034E" w14:paraId="5F4A189B"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07A523E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55F486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70.253</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368ADE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70.438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1E4F3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70.687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769DA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70.204</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72F941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70.519</w:t>
            </w:r>
          </w:p>
        </w:tc>
      </w:tr>
      <w:tr w:rsidRPr="00FA5735" w:rsidR="00022F4A" w:rsidTr="0078034E" w14:paraId="61951DC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89EEE0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41DE50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66.652</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9E7DB4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66.879</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ED483F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67.099</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9D8868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66.540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22ACFDE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66.779</w:t>
            </w:r>
          </w:p>
        </w:tc>
      </w:tr>
      <w:tr w:rsidRPr="00FA5735" w:rsidR="00022F4A" w:rsidTr="0078034E" w14:paraId="464F1A1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0A3F7C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D64F4F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-3.601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5159A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-3.559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8C63F3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-3.588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8735A4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-3.664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C5A11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-3.739 </w:t>
            </w:r>
          </w:p>
        </w:tc>
      </w:tr>
      <w:tr w:rsidRPr="00FA5735" w:rsidR="00022F4A" w:rsidTr="0078034E" w14:paraId="753DCE68"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63A7CF2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7C3B2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699F4CE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F569B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58A200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59F709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52BB1B5E"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5F246CCE"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36F12F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2736AE4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7C87D8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184BCE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3C4F8C0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2060</w:t>
            </w:r>
          </w:p>
        </w:tc>
      </w:tr>
      <w:tr w:rsidRPr="00FA5735" w:rsidR="00022F4A" w:rsidTr="0078034E" w14:paraId="67D6B7D8"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6F15BB8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FC887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70.965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B04438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70.570</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DA035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70.999</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762653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71.621</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37558B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72.358</w:t>
            </w:r>
          </w:p>
        </w:tc>
      </w:tr>
      <w:tr w:rsidRPr="00FA5735" w:rsidR="00022F4A" w:rsidTr="0078034E" w14:paraId="76914808"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357D8B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C210E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66.191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B43105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66.696</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6D6C9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66.134</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8F648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66.699</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B4163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67.291</w:t>
            </w:r>
          </w:p>
        </w:tc>
      </w:tr>
      <w:tr w:rsidRPr="00FA5735" w:rsidR="00022F4A" w:rsidTr="0078034E" w14:paraId="2DF92D0F"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E85548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C081E4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-4.775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E7F3B5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-3.873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214BB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-4.865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05E3C5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-4.922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A3E957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-5.067 </w:t>
            </w:r>
          </w:p>
        </w:tc>
      </w:tr>
    </w:tbl>
    <w:p w:rsidRPr="003370E6" w:rsidR="009E2493" w:rsidP="009E2493" w:rsidRDefault="00022F4A" w14:paraId="3801302E" w14:textId="4B4253B8">
      <w:pPr>
        <w:pStyle w:val="Geenafstand"/>
        <w:rPr>
          <w:rFonts w:ascii="Verdana" w:hAnsi="Verdana"/>
          <w:b/>
          <w:bCs/>
          <w:sz w:val="18"/>
          <w:szCs w:val="18"/>
        </w:rPr>
      </w:pPr>
      <w:r w:rsidRPr="002572E8">
        <w:rPr>
          <w:rFonts w:ascii="Verdana" w:hAnsi="Verdana"/>
          <w:b/>
          <w:bCs/>
          <w:sz w:val="18"/>
          <w:szCs w:val="18"/>
        </w:rPr>
        <w:br/>
      </w:r>
      <w:r w:rsidRPr="003370E6" w:rsidR="009E2493">
        <w:rPr>
          <w:rFonts w:ascii="Verdana" w:hAnsi="Verdana"/>
          <w:b/>
          <w:bCs/>
          <w:sz w:val="18"/>
          <w:szCs w:val="18"/>
        </w:rPr>
        <w:br/>
      </w:r>
    </w:p>
    <w:p w:rsidR="00BF1B82" w:rsidP="009E2493" w:rsidRDefault="009E2493" w14:paraId="48BF79AA" w14:textId="77777777">
      <w:pPr>
        <w:pStyle w:val="Geenafstand"/>
        <w:rPr>
          <w:rFonts w:ascii="Verdana" w:hAnsi="Verdana"/>
          <w:b/>
          <w:bCs/>
          <w:sz w:val="18"/>
          <w:szCs w:val="18"/>
        </w:rPr>
      </w:pPr>
      <w:r w:rsidRPr="003370E6">
        <w:rPr>
          <w:rFonts w:ascii="Verdana" w:hAnsi="Verdana"/>
          <w:b/>
          <w:bCs/>
          <w:sz w:val="18"/>
          <w:szCs w:val="18"/>
        </w:rPr>
        <w:t>9. Welk deel van de mensen die langer door zouden moeten werken door het voorstel om de AOW-leeftijd versneld te verhogen houdt het volgens u vol om daadwerkelijk langer door te werken? Welk deel komt in de Wet werk en inkomen naar arbeidsvermogen (WIA), Werkloosheidswet (WW) of Participatiewet terecht?</w:t>
      </w:r>
    </w:p>
    <w:p w:rsidR="00BF1B82" w:rsidP="009E2493" w:rsidRDefault="00BF1B82" w14:paraId="69DEE952" w14:textId="77777777">
      <w:pPr>
        <w:pStyle w:val="Geenafstand"/>
        <w:rPr>
          <w:rFonts w:ascii="Verdana" w:hAnsi="Verdana"/>
          <w:b/>
          <w:bCs/>
          <w:sz w:val="18"/>
          <w:szCs w:val="18"/>
        </w:rPr>
      </w:pPr>
    </w:p>
    <w:p w:rsidR="00683502" w:rsidP="009E2493" w:rsidRDefault="00BF1B82" w14:paraId="5060597F" w14:textId="1A258072">
      <w:pPr>
        <w:pStyle w:val="Geenafstand"/>
        <w:rPr>
          <w:rFonts w:ascii="Verdana" w:hAnsi="Verdana"/>
          <w:sz w:val="18"/>
          <w:szCs w:val="18"/>
        </w:rPr>
      </w:pPr>
      <w:r>
        <w:rPr>
          <w:rFonts w:ascii="Verdana" w:hAnsi="Verdana"/>
          <w:sz w:val="18"/>
          <w:szCs w:val="18"/>
        </w:rPr>
        <w:t xml:space="preserve">Uit de meest recente ‘Monitor </w:t>
      </w:r>
      <w:r w:rsidR="00A115F5">
        <w:rPr>
          <w:rFonts w:ascii="Verdana" w:hAnsi="Verdana"/>
          <w:sz w:val="18"/>
          <w:szCs w:val="18"/>
        </w:rPr>
        <w:t xml:space="preserve">verhoging </w:t>
      </w:r>
      <w:r>
        <w:rPr>
          <w:rFonts w:ascii="Verdana" w:hAnsi="Verdana"/>
          <w:sz w:val="18"/>
          <w:szCs w:val="18"/>
        </w:rPr>
        <w:t>AOW-gerechtigde leeftijd’ van SEO Economisch Onderzoek</w:t>
      </w:r>
      <w:r w:rsidR="00683502">
        <w:rPr>
          <w:rStyle w:val="Voetnootmarkering"/>
          <w:rFonts w:ascii="Verdana" w:hAnsi="Verdana"/>
          <w:sz w:val="18"/>
          <w:szCs w:val="18"/>
        </w:rPr>
        <w:footnoteReference w:id="4"/>
      </w:r>
      <w:r>
        <w:rPr>
          <w:rFonts w:ascii="Verdana" w:hAnsi="Verdana"/>
          <w:sz w:val="18"/>
          <w:szCs w:val="18"/>
        </w:rPr>
        <w:t xml:space="preserve"> blijkt </w:t>
      </w:r>
      <w:r w:rsidR="00683502">
        <w:rPr>
          <w:rFonts w:ascii="Verdana" w:hAnsi="Verdana"/>
          <w:sz w:val="18"/>
          <w:szCs w:val="18"/>
        </w:rPr>
        <w:t xml:space="preserve">niet dat het actieve gebruik van de WW, WIA of bijstand toeneemt door de geleidelijke verhoging van de AOW-leeftijd. Er is geen actief substitutie-effect, </w:t>
      </w:r>
      <w:r w:rsidRPr="00FE40D2" w:rsidR="00FE40D2">
        <w:rPr>
          <w:rFonts w:ascii="Verdana" w:hAnsi="Verdana"/>
          <w:sz w:val="18"/>
          <w:szCs w:val="18"/>
        </w:rPr>
        <w:t xml:space="preserve">waarbij ouderen eerder </w:t>
      </w:r>
      <w:r w:rsidR="00FE40D2">
        <w:rPr>
          <w:rFonts w:ascii="Verdana" w:hAnsi="Verdana"/>
          <w:sz w:val="18"/>
          <w:szCs w:val="18"/>
        </w:rPr>
        <w:t xml:space="preserve">zouden </w:t>
      </w:r>
      <w:r w:rsidRPr="00FE40D2" w:rsidR="00FE40D2">
        <w:rPr>
          <w:rFonts w:ascii="Verdana" w:hAnsi="Verdana"/>
          <w:sz w:val="18"/>
          <w:szCs w:val="18"/>
        </w:rPr>
        <w:t>stoppen met werken om in de periode tussen de oude en de verhoogde AOW-leeftijd een uitkering te gebruiken</w:t>
      </w:r>
      <w:r w:rsidR="00FE40D2">
        <w:rPr>
          <w:rFonts w:ascii="Verdana" w:hAnsi="Verdana"/>
          <w:sz w:val="18"/>
          <w:szCs w:val="18"/>
        </w:rPr>
        <w:t xml:space="preserve">, </w:t>
      </w:r>
      <w:r w:rsidR="00683502">
        <w:rPr>
          <w:rFonts w:ascii="Verdana" w:hAnsi="Verdana"/>
          <w:sz w:val="18"/>
          <w:szCs w:val="18"/>
        </w:rPr>
        <w:t xml:space="preserve">zoals SEO dit omschrijft. Sinds 2013 is de AOW-leeftijd gestegen van 65 jaar naar 67 jaar in 2026. Door de verhoging blijven mensen die al een WW-, WIA- of bijstandsuitkering ontvangen langer in deze uitkering. Dit </w:t>
      </w:r>
      <w:r w:rsidR="00FE40D2">
        <w:rPr>
          <w:rFonts w:ascii="Verdana" w:hAnsi="Verdana"/>
          <w:sz w:val="18"/>
          <w:szCs w:val="18"/>
        </w:rPr>
        <w:t>wordt het</w:t>
      </w:r>
      <w:r w:rsidR="00683502">
        <w:rPr>
          <w:rFonts w:ascii="Verdana" w:hAnsi="Verdana"/>
          <w:sz w:val="18"/>
          <w:szCs w:val="18"/>
        </w:rPr>
        <w:t xml:space="preserve"> passieve substitutie-effect</w:t>
      </w:r>
      <w:r w:rsidR="00FE40D2">
        <w:rPr>
          <w:rFonts w:ascii="Verdana" w:hAnsi="Verdana"/>
          <w:sz w:val="18"/>
          <w:szCs w:val="18"/>
        </w:rPr>
        <w:t xml:space="preserve"> genoemd</w:t>
      </w:r>
      <w:r w:rsidR="00683502">
        <w:rPr>
          <w:rFonts w:ascii="Verdana" w:hAnsi="Verdana"/>
          <w:sz w:val="18"/>
          <w:szCs w:val="18"/>
        </w:rPr>
        <w:t xml:space="preserve">. </w:t>
      </w:r>
      <w:r w:rsidR="007E308F">
        <w:rPr>
          <w:rFonts w:ascii="Verdana" w:hAnsi="Verdana"/>
          <w:sz w:val="18"/>
          <w:szCs w:val="18"/>
        </w:rPr>
        <w:t xml:space="preserve">Hoewel het risico op instroom in deze uitkeringen toeneemt zijn er </w:t>
      </w:r>
      <w:r w:rsidRPr="00683502" w:rsidR="00683502">
        <w:rPr>
          <w:rFonts w:ascii="Verdana" w:hAnsi="Verdana"/>
          <w:sz w:val="18"/>
          <w:szCs w:val="18"/>
        </w:rPr>
        <w:t xml:space="preserve">geen aanwijzingen dat ouderen massaal rond hun 65ste of rond de nieuwe AOW-leeftijd bewust instromen in sociale zekerheid. </w:t>
      </w:r>
      <w:r w:rsidR="00FE40D2">
        <w:rPr>
          <w:rFonts w:ascii="Verdana" w:hAnsi="Verdana"/>
          <w:sz w:val="18"/>
          <w:szCs w:val="18"/>
        </w:rPr>
        <w:t>Het</w:t>
      </w:r>
      <w:r w:rsidR="007E308F">
        <w:rPr>
          <w:rFonts w:ascii="Verdana" w:hAnsi="Verdana"/>
          <w:sz w:val="18"/>
          <w:szCs w:val="18"/>
        </w:rPr>
        <w:t xml:space="preserve"> ministerie</w:t>
      </w:r>
      <w:r w:rsidR="007501F2">
        <w:rPr>
          <w:rFonts w:ascii="Verdana" w:hAnsi="Verdana"/>
          <w:sz w:val="18"/>
          <w:szCs w:val="18"/>
        </w:rPr>
        <w:t xml:space="preserve"> van SZW</w:t>
      </w:r>
      <w:r w:rsidR="007E308F">
        <w:rPr>
          <w:rFonts w:ascii="Verdana" w:hAnsi="Verdana"/>
          <w:sz w:val="18"/>
          <w:szCs w:val="18"/>
        </w:rPr>
        <w:t xml:space="preserve"> </w:t>
      </w:r>
      <w:r w:rsidR="00FE40D2">
        <w:rPr>
          <w:rFonts w:ascii="Verdana" w:hAnsi="Verdana"/>
          <w:sz w:val="18"/>
          <w:szCs w:val="18"/>
        </w:rPr>
        <w:t>monitort de effecten van de verhoging van de AOW-leeftijd jaarlijks</w:t>
      </w:r>
      <w:r w:rsidR="007E308F">
        <w:rPr>
          <w:rFonts w:ascii="Verdana" w:hAnsi="Verdana"/>
          <w:sz w:val="18"/>
          <w:szCs w:val="18"/>
        </w:rPr>
        <w:t>.</w:t>
      </w:r>
    </w:p>
    <w:p w:rsidRPr="003370E6" w:rsidR="009E2493" w:rsidP="009E2493" w:rsidRDefault="009E2493" w14:paraId="0B7EEA59" w14:textId="161383A7">
      <w:pPr>
        <w:pStyle w:val="Geenafstand"/>
        <w:rPr>
          <w:rFonts w:ascii="Verdana" w:hAnsi="Verdana"/>
          <w:b/>
          <w:bCs/>
          <w:sz w:val="18"/>
          <w:szCs w:val="18"/>
        </w:rPr>
      </w:pPr>
    </w:p>
    <w:p w:rsidR="00022F4A" w:rsidP="009E2493" w:rsidRDefault="009E2493" w14:paraId="55AAD233" w14:textId="25F1DCCE">
      <w:pPr>
        <w:pStyle w:val="Geenafstand"/>
        <w:rPr>
          <w:rFonts w:ascii="Verdana" w:hAnsi="Verdana"/>
          <w:sz w:val="18"/>
          <w:szCs w:val="18"/>
        </w:rPr>
      </w:pPr>
      <w:r w:rsidRPr="003370E6">
        <w:rPr>
          <w:rFonts w:ascii="Verdana" w:hAnsi="Verdana"/>
          <w:b/>
          <w:bCs/>
          <w:sz w:val="18"/>
          <w:szCs w:val="18"/>
        </w:rPr>
        <w:t>10. Bent u zich ervan bewust dat het CPB uitgaat van een ombuiging op de AOW van €4,9 miljard en een netto ombuiging van €2,7 miljard in 2060 als gevolg van de voorgenomen versnelde verhoging van de AOW-leeftijd? Klopt het dat daarmee zo’n 45%, dat wil zeggen bijna de helft, van de groep die langer door zou moeten werken in plaats daarvan een andere uitkering krijgt?</w:t>
      </w:r>
      <w:r w:rsidRPr="003370E6">
        <w:rPr>
          <w:rFonts w:ascii="Verdana" w:hAnsi="Verdana"/>
          <w:b/>
          <w:bCs/>
          <w:sz w:val="18"/>
          <w:szCs w:val="18"/>
        </w:rPr>
        <w:br/>
      </w:r>
    </w:p>
    <w:p w:rsidRPr="00F366CA" w:rsidR="00022F4A" w:rsidP="00022F4A" w:rsidRDefault="00022F4A" w14:paraId="27F54DF0" w14:textId="7B66E322">
      <w:pPr>
        <w:pStyle w:val="Geenafstand"/>
        <w:rPr>
          <w:rFonts w:ascii="Verdana" w:hAnsi="Verdana"/>
          <w:sz w:val="18"/>
          <w:szCs w:val="18"/>
        </w:rPr>
      </w:pPr>
      <w:r w:rsidRPr="00F366CA">
        <w:rPr>
          <w:rFonts w:ascii="Verdana" w:hAnsi="Verdana"/>
          <w:sz w:val="18"/>
          <w:szCs w:val="18"/>
        </w:rPr>
        <w:t xml:space="preserve">De raming van het CPB over de budgettaire gevolgen van de 1-op-1 koppeling van de AOW aan de levensverwachting sluit aan op de raming zoals opgenomen in het Coalitieakkoord. De 1-op-1 koppeling leidt tot een besparing </w:t>
      </w:r>
      <w:r w:rsidR="005F0790">
        <w:rPr>
          <w:rFonts w:ascii="Verdana" w:hAnsi="Verdana"/>
          <w:sz w:val="18"/>
          <w:szCs w:val="18"/>
        </w:rPr>
        <w:t>o</w:t>
      </w:r>
      <w:r w:rsidRPr="00F366CA">
        <w:rPr>
          <w:rFonts w:ascii="Verdana" w:hAnsi="Verdana"/>
          <w:sz w:val="18"/>
          <w:szCs w:val="18"/>
        </w:rPr>
        <w:t xml:space="preserve">p de AOW-uitgaven in 2060. Tegelijkertijd leidt dit er toe dat mensen een langere periode een andere uitkering ontvangen of voor de periode dat zij later een AOW ontvangen een andere uitkering instromen. </w:t>
      </w:r>
    </w:p>
    <w:p w:rsidRPr="00F366CA" w:rsidR="00022F4A" w:rsidP="00022F4A" w:rsidRDefault="00022F4A" w14:paraId="08BBBF9D" w14:textId="77777777">
      <w:pPr>
        <w:pStyle w:val="Geenafstand"/>
        <w:rPr>
          <w:rFonts w:ascii="Verdana" w:hAnsi="Verdana"/>
          <w:sz w:val="18"/>
          <w:szCs w:val="18"/>
        </w:rPr>
      </w:pPr>
    </w:p>
    <w:p w:rsidRPr="00F366CA" w:rsidR="00022F4A" w:rsidP="00022F4A" w:rsidRDefault="00ED1457" w14:paraId="25B2B231" w14:textId="2BD191A0">
      <w:pPr>
        <w:pStyle w:val="Geenafstand"/>
        <w:rPr>
          <w:rFonts w:ascii="Verdana" w:hAnsi="Verdana"/>
          <w:sz w:val="18"/>
          <w:szCs w:val="18"/>
        </w:rPr>
      </w:pPr>
      <w:r>
        <w:rPr>
          <w:rFonts w:ascii="Verdana" w:hAnsi="Verdana"/>
          <w:sz w:val="18"/>
          <w:szCs w:val="18"/>
        </w:rPr>
        <w:t>Deze weglekeffecten</w:t>
      </w:r>
      <w:r w:rsidRPr="00F366CA" w:rsidR="00022F4A">
        <w:rPr>
          <w:rFonts w:ascii="Verdana" w:hAnsi="Verdana"/>
          <w:sz w:val="18"/>
          <w:szCs w:val="18"/>
        </w:rPr>
        <w:t xml:space="preserve"> naar andere sociale zekerheid </w:t>
      </w:r>
      <w:r w:rsidR="002038BA">
        <w:rPr>
          <w:rFonts w:ascii="Verdana" w:hAnsi="Verdana"/>
          <w:sz w:val="18"/>
          <w:szCs w:val="18"/>
        </w:rPr>
        <w:t>zijn</w:t>
      </w:r>
      <w:r w:rsidRPr="00F366CA" w:rsidR="00022F4A">
        <w:rPr>
          <w:rFonts w:ascii="Verdana" w:hAnsi="Verdana"/>
          <w:sz w:val="18"/>
          <w:szCs w:val="18"/>
        </w:rPr>
        <w:t xml:space="preserve"> gebaseerd op een analyse over realisatiecijfers </w:t>
      </w:r>
      <w:r>
        <w:rPr>
          <w:rFonts w:ascii="Verdana" w:hAnsi="Verdana"/>
          <w:sz w:val="18"/>
          <w:szCs w:val="18"/>
        </w:rPr>
        <w:t>uit</w:t>
      </w:r>
      <w:r w:rsidR="00022F4A">
        <w:rPr>
          <w:rFonts w:ascii="Verdana" w:hAnsi="Verdana"/>
          <w:sz w:val="18"/>
          <w:szCs w:val="18"/>
        </w:rPr>
        <w:t xml:space="preserve"> 2019 t/m 2021</w:t>
      </w:r>
      <w:r>
        <w:rPr>
          <w:rFonts w:ascii="Verdana" w:hAnsi="Verdana"/>
          <w:sz w:val="18"/>
          <w:szCs w:val="18"/>
        </w:rPr>
        <w:t>. Hierin</w:t>
      </w:r>
      <w:r w:rsidRPr="00F366CA" w:rsidR="00022F4A">
        <w:rPr>
          <w:rFonts w:ascii="Verdana" w:hAnsi="Verdana"/>
          <w:sz w:val="18"/>
          <w:szCs w:val="18"/>
        </w:rPr>
        <w:t xml:space="preserve"> is </w:t>
      </w:r>
      <w:r w:rsidR="00022F4A">
        <w:rPr>
          <w:rFonts w:ascii="Verdana" w:hAnsi="Verdana"/>
          <w:sz w:val="18"/>
          <w:szCs w:val="18"/>
        </w:rPr>
        <w:t>geanalyseerd</w:t>
      </w:r>
      <w:r w:rsidRPr="00F366CA" w:rsidR="00022F4A">
        <w:rPr>
          <w:rFonts w:ascii="Verdana" w:hAnsi="Verdana"/>
          <w:sz w:val="18"/>
          <w:szCs w:val="18"/>
        </w:rPr>
        <w:t xml:space="preserve"> wat de totale uitgaven aan andere sociale zekerheid is van de groep mensen die </w:t>
      </w:r>
      <w:r w:rsidR="00022F4A">
        <w:rPr>
          <w:rFonts w:ascii="Verdana" w:hAnsi="Verdana"/>
          <w:sz w:val="18"/>
          <w:szCs w:val="18"/>
        </w:rPr>
        <w:t xml:space="preserve">in </w:t>
      </w:r>
      <w:r w:rsidRPr="00F366CA" w:rsidR="00022F4A">
        <w:rPr>
          <w:rFonts w:ascii="Verdana" w:hAnsi="Verdana"/>
          <w:sz w:val="18"/>
          <w:szCs w:val="18"/>
        </w:rPr>
        <w:t xml:space="preserve">een gegeven jaar de AOW instromen. Uit deze analyse </w:t>
      </w:r>
      <w:r>
        <w:rPr>
          <w:rFonts w:ascii="Verdana" w:hAnsi="Verdana"/>
          <w:sz w:val="18"/>
          <w:szCs w:val="18"/>
        </w:rPr>
        <w:t>blijkt</w:t>
      </w:r>
      <w:r w:rsidRPr="00F366CA" w:rsidR="00022F4A">
        <w:rPr>
          <w:rFonts w:ascii="Verdana" w:hAnsi="Verdana"/>
          <w:sz w:val="18"/>
          <w:szCs w:val="18"/>
        </w:rPr>
        <w:t xml:space="preserve"> dat de totale uitgaven aan andere sociale zekerheid voor de mensen die op het punt staan de AOW-leeftijd te bereiken ca. 45% is van de uitgaven aan AOW zodra zij zijn ingestroomd. </w:t>
      </w:r>
      <w:r>
        <w:rPr>
          <w:rFonts w:ascii="Verdana" w:hAnsi="Verdana"/>
          <w:sz w:val="18"/>
          <w:szCs w:val="18"/>
        </w:rPr>
        <w:lastRenderedPageBreak/>
        <w:t>Met andere woorden, de uitgaven aan overige sociale zekerheidsuitkeringen, als gevolg van een hogere AOW-leeftijd, bedragen 45% van het bedrag dat anders aan de AOW uitgegeven zou zijn.</w:t>
      </w:r>
      <w:r w:rsidR="00E067CD">
        <w:rPr>
          <w:rFonts w:ascii="Verdana" w:hAnsi="Verdana"/>
          <w:sz w:val="18"/>
          <w:szCs w:val="18"/>
        </w:rPr>
        <w:t xml:space="preserve"> Indien de AOW-leeftijd omhoog gaat zit deze groep dus langer in de betreffende socialezekerheidsuitkering. </w:t>
      </w:r>
      <w:r>
        <w:rPr>
          <w:rFonts w:ascii="Verdana" w:hAnsi="Verdana"/>
          <w:sz w:val="18"/>
          <w:szCs w:val="18"/>
        </w:rPr>
        <w:t>Deze analyse ziet echter alleen op de totale Rijksuitgaven. Er kunnen</w:t>
      </w:r>
      <w:r w:rsidR="00022F4A">
        <w:rPr>
          <w:rFonts w:ascii="Verdana" w:hAnsi="Verdana"/>
          <w:sz w:val="18"/>
          <w:szCs w:val="18"/>
        </w:rPr>
        <w:t xml:space="preserve"> geen conclusies verbonden worden over het aantal mensen om wie dit gaat aangezien de gemiddelde hoogte van de AOW niet gelijk is aan de gemiddelde hoogte van de andere uitkeringen. </w:t>
      </w:r>
      <w:r w:rsidRPr="00F366CA" w:rsidR="00022F4A">
        <w:rPr>
          <w:rFonts w:ascii="Verdana" w:hAnsi="Verdana"/>
          <w:sz w:val="18"/>
          <w:szCs w:val="18"/>
        </w:rPr>
        <w:t xml:space="preserve">Circa 34 procentpunt van de 45% aan weglek gaat </w:t>
      </w:r>
      <w:r w:rsidR="00022F4A">
        <w:rPr>
          <w:rFonts w:ascii="Verdana" w:hAnsi="Verdana"/>
          <w:sz w:val="18"/>
          <w:szCs w:val="18"/>
        </w:rPr>
        <w:t xml:space="preserve">immers </w:t>
      </w:r>
      <w:r w:rsidRPr="00F366CA" w:rsidR="00022F4A">
        <w:rPr>
          <w:rFonts w:ascii="Verdana" w:hAnsi="Verdana"/>
          <w:sz w:val="18"/>
          <w:szCs w:val="18"/>
        </w:rPr>
        <w:t>om Arbeidsongeschiktheids-, WW en Ziektewetuitkeringen</w:t>
      </w:r>
      <w:r>
        <w:rPr>
          <w:rFonts w:ascii="Verdana" w:hAnsi="Verdana"/>
          <w:sz w:val="18"/>
          <w:szCs w:val="18"/>
        </w:rPr>
        <w:t>. D</w:t>
      </w:r>
      <w:r w:rsidRPr="00F366CA" w:rsidR="00022F4A">
        <w:rPr>
          <w:rFonts w:ascii="Verdana" w:hAnsi="Verdana"/>
          <w:sz w:val="18"/>
          <w:szCs w:val="18"/>
        </w:rPr>
        <w:t xml:space="preserve">e gemiddelde </w:t>
      </w:r>
      <w:r>
        <w:rPr>
          <w:rFonts w:ascii="Verdana" w:hAnsi="Verdana"/>
          <w:sz w:val="18"/>
          <w:szCs w:val="18"/>
        </w:rPr>
        <w:t>uitkeringshoogte hiervan</w:t>
      </w:r>
      <w:r w:rsidRPr="00F366CA" w:rsidR="00022F4A">
        <w:rPr>
          <w:rFonts w:ascii="Verdana" w:hAnsi="Verdana"/>
          <w:sz w:val="18"/>
          <w:szCs w:val="18"/>
        </w:rPr>
        <w:t xml:space="preserve"> ligt aanzienlijk hoger dan de gemiddelde hoogte van een AOW-uitkering. </w:t>
      </w:r>
    </w:p>
    <w:p w:rsidRPr="00F366CA" w:rsidR="00022F4A" w:rsidP="00022F4A" w:rsidRDefault="00022F4A" w14:paraId="536AD891" w14:textId="77777777">
      <w:pPr>
        <w:pStyle w:val="Geenafstand"/>
        <w:rPr>
          <w:rFonts w:ascii="Verdana" w:hAnsi="Verdana"/>
          <w:sz w:val="18"/>
          <w:szCs w:val="18"/>
        </w:rPr>
      </w:pPr>
    </w:p>
    <w:p w:rsidRPr="00E440A1" w:rsidR="00022F4A" w:rsidP="009E2493" w:rsidRDefault="00022F4A" w14:paraId="0CBF74ED" w14:textId="174A6D56">
      <w:pPr>
        <w:pStyle w:val="Geenafstand"/>
        <w:rPr>
          <w:rFonts w:ascii="Verdana" w:hAnsi="Verdana"/>
          <w:sz w:val="18"/>
          <w:szCs w:val="18"/>
        </w:rPr>
      </w:pPr>
      <w:r w:rsidRPr="00F366CA">
        <w:rPr>
          <w:rFonts w:ascii="Verdana" w:hAnsi="Verdana"/>
          <w:sz w:val="18"/>
          <w:szCs w:val="18"/>
        </w:rPr>
        <w:t xml:space="preserve">De 45% aan weglek zegt </w:t>
      </w:r>
      <w:r>
        <w:rPr>
          <w:rFonts w:ascii="Verdana" w:hAnsi="Verdana"/>
          <w:sz w:val="18"/>
          <w:szCs w:val="18"/>
        </w:rPr>
        <w:t xml:space="preserve">dus </w:t>
      </w:r>
      <w:r w:rsidRPr="00F366CA">
        <w:rPr>
          <w:rFonts w:ascii="Verdana" w:hAnsi="Verdana"/>
          <w:sz w:val="18"/>
          <w:szCs w:val="18"/>
        </w:rPr>
        <w:t>uitsluitend iets over de Rijksuitgaven, maar niet over het aantal mensen dat</w:t>
      </w:r>
      <w:r w:rsidR="00AE496F">
        <w:rPr>
          <w:rFonts w:ascii="Verdana" w:hAnsi="Verdana"/>
          <w:sz w:val="18"/>
          <w:szCs w:val="18"/>
        </w:rPr>
        <w:t xml:space="preserve"> </w:t>
      </w:r>
      <w:r w:rsidRPr="00F366CA">
        <w:rPr>
          <w:rFonts w:ascii="Verdana" w:hAnsi="Verdana"/>
          <w:sz w:val="18"/>
          <w:szCs w:val="18"/>
        </w:rPr>
        <w:t>een uitkering ontvangen</w:t>
      </w:r>
      <w:r w:rsidRPr="00AE496F" w:rsidR="00AE496F">
        <w:rPr>
          <w:rFonts w:ascii="Verdana" w:hAnsi="Verdana"/>
          <w:sz w:val="18"/>
          <w:szCs w:val="18"/>
        </w:rPr>
        <w:t xml:space="preserve"> </w:t>
      </w:r>
      <w:r w:rsidRPr="00F366CA" w:rsidR="00AE496F">
        <w:rPr>
          <w:rFonts w:ascii="Verdana" w:hAnsi="Verdana"/>
          <w:sz w:val="18"/>
          <w:szCs w:val="18"/>
        </w:rPr>
        <w:t xml:space="preserve">in plaats van </w:t>
      </w:r>
      <w:r w:rsidR="00AE496F">
        <w:rPr>
          <w:rFonts w:ascii="Verdana" w:hAnsi="Verdana"/>
          <w:sz w:val="18"/>
          <w:szCs w:val="18"/>
        </w:rPr>
        <w:t xml:space="preserve">inkomen uit </w:t>
      </w:r>
      <w:r w:rsidRPr="00F366CA" w:rsidR="00AE496F">
        <w:rPr>
          <w:rFonts w:ascii="Verdana" w:hAnsi="Verdana"/>
          <w:sz w:val="18"/>
          <w:szCs w:val="18"/>
        </w:rPr>
        <w:t>werk voordat zij de AOW instromen</w:t>
      </w:r>
      <w:r w:rsidR="00AE496F">
        <w:rPr>
          <w:rFonts w:ascii="Verdana" w:hAnsi="Verdana"/>
          <w:sz w:val="18"/>
          <w:szCs w:val="18"/>
        </w:rPr>
        <w:t>.</w:t>
      </w:r>
    </w:p>
    <w:p w:rsidRPr="003370E6" w:rsidR="00E440A1" w:rsidP="009E2493" w:rsidRDefault="00E440A1" w14:paraId="4E7F2E69" w14:textId="77777777">
      <w:pPr>
        <w:pStyle w:val="Geenafstand"/>
        <w:rPr>
          <w:rFonts w:ascii="Verdana" w:hAnsi="Verdana"/>
          <w:b/>
          <w:bCs/>
          <w:sz w:val="18"/>
          <w:szCs w:val="18"/>
        </w:rPr>
      </w:pPr>
    </w:p>
    <w:p w:rsidR="009E2493" w:rsidP="009E2493" w:rsidRDefault="009E2493" w14:paraId="61FFE453" w14:textId="057042DB">
      <w:pPr>
        <w:pStyle w:val="Geenafstand"/>
        <w:rPr>
          <w:rFonts w:ascii="Verdana" w:hAnsi="Verdana"/>
          <w:b/>
          <w:bCs/>
          <w:sz w:val="18"/>
          <w:szCs w:val="18"/>
        </w:rPr>
      </w:pPr>
      <w:r w:rsidRPr="003370E6">
        <w:rPr>
          <w:rFonts w:ascii="Verdana" w:hAnsi="Verdana"/>
          <w:b/>
          <w:bCs/>
          <w:sz w:val="18"/>
          <w:szCs w:val="18"/>
        </w:rPr>
        <w:t>11. Kunt u deze cijfers nader uitsplitsen? Hoeveel meer mensen komen respectievelijk terecht in de WIA, WW en Participatiewet, en met hoeveel nemen de kosten van deze regelingen respectievelijk toe?</w:t>
      </w:r>
      <w:r w:rsidRPr="003370E6">
        <w:rPr>
          <w:rFonts w:ascii="Verdana" w:hAnsi="Verdana"/>
          <w:b/>
          <w:bCs/>
          <w:sz w:val="18"/>
          <w:szCs w:val="18"/>
        </w:rPr>
        <w:br/>
      </w:r>
    </w:p>
    <w:p w:rsidR="00022F4A" w:rsidP="00022F4A" w:rsidRDefault="00022F4A" w14:paraId="0E1C5246" w14:textId="69256A0B">
      <w:pPr>
        <w:pStyle w:val="Geenafstand"/>
        <w:rPr>
          <w:rFonts w:ascii="Verdana" w:hAnsi="Verdana"/>
          <w:sz w:val="18"/>
          <w:szCs w:val="18"/>
        </w:rPr>
      </w:pPr>
      <w:r>
        <w:rPr>
          <w:rFonts w:ascii="Verdana" w:hAnsi="Verdana"/>
          <w:sz w:val="18"/>
          <w:szCs w:val="18"/>
        </w:rPr>
        <w:t>Zoals toegelicht is uit de analyse niet op te maken hoeveel mensen terechtkomen in de WIA, WW of Participatiewet als gevolg van de 1-op-1 koppeling van de AOW aan de levensverwachting. Wel kan uiteengezet worden wat op basis van de analyse op basis van cijfers uit 2019 t/m 2021 de geraamde toename aan uitgaven aan deze regelingen is. Hieronder is de uitsplitsing van het weglekeffect naar andere sociale zekerheid weergegeven t/m 2035 en structureel.</w:t>
      </w:r>
    </w:p>
    <w:p w:rsidR="00022F4A" w:rsidP="00022F4A" w:rsidRDefault="00022F4A" w14:paraId="6F8CEFE3" w14:textId="77777777">
      <w:pPr>
        <w:pStyle w:val="Geenafstand"/>
        <w:rPr>
          <w:rFonts w:ascii="Verdana" w:hAnsi="Verdana"/>
          <w:sz w:val="18"/>
          <w:szCs w:val="18"/>
        </w:rPr>
      </w:pPr>
    </w:p>
    <w:tbl>
      <w:tblPr>
        <w:tblW w:w="9090" w:type="dxa"/>
        <w:tblCellMar>
          <w:left w:w="70" w:type="dxa"/>
          <w:right w:w="70" w:type="dxa"/>
        </w:tblCellMar>
        <w:tblLook w:val="04A0" w:firstRow="1" w:lastRow="0" w:firstColumn="1" w:lastColumn="0" w:noHBand="0" w:noVBand="1"/>
      </w:tblPr>
      <w:tblGrid>
        <w:gridCol w:w="3330"/>
        <w:gridCol w:w="960"/>
        <w:gridCol w:w="960"/>
        <w:gridCol w:w="960"/>
        <w:gridCol w:w="960"/>
        <w:gridCol w:w="960"/>
        <w:gridCol w:w="960"/>
      </w:tblGrid>
      <w:tr w:rsidRPr="007301FE" w:rsidR="00022F4A" w:rsidTr="0078034E" w14:paraId="5D196C68" w14:textId="77777777">
        <w:trPr>
          <w:trHeight w:val="290"/>
        </w:trPr>
        <w:tc>
          <w:tcPr>
            <w:tcW w:w="3330" w:type="dxa"/>
            <w:tcBorders>
              <w:top w:val="single" w:color="auto" w:sz="4" w:space="0"/>
              <w:left w:val="single" w:color="auto" w:sz="4" w:space="0"/>
              <w:bottom w:val="nil"/>
              <w:right w:val="nil"/>
            </w:tcBorders>
            <w:shd w:val="clear" w:color="auto" w:fill="000000" w:themeFill="text1"/>
            <w:noWrap/>
            <w:vAlign w:val="bottom"/>
            <w:hideMark/>
          </w:tcPr>
          <w:p w:rsidRPr="007301FE" w:rsidR="00022F4A" w:rsidP="0078034E" w:rsidRDefault="00022F4A" w14:paraId="0CDBDAF8" w14:textId="77777777">
            <w:pPr>
              <w:spacing w:after="0" w:line="240" w:lineRule="auto"/>
              <w:rPr>
                <w:rFonts w:ascii="Calibri" w:hAnsi="Calibri" w:eastAsia="Times New Roman" w:cs="Calibri"/>
                <w:color w:val="FFFFFF" w:themeColor="background1"/>
                <w:kern w:val="0"/>
                <w:lang w:eastAsia="nl-NL"/>
                <w14:ligatures w14:val="none"/>
              </w:rPr>
            </w:pPr>
            <w:r w:rsidRPr="007301FE">
              <w:rPr>
                <w:rFonts w:ascii="Calibri" w:hAnsi="Calibri" w:eastAsia="Times New Roman" w:cs="Calibri"/>
                <w:color w:val="FFFFFF" w:themeColor="background1"/>
                <w:kern w:val="0"/>
                <w:lang w:eastAsia="nl-NL"/>
                <w14:ligatures w14:val="none"/>
              </w:rPr>
              <w:t xml:space="preserve">Uitsplitsing </w:t>
            </w:r>
            <w:r w:rsidRPr="009408EF">
              <w:rPr>
                <w:rFonts w:ascii="Calibri" w:hAnsi="Calibri" w:eastAsia="Times New Roman" w:cs="Calibri"/>
                <w:color w:val="FFFFFF" w:themeColor="background1"/>
                <w:kern w:val="0"/>
                <w:lang w:eastAsia="nl-NL"/>
                <w14:ligatures w14:val="none"/>
              </w:rPr>
              <w:t xml:space="preserve">weglekeffect </w:t>
            </w:r>
            <w:r w:rsidRPr="009408EF">
              <w:rPr>
                <w:rFonts w:ascii="Calibri" w:hAnsi="Calibri" w:eastAsia="Times New Roman" w:cs="Calibri"/>
                <w:i/>
                <w:iCs/>
                <w:color w:val="FFFFFF" w:themeColor="background1"/>
                <w:kern w:val="0"/>
                <w:lang w:eastAsia="nl-NL"/>
                <w14:ligatures w14:val="none"/>
              </w:rPr>
              <w:t>(x € mln.)</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696C072D"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2031</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705C3431"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2032</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1C4B3CC1"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2033</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0D6682D2"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2034</w:t>
            </w:r>
          </w:p>
        </w:tc>
        <w:tc>
          <w:tcPr>
            <w:tcW w:w="960" w:type="dxa"/>
            <w:tcBorders>
              <w:top w:val="single" w:color="auto" w:sz="4" w:space="0"/>
              <w:left w:val="nil"/>
              <w:bottom w:val="nil"/>
              <w:right w:val="single" w:color="auto" w:sz="4" w:space="0"/>
            </w:tcBorders>
            <w:shd w:val="clear" w:color="auto" w:fill="000000" w:themeFill="text1"/>
            <w:noWrap/>
            <w:vAlign w:val="bottom"/>
            <w:hideMark/>
          </w:tcPr>
          <w:p w:rsidRPr="007301FE" w:rsidR="00022F4A" w:rsidP="0078034E" w:rsidRDefault="00022F4A" w14:paraId="30B56970"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2035</w:t>
            </w:r>
          </w:p>
        </w:tc>
        <w:tc>
          <w:tcPr>
            <w:tcW w:w="960" w:type="dxa"/>
            <w:tcBorders>
              <w:top w:val="single" w:color="auto" w:sz="4" w:space="0"/>
              <w:left w:val="nil"/>
              <w:bottom w:val="nil"/>
              <w:right w:val="single" w:color="auto" w:sz="4" w:space="0"/>
            </w:tcBorders>
            <w:shd w:val="clear" w:color="auto" w:fill="000000" w:themeFill="text1"/>
          </w:tcPr>
          <w:p w:rsidRPr="009408EF" w:rsidR="00022F4A" w:rsidP="0078034E" w:rsidRDefault="00022F4A" w14:paraId="3A9ABB8A" w14:textId="77777777">
            <w:pPr>
              <w:spacing w:after="0" w:line="240" w:lineRule="auto"/>
              <w:jc w:val="right"/>
              <w:rPr>
                <w:rFonts w:ascii="Calibri" w:hAnsi="Calibri" w:eastAsia="Times New Roman" w:cs="Calibri"/>
                <w:b/>
                <w:bCs/>
                <w:color w:val="FFFFFF" w:themeColor="background1"/>
                <w:kern w:val="0"/>
                <w:lang w:eastAsia="nl-NL"/>
                <w14:ligatures w14:val="none"/>
              </w:rPr>
            </w:pPr>
            <w:proofErr w:type="spellStart"/>
            <w:r w:rsidRPr="009408EF">
              <w:rPr>
                <w:rFonts w:ascii="Calibri" w:hAnsi="Calibri" w:eastAsia="Times New Roman" w:cs="Calibri"/>
                <w:b/>
                <w:bCs/>
                <w:color w:val="FFFFFF" w:themeColor="background1"/>
                <w:kern w:val="0"/>
                <w:lang w:eastAsia="nl-NL"/>
                <w14:ligatures w14:val="none"/>
              </w:rPr>
              <w:t>Struc</w:t>
            </w:r>
            <w:proofErr w:type="spellEnd"/>
            <w:r w:rsidRPr="009408EF">
              <w:rPr>
                <w:rFonts w:ascii="Calibri" w:hAnsi="Calibri" w:eastAsia="Times New Roman" w:cs="Calibri"/>
                <w:b/>
                <w:bCs/>
                <w:color w:val="FFFFFF" w:themeColor="background1"/>
                <w:kern w:val="0"/>
                <w:lang w:eastAsia="nl-NL"/>
                <w14:ligatures w14:val="none"/>
              </w:rPr>
              <w:t>.</w:t>
            </w:r>
          </w:p>
        </w:tc>
      </w:tr>
      <w:tr w:rsidRPr="007301FE" w:rsidR="00022F4A" w:rsidTr="0078034E" w14:paraId="04B907B3" w14:textId="77777777">
        <w:trPr>
          <w:trHeight w:val="290"/>
        </w:trPr>
        <w:tc>
          <w:tcPr>
            <w:tcW w:w="3330" w:type="dxa"/>
            <w:tcBorders>
              <w:top w:val="single" w:color="auto" w:sz="4" w:space="0"/>
              <w:left w:val="single" w:color="auto" w:sz="4" w:space="0"/>
              <w:bottom w:val="nil"/>
              <w:right w:val="nil"/>
            </w:tcBorders>
            <w:shd w:val="clear" w:color="auto" w:fill="auto"/>
            <w:noWrap/>
            <w:vAlign w:val="bottom"/>
            <w:hideMark/>
          </w:tcPr>
          <w:p w:rsidRPr="007301FE" w:rsidR="00022F4A" w:rsidP="0078034E" w:rsidRDefault="00022F4A" w14:paraId="3360B25D"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Participatiewet</w:t>
            </w:r>
          </w:p>
        </w:tc>
        <w:tc>
          <w:tcPr>
            <w:tcW w:w="960" w:type="dxa"/>
            <w:tcBorders>
              <w:top w:val="single" w:color="auto" w:sz="4" w:space="0"/>
              <w:left w:val="nil"/>
              <w:bottom w:val="nil"/>
              <w:right w:val="nil"/>
            </w:tcBorders>
            <w:shd w:val="clear" w:color="auto" w:fill="auto"/>
            <w:noWrap/>
            <w:vAlign w:val="bottom"/>
            <w:hideMark/>
          </w:tcPr>
          <w:p w:rsidRPr="007301FE" w:rsidR="00022F4A" w:rsidP="0078034E" w:rsidRDefault="00022F4A" w14:paraId="1FA778CC"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shd w:val="clear" w:color="auto" w:fill="auto"/>
            <w:noWrap/>
            <w:vAlign w:val="bottom"/>
            <w:hideMark/>
          </w:tcPr>
          <w:p w:rsidRPr="007301FE" w:rsidR="00022F4A" w:rsidP="0078034E" w:rsidRDefault="00022F4A" w14:paraId="76D1E9DF"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shd w:val="clear" w:color="auto" w:fill="auto"/>
            <w:noWrap/>
            <w:vAlign w:val="bottom"/>
          </w:tcPr>
          <w:p w:rsidRPr="007301FE" w:rsidR="00022F4A" w:rsidP="0078034E" w:rsidRDefault="00022F4A" w14:paraId="6E05FFF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45</w:t>
            </w:r>
          </w:p>
        </w:tc>
        <w:tc>
          <w:tcPr>
            <w:tcW w:w="960" w:type="dxa"/>
            <w:tcBorders>
              <w:top w:val="single" w:color="auto" w:sz="4" w:space="0"/>
              <w:left w:val="nil"/>
              <w:bottom w:val="nil"/>
              <w:right w:val="nil"/>
            </w:tcBorders>
            <w:shd w:val="clear" w:color="auto" w:fill="auto"/>
            <w:noWrap/>
            <w:vAlign w:val="bottom"/>
          </w:tcPr>
          <w:p w:rsidRPr="007301FE" w:rsidR="00022F4A" w:rsidP="0078034E" w:rsidRDefault="00022F4A" w14:paraId="77391BD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single" w:color="auto" w:sz="4" w:space="0"/>
              <w:left w:val="nil"/>
              <w:bottom w:val="nil"/>
              <w:right w:val="single" w:color="auto" w:sz="4" w:space="0"/>
            </w:tcBorders>
            <w:shd w:val="clear" w:color="auto" w:fill="auto"/>
            <w:noWrap/>
            <w:vAlign w:val="bottom"/>
          </w:tcPr>
          <w:p w:rsidRPr="007301FE" w:rsidR="00022F4A" w:rsidP="0078034E" w:rsidRDefault="00022F4A" w14:paraId="64EEE099"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3B2B3C6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211</w:t>
            </w:r>
          </w:p>
        </w:tc>
      </w:tr>
      <w:tr w:rsidRPr="007301FE" w:rsidR="00022F4A" w:rsidTr="0078034E" w14:paraId="38A45987" w14:textId="77777777">
        <w:trPr>
          <w:trHeight w:val="290"/>
        </w:trPr>
        <w:tc>
          <w:tcPr>
            <w:tcW w:w="3330" w:type="dxa"/>
            <w:tcBorders>
              <w:top w:val="nil"/>
              <w:left w:val="single" w:color="auto" w:sz="4" w:space="0"/>
              <w:bottom w:val="nil"/>
              <w:right w:val="nil"/>
            </w:tcBorders>
            <w:shd w:val="clear" w:color="auto" w:fill="auto"/>
            <w:noWrap/>
            <w:vAlign w:val="bottom"/>
            <w:hideMark/>
          </w:tcPr>
          <w:p w:rsidRPr="007301FE" w:rsidR="00022F4A" w:rsidP="0078034E" w:rsidRDefault="00022F4A" w14:paraId="49690E0E"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AO</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shd w:val="clear" w:color="auto" w:fill="auto"/>
            <w:noWrap/>
            <w:vAlign w:val="bottom"/>
            <w:hideMark/>
          </w:tcPr>
          <w:p w:rsidRPr="007301FE" w:rsidR="00022F4A" w:rsidP="0078034E" w:rsidRDefault="00022F4A" w14:paraId="5E4D197C"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hideMark/>
          </w:tcPr>
          <w:p w:rsidRPr="007301FE" w:rsidR="00022F4A" w:rsidP="0078034E" w:rsidRDefault="00022F4A" w14:paraId="4ED78130"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7301FE" w:rsidR="00022F4A" w:rsidP="0078034E" w:rsidRDefault="00022F4A" w14:paraId="3C83F1C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284</w:t>
            </w:r>
          </w:p>
        </w:tc>
        <w:tc>
          <w:tcPr>
            <w:tcW w:w="960" w:type="dxa"/>
            <w:tcBorders>
              <w:top w:val="nil"/>
              <w:left w:val="nil"/>
              <w:bottom w:val="nil"/>
              <w:right w:val="nil"/>
            </w:tcBorders>
            <w:shd w:val="clear" w:color="auto" w:fill="auto"/>
            <w:noWrap/>
            <w:vAlign w:val="bottom"/>
          </w:tcPr>
          <w:p w:rsidRPr="007301FE" w:rsidR="00022F4A" w:rsidP="0078034E" w:rsidRDefault="00022F4A" w14:paraId="2CDFCD0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280</w:t>
            </w:r>
          </w:p>
        </w:tc>
        <w:tc>
          <w:tcPr>
            <w:tcW w:w="960" w:type="dxa"/>
            <w:tcBorders>
              <w:top w:val="nil"/>
              <w:left w:val="nil"/>
              <w:bottom w:val="nil"/>
              <w:right w:val="single" w:color="auto" w:sz="4" w:space="0"/>
            </w:tcBorders>
            <w:shd w:val="clear" w:color="auto" w:fill="auto"/>
            <w:noWrap/>
            <w:vAlign w:val="bottom"/>
          </w:tcPr>
          <w:p w:rsidRPr="007301FE" w:rsidR="00022F4A" w:rsidP="0078034E" w:rsidRDefault="00022F4A" w14:paraId="20C9DFB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279</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7B9906B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1344</w:t>
            </w:r>
          </w:p>
        </w:tc>
      </w:tr>
      <w:tr w:rsidRPr="007301FE" w:rsidR="00022F4A" w:rsidTr="0078034E" w14:paraId="09AB5D67" w14:textId="77777777">
        <w:trPr>
          <w:trHeight w:val="290"/>
        </w:trPr>
        <w:tc>
          <w:tcPr>
            <w:tcW w:w="3330" w:type="dxa"/>
            <w:tcBorders>
              <w:top w:val="nil"/>
              <w:left w:val="single" w:color="auto" w:sz="4" w:space="0"/>
              <w:bottom w:val="nil"/>
              <w:right w:val="nil"/>
            </w:tcBorders>
            <w:shd w:val="clear" w:color="auto" w:fill="auto"/>
            <w:noWrap/>
            <w:vAlign w:val="bottom"/>
            <w:hideMark/>
          </w:tcPr>
          <w:p w:rsidRPr="007301FE" w:rsidR="00022F4A" w:rsidP="0078034E" w:rsidRDefault="00022F4A" w14:paraId="140B5402"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IOAW/IOAZ</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shd w:val="clear" w:color="auto" w:fill="auto"/>
            <w:noWrap/>
            <w:vAlign w:val="bottom"/>
            <w:hideMark/>
          </w:tcPr>
          <w:p w:rsidRPr="007301FE" w:rsidR="00022F4A" w:rsidP="0078034E" w:rsidRDefault="00022F4A" w14:paraId="11A27A8A"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hideMark/>
          </w:tcPr>
          <w:p w:rsidRPr="007301FE" w:rsidR="00022F4A" w:rsidP="0078034E" w:rsidRDefault="00022F4A" w14:paraId="2143C13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7301FE" w:rsidR="00022F4A" w:rsidP="0078034E" w:rsidRDefault="00022F4A" w14:paraId="3F5961C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nil"/>
            </w:tcBorders>
            <w:shd w:val="clear" w:color="auto" w:fill="auto"/>
            <w:noWrap/>
            <w:vAlign w:val="bottom"/>
          </w:tcPr>
          <w:p w:rsidRPr="007301FE" w:rsidR="00022F4A" w:rsidP="0078034E" w:rsidRDefault="00022F4A" w14:paraId="630A067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shd w:val="clear" w:color="auto" w:fill="auto"/>
            <w:noWrap/>
            <w:vAlign w:val="bottom"/>
          </w:tcPr>
          <w:p w:rsidRPr="007301FE" w:rsidR="00022F4A" w:rsidP="0078034E" w:rsidRDefault="00022F4A" w14:paraId="12A6A28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1DB6D23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267</w:t>
            </w:r>
          </w:p>
        </w:tc>
      </w:tr>
      <w:tr w:rsidRPr="007301FE" w:rsidR="00022F4A" w:rsidTr="0078034E" w14:paraId="6FF5836C" w14:textId="77777777">
        <w:trPr>
          <w:trHeight w:val="290"/>
        </w:trPr>
        <w:tc>
          <w:tcPr>
            <w:tcW w:w="3330" w:type="dxa"/>
            <w:tcBorders>
              <w:top w:val="nil"/>
              <w:left w:val="single" w:color="auto" w:sz="4" w:space="0"/>
              <w:bottom w:val="nil"/>
              <w:right w:val="nil"/>
            </w:tcBorders>
            <w:shd w:val="clear" w:color="auto" w:fill="auto"/>
            <w:noWrap/>
            <w:vAlign w:val="bottom"/>
            <w:hideMark/>
          </w:tcPr>
          <w:p w:rsidRPr="007301FE" w:rsidR="00022F4A" w:rsidP="0078034E" w:rsidRDefault="00022F4A" w14:paraId="0E2AEE98"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W</w:t>
            </w:r>
            <w:r>
              <w:rPr>
                <w:rFonts w:ascii="Calibri" w:hAnsi="Calibri" w:eastAsia="Times New Roman" w:cs="Calibri"/>
                <w:color w:val="000000"/>
                <w:kern w:val="0"/>
                <w:lang w:eastAsia="nl-NL"/>
                <w14:ligatures w14:val="none"/>
              </w:rPr>
              <w:t>erkloosheidswet</w:t>
            </w:r>
          </w:p>
        </w:tc>
        <w:tc>
          <w:tcPr>
            <w:tcW w:w="960" w:type="dxa"/>
            <w:tcBorders>
              <w:top w:val="nil"/>
              <w:left w:val="nil"/>
              <w:bottom w:val="nil"/>
              <w:right w:val="nil"/>
            </w:tcBorders>
            <w:shd w:val="clear" w:color="auto" w:fill="auto"/>
            <w:noWrap/>
            <w:vAlign w:val="bottom"/>
            <w:hideMark/>
          </w:tcPr>
          <w:p w:rsidRPr="007301FE" w:rsidR="00022F4A" w:rsidP="0078034E" w:rsidRDefault="00022F4A" w14:paraId="200FFD36"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hideMark/>
          </w:tcPr>
          <w:p w:rsidRPr="007301FE" w:rsidR="00022F4A" w:rsidP="0078034E" w:rsidRDefault="00022F4A" w14:paraId="2071B8B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7301FE" w:rsidR="00022F4A" w:rsidP="0078034E" w:rsidRDefault="00022F4A" w14:paraId="45C9065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nil"/>
            </w:tcBorders>
            <w:shd w:val="clear" w:color="auto" w:fill="auto"/>
            <w:noWrap/>
            <w:vAlign w:val="bottom"/>
          </w:tcPr>
          <w:p w:rsidRPr="007301FE" w:rsidR="00022F4A" w:rsidP="0078034E" w:rsidRDefault="00022F4A" w14:paraId="4C0650F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single" w:color="auto" w:sz="4" w:space="0"/>
            </w:tcBorders>
            <w:shd w:val="clear" w:color="auto" w:fill="auto"/>
            <w:noWrap/>
            <w:vAlign w:val="bottom"/>
          </w:tcPr>
          <w:p w:rsidRPr="007301FE" w:rsidR="00022F4A" w:rsidP="0078034E" w:rsidRDefault="00022F4A" w14:paraId="295BECA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71</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4692272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343</w:t>
            </w:r>
          </w:p>
        </w:tc>
      </w:tr>
      <w:tr w:rsidRPr="007301FE" w:rsidR="00022F4A" w:rsidTr="0078034E" w14:paraId="5E3FDFD0" w14:textId="77777777">
        <w:trPr>
          <w:trHeight w:val="290"/>
        </w:trPr>
        <w:tc>
          <w:tcPr>
            <w:tcW w:w="3330" w:type="dxa"/>
            <w:tcBorders>
              <w:top w:val="nil"/>
              <w:left w:val="single" w:color="auto" w:sz="4" w:space="0"/>
              <w:bottom w:val="nil"/>
              <w:right w:val="nil"/>
            </w:tcBorders>
            <w:shd w:val="clear" w:color="auto" w:fill="auto"/>
            <w:noWrap/>
            <w:vAlign w:val="bottom"/>
            <w:hideMark/>
          </w:tcPr>
          <w:p w:rsidRPr="007301FE" w:rsidR="00022F4A" w:rsidP="0078034E" w:rsidRDefault="00022F4A" w14:paraId="38BFA82B"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Z</w:t>
            </w:r>
            <w:r>
              <w:rPr>
                <w:rFonts w:ascii="Calibri" w:hAnsi="Calibri" w:eastAsia="Times New Roman" w:cs="Calibri"/>
                <w:color w:val="000000"/>
                <w:kern w:val="0"/>
                <w:lang w:eastAsia="nl-NL"/>
                <w14:ligatures w14:val="none"/>
              </w:rPr>
              <w:t>iektewet</w:t>
            </w:r>
          </w:p>
        </w:tc>
        <w:tc>
          <w:tcPr>
            <w:tcW w:w="960" w:type="dxa"/>
            <w:tcBorders>
              <w:top w:val="nil"/>
              <w:left w:val="nil"/>
              <w:bottom w:val="nil"/>
              <w:right w:val="nil"/>
            </w:tcBorders>
            <w:shd w:val="clear" w:color="auto" w:fill="auto"/>
            <w:noWrap/>
            <w:vAlign w:val="bottom"/>
            <w:hideMark/>
          </w:tcPr>
          <w:p w:rsidRPr="007301FE" w:rsidR="00022F4A" w:rsidP="0078034E" w:rsidRDefault="00022F4A" w14:paraId="2BA33CA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hideMark/>
          </w:tcPr>
          <w:p w:rsidRPr="007301FE" w:rsidR="00022F4A" w:rsidP="0078034E" w:rsidRDefault="00022F4A" w14:paraId="305BCEDB"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7301FE" w:rsidR="00022F4A" w:rsidP="0078034E" w:rsidRDefault="00022F4A" w14:paraId="4D1B73C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15</w:t>
            </w:r>
          </w:p>
        </w:tc>
        <w:tc>
          <w:tcPr>
            <w:tcW w:w="960" w:type="dxa"/>
            <w:tcBorders>
              <w:top w:val="nil"/>
              <w:left w:val="nil"/>
              <w:bottom w:val="nil"/>
              <w:right w:val="nil"/>
            </w:tcBorders>
            <w:shd w:val="clear" w:color="auto" w:fill="auto"/>
            <w:noWrap/>
            <w:vAlign w:val="bottom"/>
          </w:tcPr>
          <w:p w:rsidRPr="007301FE" w:rsidR="00022F4A" w:rsidP="0078034E" w:rsidRDefault="00022F4A" w14:paraId="3134CF4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shd w:val="clear" w:color="auto" w:fill="auto"/>
            <w:noWrap/>
            <w:vAlign w:val="bottom"/>
          </w:tcPr>
          <w:p w:rsidRPr="007301FE" w:rsidR="00022F4A" w:rsidP="0078034E" w:rsidRDefault="00022F4A" w14:paraId="52002BD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shd w:val="clear" w:color="auto" w:fill="auto"/>
            <w:vAlign w:val="bottom"/>
          </w:tcPr>
          <w:p w:rsidRPr="007301FE" w:rsidR="00022F4A" w:rsidP="0078034E" w:rsidRDefault="00022F4A" w14:paraId="6B9F6DB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69</w:t>
            </w:r>
          </w:p>
        </w:tc>
      </w:tr>
      <w:tr w:rsidRPr="007301FE" w:rsidR="00022F4A" w:rsidTr="0078034E" w14:paraId="48691952" w14:textId="77777777">
        <w:trPr>
          <w:trHeight w:val="290"/>
        </w:trPr>
        <w:tc>
          <w:tcPr>
            <w:tcW w:w="3330" w:type="dxa"/>
            <w:tcBorders>
              <w:top w:val="nil"/>
              <w:left w:val="single" w:color="auto" w:sz="4" w:space="0"/>
              <w:bottom w:val="single" w:color="auto" w:sz="4" w:space="0"/>
              <w:right w:val="nil"/>
            </w:tcBorders>
            <w:shd w:val="clear" w:color="auto" w:fill="auto"/>
            <w:noWrap/>
            <w:vAlign w:val="bottom"/>
            <w:hideMark/>
          </w:tcPr>
          <w:p w:rsidRPr="007301FE" w:rsidR="00022F4A" w:rsidP="0078034E" w:rsidRDefault="00022F4A" w14:paraId="537A1789"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Algemene nabestaandenwet</w:t>
            </w:r>
          </w:p>
        </w:tc>
        <w:tc>
          <w:tcPr>
            <w:tcW w:w="960" w:type="dxa"/>
            <w:tcBorders>
              <w:top w:val="nil"/>
              <w:left w:val="nil"/>
              <w:bottom w:val="single" w:color="auto" w:sz="4" w:space="0"/>
              <w:right w:val="nil"/>
            </w:tcBorders>
            <w:shd w:val="clear" w:color="auto" w:fill="auto"/>
            <w:noWrap/>
            <w:vAlign w:val="bottom"/>
            <w:hideMark/>
          </w:tcPr>
          <w:p w:rsidRPr="007301FE" w:rsidR="00022F4A" w:rsidP="0078034E" w:rsidRDefault="00022F4A" w14:paraId="0DE5CEF8"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shd w:val="clear" w:color="auto" w:fill="auto"/>
            <w:noWrap/>
            <w:vAlign w:val="bottom"/>
            <w:hideMark/>
          </w:tcPr>
          <w:p w:rsidRPr="007301FE" w:rsidR="00022F4A" w:rsidP="0078034E" w:rsidRDefault="00022F4A" w14:paraId="4441BEA9"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shd w:val="clear" w:color="auto" w:fill="auto"/>
            <w:noWrap/>
            <w:vAlign w:val="bottom"/>
          </w:tcPr>
          <w:p w:rsidRPr="007301FE" w:rsidR="00022F4A" w:rsidP="0078034E" w:rsidRDefault="00022F4A" w14:paraId="293C269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single" w:color="auto" w:sz="4" w:space="0"/>
              <w:right w:val="nil"/>
            </w:tcBorders>
            <w:shd w:val="clear" w:color="auto" w:fill="auto"/>
            <w:noWrap/>
            <w:vAlign w:val="bottom"/>
          </w:tcPr>
          <w:p w:rsidRPr="007301FE" w:rsidR="00022F4A" w:rsidP="0078034E" w:rsidRDefault="00022F4A" w14:paraId="03A08C5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shd w:val="clear" w:color="auto" w:fill="auto"/>
            <w:noWrap/>
            <w:vAlign w:val="bottom"/>
          </w:tcPr>
          <w:p w:rsidRPr="007301FE" w:rsidR="00022F4A" w:rsidP="0078034E" w:rsidRDefault="00022F4A" w14:paraId="41342B7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shd w:val="clear" w:color="auto" w:fill="auto"/>
            <w:vAlign w:val="bottom"/>
          </w:tcPr>
          <w:p w:rsidRPr="007301FE" w:rsidR="00022F4A" w:rsidP="0078034E" w:rsidRDefault="00022F4A" w14:paraId="09742982"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65</w:t>
            </w:r>
          </w:p>
        </w:tc>
      </w:tr>
      <w:tr w:rsidRPr="009408EF" w:rsidR="00022F4A" w:rsidTr="0078034E" w14:paraId="5FB9F1F3" w14:textId="77777777">
        <w:trPr>
          <w:trHeight w:val="290"/>
        </w:trPr>
        <w:tc>
          <w:tcPr>
            <w:tcW w:w="3330" w:type="dxa"/>
            <w:tcBorders>
              <w:top w:val="single" w:color="auto" w:sz="4" w:space="0"/>
              <w:left w:val="single" w:color="auto" w:sz="4" w:space="0"/>
              <w:bottom w:val="single" w:color="auto" w:sz="4" w:space="0"/>
              <w:right w:val="nil"/>
            </w:tcBorders>
            <w:shd w:val="clear" w:color="auto" w:fill="auto"/>
            <w:noWrap/>
            <w:vAlign w:val="bottom"/>
            <w:hideMark/>
          </w:tcPr>
          <w:p w:rsidRPr="007301FE" w:rsidR="00022F4A" w:rsidP="0078034E" w:rsidRDefault="00022F4A" w14:paraId="02FD485E"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Totaal</w:t>
            </w:r>
          </w:p>
        </w:tc>
        <w:tc>
          <w:tcPr>
            <w:tcW w:w="960" w:type="dxa"/>
            <w:tcBorders>
              <w:top w:val="single" w:color="auto" w:sz="4" w:space="0"/>
              <w:left w:val="nil"/>
              <w:bottom w:val="single" w:color="auto" w:sz="4" w:space="0"/>
              <w:right w:val="nil"/>
            </w:tcBorders>
            <w:shd w:val="clear" w:color="auto" w:fill="auto"/>
            <w:noWrap/>
            <w:vAlign w:val="bottom"/>
            <w:hideMark/>
          </w:tcPr>
          <w:p w:rsidRPr="007301FE" w:rsidR="00022F4A" w:rsidP="0078034E" w:rsidRDefault="00022F4A" w14:paraId="49CDEF00"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shd w:val="clear" w:color="auto" w:fill="auto"/>
            <w:noWrap/>
            <w:vAlign w:val="bottom"/>
            <w:hideMark/>
          </w:tcPr>
          <w:p w:rsidRPr="007301FE" w:rsidR="00022F4A" w:rsidP="0078034E" w:rsidRDefault="00022F4A" w14:paraId="7C56BD52"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shd w:val="clear" w:color="auto" w:fill="auto"/>
            <w:noWrap/>
            <w:vAlign w:val="bottom"/>
            <w:hideMark/>
          </w:tcPr>
          <w:p w:rsidRPr="007301FE" w:rsidR="00022F4A" w:rsidP="0078034E" w:rsidRDefault="00022F4A" w14:paraId="26AA0055"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485</w:t>
            </w:r>
          </w:p>
        </w:tc>
        <w:tc>
          <w:tcPr>
            <w:tcW w:w="960" w:type="dxa"/>
            <w:tcBorders>
              <w:top w:val="single" w:color="auto" w:sz="4" w:space="0"/>
              <w:left w:val="nil"/>
              <w:bottom w:val="single" w:color="auto" w:sz="4" w:space="0"/>
              <w:right w:val="nil"/>
            </w:tcBorders>
            <w:shd w:val="clear" w:color="auto" w:fill="auto"/>
            <w:noWrap/>
            <w:vAlign w:val="bottom"/>
            <w:hideMark/>
          </w:tcPr>
          <w:p w:rsidRPr="007301FE" w:rsidR="00022F4A" w:rsidP="0078034E" w:rsidRDefault="00022F4A" w14:paraId="62DB7500"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479</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301FE" w:rsidR="00022F4A" w:rsidP="0078034E" w:rsidRDefault="00022F4A" w14:paraId="18245CB7"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478</w:t>
            </w:r>
          </w:p>
        </w:tc>
        <w:tc>
          <w:tcPr>
            <w:tcW w:w="960" w:type="dxa"/>
            <w:tcBorders>
              <w:top w:val="single" w:color="auto" w:sz="4" w:space="0"/>
              <w:left w:val="nil"/>
              <w:bottom w:val="single" w:color="auto" w:sz="4" w:space="0"/>
              <w:right w:val="single" w:color="auto" w:sz="4" w:space="0"/>
            </w:tcBorders>
          </w:tcPr>
          <w:p w:rsidRPr="009408EF" w:rsidR="00022F4A" w:rsidP="0078034E" w:rsidRDefault="00022F4A" w14:paraId="4605988B"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eastAsia="Times New Roman" w:cs="Calibri"/>
                <w:b/>
                <w:bCs/>
                <w:color w:val="000000"/>
                <w:kern w:val="0"/>
                <w:lang w:eastAsia="nl-NL"/>
                <w14:ligatures w14:val="none"/>
              </w:rPr>
              <w:t>2299</w:t>
            </w:r>
          </w:p>
        </w:tc>
      </w:tr>
    </w:tbl>
    <w:p w:rsidRPr="009408EF" w:rsidR="00022F4A" w:rsidP="00022F4A" w:rsidRDefault="00022F4A" w14:paraId="7B83CEDD" w14:textId="77777777">
      <w:pPr>
        <w:pStyle w:val="Geenafstand"/>
        <w:rPr>
          <w:rFonts w:ascii="Verdana" w:hAnsi="Verdana"/>
          <w:sz w:val="16"/>
          <w:szCs w:val="16"/>
        </w:rPr>
      </w:pPr>
      <w:r w:rsidRPr="009408EF">
        <w:rPr>
          <w:rFonts w:ascii="Verdana" w:hAnsi="Verdana"/>
          <w:sz w:val="16"/>
          <w:szCs w:val="16"/>
        </w:rPr>
        <w:t>*Hieronder vallen de WAZ, WAO en WIA.</w:t>
      </w:r>
    </w:p>
    <w:p w:rsidRPr="009408EF" w:rsidR="00022F4A" w:rsidP="00022F4A" w:rsidRDefault="00022F4A" w14:paraId="0AA40174" w14:textId="77777777">
      <w:pPr>
        <w:pStyle w:val="Geenafstand"/>
        <w:rPr>
          <w:rFonts w:ascii="Verdana" w:hAnsi="Verdana"/>
          <w:sz w:val="16"/>
          <w:szCs w:val="16"/>
        </w:rPr>
      </w:pPr>
      <w:r w:rsidRPr="009408EF">
        <w:rPr>
          <w:rFonts w:ascii="Verdana" w:hAnsi="Verdana"/>
          <w:sz w:val="16"/>
          <w:szCs w:val="16"/>
        </w:rPr>
        <w:t>**Hieronder vallen de IOAW, IOAZ, Wajong, BBZ en IOW.</w:t>
      </w:r>
    </w:p>
    <w:p w:rsidRPr="003370E6" w:rsidR="00E440A1" w:rsidP="009E2493" w:rsidRDefault="00E440A1" w14:paraId="1E9FE77B" w14:textId="77777777">
      <w:pPr>
        <w:pStyle w:val="Geenafstand"/>
        <w:rPr>
          <w:rFonts w:ascii="Verdana" w:hAnsi="Verdana"/>
          <w:b/>
          <w:bCs/>
          <w:sz w:val="18"/>
          <w:szCs w:val="18"/>
        </w:rPr>
      </w:pPr>
    </w:p>
    <w:p w:rsidR="009E2493" w:rsidP="009E2493" w:rsidRDefault="009E2493" w14:paraId="011630AE" w14:textId="14BD0D7E">
      <w:pPr>
        <w:pStyle w:val="Geenafstand"/>
        <w:rPr>
          <w:rFonts w:ascii="Verdana" w:hAnsi="Verdana"/>
          <w:b/>
          <w:bCs/>
          <w:sz w:val="18"/>
          <w:szCs w:val="18"/>
        </w:rPr>
      </w:pPr>
      <w:r w:rsidRPr="003370E6">
        <w:rPr>
          <w:rFonts w:ascii="Verdana" w:hAnsi="Verdana"/>
          <w:b/>
          <w:bCs/>
          <w:sz w:val="18"/>
          <w:szCs w:val="18"/>
        </w:rPr>
        <w:t>12. Welke overlap ziet u tussen de plannen voor de AOW, WIA en WW? Hoeveel mensen hebben door de voorgenomen plannen dubbel of driedubbel pech, bijvoorbeeld omdat zij later AOW krijgen én korter WW, en daardoor in de bijstand terechtkomen?</w:t>
      </w:r>
      <w:r w:rsidRPr="003370E6">
        <w:rPr>
          <w:rFonts w:ascii="Verdana" w:hAnsi="Verdana"/>
          <w:b/>
          <w:bCs/>
          <w:sz w:val="18"/>
          <w:szCs w:val="18"/>
        </w:rPr>
        <w:br/>
      </w:r>
    </w:p>
    <w:p w:rsidRPr="00FE40D2" w:rsidR="007501F2" w:rsidP="007501F2" w:rsidRDefault="007501F2" w14:paraId="4CE13B6E" w14:textId="168978E6">
      <w:pPr>
        <w:pStyle w:val="Geenafstand"/>
        <w:rPr>
          <w:rFonts w:ascii="Verdana" w:hAnsi="Verdana"/>
          <w:sz w:val="18"/>
          <w:szCs w:val="18"/>
        </w:rPr>
      </w:pPr>
      <w:r>
        <w:rPr>
          <w:rFonts w:ascii="Verdana" w:hAnsi="Verdana"/>
          <w:sz w:val="18"/>
          <w:szCs w:val="18"/>
        </w:rPr>
        <w:t xml:space="preserve">Het kabinet heeft de sociale partners goed gehoord. Met betrekking tot de aanpassing van de koppeling van de AOW-leeftijd aan de levensverwachting maakt het kabinet een pas op de plaats. We gaan samen met uw Kamer en met de sociale partners </w:t>
      </w:r>
      <w:r w:rsidRPr="00FE40D2">
        <w:rPr>
          <w:rFonts w:ascii="Verdana" w:hAnsi="Verdana"/>
          <w:sz w:val="18"/>
          <w:szCs w:val="18"/>
        </w:rPr>
        <w:t>in de komende periode kijken of</w:t>
      </w:r>
      <w:r>
        <w:rPr>
          <w:rFonts w:ascii="Verdana" w:hAnsi="Verdana"/>
          <w:sz w:val="18"/>
          <w:szCs w:val="18"/>
        </w:rPr>
        <w:t xml:space="preserve">, en zo ja, welke </w:t>
      </w:r>
      <w:r w:rsidRPr="00FE40D2">
        <w:rPr>
          <w:rFonts w:ascii="Verdana" w:hAnsi="Verdana"/>
          <w:sz w:val="18"/>
          <w:szCs w:val="18"/>
        </w:rPr>
        <w:t xml:space="preserve">alternatieven </w:t>
      </w:r>
      <w:r>
        <w:rPr>
          <w:rFonts w:ascii="Verdana" w:hAnsi="Verdana"/>
          <w:sz w:val="18"/>
          <w:szCs w:val="18"/>
        </w:rPr>
        <w:t xml:space="preserve">er </w:t>
      </w:r>
      <w:r w:rsidRPr="00FE40D2">
        <w:rPr>
          <w:rFonts w:ascii="Verdana" w:hAnsi="Verdana"/>
          <w:sz w:val="18"/>
          <w:szCs w:val="18"/>
        </w:rPr>
        <w:t>mogelijk zijn</w:t>
      </w:r>
      <w:r>
        <w:rPr>
          <w:rFonts w:ascii="Verdana" w:hAnsi="Verdana"/>
          <w:sz w:val="18"/>
          <w:szCs w:val="18"/>
        </w:rPr>
        <w:t>. In de verkenning en uitwerk</w:t>
      </w:r>
      <w:r w:rsidR="00B164FA">
        <w:rPr>
          <w:rFonts w:ascii="Verdana" w:hAnsi="Verdana"/>
          <w:sz w:val="18"/>
          <w:szCs w:val="18"/>
        </w:rPr>
        <w:t>ing</w:t>
      </w:r>
      <w:r>
        <w:rPr>
          <w:rFonts w:ascii="Verdana" w:hAnsi="Verdana"/>
          <w:sz w:val="18"/>
          <w:szCs w:val="18"/>
        </w:rPr>
        <w:t xml:space="preserve"> zal rekening gehouden worden met de mogelijke samenloop van regelingen. </w:t>
      </w:r>
    </w:p>
    <w:p w:rsidR="00FE40D2" w:rsidP="009E2493" w:rsidRDefault="00FE40D2" w14:paraId="5EC30E7D" w14:textId="77777777">
      <w:pPr>
        <w:pStyle w:val="Geenafstand"/>
        <w:rPr>
          <w:rFonts w:ascii="Verdana" w:hAnsi="Verdana"/>
          <w:b/>
          <w:bCs/>
          <w:sz w:val="18"/>
          <w:szCs w:val="18"/>
        </w:rPr>
      </w:pPr>
    </w:p>
    <w:p w:rsidR="003451A0" w:rsidP="009E2493" w:rsidRDefault="009E2493" w14:paraId="7AC441AD" w14:textId="5ED0ADCC">
      <w:pPr>
        <w:pStyle w:val="Geenafstand"/>
        <w:rPr>
          <w:rFonts w:ascii="Verdana" w:hAnsi="Verdana"/>
          <w:b/>
          <w:bCs/>
          <w:sz w:val="18"/>
          <w:szCs w:val="18"/>
        </w:rPr>
      </w:pPr>
      <w:r w:rsidRPr="003370E6">
        <w:rPr>
          <w:rFonts w:ascii="Verdana" w:hAnsi="Verdana"/>
          <w:b/>
          <w:bCs/>
          <w:sz w:val="18"/>
          <w:szCs w:val="18"/>
        </w:rPr>
        <w:t>13. Kunt u deze vragen één voor één beantwoorden en de antwoorden vóór aanvang van de plenaire behandeling van de Begroting Sociale Zaken en Werkgelegenheid 2026 aan de Tweede Kamer doen toekomen?</w:t>
      </w:r>
    </w:p>
    <w:p w:rsidR="00E440A1" w:rsidP="009E2493" w:rsidRDefault="00E440A1" w14:paraId="63D59293" w14:textId="77777777">
      <w:pPr>
        <w:pStyle w:val="Geenafstand"/>
        <w:rPr>
          <w:rFonts w:ascii="Verdana" w:hAnsi="Verdana"/>
          <w:sz w:val="18"/>
          <w:szCs w:val="18"/>
        </w:rPr>
      </w:pPr>
    </w:p>
    <w:p w:rsidRPr="00E440A1" w:rsidR="00E440A1" w:rsidP="009E2493" w:rsidRDefault="005163A1" w14:paraId="256D0F7C" w14:textId="0E98550A">
      <w:pPr>
        <w:pStyle w:val="Geenafstand"/>
        <w:rPr>
          <w:rFonts w:ascii="Verdana" w:hAnsi="Verdana"/>
          <w:sz w:val="18"/>
          <w:szCs w:val="18"/>
        </w:rPr>
      </w:pPr>
      <w:r>
        <w:rPr>
          <w:rFonts w:ascii="Verdana" w:hAnsi="Verdana"/>
          <w:sz w:val="18"/>
          <w:szCs w:val="18"/>
        </w:rPr>
        <w:t>Aan beide verzoeken is voldaan.</w:t>
      </w:r>
    </w:p>
    <w:sectPr w:rsidRPr="00E440A1" w:rsidR="00E440A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B297" w14:textId="77777777" w:rsidR="00615B7D" w:rsidRDefault="00615B7D" w:rsidP="009E2493">
      <w:pPr>
        <w:spacing w:after="0" w:line="240" w:lineRule="auto"/>
      </w:pPr>
      <w:r>
        <w:separator/>
      </w:r>
    </w:p>
  </w:endnote>
  <w:endnote w:type="continuationSeparator" w:id="0">
    <w:p w14:paraId="27157B85" w14:textId="77777777" w:rsidR="00615B7D" w:rsidRDefault="00615B7D" w:rsidP="009E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5AEE" w14:textId="77777777" w:rsidR="00615B7D" w:rsidRDefault="00615B7D" w:rsidP="009E2493">
      <w:pPr>
        <w:spacing w:after="0" w:line="240" w:lineRule="auto"/>
      </w:pPr>
      <w:r>
        <w:separator/>
      </w:r>
    </w:p>
  </w:footnote>
  <w:footnote w:type="continuationSeparator" w:id="0">
    <w:p w14:paraId="2C97F24B" w14:textId="77777777" w:rsidR="00615B7D" w:rsidRDefault="00615B7D" w:rsidP="009E2493">
      <w:pPr>
        <w:spacing w:after="0" w:line="240" w:lineRule="auto"/>
      </w:pPr>
      <w:r>
        <w:continuationSeparator/>
      </w:r>
    </w:p>
  </w:footnote>
  <w:footnote w:id="1">
    <w:p w14:paraId="42EED96B" w14:textId="77777777" w:rsidR="005F0790" w:rsidRDefault="005F0790" w:rsidP="005F0790">
      <w:pPr>
        <w:pStyle w:val="Voetnoottekst"/>
      </w:pPr>
      <w:r>
        <w:rPr>
          <w:rStyle w:val="Voetnootmarkering"/>
        </w:rPr>
        <w:footnoteRef/>
      </w:r>
      <w:r>
        <w:t xml:space="preserve"> </w:t>
      </w:r>
      <w:hyperlink r:id="rId1" w:history="1">
        <w:r w:rsidRPr="0065010F">
          <w:rPr>
            <w:rStyle w:val="Hyperlink"/>
          </w:rPr>
          <w:t>Rapport_18e_Studiegroep_Begrotingsruimte.pdf</w:t>
        </w:r>
      </w:hyperlink>
    </w:p>
  </w:footnote>
  <w:footnote w:id="2">
    <w:p w14:paraId="0A7B92A9" w14:textId="77777777" w:rsidR="005879E0" w:rsidRDefault="005879E0" w:rsidP="005879E0">
      <w:pPr>
        <w:pStyle w:val="Voetnoottekst"/>
      </w:pPr>
      <w:r>
        <w:rPr>
          <w:rStyle w:val="Voetnootmarkering"/>
        </w:rPr>
        <w:footnoteRef/>
      </w:r>
      <w:r>
        <w:t xml:space="preserve"> </w:t>
      </w:r>
      <w:hyperlink r:id="rId2" w:history="1">
        <w:r w:rsidRPr="00E63BFF">
          <w:rPr>
            <w:rStyle w:val="Hyperlink"/>
          </w:rPr>
          <w:t>CPB-Vergrijzingsstudie-2019-Zorgen-om-morgen.pdf</w:t>
        </w:r>
      </w:hyperlink>
    </w:p>
  </w:footnote>
  <w:footnote w:id="3">
    <w:p w14:paraId="0D08B32F" w14:textId="77777777" w:rsidR="00F874BE" w:rsidRDefault="00F874BE" w:rsidP="00F874BE">
      <w:pPr>
        <w:pStyle w:val="Voetnoottekst"/>
      </w:pPr>
      <w:r>
        <w:rPr>
          <w:rStyle w:val="Voetnootmarkering"/>
        </w:rPr>
        <w:footnoteRef/>
      </w:r>
      <w:r>
        <w:t xml:space="preserve"> </w:t>
      </w:r>
      <w:hyperlink r:id="rId3" w:history="1">
        <w:r>
          <w:rPr>
            <w:rStyle w:val="Hyperlink"/>
          </w:rPr>
          <w:t>Demografische ontwikkelingen: meer doen met minder mensen</w:t>
        </w:r>
      </w:hyperlink>
      <w:r>
        <w:t xml:space="preserve"> en </w:t>
      </w:r>
      <w:hyperlink r:id="rId4" w:history="1">
        <w:r w:rsidRPr="005D23CB">
          <w:rPr>
            <w:rStyle w:val="Hyperlink"/>
          </w:rPr>
          <w:t>Miljoen extra AOW'ers in 2040 | Pers en nieuws | SVB</w:t>
        </w:r>
      </w:hyperlink>
      <w:r>
        <w:t xml:space="preserve"> </w:t>
      </w:r>
    </w:p>
  </w:footnote>
  <w:footnote w:id="4">
    <w:p w14:paraId="20FE21F0" w14:textId="262EFE7E" w:rsidR="00683502" w:rsidRPr="00A115F5" w:rsidRDefault="00A115F5">
      <w:pPr>
        <w:pStyle w:val="Voetnoottekst"/>
        <w:rPr>
          <w:rFonts w:ascii="Verdana" w:hAnsi="Verdana"/>
          <w:b/>
          <w:bCs/>
          <w:sz w:val="16"/>
          <w:szCs w:val="16"/>
        </w:rPr>
      </w:pPr>
      <w:r w:rsidRPr="00A115F5">
        <w:rPr>
          <w:rStyle w:val="Voetnootmarkering"/>
          <w:rFonts w:ascii="Verdana" w:hAnsi="Verdana"/>
          <w:sz w:val="16"/>
          <w:szCs w:val="16"/>
        </w:rPr>
        <w:t>8</w:t>
      </w:r>
      <w:r w:rsidRPr="00A115F5">
        <w:rPr>
          <w:rFonts w:ascii="Verdana" w:hAnsi="Verdana"/>
          <w:sz w:val="16"/>
          <w:szCs w:val="16"/>
        </w:rPr>
        <w:t xml:space="preserve"> Bijlage bij Kamerstukken II, 2025</w:t>
      </w:r>
      <w:r>
        <w:rPr>
          <w:rFonts w:ascii="Verdana" w:hAnsi="Verdana"/>
          <w:sz w:val="16"/>
          <w:szCs w:val="16"/>
        </w:rPr>
        <w:t>/</w:t>
      </w:r>
      <w:r w:rsidRPr="00A115F5">
        <w:rPr>
          <w:rFonts w:ascii="Verdana" w:hAnsi="Verdana"/>
          <w:sz w:val="16"/>
          <w:szCs w:val="16"/>
        </w:rPr>
        <w:t>202</w:t>
      </w:r>
      <w:r>
        <w:rPr>
          <w:rFonts w:ascii="Verdana" w:hAnsi="Verdana"/>
          <w:sz w:val="16"/>
          <w:szCs w:val="16"/>
        </w:rPr>
        <w:t>6</w:t>
      </w:r>
      <w:r w:rsidRPr="00A115F5">
        <w:rPr>
          <w:rFonts w:ascii="Verdana" w:hAnsi="Verdana"/>
          <w:sz w:val="16"/>
          <w:szCs w:val="16"/>
        </w:rPr>
        <w:t xml:space="preserve">, 32 163, </w:t>
      </w:r>
      <w:r>
        <w:rPr>
          <w:rFonts w:ascii="Verdana" w:hAnsi="Verdana"/>
          <w:sz w:val="16"/>
          <w:szCs w:val="16"/>
        </w:rPr>
        <w:t>n</w:t>
      </w:r>
      <w:r w:rsidRPr="00A115F5">
        <w:rPr>
          <w:rFonts w:ascii="Verdana" w:hAnsi="Verdana"/>
          <w:sz w:val="16"/>
          <w:szCs w:val="16"/>
        </w:rPr>
        <w:t>r. 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93"/>
    <w:rsid w:val="00013098"/>
    <w:rsid w:val="00022F4A"/>
    <w:rsid w:val="000556E7"/>
    <w:rsid w:val="0009032B"/>
    <w:rsid w:val="001275B0"/>
    <w:rsid w:val="00184EAE"/>
    <w:rsid w:val="002038BA"/>
    <w:rsid w:val="00281649"/>
    <w:rsid w:val="002B6E7F"/>
    <w:rsid w:val="002E1093"/>
    <w:rsid w:val="002E6545"/>
    <w:rsid w:val="002F6D16"/>
    <w:rsid w:val="00324F93"/>
    <w:rsid w:val="003370E6"/>
    <w:rsid w:val="003451A0"/>
    <w:rsid w:val="003C084E"/>
    <w:rsid w:val="003E246E"/>
    <w:rsid w:val="004147CB"/>
    <w:rsid w:val="00426C8A"/>
    <w:rsid w:val="004548AF"/>
    <w:rsid w:val="004618E6"/>
    <w:rsid w:val="00476EED"/>
    <w:rsid w:val="004D448E"/>
    <w:rsid w:val="004E7FA8"/>
    <w:rsid w:val="005005FE"/>
    <w:rsid w:val="005163A1"/>
    <w:rsid w:val="005507E3"/>
    <w:rsid w:val="00582E58"/>
    <w:rsid w:val="005879E0"/>
    <w:rsid w:val="005C31F1"/>
    <w:rsid w:val="005D23CB"/>
    <w:rsid w:val="005E0B98"/>
    <w:rsid w:val="005E24E7"/>
    <w:rsid w:val="005F0790"/>
    <w:rsid w:val="005F2526"/>
    <w:rsid w:val="00615B7D"/>
    <w:rsid w:val="006402D8"/>
    <w:rsid w:val="0064658F"/>
    <w:rsid w:val="0065010F"/>
    <w:rsid w:val="006555EA"/>
    <w:rsid w:val="00656B35"/>
    <w:rsid w:val="00676F51"/>
    <w:rsid w:val="00683502"/>
    <w:rsid w:val="006B43EB"/>
    <w:rsid w:val="006D490E"/>
    <w:rsid w:val="00710052"/>
    <w:rsid w:val="00726730"/>
    <w:rsid w:val="007462F6"/>
    <w:rsid w:val="007501F2"/>
    <w:rsid w:val="007544BA"/>
    <w:rsid w:val="007627C8"/>
    <w:rsid w:val="00770827"/>
    <w:rsid w:val="007A0D95"/>
    <w:rsid w:val="007D4141"/>
    <w:rsid w:val="007E308F"/>
    <w:rsid w:val="00835EAD"/>
    <w:rsid w:val="00841455"/>
    <w:rsid w:val="00873814"/>
    <w:rsid w:val="00874A1E"/>
    <w:rsid w:val="008B21CD"/>
    <w:rsid w:val="008F4CFD"/>
    <w:rsid w:val="008F5E55"/>
    <w:rsid w:val="00926EA4"/>
    <w:rsid w:val="0093117E"/>
    <w:rsid w:val="00933700"/>
    <w:rsid w:val="009830A6"/>
    <w:rsid w:val="009B6B88"/>
    <w:rsid w:val="009C7B97"/>
    <w:rsid w:val="009E2493"/>
    <w:rsid w:val="00A115F5"/>
    <w:rsid w:val="00AB1C12"/>
    <w:rsid w:val="00AC7A71"/>
    <w:rsid w:val="00AD59E9"/>
    <w:rsid w:val="00AE496F"/>
    <w:rsid w:val="00B14139"/>
    <w:rsid w:val="00B164FA"/>
    <w:rsid w:val="00B40883"/>
    <w:rsid w:val="00BE7F9F"/>
    <w:rsid w:val="00BF1B82"/>
    <w:rsid w:val="00C45A12"/>
    <w:rsid w:val="00C63DFB"/>
    <w:rsid w:val="00C8356E"/>
    <w:rsid w:val="00CC08E5"/>
    <w:rsid w:val="00CD3CAA"/>
    <w:rsid w:val="00CE1F66"/>
    <w:rsid w:val="00D14BC2"/>
    <w:rsid w:val="00D24C36"/>
    <w:rsid w:val="00D30B39"/>
    <w:rsid w:val="00D51ECD"/>
    <w:rsid w:val="00D55F3A"/>
    <w:rsid w:val="00D72FC9"/>
    <w:rsid w:val="00D907E8"/>
    <w:rsid w:val="00DA14A1"/>
    <w:rsid w:val="00DB75FF"/>
    <w:rsid w:val="00DD7B52"/>
    <w:rsid w:val="00E067CD"/>
    <w:rsid w:val="00E31F04"/>
    <w:rsid w:val="00E43900"/>
    <w:rsid w:val="00E440A1"/>
    <w:rsid w:val="00E63BFF"/>
    <w:rsid w:val="00ED11B2"/>
    <w:rsid w:val="00ED1457"/>
    <w:rsid w:val="00EE0241"/>
    <w:rsid w:val="00F41138"/>
    <w:rsid w:val="00F82783"/>
    <w:rsid w:val="00F874BE"/>
    <w:rsid w:val="00F97027"/>
    <w:rsid w:val="00FD4909"/>
    <w:rsid w:val="00FE40D2"/>
    <w:rsid w:val="00FE4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BABD"/>
  <w15:chartTrackingRefBased/>
  <w15:docId w15:val="{30AB020F-D9EC-4F4C-BAD4-563CDB6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2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24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24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24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24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4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4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4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4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4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4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4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4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493"/>
    <w:rPr>
      <w:rFonts w:eastAsiaTheme="majorEastAsia" w:cstheme="majorBidi"/>
      <w:color w:val="272727" w:themeColor="text1" w:themeTint="D8"/>
    </w:rPr>
  </w:style>
  <w:style w:type="paragraph" w:styleId="Titel">
    <w:name w:val="Title"/>
    <w:basedOn w:val="Standaard"/>
    <w:next w:val="Standaard"/>
    <w:link w:val="TitelChar"/>
    <w:uiPriority w:val="10"/>
    <w:qFormat/>
    <w:rsid w:val="009E2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493"/>
    <w:rPr>
      <w:i/>
      <w:iCs/>
      <w:color w:val="404040" w:themeColor="text1" w:themeTint="BF"/>
    </w:rPr>
  </w:style>
  <w:style w:type="paragraph" w:styleId="Lijstalinea">
    <w:name w:val="List Paragraph"/>
    <w:basedOn w:val="Standaard"/>
    <w:uiPriority w:val="34"/>
    <w:qFormat/>
    <w:rsid w:val="009E2493"/>
    <w:pPr>
      <w:ind w:left="720"/>
      <w:contextualSpacing/>
    </w:pPr>
  </w:style>
  <w:style w:type="character" w:styleId="Intensievebenadrukking">
    <w:name w:val="Intense Emphasis"/>
    <w:basedOn w:val="Standaardalinea-lettertype"/>
    <w:uiPriority w:val="21"/>
    <w:qFormat/>
    <w:rsid w:val="009E2493"/>
    <w:rPr>
      <w:i/>
      <w:iCs/>
      <w:color w:val="0F4761" w:themeColor="accent1" w:themeShade="BF"/>
    </w:rPr>
  </w:style>
  <w:style w:type="paragraph" w:styleId="Duidelijkcitaat">
    <w:name w:val="Intense Quote"/>
    <w:basedOn w:val="Standaard"/>
    <w:next w:val="Standaard"/>
    <w:link w:val="DuidelijkcitaatChar"/>
    <w:uiPriority w:val="30"/>
    <w:qFormat/>
    <w:rsid w:val="009E2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2493"/>
    <w:rPr>
      <w:i/>
      <w:iCs/>
      <w:color w:val="0F4761" w:themeColor="accent1" w:themeShade="BF"/>
    </w:rPr>
  </w:style>
  <w:style w:type="character" w:styleId="Intensieveverwijzing">
    <w:name w:val="Intense Reference"/>
    <w:basedOn w:val="Standaardalinea-lettertype"/>
    <w:uiPriority w:val="32"/>
    <w:qFormat/>
    <w:rsid w:val="009E2493"/>
    <w:rPr>
      <w:b/>
      <w:bCs/>
      <w:smallCaps/>
      <w:color w:val="0F4761" w:themeColor="accent1" w:themeShade="BF"/>
      <w:spacing w:val="5"/>
    </w:rPr>
  </w:style>
  <w:style w:type="paragraph" w:styleId="Geenafstand">
    <w:name w:val="No Spacing"/>
    <w:uiPriority w:val="1"/>
    <w:qFormat/>
    <w:rsid w:val="009E2493"/>
    <w:pPr>
      <w:spacing w:after="0" w:line="240" w:lineRule="auto"/>
    </w:pPr>
  </w:style>
  <w:style w:type="paragraph" w:styleId="Koptekst">
    <w:name w:val="header"/>
    <w:basedOn w:val="Standaard"/>
    <w:link w:val="KoptekstChar"/>
    <w:uiPriority w:val="99"/>
    <w:unhideWhenUsed/>
    <w:rsid w:val="009E24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493"/>
  </w:style>
  <w:style w:type="paragraph" w:styleId="Voettekst">
    <w:name w:val="footer"/>
    <w:basedOn w:val="Standaard"/>
    <w:link w:val="VoettekstChar"/>
    <w:uiPriority w:val="99"/>
    <w:unhideWhenUsed/>
    <w:rsid w:val="009E24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493"/>
  </w:style>
  <w:style w:type="character" w:styleId="Verwijzingopmerking">
    <w:name w:val="annotation reference"/>
    <w:basedOn w:val="Standaardalinea-lettertype"/>
    <w:uiPriority w:val="99"/>
    <w:semiHidden/>
    <w:unhideWhenUsed/>
    <w:rsid w:val="00710052"/>
    <w:rPr>
      <w:sz w:val="16"/>
      <w:szCs w:val="16"/>
    </w:rPr>
  </w:style>
  <w:style w:type="paragraph" w:styleId="Tekstopmerking">
    <w:name w:val="annotation text"/>
    <w:basedOn w:val="Standaard"/>
    <w:link w:val="TekstopmerkingChar"/>
    <w:uiPriority w:val="99"/>
    <w:unhideWhenUsed/>
    <w:rsid w:val="00710052"/>
    <w:pPr>
      <w:spacing w:line="240" w:lineRule="auto"/>
    </w:pPr>
    <w:rPr>
      <w:sz w:val="20"/>
      <w:szCs w:val="20"/>
    </w:rPr>
  </w:style>
  <w:style w:type="character" w:customStyle="1" w:styleId="TekstopmerkingChar">
    <w:name w:val="Tekst opmerking Char"/>
    <w:basedOn w:val="Standaardalinea-lettertype"/>
    <w:link w:val="Tekstopmerking"/>
    <w:uiPriority w:val="99"/>
    <w:rsid w:val="00710052"/>
    <w:rPr>
      <w:sz w:val="20"/>
      <w:szCs w:val="20"/>
    </w:rPr>
  </w:style>
  <w:style w:type="character" w:styleId="Hyperlink">
    <w:name w:val="Hyperlink"/>
    <w:basedOn w:val="Standaardalinea-lettertype"/>
    <w:uiPriority w:val="99"/>
    <w:unhideWhenUsed/>
    <w:rsid w:val="00710052"/>
    <w:rPr>
      <w:color w:val="467886" w:themeColor="hyperlink"/>
      <w:u w:val="single"/>
    </w:rPr>
  </w:style>
  <w:style w:type="paragraph" w:styleId="Voetnoottekst">
    <w:name w:val="footnote text"/>
    <w:basedOn w:val="Standaard"/>
    <w:link w:val="VoetnoottekstChar"/>
    <w:uiPriority w:val="99"/>
    <w:semiHidden/>
    <w:unhideWhenUsed/>
    <w:rsid w:val="006835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3502"/>
    <w:rPr>
      <w:sz w:val="20"/>
      <w:szCs w:val="20"/>
    </w:rPr>
  </w:style>
  <w:style w:type="character" w:styleId="Voetnootmarkering">
    <w:name w:val="footnote reference"/>
    <w:basedOn w:val="Standaardalinea-lettertype"/>
    <w:uiPriority w:val="99"/>
    <w:semiHidden/>
    <w:unhideWhenUsed/>
    <w:rsid w:val="00683502"/>
    <w:rPr>
      <w:vertAlign w:val="superscript"/>
    </w:rPr>
  </w:style>
  <w:style w:type="character" w:styleId="Onopgelostemelding">
    <w:name w:val="Unresolved Mention"/>
    <w:basedOn w:val="Standaardalinea-lettertype"/>
    <w:uiPriority w:val="99"/>
    <w:semiHidden/>
    <w:unhideWhenUsed/>
    <w:rsid w:val="00E63BFF"/>
    <w:rPr>
      <w:color w:val="605E5C"/>
      <w:shd w:val="clear" w:color="auto" w:fill="E1DFDD"/>
    </w:rPr>
  </w:style>
  <w:style w:type="character" w:styleId="GevolgdeHyperlink">
    <w:name w:val="FollowedHyperlink"/>
    <w:basedOn w:val="Standaardalinea-lettertype"/>
    <w:uiPriority w:val="99"/>
    <w:semiHidden/>
    <w:unhideWhenUsed/>
    <w:rsid w:val="00324F93"/>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B21CD"/>
    <w:rPr>
      <w:b/>
      <w:bCs/>
    </w:rPr>
  </w:style>
  <w:style w:type="character" w:customStyle="1" w:styleId="OnderwerpvanopmerkingChar">
    <w:name w:val="Onderwerp van opmerking Char"/>
    <w:basedOn w:val="TekstopmerkingChar"/>
    <w:link w:val="Onderwerpvanopmerking"/>
    <w:uiPriority w:val="99"/>
    <w:semiHidden/>
    <w:rsid w:val="008B2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70047">
      <w:bodyDiv w:val="1"/>
      <w:marLeft w:val="0"/>
      <w:marRight w:val="0"/>
      <w:marTop w:val="0"/>
      <w:marBottom w:val="0"/>
      <w:divBdr>
        <w:top w:val="none" w:sz="0" w:space="0" w:color="auto"/>
        <w:left w:val="none" w:sz="0" w:space="0" w:color="auto"/>
        <w:bottom w:val="none" w:sz="0" w:space="0" w:color="auto"/>
        <w:right w:val="none" w:sz="0" w:space="0" w:color="auto"/>
      </w:divBdr>
    </w:div>
    <w:div w:id="386997537">
      <w:bodyDiv w:val="1"/>
      <w:marLeft w:val="0"/>
      <w:marRight w:val="0"/>
      <w:marTop w:val="0"/>
      <w:marBottom w:val="0"/>
      <w:divBdr>
        <w:top w:val="none" w:sz="0" w:space="0" w:color="auto"/>
        <w:left w:val="none" w:sz="0" w:space="0" w:color="auto"/>
        <w:bottom w:val="none" w:sz="0" w:space="0" w:color="auto"/>
        <w:right w:val="none" w:sz="0" w:space="0" w:color="auto"/>
      </w:divBdr>
    </w:div>
    <w:div w:id="490878540">
      <w:bodyDiv w:val="1"/>
      <w:marLeft w:val="0"/>
      <w:marRight w:val="0"/>
      <w:marTop w:val="0"/>
      <w:marBottom w:val="0"/>
      <w:divBdr>
        <w:top w:val="none" w:sz="0" w:space="0" w:color="auto"/>
        <w:left w:val="none" w:sz="0" w:space="0" w:color="auto"/>
        <w:bottom w:val="none" w:sz="0" w:space="0" w:color="auto"/>
        <w:right w:val="none" w:sz="0" w:space="0" w:color="auto"/>
      </w:divBdr>
    </w:div>
    <w:div w:id="559174833">
      <w:bodyDiv w:val="1"/>
      <w:marLeft w:val="0"/>
      <w:marRight w:val="0"/>
      <w:marTop w:val="0"/>
      <w:marBottom w:val="0"/>
      <w:divBdr>
        <w:top w:val="none" w:sz="0" w:space="0" w:color="auto"/>
        <w:left w:val="none" w:sz="0" w:space="0" w:color="auto"/>
        <w:bottom w:val="none" w:sz="0" w:space="0" w:color="auto"/>
        <w:right w:val="none" w:sz="0" w:space="0" w:color="auto"/>
      </w:divBdr>
    </w:div>
    <w:div w:id="578907814">
      <w:bodyDiv w:val="1"/>
      <w:marLeft w:val="0"/>
      <w:marRight w:val="0"/>
      <w:marTop w:val="0"/>
      <w:marBottom w:val="0"/>
      <w:divBdr>
        <w:top w:val="none" w:sz="0" w:space="0" w:color="auto"/>
        <w:left w:val="none" w:sz="0" w:space="0" w:color="auto"/>
        <w:bottom w:val="none" w:sz="0" w:space="0" w:color="auto"/>
        <w:right w:val="none" w:sz="0" w:space="0" w:color="auto"/>
      </w:divBdr>
    </w:div>
    <w:div w:id="609435189">
      <w:bodyDiv w:val="1"/>
      <w:marLeft w:val="0"/>
      <w:marRight w:val="0"/>
      <w:marTop w:val="0"/>
      <w:marBottom w:val="0"/>
      <w:divBdr>
        <w:top w:val="none" w:sz="0" w:space="0" w:color="auto"/>
        <w:left w:val="none" w:sz="0" w:space="0" w:color="auto"/>
        <w:bottom w:val="none" w:sz="0" w:space="0" w:color="auto"/>
        <w:right w:val="none" w:sz="0" w:space="0" w:color="auto"/>
      </w:divBdr>
    </w:div>
    <w:div w:id="616328274">
      <w:bodyDiv w:val="1"/>
      <w:marLeft w:val="0"/>
      <w:marRight w:val="0"/>
      <w:marTop w:val="0"/>
      <w:marBottom w:val="0"/>
      <w:divBdr>
        <w:top w:val="none" w:sz="0" w:space="0" w:color="auto"/>
        <w:left w:val="none" w:sz="0" w:space="0" w:color="auto"/>
        <w:bottom w:val="none" w:sz="0" w:space="0" w:color="auto"/>
        <w:right w:val="none" w:sz="0" w:space="0" w:color="auto"/>
      </w:divBdr>
    </w:div>
    <w:div w:id="645864075">
      <w:bodyDiv w:val="1"/>
      <w:marLeft w:val="0"/>
      <w:marRight w:val="0"/>
      <w:marTop w:val="0"/>
      <w:marBottom w:val="0"/>
      <w:divBdr>
        <w:top w:val="none" w:sz="0" w:space="0" w:color="auto"/>
        <w:left w:val="none" w:sz="0" w:space="0" w:color="auto"/>
        <w:bottom w:val="none" w:sz="0" w:space="0" w:color="auto"/>
        <w:right w:val="none" w:sz="0" w:space="0" w:color="auto"/>
      </w:divBdr>
    </w:div>
    <w:div w:id="1204177009">
      <w:bodyDiv w:val="1"/>
      <w:marLeft w:val="0"/>
      <w:marRight w:val="0"/>
      <w:marTop w:val="0"/>
      <w:marBottom w:val="0"/>
      <w:divBdr>
        <w:top w:val="none" w:sz="0" w:space="0" w:color="auto"/>
        <w:left w:val="none" w:sz="0" w:space="0" w:color="auto"/>
        <w:bottom w:val="none" w:sz="0" w:space="0" w:color="auto"/>
        <w:right w:val="none" w:sz="0" w:space="0" w:color="auto"/>
      </w:divBdr>
    </w:div>
    <w:div w:id="1288196888">
      <w:bodyDiv w:val="1"/>
      <w:marLeft w:val="0"/>
      <w:marRight w:val="0"/>
      <w:marTop w:val="0"/>
      <w:marBottom w:val="0"/>
      <w:divBdr>
        <w:top w:val="none" w:sz="0" w:space="0" w:color="auto"/>
        <w:left w:val="none" w:sz="0" w:space="0" w:color="auto"/>
        <w:bottom w:val="none" w:sz="0" w:space="0" w:color="auto"/>
        <w:right w:val="none" w:sz="0" w:space="0" w:color="auto"/>
      </w:divBdr>
    </w:div>
    <w:div w:id="1338654833">
      <w:bodyDiv w:val="1"/>
      <w:marLeft w:val="0"/>
      <w:marRight w:val="0"/>
      <w:marTop w:val="0"/>
      <w:marBottom w:val="0"/>
      <w:divBdr>
        <w:top w:val="none" w:sz="0" w:space="0" w:color="auto"/>
        <w:left w:val="none" w:sz="0" w:space="0" w:color="auto"/>
        <w:bottom w:val="none" w:sz="0" w:space="0" w:color="auto"/>
        <w:right w:val="none" w:sz="0" w:space="0" w:color="auto"/>
      </w:divBdr>
    </w:div>
    <w:div w:id="1583097579">
      <w:bodyDiv w:val="1"/>
      <w:marLeft w:val="0"/>
      <w:marRight w:val="0"/>
      <w:marTop w:val="0"/>
      <w:marBottom w:val="0"/>
      <w:divBdr>
        <w:top w:val="none" w:sz="0" w:space="0" w:color="auto"/>
        <w:left w:val="none" w:sz="0" w:space="0" w:color="auto"/>
        <w:bottom w:val="none" w:sz="0" w:space="0" w:color="auto"/>
        <w:right w:val="none" w:sz="0" w:space="0" w:color="auto"/>
      </w:divBdr>
    </w:div>
    <w:div w:id="1703822781">
      <w:bodyDiv w:val="1"/>
      <w:marLeft w:val="0"/>
      <w:marRight w:val="0"/>
      <w:marTop w:val="0"/>
      <w:marBottom w:val="0"/>
      <w:divBdr>
        <w:top w:val="none" w:sz="0" w:space="0" w:color="auto"/>
        <w:left w:val="none" w:sz="0" w:space="0" w:color="auto"/>
        <w:bottom w:val="none" w:sz="0" w:space="0" w:color="auto"/>
        <w:right w:val="none" w:sz="0" w:space="0" w:color="auto"/>
      </w:divBdr>
    </w:div>
    <w:div w:id="1789472194">
      <w:bodyDiv w:val="1"/>
      <w:marLeft w:val="0"/>
      <w:marRight w:val="0"/>
      <w:marTop w:val="0"/>
      <w:marBottom w:val="0"/>
      <w:divBdr>
        <w:top w:val="none" w:sz="0" w:space="0" w:color="auto"/>
        <w:left w:val="none" w:sz="0" w:space="0" w:color="auto"/>
        <w:bottom w:val="none" w:sz="0" w:space="0" w:color="auto"/>
        <w:right w:val="none" w:sz="0" w:space="0" w:color="auto"/>
      </w:divBdr>
    </w:div>
    <w:div w:id="1963725015">
      <w:bodyDiv w:val="1"/>
      <w:marLeft w:val="0"/>
      <w:marRight w:val="0"/>
      <w:marTop w:val="0"/>
      <w:marBottom w:val="0"/>
      <w:divBdr>
        <w:top w:val="none" w:sz="0" w:space="0" w:color="auto"/>
        <w:left w:val="none" w:sz="0" w:space="0" w:color="auto"/>
        <w:bottom w:val="none" w:sz="0" w:space="0" w:color="auto"/>
        <w:right w:val="none" w:sz="0" w:space="0" w:color="auto"/>
      </w:divBdr>
    </w:div>
    <w:div w:id="1968317906">
      <w:bodyDiv w:val="1"/>
      <w:marLeft w:val="0"/>
      <w:marRight w:val="0"/>
      <w:marTop w:val="0"/>
      <w:marBottom w:val="0"/>
      <w:divBdr>
        <w:top w:val="none" w:sz="0" w:space="0" w:color="auto"/>
        <w:left w:val="none" w:sz="0" w:space="0" w:color="auto"/>
        <w:bottom w:val="none" w:sz="0" w:space="0" w:color="auto"/>
        <w:right w:val="none" w:sz="0" w:space="0" w:color="auto"/>
      </w:divBdr>
    </w:div>
    <w:div w:id="2002926193">
      <w:bodyDiv w:val="1"/>
      <w:marLeft w:val="0"/>
      <w:marRight w:val="0"/>
      <w:marTop w:val="0"/>
      <w:marBottom w:val="0"/>
      <w:divBdr>
        <w:top w:val="none" w:sz="0" w:space="0" w:color="auto"/>
        <w:left w:val="none" w:sz="0" w:space="0" w:color="auto"/>
        <w:bottom w:val="none" w:sz="0" w:space="0" w:color="auto"/>
        <w:right w:val="none" w:sz="0" w:space="0" w:color="auto"/>
      </w:divBdr>
    </w:div>
    <w:div w:id="2062485762">
      <w:bodyDiv w:val="1"/>
      <w:marLeft w:val="0"/>
      <w:marRight w:val="0"/>
      <w:marTop w:val="0"/>
      <w:marBottom w:val="0"/>
      <w:divBdr>
        <w:top w:val="none" w:sz="0" w:space="0" w:color="auto"/>
        <w:left w:val="none" w:sz="0" w:space="0" w:color="auto"/>
        <w:bottom w:val="none" w:sz="0" w:space="0" w:color="auto"/>
        <w:right w:val="none" w:sz="0" w:space="0" w:color="auto"/>
      </w:divBdr>
    </w:div>
    <w:div w:id="20632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640f00cb-c64f-4ba7-a06d-efe03dfd1c3c/Demografie_2023.pdf" TargetMode="External"/><Relationship Id="rId2" Type="http://schemas.openxmlformats.org/officeDocument/2006/relationships/hyperlink" Target="file:///H:\Downloads\CPB-Vergrijzingsstudie-2019-Zorgen-om-morgen.pdf" TargetMode="External"/><Relationship Id="rId1" Type="http://schemas.openxmlformats.org/officeDocument/2006/relationships/hyperlink" Target="https://www.rijksfinancien.nl/sites/default/files/rapporten/sbr/Rapport_18e_Studiegroep_Begrotingsruimte.pdf" TargetMode="External"/><Relationship Id="rId4" Type="http://schemas.openxmlformats.org/officeDocument/2006/relationships/hyperlink" Target="https://www.svb.nl/nl/pers-en-nieuws/nieuwsberichten/een-miljoen-extra-AOW-gerechtigden-in-20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2108</ap:Words>
  <ap:Characters>11598</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2026-03-11T19:37:00.0000000Z</dcterms:created>
  <dcterms:modified xsi:type="dcterms:W3CDTF">2026-03-11T19:38:00.0000000Z</dcterms:modified>
  <version/>
  <category/>
</coreProperties>
</file>