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45"/>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589"/>
        <w:gridCol w:w="7077"/>
      </w:tblGrid>
      <w:tr w:rsidRPr="002168F4" w:rsidR="007433BE" w:rsidTr="007433BE" w14:paraId="63F3C0CE" w14:textId="77777777">
        <w:trPr>
          <w:cantSplit/>
        </w:trPr>
        <w:tc>
          <w:tcPr>
            <w:tcW w:w="5000" w:type="pct"/>
            <w:gridSpan w:val="2"/>
            <w:tcBorders>
              <w:top w:val="nil"/>
              <w:left w:val="nil"/>
              <w:bottom w:val="nil"/>
              <w:right w:val="nil"/>
            </w:tcBorders>
          </w:tcPr>
          <w:p w:rsidRPr="002168F4" w:rsidR="007433BE" w:rsidP="007433BE" w:rsidRDefault="007433BE" w14:paraId="1A345028" w14:textId="77777777">
            <w:pPr>
              <w:pStyle w:val="Amendement"/>
              <w:jc w:val="right"/>
              <w:rPr>
                <w:rFonts w:ascii="Times New Roman" w:hAnsi="Times New Roman" w:cs="Times New Roman"/>
              </w:rPr>
            </w:pPr>
          </w:p>
        </w:tc>
      </w:tr>
      <w:tr w:rsidRPr="002168F4" w:rsidR="007433BE" w:rsidTr="007433BE" w14:paraId="04629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19389A78" w14:textId="77777777">
            <w:pPr>
              <w:pStyle w:val="Amendement"/>
              <w:rPr>
                <w:rFonts w:ascii="Times New Roman" w:hAnsi="Times New Roman" w:cs="Times New Roman"/>
              </w:rPr>
            </w:pPr>
          </w:p>
        </w:tc>
        <w:tc>
          <w:tcPr>
            <w:tcW w:w="3661" w:type="pct"/>
            <w:tcBorders>
              <w:top w:val="nil"/>
              <w:left w:val="nil"/>
              <w:bottom w:val="nil"/>
              <w:right w:val="nil"/>
            </w:tcBorders>
          </w:tcPr>
          <w:p w:rsidRPr="002168F4" w:rsidR="007433BE" w:rsidP="007433BE" w:rsidRDefault="007433BE" w14:paraId="2B8ABC32" w14:textId="77777777">
            <w:pPr>
              <w:tabs>
                <w:tab w:val="left" w:pos="-1440"/>
                <w:tab w:val="left" w:pos="-720"/>
              </w:tabs>
              <w:suppressAutoHyphens/>
              <w:rPr>
                <w:rFonts w:ascii="Times New Roman" w:hAnsi="Times New Roman"/>
                <w:b/>
                <w:bCs/>
              </w:rPr>
            </w:pPr>
          </w:p>
        </w:tc>
      </w:tr>
      <w:tr w:rsidRPr="002168F4" w:rsidR="007433BE" w:rsidTr="007433BE" w14:paraId="2E009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A727C" w:rsidR="007433BE" w:rsidP="007433BE" w:rsidRDefault="007433BE" w14:paraId="54970A6D" w14:textId="77777777">
            <w:pPr>
              <w:rPr>
                <w:rFonts w:ascii="Times New Roman" w:hAnsi="Times New Roman"/>
                <w:b/>
                <w:sz w:val="24"/>
              </w:rPr>
            </w:pPr>
            <w:r>
              <w:rPr>
                <w:rFonts w:ascii="Times New Roman" w:hAnsi="Times New Roman"/>
                <w:b/>
                <w:sz w:val="24"/>
              </w:rPr>
              <w:t>36 915 IX</w:t>
            </w:r>
          </w:p>
        </w:tc>
        <w:tc>
          <w:tcPr>
            <w:tcW w:w="3661" w:type="pct"/>
            <w:tcBorders>
              <w:top w:val="nil"/>
              <w:left w:val="nil"/>
              <w:bottom w:val="nil"/>
              <w:right w:val="nil"/>
            </w:tcBorders>
          </w:tcPr>
          <w:p w:rsidRPr="00AA5245" w:rsidR="007433BE" w:rsidP="007433BE" w:rsidRDefault="007433BE" w14:paraId="4177DA5A" w14:textId="72AEAB02">
            <w:pPr>
              <w:rPr>
                <w:rFonts w:ascii="Times New Roman" w:hAnsi="Times New Roman"/>
                <w:b/>
                <w:bCs/>
                <w:sz w:val="24"/>
              </w:rPr>
            </w:pPr>
            <w:r w:rsidRPr="00AA5245">
              <w:rPr>
                <w:rFonts w:ascii="Times New Roman" w:hAnsi="Times New Roman" w:cs="Times New Roman"/>
                <w:b/>
                <w:bCs/>
                <w:sz w:val="24"/>
                <w:szCs w:val="24"/>
              </w:rPr>
              <w:t>Wijziging van de begrotingsstaat van het Ministerie van F</w:t>
            </w:r>
            <w:r>
              <w:rPr>
                <w:rFonts w:ascii="Times New Roman" w:hAnsi="Times New Roman" w:cs="Times New Roman"/>
                <w:b/>
                <w:bCs/>
                <w:sz w:val="24"/>
                <w:szCs w:val="24"/>
              </w:rPr>
              <w:t>i</w:t>
            </w:r>
            <w:r w:rsidRPr="00AA5245">
              <w:rPr>
                <w:rFonts w:ascii="Times New Roman" w:hAnsi="Times New Roman" w:cs="Times New Roman"/>
                <w:b/>
                <w:bCs/>
                <w:sz w:val="24"/>
                <w:szCs w:val="24"/>
              </w:rPr>
              <w:t>nanciën (IXB) en de begrotingsstaat van Nationale Schuld (IXA) voor het jaar 2026 (wijziging samenhangende met de Voorjaarsnota)</w:t>
            </w:r>
          </w:p>
        </w:tc>
      </w:tr>
      <w:tr w:rsidRPr="002168F4" w:rsidR="007433BE" w:rsidTr="007433BE" w14:paraId="432E78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67D2E6CC" w14:textId="77777777">
            <w:pPr>
              <w:pStyle w:val="Amendement"/>
              <w:rPr>
                <w:rFonts w:ascii="Times New Roman" w:hAnsi="Times New Roman" w:cs="Times New Roman"/>
              </w:rPr>
            </w:pPr>
          </w:p>
        </w:tc>
        <w:tc>
          <w:tcPr>
            <w:tcW w:w="3661" w:type="pct"/>
            <w:tcBorders>
              <w:top w:val="nil"/>
              <w:left w:val="nil"/>
              <w:bottom w:val="nil"/>
              <w:right w:val="nil"/>
            </w:tcBorders>
          </w:tcPr>
          <w:p w:rsidRPr="002168F4" w:rsidR="007433BE" w:rsidP="007433BE" w:rsidRDefault="007433BE" w14:paraId="20ED1AEB" w14:textId="77777777">
            <w:pPr>
              <w:pStyle w:val="Amendement"/>
              <w:rPr>
                <w:rFonts w:ascii="Times New Roman" w:hAnsi="Times New Roman" w:cs="Times New Roman"/>
              </w:rPr>
            </w:pPr>
          </w:p>
        </w:tc>
      </w:tr>
      <w:tr w:rsidRPr="002168F4" w:rsidR="007433BE" w:rsidTr="007433BE" w14:paraId="3EAF4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68C0338E" w14:textId="77777777">
            <w:pPr>
              <w:pStyle w:val="Amendement"/>
              <w:rPr>
                <w:rFonts w:ascii="Times New Roman" w:hAnsi="Times New Roman" w:cs="Times New Roman"/>
              </w:rPr>
            </w:pPr>
          </w:p>
        </w:tc>
        <w:tc>
          <w:tcPr>
            <w:tcW w:w="3661" w:type="pct"/>
            <w:tcBorders>
              <w:top w:val="nil"/>
              <w:left w:val="nil"/>
              <w:bottom w:val="nil"/>
              <w:right w:val="nil"/>
            </w:tcBorders>
          </w:tcPr>
          <w:p w:rsidRPr="002168F4" w:rsidR="007433BE" w:rsidP="007433BE" w:rsidRDefault="007433BE" w14:paraId="3086CE91" w14:textId="77777777">
            <w:pPr>
              <w:pStyle w:val="Amendement"/>
              <w:rPr>
                <w:rFonts w:ascii="Times New Roman" w:hAnsi="Times New Roman" w:cs="Times New Roman"/>
              </w:rPr>
            </w:pPr>
          </w:p>
        </w:tc>
      </w:tr>
      <w:tr w:rsidRPr="002168F4" w:rsidR="007433BE" w:rsidTr="007433BE" w14:paraId="15F3E1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663ACDCD" w14:textId="77777777">
            <w:pPr>
              <w:pStyle w:val="Amendement"/>
              <w:rPr>
                <w:rFonts w:ascii="Times New Roman" w:hAnsi="Times New Roman" w:cs="Times New Roman"/>
              </w:rPr>
            </w:pPr>
            <w:r w:rsidRPr="002168F4">
              <w:rPr>
                <w:rFonts w:ascii="Times New Roman" w:hAnsi="Times New Roman" w:cs="Times New Roman"/>
              </w:rPr>
              <w:t>Nr. 2</w:t>
            </w:r>
          </w:p>
        </w:tc>
        <w:tc>
          <w:tcPr>
            <w:tcW w:w="3661" w:type="pct"/>
            <w:tcBorders>
              <w:top w:val="nil"/>
              <w:left w:val="nil"/>
              <w:bottom w:val="nil"/>
              <w:right w:val="nil"/>
            </w:tcBorders>
          </w:tcPr>
          <w:p w:rsidRPr="002168F4" w:rsidR="007433BE" w:rsidP="007433BE" w:rsidRDefault="007433BE" w14:paraId="78F624EF"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7433BE" w:rsidTr="007433BE" w14:paraId="4CA07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481EF54B" w14:textId="77777777">
            <w:pPr>
              <w:pStyle w:val="Amendement"/>
              <w:rPr>
                <w:rFonts w:ascii="Times New Roman" w:hAnsi="Times New Roman" w:cs="Times New Roman"/>
              </w:rPr>
            </w:pPr>
          </w:p>
        </w:tc>
        <w:tc>
          <w:tcPr>
            <w:tcW w:w="3661" w:type="pct"/>
            <w:tcBorders>
              <w:top w:val="nil"/>
              <w:left w:val="nil"/>
              <w:bottom w:val="nil"/>
              <w:right w:val="nil"/>
            </w:tcBorders>
          </w:tcPr>
          <w:p w:rsidRPr="002168F4" w:rsidR="007433BE" w:rsidP="007433BE" w:rsidRDefault="007433BE" w14:paraId="66B51982" w14:textId="77777777">
            <w:pPr>
              <w:pStyle w:val="Amendement"/>
              <w:rPr>
                <w:rFonts w:ascii="Times New Roman" w:hAnsi="Times New Roman" w:cs="Times New Roman"/>
              </w:rPr>
            </w:pPr>
          </w:p>
        </w:tc>
      </w:tr>
    </w:tbl>
    <w:p w:rsidR="00A92017" w:rsidP="007433BE" w:rsidRDefault="00A92017" w14:paraId="6DAC4575" w14:textId="704B7CFB">
      <w:pPr>
        <w:ind w:left="-1418"/>
        <w:rPr>
          <w:b/>
          <w:caps/>
          <w:color w:val="009EE0"/>
          <w:szCs w:val="18"/>
        </w:rPr>
      </w:pPr>
      <w:bookmarkStart w:name="1294064610729133" w:id="0"/>
    </w:p>
    <w:p w:rsidR="00A92017" w:rsidP="00A92017" w:rsidRDefault="00A92017" w14:paraId="352CE6D8" w14:textId="55885CC2">
      <w:pPr>
        <w:pStyle w:val="section-title-1"/>
      </w:pPr>
      <w:r>
        <w:t>INHOUDSOPGAVE</w:t>
      </w:r>
    </w:p>
    <w:tbl>
      <w:tblPr>
        <w:tblStyle w:val="TableNormal"/>
        <w:tblW w:w="6476" w:type="dxa"/>
        <w:tblLayout w:type="fixed"/>
        <w:tblLook w:val="01E0" w:firstRow="1" w:lastRow="1" w:firstColumn="1" w:lastColumn="1" w:noHBand="0" w:noVBand="0"/>
      </w:tblPr>
      <w:tblGrid>
        <w:gridCol w:w="438"/>
        <w:gridCol w:w="5641"/>
        <w:gridCol w:w="397"/>
      </w:tblGrid>
      <w:tr w:rsidRPr="009665F5" w:rsidR="00A92017" w:rsidTr="00A92017" w14:paraId="31E1DB72" w14:textId="77777777">
        <w:trPr>
          <w:trHeight w:val="217"/>
        </w:trPr>
        <w:tc>
          <w:tcPr>
            <w:tcW w:w="438" w:type="dxa"/>
          </w:tcPr>
          <w:p w:rsidRPr="009665F5" w:rsidR="00A92017" w:rsidP="00DC031D" w:rsidRDefault="00A92017" w14:paraId="45622E0C" w14:textId="77777777">
            <w:pPr>
              <w:pStyle w:val="TableParagraph"/>
              <w:spacing w:before="3" w:line="194"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A.</w:t>
            </w:r>
          </w:p>
        </w:tc>
        <w:tc>
          <w:tcPr>
            <w:tcW w:w="5641" w:type="dxa"/>
          </w:tcPr>
          <w:p w:rsidRPr="009665F5" w:rsidR="00A92017" w:rsidP="00DC031D" w:rsidRDefault="00A92017" w14:paraId="628D518F" w14:textId="77777777">
            <w:pPr>
              <w:pStyle w:val="TableParagraph"/>
              <w:spacing w:before="3" w:line="194" w:lineRule="exact"/>
              <w:ind w:left="207"/>
              <w:jc w:val="left"/>
              <w:rPr>
                <w:rFonts w:ascii="DejaVu Sans" w:hAnsi="DejaVu Sans" w:eastAsia="Arial Unicode MS" w:cs="Tahoma"/>
                <w:kern w:val="3"/>
                <w:sz w:val="17"/>
                <w:szCs w:val="17"/>
                <w:lang w:val="nl-NL" w:eastAsia="nl-NL"/>
              </w:rPr>
            </w:pPr>
            <w:hyperlink w:history="1" w:anchor="_bookmark0">
              <w:r w:rsidRPr="009665F5">
                <w:rPr>
                  <w:rFonts w:ascii="DejaVu Sans" w:hAnsi="DejaVu Sans" w:eastAsia="Arial Unicode MS" w:cs="Tahoma"/>
                  <w:kern w:val="3"/>
                  <w:sz w:val="17"/>
                  <w:szCs w:val="17"/>
                  <w:lang w:val="nl-NL" w:eastAsia="nl-NL"/>
                </w:rPr>
                <w:t>ARTIKELSGEWIJZE TOELICHTING BIJ HET WETSVOORSTEL</w:t>
              </w:r>
            </w:hyperlink>
          </w:p>
        </w:tc>
        <w:tc>
          <w:tcPr>
            <w:tcW w:w="397" w:type="dxa"/>
          </w:tcPr>
          <w:p w:rsidRPr="009665F5" w:rsidR="00A92017" w:rsidP="00DC031D" w:rsidRDefault="00A92017" w14:paraId="627EB490" w14:textId="77777777">
            <w:pPr>
              <w:pStyle w:val="TableParagraph"/>
              <w:spacing w:before="3" w:line="194" w:lineRule="exact"/>
              <w:ind w:left="247"/>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p>
        </w:tc>
      </w:tr>
    </w:tbl>
    <w:p w:rsidRPr="009665F5" w:rsidR="00A92017" w:rsidP="00A92017" w:rsidRDefault="00A92017" w14:paraId="40AC63CE" w14:textId="77777777">
      <w:pPr>
        <w:pStyle w:val="Plattetekst"/>
        <w:spacing w:before="10"/>
        <w:rPr>
          <w:rFonts w:ascii="DejaVu Sans" w:hAnsi="DejaVu Sans" w:eastAsia="Arial Unicode MS"/>
          <w:kern w:val="3"/>
          <w:sz w:val="17"/>
          <w:szCs w:val="17"/>
          <w:lang w:eastAsia="nl-NL"/>
        </w:rPr>
      </w:pPr>
    </w:p>
    <w:tbl>
      <w:tblPr>
        <w:tblStyle w:val="TableNormal"/>
        <w:tblW w:w="6479" w:type="dxa"/>
        <w:tblLayout w:type="fixed"/>
        <w:tblLook w:val="01E0" w:firstRow="1" w:lastRow="1" w:firstColumn="1" w:lastColumn="1" w:noHBand="0" w:noVBand="0"/>
      </w:tblPr>
      <w:tblGrid>
        <w:gridCol w:w="432"/>
        <w:gridCol w:w="4251"/>
        <w:gridCol w:w="1796"/>
      </w:tblGrid>
      <w:tr w:rsidRPr="009665F5" w:rsidR="00A92017" w:rsidTr="00A92017" w14:paraId="30CA8F83" w14:textId="77777777">
        <w:trPr>
          <w:trHeight w:val="217"/>
        </w:trPr>
        <w:tc>
          <w:tcPr>
            <w:tcW w:w="432" w:type="dxa"/>
          </w:tcPr>
          <w:p w:rsidRPr="009665F5" w:rsidR="00A92017" w:rsidP="00DC031D" w:rsidRDefault="00A92017" w14:paraId="307DA2F0" w14:textId="77777777">
            <w:pPr>
              <w:pStyle w:val="TableParagraph"/>
              <w:spacing w:before="3" w:line="194"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B.</w:t>
            </w:r>
          </w:p>
        </w:tc>
        <w:tc>
          <w:tcPr>
            <w:tcW w:w="4251" w:type="dxa"/>
          </w:tcPr>
          <w:p w:rsidRPr="009665F5" w:rsidR="00A92017" w:rsidP="00DC031D" w:rsidRDefault="00A92017" w14:paraId="5EE0A781" w14:textId="77777777">
            <w:pPr>
              <w:pStyle w:val="TableParagraph"/>
              <w:spacing w:before="3" w:line="194" w:lineRule="exact"/>
              <w:ind w:left="213"/>
              <w:jc w:val="left"/>
              <w:rPr>
                <w:rFonts w:ascii="DejaVu Sans" w:hAnsi="DejaVu Sans" w:eastAsia="Arial Unicode MS" w:cs="Tahoma"/>
                <w:kern w:val="3"/>
                <w:sz w:val="17"/>
                <w:szCs w:val="17"/>
                <w:lang w:val="nl-NL" w:eastAsia="nl-NL"/>
              </w:rPr>
            </w:pPr>
            <w:hyperlink w:history="1" w:anchor="_bookmark1">
              <w:r w:rsidRPr="009665F5">
                <w:rPr>
                  <w:rFonts w:ascii="DejaVu Sans" w:hAnsi="DejaVu Sans" w:eastAsia="Arial Unicode MS" w:cs="Tahoma"/>
                  <w:kern w:val="3"/>
                  <w:sz w:val="17"/>
                  <w:szCs w:val="17"/>
                  <w:lang w:val="nl-NL" w:eastAsia="nl-NL"/>
                </w:rPr>
                <w:t>BEGROTINGSTOELICHTING</w:t>
              </w:r>
            </w:hyperlink>
          </w:p>
        </w:tc>
        <w:tc>
          <w:tcPr>
            <w:tcW w:w="1796" w:type="dxa"/>
          </w:tcPr>
          <w:p w:rsidRPr="009665F5" w:rsidR="00A92017" w:rsidP="00DC031D" w:rsidRDefault="00A92017" w14:paraId="6B86E34A" w14:textId="77777777">
            <w:pPr>
              <w:pStyle w:val="TableParagraph"/>
              <w:spacing w:before="3" w:line="194"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p>
        </w:tc>
      </w:tr>
    </w:tbl>
    <w:p w:rsidRPr="009665F5" w:rsidR="00A92017" w:rsidP="00A92017" w:rsidRDefault="00A92017" w14:paraId="65F0515B" w14:textId="77777777">
      <w:pPr>
        <w:pStyle w:val="Plattetekst"/>
        <w:spacing w:before="10"/>
        <w:rPr>
          <w:rFonts w:ascii="DejaVu Sans" w:hAnsi="DejaVu Sans" w:eastAsia="Arial Unicode MS"/>
          <w:kern w:val="3"/>
          <w:sz w:val="17"/>
          <w:szCs w:val="17"/>
          <w:lang w:eastAsia="nl-NL"/>
        </w:rPr>
      </w:pPr>
    </w:p>
    <w:tbl>
      <w:tblPr>
        <w:tblStyle w:val="TableNormal"/>
        <w:tblW w:w="5911" w:type="dxa"/>
        <w:tblInd w:w="567" w:type="dxa"/>
        <w:tblLayout w:type="fixed"/>
        <w:tblLook w:val="01E0" w:firstRow="1" w:lastRow="1" w:firstColumn="1" w:lastColumn="1" w:noHBand="0" w:noVBand="0"/>
      </w:tblPr>
      <w:tblGrid>
        <w:gridCol w:w="398"/>
        <w:gridCol w:w="3262"/>
        <w:gridCol w:w="2251"/>
      </w:tblGrid>
      <w:tr w:rsidRPr="009665F5" w:rsidR="00A92017" w:rsidTr="00A92017" w14:paraId="5F064D55" w14:textId="77777777">
        <w:trPr>
          <w:trHeight w:val="217"/>
        </w:trPr>
        <w:tc>
          <w:tcPr>
            <w:tcW w:w="398" w:type="dxa"/>
          </w:tcPr>
          <w:p w:rsidRPr="009665F5" w:rsidR="00A92017" w:rsidP="00DC031D" w:rsidRDefault="00A92017" w14:paraId="4F6DF5D0" w14:textId="77777777">
            <w:pPr>
              <w:pStyle w:val="TableParagraph"/>
              <w:spacing w:before="3" w:line="194"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p>
        </w:tc>
        <w:tc>
          <w:tcPr>
            <w:tcW w:w="3262" w:type="dxa"/>
          </w:tcPr>
          <w:p w:rsidRPr="009665F5" w:rsidR="00A92017" w:rsidP="00DC031D" w:rsidRDefault="00A92017" w14:paraId="487BF9AA" w14:textId="77777777">
            <w:pPr>
              <w:pStyle w:val="TableParagraph"/>
              <w:spacing w:before="3" w:line="194" w:lineRule="exact"/>
              <w:ind w:left="247"/>
              <w:jc w:val="left"/>
              <w:rPr>
                <w:rFonts w:ascii="DejaVu Sans" w:hAnsi="DejaVu Sans" w:eastAsia="Arial Unicode MS" w:cs="Tahoma"/>
                <w:kern w:val="3"/>
                <w:sz w:val="17"/>
                <w:szCs w:val="17"/>
                <w:lang w:val="nl-NL" w:eastAsia="nl-NL"/>
              </w:rPr>
            </w:pPr>
            <w:hyperlink w:history="1" w:anchor="_bookmark2">
              <w:r w:rsidRPr="009665F5">
                <w:rPr>
                  <w:rFonts w:ascii="DejaVu Sans" w:hAnsi="DejaVu Sans" w:eastAsia="Arial Unicode MS" w:cs="Tahoma"/>
                  <w:kern w:val="3"/>
                  <w:sz w:val="17"/>
                  <w:szCs w:val="17"/>
                  <w:lang w:val="nl-NL" w:eastAsia="nl-NL"/>
                </w:rPr>
                <w:t>Leeswijzer</w:t>
              </w:r>
            </w:hyperlink>
          </w:p>
        </w:tc>
        <w:tc>
          <w:tcPr>
            <w:tcW w:w="2251" w:type="dxa"/>
          </w:tcPr>
          <w:p w:rsidRPr="009665F5" w:rsidR="00A92017" w:rsidP="00DC031D" w:rsidRDefault="00A92017" w14:paraId="5725C513" w14:textId="77777777">
            <w:pPr>
              <w:pStyle w:val="TableParagraph"/>
              <w:spacing w:before="3" w:line="194" w:lineRule="exact"/>
              <w:ind w:right="48"/>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p>
        </w:tc>
      </w:tr>
    </w:tbl>
    <w:p w:rsidRPr="009665F5" w:rsidR="00A92017" w:rsidP="00A92017" w:rsidRDefault="00A92017" w14:paraId="0FD19125" w14:textId="77777777">
      <w:pPr>
        <w:pStyle w:val="Plattetekst"/>
        <w:spacing w:before="10"/>
        <w:rPr>
          <w:rFonts w:ascii="DejaVu Sans" w:hAnsi="DejaVu Sans" w:eastAsia="Arial Unicode MS"/>
          <w:kern w:val="3"/>
          <w:sz w:val="17"/>
          <w:szCs w:val="17"/>
          <w:lang w:eastAsia="nl-NL"/>
        </w:rPr>
      </w:pPr>
    </w:p>
    <w:tbl>
      <w:tblPr>
        <w:tblStyle w:val="TableNormal"/>
        <w:tblW w:w="5912" w:type="dxa"/>
        <w:tblInd w:w="567" w:type="dxa"/>
        <w:tblLayout w:type="fixed"/>
        <w:tblLook w:val="01E0" w:firstRow="1" w:lastRow="1" w:firstColumn="1" w:lastColumn="1" w:noHBand="0" w:noVBand="0"/>
      </w:tblPr>
      <w:tblGrid>
        <w:gridCol w:w="474"/>
        <w:gridCol w:w="4213"/>
        <w:gridCol w:w="1225"/>
      </w:tblGrid>
      <w:tr w:rsidRPr="009665F5" w:rsidR="00A92017" w:rsidTr="00A92017" w14:paraId="6C2DA800" w14:textId="77777777">
        <w:trPr>
          <w:trHeight w:val="219"/>
        </w:trPr>
        <w:tc>
          <w:tcPr>
            <w:tcW w:w="474" w:type="dxa"/>
          </w:tcPr>
          <w:p w:rsidRPr="009665F5" w:rsidR="00A92017" w:rsidP="00DC031D" w:rsidRDefault="00A92017" w14:paraId="75B9F50E"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w:t>
            </w:r>
          </w:p>
        </w:tc>
        <w:tc>
          <w:tcPr>
            <w:tcW w:w="4213" w:type="dxa"/>
          </w:tcPr>
          <w:p w:rsidRPr="009665F5" w:rsidR="00A92017" w:rsidP="00DC031D" w:rsidRDefault="00A92017" w14:paraId="79FB1843" w14:textId="77777777">
            <w:pPr>
              <w:pStyle w:val="TableParagraph"/>
              <w:spacing w:before="3" w:line="197" w:lineRule="exact"/>
              <w:ind w:left="171"/>
              <w:jc w:val="left"/>
              <w:rPr>
                <w:rFonts w:ascii="DejaVu Sans" w:hAnsi="DejaVu Sans" w:eastAsia="Arial Unicode MS" w:cs="Tahoma"/>
                <w:kern w:val="3"/>
                <w:sz w:val="17"/>
                <w:szCs w:val="17"/>
                <w:lang w:val="nl-NL" w:eastAsia="nl-NL"/>
              </w:rPr>
            </w:pPr>
            <w:hyperlink w:history="1" w:anchor="_bookmark3">
              <w:r w:rsidRPr="009665F5">
                <w:rPr>
                  <w:rFonts w:ascii="DejaVu Sans" w:hAnsi="DejaVu Sans" w:eastAsia="Arial Unicode MS" w:cs="Tahoma"/>
                  <w:kern w:val="3"/>
                  <w:sz w:val="17"/>
                  <w:szCs w:val="17"/>
                  <w:lang w:val="nl-NL" w:eastAsia="nl-NL"/>
                </w:rPr>
                <w:t>Beleid</w:t>
              </w:r>
            </w:hyperlink>
          </w:p>
        </w:tc>
        <w:tc>
          <w:tcPr>
            <w:tcW w:w="1225" w:type="dxa"/>
          </w:tcPr>
          <w:p w:rsidRPr="009665F5" w:rsidR="00A92017" w:rsidP="00DC031D" w:rsidRDefault="00A92017" w14:paraId="30DEBE0C" w14:textId="77777777">
            <w:pPr>
              <w:pStyle w:val="TableParagraph"/>
              <w:spacing w:before="3" w:line="197"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5</w:t>
            </w:r>
          </w:p>
        </w:tc>
      </w:tr>
      <w:tr w:rsidRPr="009665F5" w:rsidR="00A92017" w:rsidTr="00A92017" w14:paraId="1368EF51" w14:textId="77777777">
        <w:trPr>
          <w:trHeight w:val="447"/>
        </w:trPr>
        <w:tc>
          <w:tcPr>
            <w:tcW w:w="474" w:type="dxa"/>
          </w:tcPr>
          <w:p w:rsidRPr="009665F5" w:rsidR="00A92017" w:rsidP="00CA2275" w:rsidRDefault="00A92017" w14:paraId="2E92F971" w14:textId="77777777">
            <w:pPr>
              <w:pStyle w:val="TableParagraph"/>
              <w:spacing w:before="0" w:line="213"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2.1</w:t>
            </w:r>
          </w:p>
        </w:tc>
        <w:tc>
          <w:tcPr>
            <w:tcW w:w="4213" w:type="dxa"/>
          </w:tcPr>
          <w:p w:rsidRPr="009665F5" w:rsidR="00A92017" w:rsidP="00CA2275" w:rsidRDefault="00A92017" w14:paraId="57783E30" w14:textId="77777777">
            <w:pPr>
              <w:pStyle w:val="TableParagraph"/>
              <w:spacing w:before="0" w:line="213" w:lineRule="exact"/>
              <w:ind w:left="171"/>
              <w:jc w:val="left"/>
              <w:rPr>
                <w:rFonts w:ascii="DejaVu Sans" w:hAnsi="DejaVu Sans" w:eastAsia="Arial Unicode MS" w:cs="Tahoma"/>
                <w:kern w:val="3"/>
                <w:sz w:val="17"/>
                <w:szCs w:val="17"/>
                <w:lang w:val="nl-NL" w:eastAsia="nl-NL"/>
              </w:rPr>
            </w:pPr>
            <w:hyperlink w:history="1" w:anchor="_bookmark4">
              <w:r w:rsidRPr="009665F5">
                <w:rPr>
                  <w:rFonts w:ascii="DejaVu Sans" w:hAnsi="DejaVu Sans" w:eastAsia="Arial Unicode MS" w:cs="Tahoma"/>
                  <w:kern w:val="3"/>
                  <w:sz w:val="17"/>
                  <w:szCs w:val="17"/>
                  <w:lang w:val="nl-NL" w:eastAsia="nl-NL"/>
                </w:rPr>
                <w:t>Overzicht belangrijkste uitgaven- en</w:t>
              </w:r>
            </w:hyperlink>
          </w:p>
          <w:p w:rsidRPr="009665F5" w:rsidR="00A92017" w:rsidP="00CA2275" w:rsidRDefault="00A92017" w14:paraId="3AF6A4FC" w14:textId="77777777">
            <w:pPr>
              <w:pStyle w:val="TableParagraph"/>
              <w:spacing w:before="6" w:line="208" w:lineRule="exact"/>
              <w:ind w:left="171"/>
              <w:jc w:val="left"/>
              <w:rPr>
                <w:rFonts w:ascii="DejaVu Sans" w:hAnsi="DejaVu Sans" w:eastAsia="Arial Unicode MS" w:cs="Tahoma"/>
                <w:kern w:val="3"/>
                <w:sz w:val="17"/>
                <w:szCs w:val="17"/>
                <w:lang w:val="nl-NL" w:eastAsia="nl-NL"/>
              </w:rPr>
            </w:pPr>
            <w:hyperlink w:history="1" w:anchor="_bookmark4">
              <w:r w:rsidRPr="009665F5">
                <w:rPr>
                  <w:rFonts w:ascii="DejaVu Sans" w:hAnsi="DejaVu Sans" w:eastAsia="Arial Unicode MS" w:cs="Tahoma"/>
                  <w:kern w:val="3"/>
                  <w:sz w:val="17"/>
                  <w:szCs w:val="17"/>
                  <w:lang w:val="nl-NL" w:eastAsia="nl-NL"/>
                </w:rPr>
                <w:t>ontvangstenmutaties IXB</w:t>
              </w:r>
            </w:hyperlink>
          </w:p>
        </w:tc>
        <w:tc>
          <w:tcPr>
            <w:tcW w:w="1225" w:type="dxa"/>
          </w:tcPr>
          <w:p w:rsidRPr="009665F5" w:rsidR="00A92017" w:rsidP="00CA2275" w:rsidRDefault="00A92017" w14:paraId="23242074" w14:textId="77777777">
            <w:pPr>
              <w:pStyle w:val="TableParagraph"/>
              <w:spacing w:before="11"/>
              <w:jc w:val="left"/>
              <w:rPr>
                <w:rFonts w:ascii="DejaVu Sans" w:hAnsi="DejaVu Sans" w:eastAsia="Arial Unicode MS" w:cs="Tahoma"/>
                <w:kern w:val="3"/>
                <w:sz w:val="17"/>
                <w:szCs w:val="17"/>
                <w:lang w:val="nl-NL" w:eastAsia="nl-NL"/>
              </w:rPr>
            </w:pPr>
          </w:p>
          <w:p w:rsidRPr="009665F5" w:rsidR="00A92017" w:rsidP="00CA2275" w:rsidRDefault="00A92017" w14:paraId="3BFDD1DD" w14:textId="77777777">
            <w:pPr>
              <w:pStyle w:val="TableParagraph"/>
              <w:spacing w:before="0" w:line="208"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5</w:t>
            </w:r>
          </w:p>
        </w:tc>
      </w:tr>
      <w:tr w:rsidRPr="009665F5" w:rsidR="00A92017" w:rsidTr="00A92017" w14:paraId="37E17D61" w14:textId="77777777">
        <w:trPr>
          <w:trHeight w:val="445"/>
        </w:trPr>
        <w:tc>
          <w:tcPr>
            <w:tcW w:w="474" w:type="dxa"/>
          </w:tcPr>
          <w:p w:rsidRPr="009665F5" w:rsidR="00A92017" w:rsidP="00CA2275" w:rsidRDefault="00A92017" w14:paraId="3BB1BCB6" w14:textId="77777777">
            <w:pPr>
              <w:pStyle w:val="TableParagraph"/>
              <w:spacing w:before="0" w:line="213"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2.2</w:t>
            </w:r>
          </w:p>
        </w:tc>
        <w:tc>
          <w:tcPr>
            <w:tcW w:w="4213" w:type="dxa"/>
          </w:tcPr>
          <w:p w:rsidRPr="009665F5" w:rsidR="00A92017" w:rsidP="00CA2275" w:rsidRDefault="00A92017" w14:paraId="2CA15421" w14:textId="77777777">
            <w:pPr>
              <w:pStyle w:val="TableParagraph"/>
              <w:spacing w:before="0" w:line="213" w:lineRule="exact"/>
              <w:ind w:left="171"/>
              <w:jc w:val="left"/>
              <w:rPr>
                <w:rFonts w:ascii="DejaVu Sans" w:hAnsi="DejaVu Sans" w:eastAsia="Arial Unicode MS" w:cs="Tahoma"/>
                <w:kern w:val="3"/>
                <w:sz w:val="17"/>
                <w:szCs w:val="17"/>
                <w:lang w:val="nl-NL" w:eastAsia="nl-NL"/>
              </w:rPr>
            </w:pPr>
            <w:hyperlink w:history="1" w:anchor="_bookmark5">
              <w:r w:rsidRPr="009665F5">
                <w:rPr>
                  <w:rFonts w:ascii="DejaVu Sans" w:hAnsi="DejaVu Sans" w:eastAsia="Arial Unicode MS" w:cs="Tahoma"/>
                  <w:kern w:val="3"/>
                  <w:sz w:val="17"/>
                  <w:szCs w:val="17"/>
                  <w:lang w:val="nl-NL" w:eastAsia="nl-NL"/>
                </w:rPr>
                <w:t>Overzicht belangrijkste uitgaven- en</w:t>
              </w:r>
            </w:hyperlink>
          </w:p>
          <w:p w:rsidRPr="009665F5" w:rsidR="00A92017" w:rsidP="00CA2275" w:rsidRDefault="00A92017" w14:paraId="442550CD" w14:textId="77777777">
            <w:pPr>
              <w:pStyle w:val="TableParagraph"/>
              <w:spacing w:before="6" w:line="206" w:lineRule="exact"/>
              <w:ind w:left="171"/>
              <w:jc w:val="left"/>
              <w:rPr>
                <w:rFonts w:ascii="DejaVu Sans" w:hAnsi="DejaVu Sans" w:eastAsia="Arial Unicode MS" w:cs="Tahoma"/>
                <w:kern w:val="3"/>
                <w:sz w:val="17"/>
                <w:szCs w:val="17"/>
                <w:lang w:val="nl-NL" w:eastAsia="nl-NL"/>
              </w:rPr>
            </w:pPr>
            <w:hyperlink w:history="1" w:anchor="_bookmark5">
              <w:r w:rsidRPr="009665F5">
                <w:rPr>
                  <w:rFonts w:ascii="DejaVu Sans" w:hAnsi="DejaVu Sans" w:eastAsia="Arial Unicode MS" w:cs="Tahoma"/>
                  <w:kern w:val="3"/>
                  <w:sz w:val="17"/>
                  <w:szCs w:val="17"/>
                  <w:lang w:val="nl-NL" w:eastAsia="nl-NL"/>
                </w:rPr>
                <w:t>ontvangstenmutaties IXA</w:t>
              </w:r>
            </w:hyperlink>
          </w:p>
        </w:tc>
        <w:tc>
          <w:tcPr>
            <w:tcW w:w="1225" w:type="dxa"/>
          </w:tcPr>
          <w:p w:rsidRPr="009665F5" w:rsidR="00A92017" w:rsidP="00CA2275" w:rsidRDefault="00A92017" w14:paraId="6699A801" w14:textId="77777777">
            <w:pPr>
              <w:pStyle w:val="TableParagraph"/>
              <w:spacing w:before="11"/>
              <w:jc w:val="left"/>
              <w:rPr>
                <w:rFonts w:ascii="DejaVu Sans" w:hAnsi="DejaVu Sans" w:eastAsia="Arial Unicode MS" w:cs="Tahoma"/>
                <w:kern w:val="3"/>
                <w:sz w:val="17"/>
                <w:szCs w:val="17"/>
                <w:lang w:val="nl-NL" w:eastAsia="nl-NL"/>
              </w:rPr>
            </w:pPr>
          </w:p>
          <w:p w:rsidRPr="009665F5" w:rsidR="00A92017" w:rsidP="00CA2275" w:rsidRDefault="00A92017" w14:paraId="2FCF1EE8" w14:textId="146A811F">
            <w:pPr>
              <w:pStyle w:val="TableParagraph"/>
              <w:spacing w:before="0" w:line="206"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0</w:t>
            </w:r>
          </w:p>
        </w:tc>
      </w:tr>
    </w:tbl>
    <w:p w:rsidRPr="009665F5" w:rsidR="00A92017" w:rsidP="00CA2275" w:rsidRDefault="00A92017" w14:paraId="6093B692" w14:textId="77777777">
      <w:pPr>
        <w:pStyle w:val="Plattetekst"/>
        <w:rPr>
          <w:rFonts w:ascii="DejaVu Sans" w:hAnsi="DejaVu Sans" w:eastAsia="Arial Unicode MS"/>
          <w:kern w:val="3"/>
          <w:sz w:val="17"/>
          <w:szCs w:val="17"/>
          <w:lang w:eastAsia="nl-NL"/>
        </w:rPr>
      </w:pPr>
    </w:p>
    <w:tbl>
      <w:tblPr>
        <w:tblStyle w:val="TableNormal"/>
        <w:tblW w:w="5910" w:type="dxa"/>
        <w:tblInd w:w="567" w:type="dxa"/>
        <w:tblLayout w:type="fixed"/>
        <w:tblLook w:val="01E0" w:firstRow="1" w:lastRow="1" w:firstColumn="1" w:lastColumn="1" w:noHBand="0" w:noVBand="0"/>
      </w:tblPr>
      <w:tblGrid>
        <w:gridCol w:w="398"/>
        <w:gridCol w:w="5134"/>
        <w:gridCol w:w="378"/>
      </w:tblGrid>
      <w:tr w:rsidRPr="009665F5" w:rsidR="00A92017" w:rsidTr="00A92017" w14:paraId="6E48841F" w14:textId="77777777">
        <w:trPr>
          <w:trHeight w:val="219"/>
        </w:trPr>
        <w:tc>
          <w:tcPr>
            <w:tcW w:w="398" w:type="dxa"/>
          </w:tcPr>
          <w:p w:rsidRPr="009665F5" w:rsidR="00A92017" w:rsidP="00CA2275" w:rsidRDefault="00A92017" w14:paraId="1DCFF20E"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p>
        </w:tc>
        <w:tc>
          <w:tcPr>
            <w:tcW w:w="5134" w:type="dxa"/>
          </w:tcPr>
          <w:p w:rsidRPr="009665F5" w:rsidR="00A92017" w:rsidP="00CA2275" w:rsidRDefault="00A92017" w14:paraId="4D85D5F5" w14:textId="77777777">
            <w:pPr>
              <w:pStyle w:val="TableParagraph"/>
              <w:spacing w:before="3" w:line="197" w:lineRule="exact"/>
              <w:ind w:left="247"/>
              <w:jc w:val="left"/>
              <w:rPr>
                <w:rFonts w:ascii="DejaVu Sans" w:hAnsi="DejaVu Sans" w:eastAsia="Arial Unicode MS" w:cs="Tahoma"/>
                <w:kern w:val="3"/>
                <w:sz w:val="17"/>
                <w:szCs w:val="17"/>
                <w:lang w:val="nl-NL" w:eastAsia="nl-NL"/>
              </w:rPr>
            </w:pPr>
            <w:hyperlink w:history="1" w:anchor="_bookmark6">
              <w:r w:rsidRPr="009665F5">
                <w:rPr>
                  <w:rFonts w:ascii="DejaVu Sans" w:hAnsi="DejaVu Sans" w:eastAsia="Arial Unicode MS" w:cs="Tahoma"/>
                  <w:kern w:val="3"/>
                  <w:sz w:val="17"/>
                  <w:szCs w:val="17"/>
                  <w:lang w:val="nl-NL" w:eastAsia="nl-NL"/>
                </w:rPr>
                <w:t>Beleidsartikelen Ministerie van Financiën (IXB)</w:t>
              </w:r>
            </w:hyperlink>
          </w:p>
        </w:tc>
        <w:tc>
          <w:tcPr>
            <w:tcW w:w="378" w:type="dxa"/>
          </w:tcPr>
          <w:p w:rsidRPr="009665F5" w:rsidR="00A92017" w:rsidP="00CA2275" w:rsidRDefault="00A92017" w14:paraId="226DEDCD" w14:textId="12B2A602">
            <w:pPr>
              <w:pStyle w:val="TableParagraph"/>
              <w:spacing w:before="3" w:line="197"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2</w:t>
            </w:r>
          </w:p>
        </w:tc>
      </w:tr>
      <w:tr w:rsidRPr="009665F5" w:rsidR="00A92017" w:rsidTr="00A92017" w14:paraId="5C46A6C9" w14:textId="77777777">
        <w:trPr>
          <w:trHeight w:val="223"/>
        </w:trPr>
        <w:tc>
          <w:tcPr>
            <w:tcW w:w="398" w:type="dxa"/>
          </w:tcPr>
          <w:p w:rsidRPr="009665F5" w:rsidR="00A92017" w:rsidP="00CA2275" w:rsidRDefault="00A92017" w14:paraId="6F01915F"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2A32C9F2"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7">
              <w:r w:rsidRPr="009665F5">
                <w:rPr>
                  <w:rFonts w:ascii="DejaVu Sans" w:hAnsi="DejaVu Sans" w:eastAsia="Arial Unicode MS" w:cs="Tahoma"/>
                  <w:kern w:val="3"/>
                  <w:sz w:val="17"/>
                  <w:szCs w:val="17"/>
                  <w:lang w:val="nl-NL" w:eastAsia="nl-NL"/>
                </w:rPr>
                <w:t>Artikel 1 Belastingen</w:t>
              </w:r>
            </w:hyperlink>
          </w:p>
        </w:tc>
        <w:tc>
          <w:tcPr>
            <w:tcW w:w="378" w:type="dxa"/>
          </w:tcPr>
          <w:p w:rsidRPr="009665F5" w:rsidR="00A92017" w:rsidP="00CA2275" w:rsidRDefault="00A92017" w14:paraId="797A1A0F" w14:textId="4863C0CA">
            <w:pPr>
              <w:pStyle w:val="TableParagraph"/>
              <w:spacing w:before="0" w:line="204" w:lineRule="exact"/>
              <w:ind w:left="88" w:right="4"/>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2</w:t>
            </w:r>
          </w:p>
        </w:tc>
      </w:tr>
      <w:tr w:rsidRPr="009665F5" w:rsidR="00A92017" w:rsidTr="00A92017" w14:paraId="5D642CF0" w14:textId="77777777">
        <w:trPr>
          <w:trHeight w:val="223"/>
        </w:trPr>
        <w:tc>
          <w:tcPr>
            <w:tcW w:w="398" w:type="dxa"/>
          </w:tcPr>
          <w:p w:rsidRPr="009665F5" w:rsidR="00A92017" w:rsidP="00CA2275" w:rsidRDefault="00A92017" w14:paraId="1D79583F"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533B1997"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8">
              <w:r w:rsidRPr="009665F5">
                <w:rPr>
                  <w:rFonts w:ascii="DejaVu Sans" w:hAnsi="DejaVu Sans" w:eastAsia="Arial Unicode MS" w:cs="Tahoma"/>
                  <w:kern w:val="3"/>
                  <w:sz w:val="17"/>
                  <w:szCs w:val="17"/>
                  <w:lang w:val="nl-NL" w:eastAsia="nl-NL"/>
                </w:rPr>
                <w:t>Artikel 2 Financiële markten</w:t>
              </w:r>
            </w:hyperlink>
          </w:p>
        </w:tc>
        <w:tc>
          <w:tcPr>
            <w:tcW w:w="378" w:type="dxa"/>
          </w:tcPr>
          <w:p w:rsidRPr="009665F5" w:rsidR="00A92017" w:rsidP="00CA2275" w:rsidRDefault="00A92017" w14:paraId="1D51923F" w14:textId="1A4BEC50">
            <w:pPr>
              <w:pStyle w:val="TableParagraph"/>
              <w:spacing w:before="0" w:line="204" w:lineRule="exact"/>
              <w:ind w:left="88"/>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7</w:t>
            </w:r>
          </w:p>
        </w:tc>
      </w:tr>
      <w:tr w:rsidRPr="009665F5" w:rsidR="00A92017" w:rsidTr="00A92017" w14:paraId="61F5979C" w14:textId="77777777">
        <w:trPr>
          <w:trHeight w:val="223"/>
        </w:trPr>
        <w:tc>
          <w:tcPr>
            <w:tcW w:w="398" w:type="dxa"/>
          </w:tcPr>
          <w:p w:rsidRPr="009665F5" w:rsidR="00A92017" w:rsidP="00CA2275" w:rsidRDefault="00A92017" w14:paraId="671CD9EA"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58E0C0F8"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9">
              <w:r w:rsidRPr="009665F5">
                <w:rPr>
                  <w:rFonts w:ascii="DejaVu Sans" w:hAnsi="DejaVu Sans" w:eastAsia="Arial Unicode MS" w:cs="Tahoma"/>
                  <w:kern w:val="3"/>
                  <w:sz w:val="17"/>
                  <w:szCs w:val="17"/>
                  <w:lang w:val="nl-NL" w:eastAsia="nl-NL"/>
                </w:rPr>
                <w:t>Artikel 3 Financieringsactiviteiten publiek-private sector</w:t>
              </w:r>
            </w:hyperlink>
          </w:p>
        </w:tc>
        <w:tc>
          <w:tcPr>
            <w:tcW w:w="378" w:type="dxa"/>
          </w:tcPr>
          <w:p w:rsidRPr="009665F5" w:rsidR="00A92017" w:rsidP="00CA2275" w:rsidRDefault="00A92017" w14:paraId="4157D790" w14:textId="6844CB6F">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w:t>
            </w:r>
            <w:r w:rsidRPr="009665F5" w:rsidR="007B7D02">
              <w:rPr>
                <w:rFonts w:ascii="DejaVu Sans" w:hAnsi="DejaVu Sans" w:eastAsia="Arial Unicode MS" w:cs="Tahoma"/>
                <w:kern w:val="3"/>
                <w:sz w:val="17"/>
                <w:szCs w:val="17"/>
                <w:lang w:val="nl-NL" w:eastAsia="nl-NL"/>
              </w:rPr>
              <w:t>0</w:t>
            </w:r>
          </w:p>
        </w:tc>
      </w:tr>
      <w:tr w:rsidRPr="009665F5" w:rsidR="00A92017" w:rsidTr="00A92017" w14:paraId="439A56C1" w14:textId="77777777">
        <w:trPr>
          <w:trHeight w:val="223"/>
        </w:trPr>
        <w:tc>
          <w:tcPr>
            <w:tcW w:w="398" w:type="dxa"/>
          </w:tcPr>
          <w:p w:rsidRPr="009665F5" w:rsidR="00A92017" w:rsidP="00CA2275" w:rsidRDefault="00A92017" w14:paraId="25C635E2"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400DDC65"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0">
              <w:r w:rsidRPr="009665F5">
                <w:rPr>
                  <w:rFonts w:ascii="DejaVu Sans" w:hAnsi="DejaVu Sans" w:eastAsia="Arial Unicode MS" w:cs="Tahoma"/>
                  <w:kern w:val="3"/>
                  <w:sz w:val="17"/>
                  <w:szCs w:val="17"/>
                  <w:lang w:val="nl-NL" w:eastAsia="nl-NL"/>
                </w:rPr>
                <w:t>Artikel 4 Internationale financiële betrekkingen</w:t>
              </w:r>
            </w:hyperlink>
          </w:p>
        </w:tc>
        <w:tc>
          <w:tcPr>
            <w:tcW w:w="378" w:type="dxa"/>
          </w:tcPr>
          <w:p w:rsidRPr="009665F5" w:rsidR="00A92017" w:rsidP="00CA2275" w:rsidRDefault="00A92017" w14:paraId="6ECCD87E" w14:textId="76BF5621">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w:t>
            </w:r>
            <w:r w:rsidRPr="009665F5" w:rsidR="007B7D02">
              <w:rPr>
                <w:rFonts w:ascii="DejaVu Sans" w:hAnsi="DejaVu Sans" w:eastAsia="Arial Unicode MS" w:cs="Tahoma"/>
                <w:kern w:val="3"/>
                <w:sz w:val="17"/>
                <w:szCs w:val="17"/>
                <w:lang w:val="nl-NL" w:eastAsia="nl-NL"/>
              </w:rPr>
              <w:t>4</w:t>
            </w:r>
          </w:p>
        </w:tc>
      </w:tr>
      <w:tr w:rsidRPr="009665F5" w:rsidR="00A92017" w:rsidTr="00A92017" w14:paraId="7966AB17" w14:textId="77777777">
        <w:trPr>
          <w:trHeight w:val="447"/>
        </w:trPr>
        <w:tc>
          <w:tcPr>
            <w:tcW w:w="398" w:type="dxa"/>
          </w:tcPr>
          <w:p w:rsidRPr="009665F5" w:rsidR="00A92017" w:rsidP="00CA2275" w:rsidRDefault="00A92017" w14:paraId="12FF030E"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5C24FADD" w14:textId="77777777">
            <w:pPr>
              <w:pStyle w:val="TableParagraph"/>
              <w:spacing w:before="0" w:line="213" w:lineRule="exact"/>
              <w:ind w:left="247"/>
              <w:jc w:val="left"/>
              <w:rPr>
                <w:rFonts w:ascii="DejaVu Sans" w:hAnsi="DejaVu Sans" w:eastAsia="Arial Unicode MS" w:cs="Tahoma"/>
                <w:kern w:val="3"/>
                <w:sz w:val="17"/>
                <w:szCs w:val="17"/>
                <w:lang w:val="nl-NL" w:eastAsia="nl-NL"/>
              </w:rPr>
            </w:pPr>
            <w:hyperlink w:history="1" w:anchor="_bookmark11">
              <w:r w:rsidRPr="009665F5">
                <w:rPr>
                  <w:rFonts w:ascii="DejaVu Sans" w:hAnsi="DejaVu Sans" w:eastAsia="Arial Unicode MS" w:cs="Tahoma"/>
                  <w:kern w:val="3"/>
                  <w:sz w:val="17"/>
                  <w:szCs w:val="17"/>
                  <w:lang w:val="nl-NL" w:eastAsia="nl-NL"/>
                </w:rPr>
                <w:t>Artikel 5 Exportkredietverzekeringen, -garanties</w:t>
              </w:r>
            </w:hyperlink>
          </w:p>
          <w:p w:rsidRPr="009665F5" w:rsidR="00A92017" w:rsidP="00CA2275" w:rsidRDefault="00A92017" w14:paraId="11B8D4C4" w14:textId="77777777">
            <w:pPr>
              <w:pStyle w:val="TableParagraph"/>
              <w:spacing w:before="6" w:line="208" w:lineRule="exact"/>
              <w:ind w:left="247"/>
              <w:jc w:val="left"/>
              <w:rPr>
                <w:rFonts w:ascii="DejaVu Sans" w:hAnsi="DejaVu Sans" w:eastAsia="Arial Unicode MS" w:cs="Tahoma"/>
                <w:kern w:val="3"/>
                <w:sz w:val="17"/>
                <w:szCs w:val="17"/>
                <w:lang w:val="nl-NL" w:eastAsia="nl-NL"/>
              </w:rPr>
            </w:pPr>
            <w:hyperlink w:history="1" w:anchor="_bookmark11">
              <w:r w:rsidRPr="009665F5">
                <w:rPr>
                  <w:rFonts w:ascii="DejaVu Sans" w:hAnsi="DejaVu Sans" w:eastAsia="Arial Unicode MS" w:cs="Tahoma"/>
                  <w:kern w:val="3"/>
                  <w:sz w:val="17"/>
                  <w:szCs w:val="17"/>
                  <w:lang w:val="nl-NL" w:eastAsia="nl-NL"/>
                </w:rPr>
                <w:t>en investeringsverzekeringen</w:t>
              </w:r>
            </w:hyperlink>
          </w:p>
        </w:tc>
        <w:tc>
          <w:tcPr>
            <w:tcW w:w="378" w:type="dxa"/>
          </w:tcPr>
          <w:p w:rsidRPr="009665F5" w:rsidR="00A92017" w:rsidP="00CA2275" w:rsidRDefault="00A92017" w14:paraId="7AC72CEE" w14:textId="77777777">
            <w:pPr>
              <w:pStyle w:val="TableParagraph"/>
              <w:spacing w:before="11"/>
              <w:jc w:val="left"/>
              <w:rPr>
                <w:rFonts w:ascii="DejaVu Sans" w:hAnsi="DejaVu Sans" w:eastAsia="Arial Unicode MS" w:cs="Tahoma"/>
                <w:kern w:val="3"/>
                <w:sz w:val="17"/>
                <w:szCs w:val="17"/>
                <w:lang w:val="nl-NL" w:eastAsia="nl-NL"/>
              </w:rPr>
            </w:pPr>
          </w:p>
          <w:p w:rsidRPr="009665F5" w:rsidR="00A92017" w:rsidP="00CA2275" w:rsidRDefault="007B7D02" w14:paraId="46139C79" w14:textId="4C7DB5DB">
            <w:pPr>
              <w:pStyle w:val="TableParagraph"/>
              <w:spacing w:before="0" w:line="208"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27</w:t>
            </w:r>
          </w:p>
        </w:tc>
      </w:tr>
      <w:tr w:rsidRPr="009665F5" w:rsidR="00A92017" w:rsidTr="00A92017" w14:paraId="0A5B1823" w14:textId="77777777">
        <w:trPr>
          <w:trHeight w:val="223"/>
        </w:trPr>
        <w:tc>
          <w:tcPr>
            <w:tcW w:w="398" w:type="dxa"/>
          </w:tcPr>
          <w:p w:rsidRPr="009665F5" w:rsidR="00A92017" w:rsidP="00CA2275" w:rsidRDefault="00A92017" w14:paraId="72BE8917"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129E1B63"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2">
              <w:r w:rsidRPr="009665F5">
                <w:rPr>
                  <w:rFonts w:ascii="DejaVu Sans" w:hAnsi="DejaVu Sans" w:eastAsia="Arial Unicode MS" w:cs="Tahoma"/>
                  <w:kern w:val="3"/>
                  <w:sz w:val="17"/>
                  <w:szCs w:val="17"/>
                  <w:lang w:val="nl-NL" w:eastAsia="nl-NL"/>
                </w:rPr>
                <w:t>Artikel 6 Btw-compensatiefonds</w:t>
              </w:r>
            </w:hyperlink>
          </w:p>
        </w:tc>
        <w:tc>
          <w:tcPr>
            <w:tcW w:w="378" w:type="dxa"/>
          </w:tcPr>
          <w:p w:rsidRPr="009665F5" w:rsidR="00A92017" w:rsidP="00CA2275" w:rsidRDefault="00A92017" w14:paraId="568D6B52" w14:textId="2D54B51A">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r w:rsidRPr="009665F5" w:rsidR="007B7D02">
              <w:rPr>
                <w:rFonts w:ascii="DejaVu Sans" w:hAnsi="DejaVu Sans" w:eastAsia="Arial Unicode MS" w:cs="Tahoma"/>
                <w:kern w:val="3"/>
                <w:sz w:val="17"/>
                <w:szCs w:val="17"/>
                <w:lang w:val="nl-NL" w:eastAsia="nl-NL"/>
              </w:rPr>
              <w:t>0</w:t>
            </w:r>
          </w:p>
        </w:tc>
      </w:tr>
      <w:tr w:rsidRPr="009665F5" w:rsidR="00A92017" w:rsidTr="00A92017" w14:paraId="5DA1AE0A" w14:textId="77777777">
        <w:trPr>
          <w:trHeight w:val="223"/>
        </w:trPr>
        <w:tc>
          <w:tcPr>
            <w:tcW w:w="398" w:type="dxa"/>
          </w:tcPr>
          <w:p w:rsidRPr="009665F5" w:rsidR="00A92017" w:rsidP="00CA2275" w:rsidRDefault="00A92017" w14:paraId="63B9A70B"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644A30E7"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3">
              <w:r w:rsidRPr="009665F5">
                <w:rPr>
                  <w:rFonts w:ascii="DejaVu Sans" w:hAnsi="DejaVu Sans" w:eastAsia="Arial Unicode MS" w:cs="Tahoma"/>
                  <w:kern w:val="3"/>
                  <w:sz w:val="17"/>
                  <w:szCs w:val="17"/>
                  <w:lang w:val="nl-NL" w:eastAsia="nl-NL"/>
                </w:rPr>
                <w:t>Artikel 9 Douane</w:t>
              </w:r>
            </w:hyperlink>
          </w:p>
        </w:tc>
        <w:tc>
          <w:tcPr>
            <w:tcW w:w="378" w:type="dxa"/>
          </w:tcPr>
          <w:p w:rsidRPr="009665F5" w:rsidR="00A92017" w:rsidP="00CA2275" w:rsidRDefault="00A92017" w14:paraId="0D42FAF1" w14:textId="19007E50">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r w:rsidRPr="009665F5" w:rsidR="007B7D02">
              <w:rPr>
                <w:rFonts w:ascii="DejaVu Sans" w:hAnsi="DejaVu Sans" w:eastAsia="Arial Unicode MS" w:cs="Tahoma"/>
                <w:kern w:val="3"/>
                <w:sz w:val="17"/>
                <w:szCs w:val="17"/>
                <w:lang w:val="nl-NL" w:eastAsia="nl-NL"/>
              </w:rPr>
              <w:t>1</w:t>
            </w:r>
          </w:p>
        </w:tc>
      </w:tr>
      <w:tr w:rsidRPr="009665F5" w:rsidR="00A92017" w:rsidTr="00A92017" w14:paraId="749DE3A7" w14:textId="77777777">
        <w:trPr>
          <w:trHeight w:val="221"/>
        </w:trPr>
        <w:tc>
          <w:tcPr>
            <w:tcW w:w="398" w:type="dxa"/>
          </w:tcPr>
          <w:p w:rsidRPr="009665F5" w:rsidR="00A92017" w:rsidP="00CA2275" w:rsidRDefault="00A92017" w14:paraId="1E9EA235"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46C1864C" w14:textId="77777777">
            <w:pPr>
              <w:pStyle w:val="TableParagraph"/>
              <w:spacing w:before="0" w:line="202" w:lineRule="exact"/>
              <w:ind w:left="247"/>
              <w:jc w:val="left"/>
              <w:rPr>
                <w:rFonts w:ascii="DejaVu Sans" w:hAnsi="DejaVu Sans" w:eastAsia="Arial Unicode MS" w:cs="Tahoma"/>
                <w:kern w:val="3"/>
                <w:sz w:val="17"/>
                <w:szCs w:val="17"/>
                <w:lang w:val="nl-NL" w:eastAsia="nl-NL"/>
              </w:rPr>
            </w:pPr>
            <w:hyperlink w:history="1" w:anchor="_bookmark14">
              <w:r w:rsidRPr="009665F5">
                <w:rPr>
                  <w:rFonts w:ascii="DejaVu Sans" w:hAnsi="DejaVu Sans" w:eastAsia="Arial Unicode MS" w:cs="Tahoma"/>
                  <w:kern w:val="3"/>
                  <w:sz w:val="17"/>
                  <w:szCs w:val="17"/>
                  <w:lang w:val="nl-NL" w:eastAsia="nl-NL"/>
                </w:rPr>
                <w:t>Artikel 13 Toeslagen</w:t>
              </w:r>
            </w:hyperlink>
          </w:p>
        </w:tc>
        <w:tc>
          <w:tcPr>
            <w:tcW w:w="378" w:type="dxa"/>
          </w:tcPr>
          <w:p w:rsidRPr="009665F5" w:rsidR="00A92017" w:rsidP="00CA2275" w:rsidRDefault="00A92017" w14:paraId="0949F08C" w14:textId="22092B1C">
            <w:pPr>
              <w:pStyle w:val="TableParagraph"/>
              <w:spacing w:before="0" w:line="202"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r w:rsidRPr="009665F5" w:rsidR="007B7D02">
              <w:rPr>
                <w:rFonts w:ascii="DejaVu Sans" w:hAnsi="DejaVu Sans" w:eastAsia="Arial Unicode MS" w:cs="Tahoma"/>
                <w:kern w:val="3"/>
                <w:sz w:val="17"/>
                <w:szCs w:val="17"/>
                <w:lang w:val="nl-NL" w:eastAsia="nl-NL"/>
              </w:rPr>
              <w:t>5</w:t>
            </w:r>
          </w:p>
        </w:tc>
      </w:tr>
    </w:tbl>
    <w:p w:rsidRPr="009665F5" w:rsidR="00A92017" w:rsidP="00CA2275" w:rsidRDefault="00A92017" w14:paraId="683371BB" w14:textId="77777777">
      <w:pPr>
        <w:pStyle w:val="Plattetekst"/>
        <w:spacing w:before="6"/>
        <w:rPr>
          <w:rFonts w:ascii="DejaVu Sans" w:hAnsi="DejaVu Sans" w:eastAsia="Arial Unicode MS"/>
          <w:kern w:val="3"/>
          <w:sz w:val="17"/>
          <w:szCs w:val="17"/>
          <w:lang w:eastAsia="nl-NL"/>
        </w:rPr>
      </w:pPr>
    </w:p>
    <w:tbl>
      <w:tblPr>
        <w:tblStyle w:val="TableNormal"/>
        <w:tblW w:w="5910" w:type="dxa"/>
        <w:tblInd w:w="567" w:type="dxa"/>
        <w:tblLayout w:type="fixed"/>
        <w:tblLook w:val="01E0" w:firstRow="1" w:lastRow="1" w:firstColumn="1" w:lastColumn="1" w:noHBand="0" w:noVBand="0"/>
      </w:tblPr>
      <w:tblGrid>
        <w:gridCol w:w="398"/>
        <w:gridCol w:w="4448"/>
        <w:gridCol w:w="1064"/>
      </w:tblGrid>
      <w:tr w:rsidRPr="009665F5" w:rsidR="00A92017" w:rsidTr="00A92017" w14:paraId="4EE6D12E" w14:textId="77777777">
        <w:trPr>
          <w:trHeight w:val="219"/>
        </w:trPr>
        <w:tc>
          <w:tcPr>
            <w:tcW w:w="398" w:type="dxa"/>
          </w:tcPr>
          <w:p w:rsidRPr="009665F5" w:rsidR="00A92017" w:rsidP="00CA2275" w:rsidRDefault="00A92017" w14:paraId="189EFAB6"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p>
        </w:tc>
        <w:tc>
          <w:tcPr>
            <w:tcW w:w="4448" w:type="dxa"/>
          </w:tcPr>
          <w:p w:rsidRPr="009665F5" w:rsidR="00A92017" w:rsidP="00CA2275" w:rsidRDefault="00A92017" w14:paraId="2604E18C" w14:textId="77777777">
            <w:pPr>
              <w:pStyle w:val="TableParagraph"/>
              <w:spacing w:before="3" w:line="197" w:lineRule="exact"/>
              <w:ind w:left="247"/>
              <w:jc w:val="left"/>
              <w:rPr>
                <w:rFonts w:ascii="DejaVu Sans" w:hAnsi="DejaVu Sans" w:eastAsia="Arial Unicode MS" w:cs="Tahoma"/>
                <w:kern w:val="3"/>
                <w:sz w:val="17"/>
                <w:szCs w:val="17"/>
                <w:lang w:val="nl-NL" w:eastAsia="nl-NL"/>
              </w:rPr>
            </w:pPr>
            <w:hyperlink w:history="1" w:anchor="_bookmark15">
              <w:r w:rsidRPr="009665F5">
                <w:rPr>
                  <w:rFonts w:ascii="DejaVu Sans" w:hAnsi="DejaVu Sans" w:eastAsia="Arial Unicode MS" w:cs="Tahoma"/>
                  <w:kern w:val="3"/>
                  <w:sz w:val="17"/>
                  <w:szCs w:val="17"/>
                  <w:lang w:val="nl-NL" w:eastAsia="nl-NL"/>
                </w:rPr>
                <w:t>Beleidsartikelen Nationale Schuld (IXA)</w:t>
              </w:r>
            </w:hyperlink>
          </w:p>
        </w:tc>
        <w:tc>
          <w:tcPr>
            <w:tcW w:w="1064" w:type="dxa"/>
          </w:tcPr>
          <w:p w:rsidRPr="009665F5" w:rsidR="00A92017" w:rsidP="00CA2275" w:rsidRDefault="00CA2275" w14:paraId="244D9200" w14:textId="585B12BA">
            <w:pPr>
              <w:pStyle w:val="TableParagraph"/>
              <w:spacing w:before="3" w:line="197"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38</w:t>
            </w:r>
          </w:p>
        </w:tc>
      </w:tr>
      <w:tr w:rsidRPr="009665F5" w:rsidR="00A92017" w:rsidTr="00A92017" w14:paraId="0C6E5759" w14:textId="77777777">
        <w:trPr>
          <w:trHeight w:val="223"/>
        </w:trPr>
        <w:tc>
          <w:tcPr>
            <w:tcW w:w="398" w:type="dxa"/>
          </w:tcPr>
          <w:p w:rsidRPr="009665F5" w:rsidR="00A92017" w:rsidP="00CA2275" w:rsidRDefault="00A92017" w14:paraId="07F3C0FC" w14:textId="77777777">
            <w:pPr>
              <w:pStyle w:val="TableParagraph"/>
              <w:spacing w:before="0"/>
              <w:jc w:val="left"/>
              <w:rPr>
                <w:rFonts w:ascii="DejaVu Sans" w:hAnsi="DejaVu Sans" w:eastAsia="Arial Unicode MS" w:cs="Tahoma"/>
                <w:kern w:val="3"/>
                <w:sz w:val="17"/>
                <w:szCs w:val="17"/>
                <w:lang w:val="nl-NL" w:eastAsia="nl-NL"/>
              </w:rPr>
            </w:pPr>
          </w:p>
        </w:tc>
        <w:tc>
          <w:tcPr>
            <w:tcW w:w="4448" w:type="dxa"/>
          </w:tcPr>
          <w:p w:rsidRPr="009665F5" w:rsidR="00A92017" w:rsidP="00CA2275" w:rsidRDefault="00A92017" w14:paraId="2D3F2CE9"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6">
              <w:r w:rsidRPr="009665F5">
                <w:rPr>
                  <w:rFonts w:ascii="DejaVu Sans" w:hAnsi="DejaVu Sans" w:eastAsia="Arial Unicode MS" w:cs="Tahoma"/>
                  <w:kern w:val="3"/>
                  <w:sz w:val="17"/>
                  <w:szCs w:val="17"/>
                  <w:lang w:val="nl-NL" w:eastAsia="nl-NL"/>
                </w:rPr>
                <w:t>Artikel 11 Financiering staatsschuld</w:t>
              </w:r>
            </w:hyperlink>
          </w:p>
        </w:tc>
        <w:tc>
          <w:tcPr>
            <w:tcW w:w="1064" w:type="dxa"/>
          </w:tcPr>
          <w:p w:rsidRPr="009665F5" w:rsidR="00A92017" w:rsidP="00CA2275" w:rsidRDefault="00CA2275" w14:paraId="6BAAA44F" w14:textId="362C4886">
            <w:pPr>
              <w:pStyle w:val="TableParagraph"/>
              <w:spacing w:before="0" w:line="204"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38</w:t>
            </w:r>
          </w:p>
        </w:tc>
      </w:tr>
      <w:tr w:rsidRPr="009665F5" w:rsidR="00A92017" w:rsidTr="00A92017" w14:paraId="7079A118" w14:textId="77777777">
        <w:trPr>
          <w:trHeight w:val="221"/>
        </w:trPr>
        <w:tc>
          <w:tcPr>
            <w:tcW w:w="398" w:type="dxa"/>
          </w:tcPr>
          <w:p w:rsidRPr="009665F5" w:rsidR="00A92017" w:rsidP="00CA2275" w:rsidRDefault="00A92017" w14:paraId="0019B37F" w14:textId="77777777">
            <w:pPr>
              <w:pStyle w:val="TableParagraph"/>
              <w:spacing w:before="0"/>
              <w:jc w:val="left"/>
              <w:rPr>
                <w:rFonts w:ascii="DejaVu Sans" w:hAnsi="DejaVu Sans" w:eastAsia="Arial Unicode MS" w:cs="Tahoma"/>
                <w:kern w:val="3"/>
                <w:sz w:val="17"/>
                <w:szCs w:val="17"/>
                <w:lang w:val="nl-NL" w:eastAsia="nl-NL"/>
              </w:rPr>
            </w:pPr>
          </w:p>
        </w:tc>
        <w:tc>
          <w:tcPr>
            <w:tcW w:w="4448" w:type="dxa"/>
          </w:tcPr>
          <w:p w:rsidRPr="009665F5" w:rsidR="00A92017" w:rsidP="00CA2275" w:rsidRDefault="00A92017" w14:paraId="7507D185" w14:textId="77777777">
            <w:pPr>
              <w:pStyle w:val="TableParagraph"/>
              <w:spacing w:before="0" w:line="202" w:lineRule="exact"/>
              <w:ind w:left="247"/>
              <w:jc w:val="left"/>
              <w:rPr>
                <w:rFonts w:ascii="DejaVu Sans" w:hAnsi="DejaVu Sans" w:eastAsia="Arial Unicode MS" w:cs="Tahoma"/>
                <w:kern w:val="3"/>
                <w:sz w:val="17"/>
                <w:szCs w:val="17"/>
                <w:lang w:val="nl-NL" w:eastAsia="nl-NL"/>
              </w:rPr>
            </w:pPr>
            <w:hyperlink w:history="1" w:anchor="_bookmark17">
              <w:r w:rsidRPr="009665F5">
                <w:rPr>
                  <w:rFonts w:ascii="DejaVu Sans" w:hAnsi="DejaVu Sans" w:eastAsia="Arial Unicode MS" w:cs="Tahoma"/>
                  <w:kern w:val="3"/>
                  <w:sz w:val="17"/>
                  <w:szCs w:val="17"/>
                  <w:lang w:val="nl-NL" w:eastAsia="nl-NL"/>
                </w:rPr>
                <w:t>Artikel 12 Kasbeheer</w:t>
              </w:r>
            </w:hyperlink>
          </w:p>
        </w:tc>
        <w:tc>
          <w:tcPr>
            <w:tcW w:w="1064" w:type="dxa"/>
          </w:tcPr>
          <w:p w:rsidRPr="009665F5" w:rsidR="00A92017" w:rsidP="00CA2275" w:rsidRDefault="00A92017" w14:paraId="47FDD8F9" w14:textId="4941160B">
            <w:pPr>
              <w:pStyle w:val="TableParagraph"/>
              <w:spacing w:before="0" w:line="202"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1</w:t>
            </w:r>
          </w:p>
        </w:tc>
      </w:tr>
    </w:tbl>
    <w:p w:rsidRPr="009665F5" w:rsidR="00A92017" w:rsidP="00CA2275" w:rsidRDefault="00A92017" w14:paraId="0526115B" w14:textId="77777777">
      <w:pPr>
        <w:pStyle w:val="Plattetekst"/>
        <w:rPr>
          <w:rFonts w:ascii="DejaVu Sans" w:hAnsi="DejaVu Sans" w:eastAsia="Arial Unicode MS"/>
          <w:kern w:val="3"/>
          <w:sz w:val="17"/>
          <w:szCs w:val="17"/>
          <w:lang w:eastAsia="nl-NL"/>
        </w:rPr>
      </w:pPr>
    </w:p>
    <w:tbl>
      <w:tblPr>
        <w:tblStyle w:val="TableNormal"/>
        <w:tblW w:w="5910" w:type="dxa"/>
        <w:tblInd w:w="567" w:type="dxa"/>
        <w:tblLayout w:type="fixed"/>
        <w:tblLook w:val="01E0" w:firstRow="1" w:lastRow="1" w:firstColumn="1" w:lastColumn="1" w:noHBand="0" w:noVBand="0"/>
      </w:tblPr>
      <w:tblGrid>
        <w:gridCol w:w="398"/>
        <w:gridCol w:w="3867"/>
        <w:gridCol w:w="1645"/>
      </w:tblGrid>
      <w:tr w:rsidRPr="009665F5" w:rsidR="00A92017" w:rsidTr="00A92017" w14:paraId="6D037744" w14:textId="77777777">
        <w:trPr>
          <w:trHeight w:val="219"/>
        </w:trPr>
        <w:tc>
          <w:tcPr>
            <w:tcW w:w="398" w:type="dxa"/>
          </w:tcPr>
          <w:p w:rsidRPr="009665F5" w:rsidR="00A92017" w:rsidP="00CA2275" w:rsidRDefault="00A92017" w14:paraId="20747872"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5</w:t>
            </w:r>
          </w:p>
        </w:tc>
        <w:tc>
          <w:tcPr>
            <w:tcW w:w="3867" w:type="dxa"/>
          </w:tcPr>
          <w:p w:rsidRPr="009665F5" w:rsidR="00A92017" w:rsidP="00CA2275" w:rsidRDefault="00A92017" w14:paraId="2F3D8395" w14:textId="77777777">
            <w:pPr>
              <w:pStyle w:val="TableParagraph"/>
              <w:spacing w:before="3" w:line="197" w:lineRule="exact"/>
              <w:ind w:left="247"/>
              <w:jc w:val="left"/>
              <w:rPr>
                <w:rFonts w:ascii="DejaVu Sans" w:hAnsi="DejaVu Sans" w:eastAsia="Arial Unicode MS" w:cs="Tahoma"/>
                <w:kern w:val="3"/>
                <w:sz w:val="17"/>
                <w:szCs w:val="17"/>
                <w:lang w:val="nl-NL" w:eastAsia="nl-NL"/>
              </w:rPr>
            </w:pPr>
            <w:hyperlink w:history="1" w:anchor="_bookmark18">
              <w:r w:rsidRPr="009665F5">
                <w:rPr>
                  <w:rFonts w:ascii="DejaVu Sans" w:hAnsi="DejaVu Sans" w:eastAsia="Arial Unicode MS" w:cs="Tahoma"/>
                  <w:kern w:val="3"/>
                  <w:sz w:val="17"/>
                  <w:szCs w:val="17"/>
                  <w:lang w:val="nl-NL" w:eastAsia="nl-NL"/>
                </w:rPr>
                <w:t>Niet-beleidsartikelen</w:t>
              </w:r>
            </w:hyperlink>
          </w:p>
        </w:tc>
        <w:tc>
          <w:tcPr>
            <w:tcW w:w="1645" w:type="dxa"/>
          </w:tcPr>
          <w:p w:rsidRPr="009665F5" w:rsidR="00A92017" w:rsidP="00CA2275" w:rsidRDefault="00A92017" w14:paraId="65EDC09F" w14:textId="11754E7D">
            <w:pPr>
              <w:pStyle w:val="TableParagraph"/>
              <w:spacing w:before="3" w:line="197"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3</w:t>
            </w:r>
          </w:p>
        </w:tc>
      </w:tr>
      <w:tr w:rsidRPr="009665F5" w:rsidR="00A92017" w:rsidTr="00A92017" w14:paraId="36CCAFEB" w14:textId="77777777">
        <w:trPr>
          <w:trHeight w:val="223"/>
        </w:trPr>
        <w:tc>
          <w:tcPr>
            <w:tcW w:w="398" w:type="dxa"/>
          </w:tcPr>
          <w:p w:rsidRPr="009665F5" w:rsidR="00A92017" w:rsidP="00CA2275" w:rsidRDefault="00A92017" w14:paraId="39034DEF" w14:textId="77777777">
            <w:pPr>
              <w:pStyle w:val="TableParagraph"/>
              <w:spacing w:before="0"/>
              <w:jc w:val="left"/>
              <w:rPr>
                <w:rFonts w:ascii="DejaVu Sans" w:hAnsi="DejaVu Sans" w:eastAsia="Arial Unicode MS" w:cs="Tahoma"/>
                <w:kern w:val="3"/>
                <w:sz w:val="17"/>
                <w:szCs w:val="17"/>
                <w:lang w:val="nl-NL" w:eastAsia="nl-NL"/>
              </w:rPr>
            </w:pPr>
          </w:p>
        </w:tc>
        <w:tc>
          <w:tcPr>
            <w:tcW w:w="3867" w:type="dxa"/>
          </w:tcPr>
          <w:p w:rsidRPr="009665F5" w:rsidR="00A92017" w:rsidP="00CA2275" w:rsidRDefault="00A92017" w14:paraId="4ED1A8C2"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9">
              <w:r w:rsidRPr="009665F5">
                <w:rPr>
                  <w:rFonts w:ascii="DejaVu Sans" w:hAnsi="DejaVu Sans" w:eastAsia="Arial Unicode MS" w:cs="Tahoma"/>
                  <w:kern w:val="3"/>
                  <w:sz w:val="17"/>
                  <w:szCs w:val="17"/>
                  <w:lang w:val="nl-NL" w:eastAsia="nl-NL"/>
                </w:rPr>
                <w:t>Artikel 8 Apparaat</w:t>
              </w:r>
            </w:hyperlink>
          </w:p>
        </w:tc>
        <w:tc>
          <w:tcPr>
            <w:tcW w:w="1645" w:type="dxa"/>
          </w:tcPr>
          <w:p w:rsidRPr="009665F5" w:rsidR="00A92017" w:rsidP="00CA2275" w:rsidRDefault="00A92017" w14:paraId="5C43F9A2" w14:textId="39F46D9F">
            <w:pPr>
              <w:pStyle w:val="TableParagraph"/>
              <w:spacing w:before="0" w:line="204"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3</w:t>
            </w:r>
          </w:p>
        </w:tc>
      </w:tr>
      <w:tr w:rsidRPr="009665F5" w:rsidR="00A92017" w:rsidTr="00A92017" w14:paraId="641B2E59" w14:textId="77777777">
        <w:trPr>
          <w:trHeight w:val="221"/>
        </w:trPr>
        <w:tc>
          <w:tcPr>
            <w:tcW w:w="398" w:type="dxa"/>
          </w:tcPr>
          <w:p w:rsidRPr="009665F5" w:rsidR="00A92017" w:rsidP="00CA2275" w:rsidRDefault="00A92017" w14:paraId="65858BB5" w14:textId="77777777">
            <w:pPr>
              <w:pStyle w:val="TableParagraph"/>
              <w:spacing w:before="0"/>
              <w:jc w:val="left"/>
              <w:rPr>
                <w:rFonts w:ascii="DejaVu Sans" w:hAnsi="DejaVu Sans" w:eastAsia="Arial Unicode MS" w:cs="Tahoma"/>
                <w:kern w:val="3"/>
                <w:sz w:val="17"/>
                <w:szCs w:val="17"/>
                <w:lang w:val="nl-NL" w:eastAsia="nl-NL"/>
              </w:rPr>
            </w:pPr>
          </w:p>
        </w:tc>
        <w:tc>
          <w:tcPr>
            <w:tcW w:w="3867" w:type="dxa"/>
          </w:tcPr>
          <w:p w:rsidRPr="009665F5" w:rsidR="00A92017" w:rsidP="00CA2275" w:rsidRDefault="00A92017" w14:paraId="4F4D8794" w14:textId="77777777">
            <w:pPr>
              <w:pStyle w:val="TableParagraph"/>
              <w:spacing w:before="0" w:line="202" w:lineRule="exact"/>
              <w:ind w:left="247"/>
              <w:jc w:val="left"/>
              <w:rPr>
                <w:rFonts w:ascii="DejaVu Sans" w:hAnsi="DejaVu Sans" w:eastAsia="Arial Unicode MS" w:cs="Tahoma"/>
                <w:kern w:val="3"/>
                <w:sz w:val="17"/>
                <w:szCs w:val="17"/>
                <w:lang w:val="nl-NL" w:eastAsia="nl-NL"/>
              </w:rPr>
            </w:pPr>
            <w:hyperlink w:history="1" w:anchor="_bookmark20">
              <w:r w:rsidRPr="009665F5">
                <w:rPr>
                  <w:rFonts w:ascii="DejaVu Sans" w:hAnsi="DejaVu Sans" w:eastAsia="Arial Unicode MS" w:cs="Tahoma"/>
                  <w:kern w:val="3"/>
                  <w:sz w:val="17"/>
                  <w:szCs w:val="17"/>
                  <w:lang w:val="nl-NL" w:eastAsia="nl-NL"/>
                </w:rPr>
                <w:t>Artikel 10 Nog onverdeeld</w:t>
              </w:r>
            </w:hyperlink>
          </w:p>
        </w:tc>
        <w:tc>
          <w:tcPr>
            <w:tcW w:w="1645" w:type="dxa"/>
          </w:tcPr>
          <w:p w:rsidRPr="009665F5" w:rsidR="00A92017" w:rsidP="00CA2275" w:rsidRDefault="00A92017" w14:paraId="6C571706" w14:textId="2E17BB31">
            <w:pPr>
              <w:pStyle w:val="TableParagraph"/>
              <w:spacing w:before="0" w:line="202"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4</w:t>
            </w:r>
          </w:p>
        </w:tc>
      </w:tr>
    </w:tbl>
    <w:p w:rsidR="00A92017" w:rsidP="00A92017" w:rsidRDefault="00A92017" w14:paraId="11055514" w14:textId="77777777">
      <w:pPr>
        <w:pStyle w:val="section-title-1"/>
      </w:pPr>
    </w:p>
    <w:p w:rsidR="00A92017" w:rsidP="00A92017" w:rsidRDefault="00A92017" w14:paraId="2988F669" w14:textId="77777777">
      <w:pPr>
        <w:pStyle w:val="section-title-1"/>
      </w:pPr>
    </w:p>
    <w:p w:rsidR="00A92017" w:rsidRDefault="00A92017" w14:paraId="6FE3AFCF" w14:textId="77777777">
      <w:pPr>
        <w:rPr>
          <w:b/>
          <w:caps/>
          <w:color w:val="009EE0"/>
          <w:szCs w:val="18"/>
        </w:rPr>
      </w:pPr>
      <w:r>
        <w:br w:type="page"/>
      </w:r>
    </w:p>
    <w:p w:rsidR="0084290D" w:rsidRDefault="00CF5B93" w14:paraId="4D077A93" w14:textId="74B57202">
      <w:pPr>
        <w:pStyle w:val="section-title-1"/>
      </w:pPr>
      <w:r>
        <w:lastRenderedPageBreak/>
        <w:t>A. ARTIKELSGEWIJZE TOELICHTING BIJ HET WETSVOORSTEL</w:t>
      </w:r>
      <w:bookmarkEnd w:id="0"/>
    </w:p>
    <w:p w:rsidRPr="003268EE" w:rsidR="0084290D" w:rsidRDefault="00CF5B93" w14:paraId="32F637F7" w14:textId="77777777">
      <w:pPr>
        <w:pStyle w:val="p"/>
        <w:rPr>
          <w:szCs w:val="17"/>
        </w:rPr>
      </w:pPr>
      <w:r w:rsidRPr="003268EE">
        <w:rPr>
          <w:szCs w:val="17"/>
        </w:rPr>
        <w:t>Wetsartikelen 1 en 2</w:t>
      </w:r>
    </w:p>
    <w:p w:rsidRPr="003268EE" w:rsidR="0084290D" w:rsidRDefault="00CF5B93" w14:paraId="2ACDBB0D" w14:textId="77777777">
      <w:pPr>
        <w:rPr>
          <w:sz w:val="17"/>
          <w:szCs w:val="17"/>
        </w:rPr>
      </w:pPr>
      <w:r w:rsidRPr="003268EE">
        <w:rPr>
          <w:sz w:val="17"/>
          <w:szCs w:val="17"/>
        </w:rPr>
        <w:t xml:space="preserve">De begrotingsstaten die onderdeel zijn van de Rijksbegroting, worden op grond van </w:t>
      </w:r>
      <w:hyperlink w:history="1" r:id="rId10">
        <w:r w:rsidRPr="003268EE">
          <w:rPr>
            <w:color w:val="548DD4"/>
            <w:sz w:val="17"/>
            <w:szCs w:val="17"/>
            <w:u w:val="single"/>
          </w:rPr>
          <w:t>artikel 2.3, eerste lid</w:t>
        </w:r>
      </w:hyperlink>
      <w:r w:rsidRPr="003268EE">
        <w:rPr>
          <w:sz w:val="17"/>
          <w:szCs w:val="17"/>
        </w:rPr>
        <w:t>, van de Comptabiliteitswet 2016 elk afzonderlijk bij wet vastgesteld en derhalve ook gewijzigd. Het onderhavige wetsvoorstel strekt ertoe om voor het jaar 2026 wijzigingen aan te brengen in:</w:t>
      </w:r>
    </w:p>
    <w:p w:rsidRPr="003268EE" w:rsidR="0084290D" w:rsidP="00A92017" w:rsidRDefault="00CF5B93" w14:paraId="318D9DAB" w14:textId="73CEDC0A">
      <w:pPr>
        <w:pStyle w:val="ol-p-l1"/>
        <w:numPr>
          <w:ilvl w:val="0"/>
          <w:numId w:val="15"/>
        </w:numPr>
        <w:rPr>
          <w:sz w:val="17"/>
          <w:szCs w:val="17"/>
        </w:rPr>
      </w:pPr>
      <w:r w:rsidRPr="003268EE">
        <w:rPr>
          <w:rStyle w:val="ol-text"/>
          <w:sz w:val="17"/>
          <w:szCs w:val="17"/>
        </w:rPr>
        <w:t>de departementale begrotingsstaat van het Ministerie van Financiën (IXB);</w:t>
      </w:r>
    </w:p>
    <w:p w:rsidRPr="003268EE" w:rsidR="0084290D" w:rsidP="00A92017" w:rsidRDefault="00CF5B93" w14:paraId="20E66896" w14:textId="184E8840">
      <w:pPr>
        <w:pStyle w:val="ol-p-l1"/>
        <w:numPr>
          <w:ilvl w:val="0"/>
          <w:numId w:val="15"/>
        </w:numPr>
        <w:rPr>
          <w:sz w:val="17"/>
          <w:szCs w:val="17"/>
        </w:rPr>
      </w:pPr>
      <w:r w:rsidRPr="003268EE">
        <w:rPr>
          <w:rStyle w:val="ol-text"/>
          <w:sz w:val="17"/>
          <w:szCs w:val="17"/>
        </w:rPr>
        <w:t>de begrotingsstaat inzake de Nationale Schuld (IXA).</w:t>
      </w:r>
    </w:p>
    <w:p w:rsidRPr="003268EE" w:rsidR="0084290D" w:rsidRDefault="0084290D" w14:paraId="42471690" w14:textId="77777777">
      <w:pPr>
        <w:rPr>
          <w:sz w:val="17"/>
          <w:szCs w:val="17"/>
        </w:rPr>
      </w:pPr>
    </w:p>
    <w:p w:rsidRPr="003268EE" w:rsidR="0084290D" w:rsidP="00A92017" w:rsidRDefault="00CF5B93" w14:paraId="3C396482" w14:textId="77777777">
      <w:pPr>
        <w:pStyle w:val="ol-p-l1"/>
        <w:rPr>
          <w:sz w:val="17"/>
          <w:szCs w:val="17"/>
        </w:rPr>
      </w:pPr>
      <w:r w:rsidRPr="003268EE">
        <w:rPr>
          <w:sz w:val="17"/>
          <w:szCs w:val="17"/>
        </w:rPr>
        <w:t>De in de begrotingsstaten opgenomen begrotingsartikelen worden in onderdeel B van deze memorie van toelichting toegelicht (de zgn. begrotingstoelichting).</w:t>
      </w:r>
    </w:p>
    <w:p w:rsidRPr="003268EE" w:rsidR="00A92017" w:rsidP="00A92017" w:rsidRDefault="00A92017" w14:paraId="49A5226F" w14:textId="77777777">
      <w:pPr>
        <w:pStyle w:val="ol-p-l1"/>
        <w:rPr>
          <w:rStyle w:val="ol-text"/>
          <w:sz w:val="17"/>
          <w:szCs w:val="17"/>
        </w:rPr>
      </w:pPr>
    </w:p>
    <w:p w:rsidRPr="003268EE" w:rsidR="0084290D" w:rsidRDefault="00CF5B93" w14:paraId="00D1B309" w14:textId="77777777">
      <w:pPr>
        <w:pStyle w:val="functie"/>
        <w:rPr>
          <w:sz w:val="17"/>
          <w:szCs w:val="17"/>
        </w:rPr>
      </w:pPr>
      <w:r w:rsidRPr="003268EE">
        <w:rPr>
          <w:sz w:val="17"/>
          <w:szCs w:val="17"/>
        </w:rPr>
        <w:t>De Minister van Financiën,</w:t>
      </w:r>
    </w:p>
    <w:p w:rsidRPr="003268EE" w:rsidR="0084290D" w:rsidRDefault="00CF5B93" w14:paraId="0787DBAF" w14:textId="77777777">
      <w:pPr>
        <w:pStyle w:val="naam"/>
        <w:rPr>
          <w:sz w:val="17"/>
          <w:szCs w:val="17"/>
        </w:rPr>
      </w:pPr>
      <w:r w:rsidRPr="003268EE">
        <w:rPr>
          <w:sz w:val="17"/>
          <w:szCs w:val="17"/>
        </w:rPr>
        <w:t>E. Heinen</w:t>
      </w:r>
    </w:p>
    <w:p w:rsidR="0084290D" w:rsidRDefault="0084290D" w14:paraId="02038768" w14:textId="77777777"/>
    <w:p w:rsidR="0084290D" w:rsidRDefault="0084290D" w14:paraId="5C6E4CCD" w14:textId="77777777">
      <w:pPr>
        <w:pStyle w:val="page-break"/>
      </w:pPr>
    </w:p>
    <w:p w:rsidR="0084290D" w:rsidRDefault="00CF5B93" w14:paraId="0E853686" w14:textId="77777777">
      <w:pPr>
        <w:pStyle w:val="section-title-1"/>
      </w:pPr>
      <w:bookmarkStart w:name="1294072010729209" w:id="1"/>
      <w:r>
        <w:t>B. BEGROTINGSTOELICHTING</w:t>
      </w:r>
      <w:bookmarkEnd w:id="1"/>
    </w:p>
    <w:p w:rsidR="0084290D" w:rsidRDefault="00CF5B93" w14:paraId="27895D8A" w14:textId="77777777">
      <w:pPr>
        <w:pStyle w:val="section-title-2"/>
      </w:pPr>
      <w:bookmarkStart w:name="1295242410730426" w:id="2"/>
      <w:r>
        <w:t>1 Leeswijzer</w:t>
      </w:r>
      <w:bookmarkEnd w:id="2"/>
    </w:p>
    <w:p w:rsidRPr="00671AAB" w:rsidR="0084290D" w:rsidRDefault="00CF5B93" w14:paraId="5BD64D13" w14:textId="77777777">
      <w:pPr>
        <w:pStyle w:val="p"/>
        <w:rPr>
          <w:szCs w:val="17"/>
        </w:rPr>
      </w:pPr>
      <w:r w:rsidRPr="00671AAB">
        <w:rPr>
          <w:szCs w:val="17"/>
        </w:rPr>
        <w:t>De voorliggende suppletoire begroting bevat de voorgestelde wijzigingen ten opzichte van de ontwerpbegroting 2026 van het ministerie van Financiën (IXB) en Nationale Schuld (IXA).</w:t>
      </w:r>
    </w:p>
    <w:p w:rsidRPr="00671AAB" w:rsidR="0084290D" w:rsidRDefault="00CF5B93" w14:paraId="4757B8DB" w14:textId="77777777">
      <w:pPr>
        <w:pStyle w:val="p"/>
        <w:rPr>
          <w:szCs w:val="17"/>
        </w:rPr>
      </w:pPr>
      <w:r w:rsidRPr="00671AAB">
        <w:rPr>
          <w:szCs w:val="17"/>
        </w:rPr>
        <w:t>In hoofdstuk 2 zijn de overzichten opgenomen met de belangrijkste mutaties; in paragraaf 2.1 voor artikel 1 t/m 13 van IXB en in paragraaf 2.2. voor artikel 11 en 12 van IXA.</w:t>
      </w:r>
    </w:p>
    <w:p w:rsidRPr="00671AAB" w:rsidR="0084290D" w:rsidRDefault="00CF5B93" w14:paraId="0B5B7311" w14:textId="51F5345D">
      <w:pPr>
        <w:pStyle w:val="p"/>
        <w:rPr>
          <w:szCs w:val="17"/>
        </w:rPr>
      </w:pPr>
      <w:r w:rsidRPr="00671AAB">
        <w:rPr>
          <w:szCs w:val="17"/>
        </w:rPr>
        <w:t>Hoofdstuk 3 en hoofdstuk 4 bevatten per beleidsartikel een budgettaire tabel. Conform de Rijksbegrotingsvoo</w:t>
      </w:r>
      <w:r w:rsidRPr="00671AAB" w:rsidR="00330E88">
        <w:rPr>
          <w:szCs w:val="17"/>
        </w:rPr>
        <w:t>r</w:t>
      </w:r>
      <w:r w:rsidRPr="00671AAB">
        <w:rPr>
          <w:szCs w:val="17"/>
        </w:rPr>
        <w:t>schriften (RBV) worden per artikel de (meerjarige) mutaties die groter of gelijk zijn aan de ondergrenzen in de onderstaande (tabel 1) toegelicht. De toelichting op de mutatie van de belastingontvangsten is in de Voorjaarsnota opgenomen. Vanwege de staffel kan de som van de toegelichte mutaties afwijken van de totale mutaties op het artikel.</w:t>
      </w:r>
    </w:p>
    <w:tbl>
      <w:tblPr>
        <w:tblW w:w="5000" w:type="pct"/>
        <w:tblCellMar>
          <w:left w:w="10" w:type="dxa"/>
          <w:right w:w="10" w:type="dxa"/>
        </w:tblCellMar>
        <w:tblLook w:val="0000" w:firstRow="0" w:lastRow="0" w:firstColumn="0" w:lastColumn="0" w:noHBand="0" w:noVBand="0"/>
      </w:tblPr>
      <w:tblGrid>
        <w:gridCol w:w="3286"/>
        <w:gridCol w:w="3190"/>
        <w:gridCol w:w="3190"/>
      </w:tblGrid>
      <w:tr w:rsidR="0084290D" w14:paraId="6FD4D9CB" w14:textId="77777777">
        <w:trPr>
          <w:tblHeader/>
        </w:trPr>
        <w:tc>
          <w:tcPr>
            <w:tcW w:w="5509" w:type="dxa"/>
            <w:gridSpan w:val="3"/>
            <w:tcMar>
              <w:top w:w="22" w:type="dxa"/>
              <w:left w:w="113" w:type="dxa"/>
              <w:bottom w:w="22" w:type="dxa"/>
            </w:tcMar>
          </w:tcPr>
          <w:p w:rsidR="0084290D" w:rsidRDefault="00CF5B93" w14:paraId="4E5A0DEB" w14:textId="77777777">
            <w:pPr>
              <w:pStyle w:val="kio2-table-title"/>
            </w:pPr>
            <w:r>
              <w:t>Tabel 1 Ondergrenzen conform RBV</w:t>
            </w:r>
          </w:p>
        </w:tc>
      </w:tr>
      <w:tr w:rsidR="0084290D" w14:paraId="3B64EF51" w14:textId="77777777">
        <w:trPr>
          <w:tblHeader/>
        </w:trPr>
        <w:tc>
          <w:tcPr>
            <w:tcW w:w="1873" w:type="dxa"/>
            <w:tcBorders>
              <w:top w:val="single" w:color="000000" w:sz="2" w:space="0"/>
              <w:bottom w:val="single" w:color="009EE0" w:sz="2" w:space="0"/>
            </w:tcBorders>
            <w:tcMar>
              <w:top w:w="28" w:type="dxa"/>
              <w:bottom w:w="28" w:type="dxa"/>
              <w:right w:w="28" w:type="dxa"/>
            </w:tcMar>
          </w:tcPr>
          <w:p w:rsidRPr="003268EE" w:rsidR="0084290D" w:rsidRDefault="00CF5B93" w14:paraId="53B43063" w14:textId="77777777">
            <w:pPr>
              <w:pStyle w:val="p-table"/>
              <w:rPr>
                <w:color w:val="000000"/>
                <w:sz w:val="13"/>
                <w:szCs w:val="13"/>
              </w:rPr>
            </w:pPr>
            <w:r w:rsidRPr="003268EE">
              <w:rPr>
                <w:color w:val="000000"/>
                <w:sz w:val="13"/>
                <w:szCs w:val="13"/>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42B138AE" w14:textId="77777777">
            <w:pPr>
              <w:pStyle w:val="p-table"/>
              <w:rPr>
                <w:color w:val="000000"/>
                <w:sz w:val="13"/>
                <w:szCs w:val="13"/>
              </w:rPr>
            </w:pPr>
            <w:r w:rsidRPr="003268EE">
              <w:rPr>
                <w:color w:val="000000"/>
                <w:sz w:val="13"/>
                <w:szCs w:val="13"/>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3D84893" w14:textId="77777777">
            <w:pPr>
              <w:pStyle w:val="p-table"/>
              <w:rPr>
                <w:color w:val="000000"/>
                <w:sz w:val="13"/>
                <w:szCs w:val="13"/>
              </w:rPr>
            </w:pPr>
            <w:r w:rsidRPr="003268EE">
              <w:rPr>
                <w:color w:val="000000"/>
                <w:sz w:val="13"/>
                <w:szCs w:val="13"/>
              </w:rPr>
              <w:t>Technische mutaties (ondergrens in € miljoen)</w:t>
            </w:r>
          </w:p>
        </w:tc>
      </w:tr>
      <w:tr w:rsidR="0084290D" w14:paraId="65E5B6A4" w14:textId="77777777">
        <w:tc>
          <w:tcPr>
            <w:tcW w:w="1873" w:type="dxa"/>
            <w:tcBorders>
              <w:bottom w:val="single" w:color="009EE0" w:sz="2" w:space="0"/>
            </w:tcBorders>
            <w:tcMar>
              <w:top w:w="22" w:type="dxa"/>
              <w:bottom w:w="22" w:type="dxa"/>
              <w:right w:w="28" w:type="dxa"/>
            </w:tcMar>
            <w:vAlign w:val="bottom"/>
          </w:tcPr>
          <w:p w:rsidRPr="003268EE" w:rsidR="0084290D" w:rsidRDefault="00CF5B93" w14:paraId="2A3DCDF2" w14:textId="77777777">
            <w:pPr>
              <w:pStyle w:val="p-table"/>
              <w:rPr>
                <w:sz w:val="13"/>
                <w:szCs w:val="13"/>
              </w:rPr>
            </w:pPr>
            <w:r w:rsidRPr="003268EE">
              <w:rPr>
                <w:sz w:val="13"/>
                <w:szCs w:val="13"/>
              </w:rPr>
              <w:t>&lt; 50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20127663" w14:textId="77777777">
            <w:pPr>
              <w:pStyle w:val="p-table"/>
              <w:rPr>
                <w:sz w:val="13"/>
                <w:szCs w:val="13"/>
              </w:rPr>
            </w:pPr>
            <w:r w:rsidRPr="003268EE">
              <w:rPr>
                <w:sz w:val="13"/>
                <w:szCs w:val="13"/>
              </w:rPr>
              <w:t>1</w:t>
            </w:r>
          </w:p>
        </w:tc>
        <w:tc>
          <w:tcPr>
            <w:tcW w:w="1818" w:type="dxa"/>
            <w:tcBorders>
              <w:bottom w:val="single" w:color="009EE0" w:sz="2" w:space="0"/>
            </w:tcBorders>
            <w:tcMar>
              <w:top w:w="22" w:type="dxa"/>
              <w:left w:w="28" w:type="dxa"/>
              <w:bottom w:w="22" w:type="dxa"/>
              <w:right w:w="28" w:type="dxa"/>
            </w:tcMar>
          </w:tcPr>
          <w:p w:rsidRPr="003268EE" w:rsidR="0084290D" w:rsidRDefault="00CF5B93" w14:paraId="7F5473A6" w14:textId="77777777">
            <w:pPr>
              <w:pStyle w:val="p-table"/>
              <w:rPr>
                <w:sz w:val="13"/>
                <w:szCs w:val="13"/>
              </w:rPr>
            </w:pPr>
            <w:r w:rsidRPr="003268EE">
              <w:rPr>
                <w:sz w:val="13"/>
                <w:szCs w:val="13"/>
              </w:rPr>
              <w:t>2</w:t>
            </w:r>
          </w:p>
        </w:tc>
      </w:tr>
      <w:tr w:rsidR="0084290D" w14:paraId="56AD9EA5" w14:textId="77777777">
        <w:tc>
          <w:tcPr>
            <w:tcW w:w="1873" w:type="dxa"/>
            <w:tcBorders>
              <w:bottom w:val="single" w:color="009EE0" w:sz="2" w:space="0"/>
            </w:tcBorders>
            <w:tcMar>
              <w:top w:w="22" w:type="dxa"/>
              <w:bottom w:w="22" w:type="dxa"/>
              <w:right w:w="28" w:type="dxa"/>
            </w:tcMar>
            <w:vAlign w:val="bottom"/>
          </w:tcPr>
          <w:p w:rsidRPr="003268EE" w:rsidR="0084290D" w:rsidRDefault="00CF5B93" w14:paraId="389C9DDA" w14:textId="77777777">
            <w:pPr>
              <w:pStyle w:val="p-table"/>
              <w:rPr>
                <w:sz w:val="13"/>
                <w:szCs w:val="13"/>
              </w:rPr>
            </w:pPr>
            <w:r w:rsidRPr="003268EE">
              <w:rPr>
                <w:sz w:val="13"/>
                <w:szCs w:val="13"/>
              </w:rPr>
              <w:t>=&gt; 50 en &lt; 200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6B6079BA" w14:textId="77777777">
            <w:pPr>
              <w:pStyle w:val="p-table"/>
              <w:rPr>
                <w:sz w:val="13"/>
                <w:szCs w:val="13"/>
              </w:rPr>
            </w:pPr>
            <w:r w:rsidRPr="003268EE">
              <w:rPr>
                <w:sz w:val="13"/>
                <w:szCs w:val="13"/>
              </w:rPr>
              <w:t>2</w:t>
            </w:r>
          </w:p>
        </w:tc>
        <w:tc>
          <w:tcPr>
            <w:tcW w:w="1818" w:type="dxa"/>
            <w:tcBorders>
              <w:bottom w:val="single" w:color="009EE0" w:sz="2" w:space="0"/>
            </w:tcBorders>
            <w:tcMar>
              <w:top w:w="22" w:type="dxa"/>
              <w:left w:w="28" w:type="dxa"/>
              <w:bottom w:w="22" w:type="dxa"/>
              <w:right w:w="28" w:type="dxa"/>
            </w:tcMar>
          </w:tcPr>
          <w:p w:rsidRPr="003268EE" w:rsidR="0084290D" w:rsidRDefault="00CF5B93" w14:paraId="6F2AC3FC" w14:textId="77777777">
            <w:pPr>
              <w:pStyle w:val="p-table"/>
              <w:rPr>
                <w:sz w:val="13"/>
                <w:szCs w:val="13"/>
              </w:rPr>
            </w:pPr>
            <w:r w:rsidRPr="003268EE">
              <w:rPr>
                <w:sz w:val="13"/>
                <w:szCs w:val="13"/>
              </w:rPr>
              <w:t>4</w:t>
            </w:r>
          </w:p>
        </w:tc>
      </w:tr>
      <w:tr w:rsidR="0084290D" w14:paraId="514AF4D6" w14:textId="77777777">
        <w:tc>
          <w:tcPr>
            <w:tcW w:w="1873" w:type="dxa"/>
            <w:tcBorders>
              <w:bottom w:val="single" w:color="009EE0" w:sz="2" w:space="0"/>
            </w:tcBorders>
            <w:tcMar>
              <w:top w:w="22" w:type="dxa"/>
              <w:bottom w:w="22" w:type="dxa"/>
              <w:right w:w="28" w:type="dxa"/>
            </w:tcMar>
            <w:vAlign w:val="bottom"/>
          </w:tcPr>
          <w:p w:rsidRPr="003268EE" w:rsidR="0084290D" w:rsidRDefault="00CF5B93" w14:paraId="5DAC02C5" w14:textId="77777777">
            <w:pPr>
              <w:pStyle w:val="p-table"/>
              <w:rPr>
                <w:sz w:val="13"/>
                <w:szCs w:val="13"/>
              </w:rPr>
            </w:pPr>
            <w:r w:rsidRPr="003268EE">
              <w:rPr>
                <w:sz w:val="13"/>
                <w:szCs w:val="13"/>
              </w:rPr>
              <w:t>=&gt; 200 &lt; 1000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2AF32FD0" w14:textId="77777777">
            <w:pPr>
              <w:pStyle w:val="p-table"/>
              <w:rPr>
                <w:sz w:val="13"/>
                <w:szCs w:val="13"/>
              </w:rPr>
            </w:pPr>
            <w:r w:rsidRPr="003268EE">
              <w:rPr>
                <w:sz w:val="13"/>
                <w:szCs w:val="13"/>
              </w:rPr>
              <w:t>5</w:t>
            </w:r>
          </w:p>
        </w:tc>
        <w:tc>
          <w:tcPr>
            <w:tcW w:w="1818" w:type="dxa"/>
            <w:tcBorders>
              <w:bottom w:val="single" w:color="009EE0" w:sz="2" w:space="0"/>
            </w:tcBorders>
            <w:tcMar>
              <w:top w:w="22" w:type="dxa"/>
              <w:left w:w="28" w:type="dxa"/>
              <w:bottom w:w="22" w:type="dxa"/>
              <w:right w:w="28" w:type="dxa"/>
            </w:tcMar>
          </w:tcPr>
          <w:p w:rsidRPr="003268EE" w:rsidR="0084290D" w:rsidRDefault="00CF5B93" w14:paraId="4E7DF5C9" w14:textId="77777777">
            <w:pPr>
              <w:pStyle w:val="p-table"/>
              <w:rPr>
                <w:sz w:val="13"/>
                <w:szCs w:val="13"/>
              </w:rPr>
            </w:pPr>
            <w:r w:rsidRPr="003268EE">
              <w:rPr>
                <w:sz w:val="13"/>
                <w:szCs w:val="13"/>
              </w:rPr>
              <w:t>10</w:t>
            </w:r>
          </w:p>
        </w:tc>
      </w:tr>
      <w:tr w:rsidR="0084290D" w14:paraId="36797196" w14:textId="77777777">
        <w:tc>
          <w:tcPr>
            <w:tcW w:w="1873" w:type="dxa"/>
            <w:tcBorders>
              <w:bottom w:val="single" w:color="009EE0" w:sz="2" w:space="0"/>
            </w:tcBorders>
            <w:tcMar>
              <w:top w:w="22" w:type="dxa"/>
              <w:bottom w:w="22" w:type="dxa"/>
              <w:right w:w="28" w:type="dxa"/>
            </w:tcMar>
            <w:vAlign w:val="bottom"/>
          </w:tcPr>
          <w:p w:rsidRPr="003268EE" w:rsidR="0084290D" w:rsidRDefault="00CF5B93" w14:paraId="439FA742" w14:textId="77777777">
            <w:pPr>
              <w:pStyle w:val="p-table"/>
              <w:rPr>
                <w:sz w:val="13"/>
                <w:szCs w:val="13"/>
              </w:rPr>
            </w:pPr>
            <w:r w:rsidRPr="003268EE">
              <w:rPr>
                <w:sz w:val="13"/>
                <w:szCs w:val="13"/>
              </w:rPr>
              <w:t>=&gt; 1000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5EE06FEF" w14:textId="77777777">
            <w:pPr>
              <w:pStyle w:val="p-table"/>
              <w:rPr>
                <w:sz w:val="13"/>
                <w:szCs w:val="13"/>
              </w:rPr>
            </w:pPr>
            <w:r w:rsidRPr="003268EE">
              <w:rPr>
                <w:sz w:val="13"/>
                <w:szCs w:val="13"/>
              </w:rPr>
              <w:t>10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6332FF4F" w14:textId="77777777">
            <w:pPr>
              <w:pStyle w:val="p-table"/>
              <w:rPr>
                <w:sz w:val="13"/>
                <w:szCs w:val="13"/>
              </w:rPr>
            </w:pPr>
            <w:r w:rsidRPr="003268EE">
              <w:rPr>
                <w:sz w:val="13"/>
                <w:szCs w:val="13"/>
              </w:rPr>
              <w:t>20</w:t>
            </w:r>
          </w:p>
        </w:tc>
      </w:tr>
    </w:tbl>
    <w:p w:rsidR="0084290D" w:rsidRDefault="0084290D" w14:paraId="6C0752F1" w14:textId="77777777">
      <w:pPr>
        <w:pStyle w:val="p-marginbottom"/>
      </w:pPr>
    </w:p>
    <w:p w:rsidR="0084290D" w:rsidRDefault="0084290D" w14:paraId="7005E461" w14:textId="77777777">
      <w:pPr>
        <w:pStyle w:val="page-break"/>
      </w:pPr>
    </w:p>
    <w:p w:rsidR="0084290D" w:rsidRDefault="00CF5B93" w14:paraId="2D174EC2" w14:textId="77777777">
      <w:pPr>
        <w:pStyle w:val="section-title-2"/>
      </w:pPr>
      <w:bookmarkStart w:name="1295219010730197" w:id="3"/>
      <w:r>
        <w:t>2 Beleid</w:t>
      </w:r>
      <w:bookmarkEnd w:id="3"/>
    </w:p>
    <w:p w:rsidR="0084290D" w:rsidRDefault="00CF5B93" w14:paraId="72352325" w14:textId="77777777">
      <w:pPr>
        <w:pStyle w:val="section-title-3"/>
      </w:pPr>
      <w:r>
        <w:t>2.1 Overzicht belangrijkste uitgaven- en ontvangstenmutaties IXB</w:t>
      </w:r>
    </w:p>
    <w:p w:rsidR="0084290D" w:rsidRDefault="00CF5B93" w14:paraId="7B9224E5" w14:textId="0E628382">
      <w:pPr>
        <w:pStyle w:val="p"/>
      </w:pPr>
      <w:r>
        <w:t>In onderstaande tabellen worden de belangrijkste suppletoire uitgaven-(tabel 2) en ontvangstenmutaties (tabel 3) weergegeven.</w:t>
      </w:r>
    </w:p>
    <w:tbl>
      <w:tblPr>
        <w:tblW w:w="9694" w:type="dxa"/>
        <w:tblCellMar>
          <w:left w:w="10" w:type="dxa"/>
          <w:right w:w="10" w:type="dxa"/>
        </w:tblCellMar>
        <w:tblLook w:val="0000" w:firstRow="0" w:lastRow="0" w:firstColumn="0" w:lastColumn="0" w:noHBand="0" w:noVBand="0"/>
      </w:tblPr>
      <w:tblGrid>
        <w:gridCol w:w="2419"/>
        <w:gridCol w:w="841"/>
        <w:gridCol w:w="1096"/>
        <w:gridCol w:w="1096"/>
        <w:gridCol w:w="1096"/>
        <w:gridCol w:w="1096"/>
        <w:gridCol w:w="1096"/>
        <w:gridCol w:w="954"/>
      </w:tblGrid>
      <w:tr w:rsidR="0084290D" w:rsidTr="007433BE" w14:paraId="45CD3AA6" w14:textId="77777777">
        <w:trPr>
          <w:tblHeader/>
        </w:trPr>
        <w:tc>
          <w:tcPr>
            <w:tcW w:w="9694" w:type="dxa"/>
            <w:gridSpan w:val="8"/>
            <w:tcMar>
              <w:top w:w="22" w:type="dxa"/>
              <w:left w:w="113" w:type="dxa"/>
              <w:bottom w:w="22" w:type="dxa"/>
            </w:tcMar>
          </w:tcPr>
          <w:p w:rsidR="0084290D" w:rsidRDefault="00CF5B93" w14:paraId="39AEEBEE" w14:textId="77777777">
            <w:pPr>
              <w:pStyle w:val="kio2-table-title"/>
            </w:pPr>
            <w:r>
              <w:t>Tabel 2 Overzicht belangrijkste suppletoire uitgavenmutaties 2026 (Eerste suppletoire begroting) (bedragen x € 1.000)</w:t>
            </w:r>
          </w:p>
          <w:p w:rsidR="002448E9" w:rsidRDefault="002448E9" w14:paraId="309E591B" w14:textId="77777777">
            <w:pPr>
              <w:pStyle w:val="kio2-table-title"/>
            </w:pPr>
          </w:p>
        </w:tc>
      </w:tr>
      <w:tr w:rsidRPr="002448E9" w:rsidR="001546E4" w:rsidTr="007433BE" w14:paraId="10DD5586" w14:textId="77777777">
        <w:trPr>
          <w:tblHeader/>
        </w:trPr>
        <w:tc>
          <w:tcPr>
            <w:tcW w:w="2419" w:type="dxa"/>
            <w:tcBorders>
              <w:top w:val="single" w:color="000000" w:sz="2" w:space="0"/>
              <w:bottom w:val="single" w:color="009EE0" w:sz="2" w:space="0"/>
            </w:tcBorders>
            <w:tcMar>
              <w:top w:w="28" w:type="dxa"/>
              <w:bottom w:w="28" w:type="dxa"/>
              <w:right w:w="28" w:type="dxa"/>
            </w:tcMar>
          </w:tcPr>
          <w:p w:rsidRPr="006F2FC4" w:rsidR="0084290D" w:rsidRDefault="0084290D" w14:paraId="6D4FC3F9" w14:textId="77777777">
            <w:pPr>
              <w:pStyle w:val="p-table"/>
              <w:rPr>
                <w:sz w:val="13"/>
                <w:szCs w:val="13"/>
              </w:rPr>
            </w:pPr>
          </w:p>
        </w:tc>
        <w:tc>
          <w:tcPr>
            <w:tcW w:w="841" w:type="dxa"/>
            <w:tcBorders>
              <w:top w:val="single" w:color="000000" w:sz="2" w:space="0"/>
              <w:bottom w:val="single" w:color="009EE0" w:sz="2" w:space="0"/>
            </w:tcBorders>
            <w:tcMar>
              <w:top w:w="28" w:type="dxa"/>
              <w:left w:w="28" w:type="dxa"/>
              <w:bottom w:w="28" w:type="dxa"/>
              <w:right w:w="28" w:type="dxa"/>
            </w:tcMar>
          </w:tcPr>
          <w:p w:rsidRPr="006F2FC4" w:rsidR="00A92017" w:rsidRDefault="00CF5B93" w14:paraId="4EF0FB32" w14:textId="77777777">
            <w:pPr>
              <w:pStyle w:val="p-table"/>
              <w:jc w:val="right"/>
              <w:rPr>
                <w:sz w:val="13"/>
                <w:szCs w:val="13"/>
              </w:rPr>
            </w:pPr>
            <w:r w:rsidRPr="006F2FC4">
              <w:rPr>
                <w:sz w:val="13"/>
                <w:szCs w:val="13"/>
              </w:rPr>
              <w:t>Artikel</w:t>
            </w:r>
            <w:r w:rsidRPr="006F2FC4" w:rsidR="00A92017">
              <w:rPr>
                <w:sz w:val="13"/>
                <w:szCs w:val="13"/>
              </w:rPr>
              <w:t>-</w:t>
            </w:r>
          </w:p>
          <w:p w:rsidRPr="006F2FC4" w:rsidR="0084290D" w:rsidRDefault="00CF5B93" w14:paraId="281E2736" w14:textId="55523CBD">
            <w:pPr>
              <w:pStyle w:val="p-table"/>
              <w:jc w:val="right"/>
              <w:rPr>
                <w:sz w:val="13"/>
                <w:szCs w:val="13"/>
              </w:rPr>
            </w:pPr>
            <w:r w:rsidRPr="006F2FC4">
              <w:rPr>
                <w:sz w:val="13"/>
                <w:szCs w:val="13"/>
              </w:rPr>
              <w:t>nummer</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27D310EB" w14:textId="77777777">
            <w:pPr>
              <w:pStyle w:val="p-table"/>
              <w:jc w:val="right"/>
              <w:rPr>
                <w:sz w:val="13"/>
                <w:szCs w:val="13"/>
              </w:rPr>
            </w:pPr>
            <w:r w:rsidRPr="006F2FC4">
              <w:rPr>
                <w:sz w:val="13"/>
                <w:szCs w:val="13"/>
              </w:rPr>
              <w:t>Uitgaven 2026</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673CDA17" w14:textId="77777777">
            <w:pPr>
              <w:pStyle w:val="p-table"/>
              <w:jc w:val="right"/>
              <w:rPr>
                <w:sz w:val="13"/>
                <w:szCs w:val="13"/>
              </w:rPr>
            </w:pPr>
            <w:r w:rsidRPr="006F2FC4">
              <w:rPr>
                <w:sz w:val="13"/>
                <w:szCs w:val="13"/>
              </w:rPr>
              <w:t>Uitgaven 2027</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24879294" w14:textId="77777777">
            <w:pPr>
              <w:pStyle w:val="p-table"/>
              <w:jc w:val="right"/>
              <w:rPr>
                <w:sz w:val="13"/>
                <w:szCs w:val="13"/>
              </w:rPr>
            </w:pPr>
            <w:r w:rsidRPr="006F2FC4">
              <w:rPr>
                <w:sz w:val="13"/>
                <w:szCs w:val="13"/>
              </w:rPr>
              <w:t>Uitgaven 2028</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000EF2AA" w14:textId="77777777">
            <w:pPr>
              <w:pStyle w:val="p-table"/>
              <w:jc w:val="right"/>
              <w:rPr>
                <w:sz w:val="13"/>
                <w:szCs w:val="13"/>
              </w:rPr>
            </w:pPr>
            <w:r w:rsidRPr="006F2FC4">
              <w:rPr>
                <w:sz w:val="13"/>
                <w:szCs w:val="13"/>
              </w:rPr>
              <w:t>Uitgaven 2029</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58800E64" w14:textId="77777777">
            <w:pPr>
              <w:pStyle w:val="p-table"/>
              <w:jc w:val="right"/>
              <w:rPr>
                <w:sz w:val="13"/>
                <w:szCs w:val="13"/>
              </w:rPr>
            </w:pPr>
            <w:r w:rsidRPr="006F2FC4">
              <w:rPr>
                <w:sz w:val="13"/>
                <w:szCs w:val="13"/>
              </w:rPr>
              <w:t>Uitgaven 2030</w:t>
            </w:r>
          </w:p>
        </w:tc>
        <w:tc>
          <w:tcPr>
            <w:tcW w:w="9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43B4F9BB" w14:textId="77777777">
            <w:pPr>
              <w:pStyle w:val="p-table"/>
              <w:jc w:val="right"/>
              <w:rPr>
                <w:sz w:val="13"/>
                <w:szCs w:val="13"/>
              </w:rPr>
            </w:pPr>
            <w:r w:rsidRPr="006F2FC4">
              <w:rPr>
                <w:sz w:val="13"/>
                <w:szCs w:val="13"/>
              </w:rPr>
              <w:t>Uitgaven 2031</w:t>
            </w:r>
          </w:p>
        </w:tc>
      </w:tr>
      <w:tr w:rsidRPr="002448E9" w:rsidR="001546E4" w:rsidTr="007433BE" w14:paraId="0A1E461D" w14:textId="77777777">
        <w:tc>
          <w:tcPr>
            <w:tcW w:w="2419" w:type="dxa"/>
            <w:tcBorders>
              <w:bottom w:val="single" w:color="009EE0" w:sz="2" w:space="0"/>
            </w:tcBorders>
            <w:tcMar>
              <w:top w:w="22" w:type="dxa"/>
              <w:bottom w:w="22" w:type="dxa"/>
              <w:right w:w="28" w:type="dxa"/>
            </w:tcMar>
          </w:tcPr>
          <w:p w:rsidRPr="006F2FC4" w:rsidR="0084290D" w:rsidRDefault="00CF5B93" w14:paraId="1626C050" w14:textId="77777777">
            <w:pPr>
              <w:pStyle w:val="p-table"/>
              <w:rPr>
                <w:b/>
                <w:bCs/>
                <w:sz w:val="13"/>
                <w:szCs w:val="13"/>
              </w:rPr>
            </w:pPr>
            <w:r w:rsidRPr="006F2FC4">
              <w:rPr>
                <w:b/>
                <w:bCs/>
                <w:sz w:val="13"/>
                <w:szCs w:val="13"/>
              </w:rPr>
              <w:t>Stand begroting 2026</w:t>
            </w:r>
          </w:p>
        </w:tc>
        <w:tc>
          <w:tcPr>
            <w:tcW w:w="841" w:type="dxa"/>
            <w:tcBorders>
              <w:bottom w:val="single" w:color="009EE0" w:sz="2" w:space="0"/>
            </w:tcBorders>
            <w:tcMar>
              <w:top w:w="22" w:type="dxa"/>
              <w:left w:w="28" w:type="dxa"/>
              <w:bottom w:w="22" w:type="dxa"/>
              <w:right w:w="28" w:type="dxa"/>
            </w:tcMar>
          </w:tcPr>
          <w:p w:rsidRPr="006F2FC4" w:rsidR="0084290D" w:rsidRDefault="0084290D" w14:paraId="67AC6D3D" w14:textId="77777777">
            <w:pPr>
              <w:pStyle w:val="p-table"/>
              <w:rPr>
                <w:b/>
                <w:bCs/>
                <w:sz w:val="13"/>
                <w:szCs w:val="13"/>
              </w:rPr>
            </w:pP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CE7B57E" w14:textId="77777777">
            <w:pPr>
              <w:pStyle w:val="p-table"/>
              <w:jc w:val="right"/>
              <w:rPr>
                <w:b/>
                <w:bCs/>
                <w:sz w:val="13"/>
                <w:szCs w:val="13"/>
              </w:rPr>
            </w:pPr>
            <w:r w:rsidRPr="006F2FC4">
              <w:rPr>
                <w:b/>
                <w:bCs/>
                <w:sz w:val="13"/>
                <w:szCs w:val="13"/>
              </w:rPr>
              <w:t>23.890.649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02A9809" w14:textId="77777777">
            <w:pPr>
              <w:pStyle w:val="p-table"/>
              <w:jc w:val="right"/>
              <w:rPr>
                <w:b/>
                <w:bCs/>
                <w:sz w:val="13"/>
                <w:szCs w:val="13"/>
              </w:rPr>
            </w:pPr>
            <w:r w:rsidRPr="006F2FC4">
              <w:rPr>
                <w:b/>
                <w:bCs/>
                <w:sz w:val="13"/>
                <w:szCs w:val="13"/>
              </w:rPr>
              <w:t>12.651.404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D177560" w14:textId="77777777">
            <w:pPr>
              <w:pStyle w:val="p-table"/>
              <w:jc w:val="right"/>
              <w:rPr>
                <w:b/>
                <w:bCs/>
                <w:sz w:val="13"/>
                <w:szCs w:val="13"/>
              </w:rPr>
            </w:pPr>
            <w:r w:rsidRPr="006F2FC4">
              <w:rPr>
                <w:b/>
                <w:bCs/>
                <w:sz w:val="13"/>
                <w:szCs w:val="13"/>
              </w:rPr>
              <w:t>10.902.293</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7FEB120" w14:textId="77777777">
            <w:pPr>
              <w:pStyle w:val="p-table"/>
              <w:jc w:val="right"/>
              <w:rPr>
                <w:b/>
                <w:bCs/>
                <w:sz w:val="13"/>
                <w:szCs w:val="13"/>
              </w:rPr>
            </w:pPr>
            <w:r w:rsidRPr="006F2FC4">
              <w:rPr>
                <w:b/>
                <w:bCs/>
                <w:sz w:val="13"/>
                <w:szCs w:val="13"/>
              </w:rPr>
              <w:t>10.503.482</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0DDFCE2" w14:textId="77777777">
            <w:pPr>
              <w:pStyle w:val="p-table"/>
              <w:jc w:val="right"/>
              <w:rPr>
                <w:b/>
                <w:bCs/>
                <w:sz w:val="13"/>
                <w:szCs w:val="13"/>
              </w:rPr>
            </w:pPr>
            <w:r w:rsidRPr="006F2FC4">
              <w:rPr>
                <w:b/>
                <w:bCs/>
                <w:sz w:val="13"/>
                <w:szCs w:val="13"/>
              </w:rPr>
              <w:t>10.580.224</w:t>
            </w:r>
          </w:p>
        </w:tc>
        <w:tc>
          <w:tcPr>
            <w:tcW w:w="954" w:type="dxa"/>
            <w:tcBorders>
              <w:bottom w:val="single" w:color="009EE0" w:sz="2" w:space="0"/>
            </w:tcBorders>
            <w:tcMar>
              <w:top w:w="22" w:type="dxa"/>
              <w:left w:w="28" w:type="dxa"/>
              <w:bottom w:w="22" w:type="dxa"/>
              <w:right w:w="28" w:type="dxa"/>
            </w:tcMar>
          </w:tcPr>
          <w:p w:rsidRPr="006F2FC4" w:rsidR="0084290D" w:rsidRDefault="0084290D" w14:paraId="2F3B1EED" w14:textId="77777777">
            <w:pPr>
              <w:pStyle w:val="p-table"/>
              <w:rPr>
                <w:b/>
                <w:bCs/>
                <w:sz w:val="13"/>
                <w:szCs w:val="13"/>
              </w:rPr>
            </w:pPr>
          </w:p>
        </w:tc>
      </w:tr>
      <w:tr w:rsidRPr="002448E9" w:rsidR="001546E4" w:rsidTr="007433BE" w14:paraId="3ED86DA2" w14:textId="77777777">
        <w:tc>
          <w:tcPr>
            <w:tcW w:w="2419" w:type="dxa"/>
            <w:tcBorders>
              <w:bottom w:val="single" w:color="009EE0" w:sz="2" w:space="0"/>
            </w:tcBorders>
            <w:tcMar>
              <w:top w:w="22" w:type="dxa"/>
              <w:bottom w:w="22" w:type="dxa"/>
              <w:right w:w="28" w:type="dxa"/>
            </w:tcMar>
          </w:tcPr>
          <w:p w:rsidRPr="006F2FC4" w:rsidR="0084290D" w:rsidRDefault="0084290D" w14:paraId="46747C1C" w14:textId="77777777">
            <w:pPr>
              <w:pStyle w:val="p-table"/>
              <w:rPr>
                <w:sz w:val="13"/>
                <w:szCs w:val="13"/>
              </w:rPr>
            </w:pPr>
          </w:p>
        </w:tc>
        <w:tc>
          <w:tcPr>
            <w:tcW w:w="841" w:type="dxa"/>
            <w:tcBorders>
              <w:bottom w:val="single" w:color="009EE0" w:sz="2" w:space="0"/>
            </w:tcBorders>
            <w:tcMar>
              <w:top w:w="22" w:type="dxa"/>
              <w:left w:w="28" w:type="dxa"/>
              <w:bottom w:w="22" w:type="dxa"/>
              <w:right w:w="28" w:type="dxa"/>
            </w:tcMar>
          </w:tcPr>
          <w:p w:rsidRPr="006F2FC4" w:rsidR="0084290D" w:rsidRDefault="0084290D" w14:paraId="7DCA1323"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C4D252B"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697BB69"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5FD8E59"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2B4AD90E"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7175B710" w14:textId="77777777">
            <w:pPr>
              <w:pStyle w:val="p-table"/>
              <w:rPr>
                <w:sz w:val="13"/>
                <w:szCs w:val="13"/>
              </w:rPr>
            </w:pPr>
          </w:p>
        </w:tc>
        <w:tc>
          <w:tcPr>
            <w:tcW w:w="954" w:type="dxa"/>
            <w:tcBorders>
              <w:bottom w:val="single" w:color="009EE0" w:sz="2" w:space="0"/>
            </w:tcBorders>
            <w:tcMar>
              <w:top w:w="22" w:type="dxa"/>
              <w:left w:w="28" w:type="dxa"/>
              <w:bottom w:w="22" w:type="dxa"/>
              <w:right w:w="28" w:type="dxa"/>
            </w:tcMar>
          </w:tcPr>
          <w:p w:rsidRPr="006F2FC4" w:rsidR="0084290D" w:rsidRDefault="0084290D" w14:paraId="4BFCDDDE" w14:textId="77777777">
            <w:pPr>
              <w:pStyle w:val="p-table"/>
              <w:rPr>
                <w:sz w:val="13"/>
                <w:szCs w:val="13"/>
              </w:rPr>
            </w:pPr>
          </w:p>
        </w:tc>
      </w:tr>
      <w:tr w:rsidRPr="002448E9" w:rsidR="001546E4" w:rsidTr="007433BE" w14:paraId="4D8E1982" w14:textId="77777777">
        <w:tc>
          <w:tcPr>
            <w:tcW w:w="2419" w:type="dxa"/>
            <w:tcBorders>
              <w:bottom w:val="single" w:color="009EE0" w:sz="2" w:space="0"/>
            </w:tcBorders>
            <w:tcMar>
              <w:top w:w="22" w:type="dxa"/>
              <w:bottom w:w="22" w:type="dxa"/>
              <w:right w:w="28" w:type="dxa"/>
            </w:tcMar>
          </w:tcPr>
          <w:p w:rsidRPr="006F2FC4" w:rsidR="0084290D" w:rsidRDefault="00CF5B93" w14:paraId="0FF2AD7B" w14:textId="77777777">
            <w:pPr>
              <w:pStyle w:val="p-table"/>
              <w:rPr>
                <w:sz w:val="13"/>
                <w:szCs w:val="13"/>
              </w:rPr>
            </w:pPr>
            <w:r w:rsidRPr="006F2FC4">
              <w:rPr>
                <w:sz w:val="13"/>
                <w:szCs w:val="13"/>
              </w:rPr>
              <w:t>Mutaties coalitieakkoord:</w:t>
            </w:r>
          </w:p>
        </w:tc>
        <w:tc>
          <w:tcPr>
            <w:tcW w:w="841" w:type="dxa"/>
            <w:tcBorders>
              <w:bottom w:val="single" w:color="009EE0" w:sz="2" w:space="0"/>
            </w:tcBorders>
            <w:tcMar>
              <w:top w:w="22" w:type="dxa"/>
              <w:left w:w="28" w:type="dxa"/>
              <w:bottom w:w="22" w:type="dxa"/>
              <w:right w:w="28" w:type="dxa"/>
            </w:tcMar>
          </w:tcPr>
          <w:p w:rsidRPr="006F2FC4" w:rsidR="0084290D" w:rsidRDefault="0084290D" w14:paraId="6BF6020D"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7B999A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6491329" w14:textId="77777777">
            <w:pPr>
              <w:pStyle w:val="p-table"/>
              <w:jc w:val="right"/>
              <w:rPr>
                <w:sz w:val="13"/>
                <w:szCs w:val="13"/>
              </w:rPr>
            </w:pPr>
            <w:r w:rsidRPr="006F2FC4">
              <w:rPr>
                <w:sz w:val="13"/>
                <w:szCs w:val="13"/>
              </w:rPr>
              <w:t>‒ 24.364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C70BDCC" w14:textId="77777777">
            <w:pPr>
              <w:pStyle w:val="p-table"/>
              <w:jc w:val="right"/>
              <w:rPr>
                <w:sz w:val="13"/>
                <w:szCs w:val="13"/>
              </w:rPr>
            </w:pPr>
            <w:r w:rsidRPr="006F2FC4">
              <w:rPr>
                <w:sz w:val="13"/>
                <w:szCs w:val="13"/>
              </w:rPr>
              <w:t>‒ 46.684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C2E13E6" w14:textId="77777777">
            <w:pPr>
              <w:pStyle w:val="p-table"/>
              <w:jc w:val="right"/>
              <w:rPr>
                <w:sz w:val="13"/>
                <w:szCs w:val="13"/>
              </w:rPr>
            </w:pPr>
            <w:r w:rsidRPr="006F2FC4">
              <w:rPr>
                <w:sz w:val="13"/>
                <w:szCs w:val="13"/>
              </w:rPr>
              <w:t>‒ 170.588</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EBE41C3" w14:textId="77777777">
            <w:pPr>
              <w:pStyle w:val="p-table"/>
              <w:jc w:val="right"/>
              <w:rPr>
                <w:sz w:val="13"/>
                <w:szCs w:val="13"/>
              </w:rPr>
            </w:pPr>
            <w:r w:rsidRPr="006F2FC4">
              <w:rPr>
                <w:sz w:val="13"/>
                <w:szCs w:val="13"/>
              </w:rPr>
              <w:t>‒ 342.707</w:t>
            </w:r>
          </w:p>
        </w:tc>
        <w:tc>
          <w:tcPr>
            <w:tcW w:w="954" w:type="dxa"/>
            <w:tcBorders>
              <w:bottom w:val="single" w:color="009EE0" w:sz="2" w:space="0"/>
            </w:tcBorders>
            <w:tcMar>
              <w:top w:w="22" w:type="dxa"/>
              <w:left w:w="28" w:type="dxa"/>
              <w:bottom w:w="22" w:type="dxa"/>
              <w:right w:w="28" w:type="dxa"/>
            </w:tcMar>
          </w:tcPr>
          <w:p w:rsidRPr="006F2FC4" w:rsidR="0084290D" w:rsidRDefault="0084290D" w14:paraId="03ED9C34" w14:textId="77777777">
            <w:pPr>
              <w:pStyle w:val="p-table"/>
              <w:rPr>
                <w:sz w:val="13"/>
                <w:szCs w:val="13"/>
              </w:rPr>
            </w:pPr>
          </w:p>
        </w:tc>
      </w:tr>
      <w:tr w:rsidRPr="002448E9" w:rsidR="001546E4" w:rsidTr="007433BE" w14:paraId="780EFD79" w14:textId="77777777">
        <w:tc>
          <w:tcPr>
            <w:tcW w:w="2419" w:type="dxa"/>
            <w:tcBorders>
              <w:bottom w:val="single" w:color="009EE0" w:sz="2" w:space="0"/>
            </w:tcBorders>
            <w:tcMar>
              <w:top w:w="22" w:type="dxa"/>
              <w:bottom w:w="22" w:type="dxa"/>
              <w:right w:w="28" w:type="dxa"/>
            </w:tcMar>
          </w:tcPr>
          <w:p w:rsidRPr="006F2FC4" w:rsidR="0084290D" w:rsidRDefault="00CF5B93" w14:paraId="5F7566EB" w14:textId="77777777">
            <w:pPr>
              <w:pStyle w:val="p-table"/>
              <w:rPr>
                <w:sz w:val="13"/>
                <w:szCs w:val="13"/>
              </w:rPr>
            </w:pPr>
            <w:r w:rsidRPr="006F2FC4">
              <w:rPr>
                <w:sz w:val="13"/>
                <w:szCs w:val="13"/>
              </w:rPr>
              <w:t>1) Coalitieakkoord: efficiencytaakstelling</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35FA2548" w14:textId="77777777">
            <w:pPr>
              <w:pStyle w:val="p-table"/>
              <w:jc w:val="right"/>
              <w:rPr>
                <w:sz w:val="13"/>
                <w:szCs w:val="13"/>
              </w:rPr>
            </w:pPr>
            <w:r w:rsidRPr="006F2FC4">
              <w:rPr>
                <w:sz w:val="13"/>
                <w:szCs w:val="13"/>
              </w:rPr>
              <w:t>div</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87501D0"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BD36D6B" w14:textId="77777777">
            <w:pPr>
              <w:pStyle w:val="p-table"/>
              <w:jc w:val="right"/>
              <w:rPr>
                <w:sz w:val="13"/>
                <w:szCs w:val="13"/>
              </w:rPr>
            </w:pPr>
            <w:r w:rsidRPr="006F2FC4">
              <w:rPr>
                <w:sz w:val="13"/>
                <w:szCs w:val="13"/>
              </w:rPr>
              <w:t>‒ 24.364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9196815" w14:textId="77777777">
            <w:pPr>
              <w:pStyle w:val="p-table"/>
              <w:jc w:val="right"/>
              <w:rPr>
                <w:sz w:val="13"/>
                <w:szCs w:val="13"/>
              </w:rPr>
            </w:pPr>
            <w:r w:rsidRPr="006F2FC4">
              <w:rPr>
                <w:sz w:val="13"/>
                <w:szCs w:val="13"/>
              </w:rPr>
              <w:t>‒ 46.684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EBAA8AB" w14:textId="77777777">
            <w:pPr>
              <w:pStyle w:val="p-table"/>
              <w:jc w:val="right"/>
              <w:rPr>
                <w:sz w:val="13"/>
                <w:szCs w:val="13"/>
              </w:rPr>
            </w:pPr>
            <w:r w:rsidRPr="006F2FC4">
              <w:rPr>
                <w:sz w:val="13"/>
                <w:szCs w:val="13"/>
              </w:rPr>
              <w:t>‒ 73.469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9E5AD6B" w14:textId="77777777">
            <w:pPr>
              <w:pStyle w:val="p-table"/>
              <w:jc w:val="right"/>
              <w:rPr>
                <w:sz w:val="13"/>
                <w:szCs w:val="13"/>
              </w:rPr>
            </w:pPr>
            <w:r w:rsidRPr="006F2FC4">
              <w:rPr>
                <w:sz w:val="13"/>
                <w:szCs w:val="13"/>
              </w:rPr>
              <w:t>‒ 99.553</w:t>
            </w:r>
          </w:p>
        </w:tc>
        <w:tc>
          <w:tcPr>
            <w:tcW w:w="954" w:type="dxa"/>
            <w:tcBorders>
              <w:bottom w:val="single" w:color="009EE0" w:sz="2" w:space="0"/>
            </w:tcBorders>
            <w:tcMar>
              <w:top w:w="22" w:type="dxa"/>
              <w:left w:w="28" w:type="dxa"/>
              <w:bottom w:w="22" w:type="dxa"/>
              <w:right w:w="28" w:type="dxa"/>
            </w:tcMar>
          </w:tcPr>
          <w:p w:rsidRPr="006F2FC4" w:rsidR="0084290D" w:rsidRDefault="0084290D" w14:paraId="5B3AC11B" w14:textId="77777777">
            <w:pPr>
              <w:pStyle w:val="p-table"/>
              <w:rPr>
                <w:sz w:val="13"/>
                <w:szCs w:val="13"/>
              </w:rPr>
            </w:pPr>
          </w:p>
        </w:tc>
      </w:tr>
      <w:tr w:rsidRPr="002448E9" w:rsidR="001546E4" w:rsidTr="007433BE" w14:paraId="628D8001" w14:textId="77777777">
        <w:tc>
          <w:tcPr>
            <w:tcW w:w="2419" w:type="dxa"/>
            <w:tcBorders>
              <w:bottom w:val="single" w:color="009EE0" w:sz="2" w:space="0"/>
            </w:tcBorders>
            <w:tcMar>
              <w:top w:w="22" w:type="dxa"/>
              <w:bottom w:w="22" w:type="dxa"/>
              <w:right w:w="28" w:type="dxa"/>
            </w:tcMar>
          </w:tcPr>
          <w:p w:rsidRPr="006F2FC4" w:rsidR="0084290D" w:rsidRDefault="00CF5B93" w14:paraId="721F14E6" w14:textId="77777777">
            <w:pPr>
              <w:pStyle w:val="p-table"/>
              <w:rPr>
                <w:sz w:val="13"/>
                <w:szCs w:val="13"/>
              </w:rPr>
            </w:pPr>
            <w:r w:rsidRPr="006F2FC4">
              <w:rPr>
                <w:sz w:val="13"/>
                <w:szCs w:val="13"/>
              </w:rPr>
              <w:t>2) Coalitieakkoord: taakstelling vernieuwing rijksdienst/slagvaardige overheid</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2D71A4D5" w14:textId="77777777">
            <w:pPr>
              <w:pStyle w:val="p-table"/>
              <w:jc w:val="right"/>
              <w:rPr>
                <w:sz w:val="13"/>
                <w:szCs w:val="13"/>
              </w:rPr>
            </w:pPr>
            <w:r w:rsidRPr="006F2FC4">
              <w:rPr>
                <w:sz w:val="13"/>
                <w:szCs w:val="13"/>
              </w:rPr>
              <w:t>div</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BCD3AC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B557F87"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A0A023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D048760" w14:textId="77777777">
            <w:pPr>
              <w:pStyle w:val="p-table"/>
              <w:jc w:val="right"/>
              <w:rPr>
                <w:sz w:val="13"/>
                <w:szCs w:val="13"/>
              </w:rPr>
            </w:pPr>
            <w:r w:rsidRPr="006F2FC4">
              <w:rPr>
                <w:sz w:val="13"/>
                <w:szCs w:val="13"/>
              </w:rPr>
              <w:t>‒ 97.119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1CA1D9B" w14:textId="77777777">
            <w:pPr>
              <w:pStyle w:val="p-table"/>
              <w:jc w:val="right"/>
              <w:rPr>
                <w:sz w:val="13"/>
                <w:szCs w:val="13"/>
              </w:rPr>
            </w:pPr>
            <w:r w:rsidRPr="006F2FC4">
              <w:rPr>
                <w:sz w:val="13"/>
                <w:szCs w:val="13"/>
              </w:rPr>
              <w:t>‒ 243.154</w:t>
            </w:r>
          </w:p>
        </w:tc>
        <w:tc>
          <w:tcPr>
            <w:tcW w:w="954" w:type="dxa"/>
            <w:tcBorders>
              <w:bottom w:val="single" w:color="009EE0" w:sz="2" w:space="0"/>
            </w:tcBorders>
            <w:tcMar>
              <w:top w:w="22" w:type="dxa"/>
              <w:left w:w="28" w:type="dxa"/>
              <w:bottom w:w="22" w:type="dxa"/>
              <w:right w:w="28" w:type="dxa"/>
            </w:tcMar>
          </w:tcPr>
          <w:p w:rsidRPr="006F2FC4" w:rsidR="0084290D" w:rsidRDefault="0084290D" w14:paraId="51DE91D5" w14:textId="77777777">
            <w:pPr>
              <w:pStyle w:val="p-table"/>
              <w:rPr>
                <w:sz w:val="13"/>
                <w:szCs w:val="13"/>
              </w:rPr>
            </w:pPr>
          </w:p>
        </w:tc>
      </w:tr>
      <w:tr w:rsidRPr="002448E9" w:rsidR="001546E4" w:rsidTr="007433BE" w14:paraId="1963517F" w14:textId="77777777">
        <w:tc>
          <w:tcPr>
            <w:tcW w:w="2419" w:type="dxa"/>
            <w:tcBorders>
              <w:bottom w:val="single" w:color="009EE0" w:sz="2" w:space="0"/>
            </w:tcBorders>
            <w:tcMar>
              <w:top w:w="22" w:type="dxa"/>
              <w:bottom w:w="22" w:type="dxa"/>
              <w:right w:w="28" w:type="dxa"/>
            </w:tcMar>
          </w:tcPr>
          <w:p w:rsidRPr="006F2FC4" w:rsidR="0084290D" w:rsidRDefault="0084290D" w14:paraId="69748838" w14:textId="77777777">
            <w:pPr>
              <w:pStyle w:val="p-table"/>
              <w:rPr>
                <w:sz w:val="13"/>
                <w:szCs w:val="13"/>
              </w:rPr>
            </w:pPr>
          </w:p>
        </w:tc>
        <w:tc>
          <w:tcPr>
            <w:tcW w:w="841" w:type="dxa"/>
            <w:tcBorders>
              <w:bottom w:val="single" w:color="009EE0" w:sz="2" w:space="0"/>
            </w:tcBorders>
            <w:tcMar>
              <w:top w:w="22" w:type="dxa"/>
              <w:left w:w="28" w:type="dxa"/>
              <w:bottom w:w="22" w:type="dxa"/>
              <w:right w:w="28" w:type="dxa"/>
            </w:tcMar>
          </w:tcPr>
          <w:p w:rsidRPr="006F2FC4" w:rsidR="0084290D" w:rsidRDefault="0084290D" w14:paraId="369AAEBA"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672DDC00"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655DE24F"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5DBFE9A2"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2672CC23"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1D0E1DDA" w14:textId="77777777">
            <w:pPr>
              <w:pStyle w:val="p-table"/>
              <w:rPr>
                <w:sz w:val="13"/>
                <w:szCs w:val="13"/>
              </w:rPr>
            </w:pPr>
          </w:p>
        </w:tc>
        <w:tc>
          <w:tcPr>
            <w:tcW w:w="954" w:type="dxa"/>
            <w:tcBorders>
              <w:bottom w:val="single" w:color="009EE0" w:sz="2" w:space="0"/>
            </w:tcBorders>
            <w:tcMar>
              <w:top w:w="22" w:type="dxa"/>
              <w:left w:w="28" w:type="dxa"/>
              <w:bottom w:w="22" w:type="dxa"/>
              <w:right w:w="28" w:type="dxa"/>
            </w:tcMar>
          </w:tcPr>
          <w:p w:rsidRPr="006F2FC4" w:rsidR="0084290D" w:rsidRDefault="0084290D" w14:paraId="419C0472" w14:textId="77777777">
            <w:pPr>
              <w:pStyle w:val="p-table"/>
              <w:rPr>
                <w:sz w:val="13"/>
                <w:szCs w:val="13"/>
              </w:rPr>
            </w:pPr>
          </w:p>
        </w:tc>
      </w:tr>
      <w:tr w:rsidRPr="002448E9" w:rsidR="001546E4" w:rsidTr="007433BE" w14:paraId="11A316BF" w14:textId="77777777">
        <w:tc>
          <w:tcPr>
            <w:tcW w:w="2419" w:type="dxa"/>
            <w:tcBorders>
              <w:bottom w:val="single" w:color="009EE0" w:sz="2" w:space="0"/>
            </w:tcBorders>
            <w:tcMar>
              <w:top w:w="22" w:type="dxa"/>
              <w:bottom w:w="22" w:type="dxa"/>
              <w:right w:w="28" w:type="dxa"/>
            </w:tcMar>
          </w:tcPr>
          <w:p w:rsidRPr="006F2FC4" w:rsidR="0084290D" w:rsidRDefault="00CF5B93" w14:paraId="123A44F0" w14:textId="77777777">
            <w:pPr>
              <w:pStyle w:val="p-table"/>
              <w:rPr>
                <w:sz w:val="13"/>
                <w:szCs w:val="13"/>
              </w:rPr>
            </w:pPr>
            <w:r w:rsidRPr="006F2FC4">
              <w:rPr>
                <w:sz w:val="13"/>
                <w:szCs w:val="13"/>
              </w:rPr>
              <w:t>Belangrijkste suppletoire mutaties:</w:t>
            </w:r>
          </w:p>
        </w:tc>
        <w:tc>
          <w:tcPr>
            <w:tcW w:w="841" w:type="dxa"/>
            <w:tcBorders>
              <w:bottom w:val="single" w:color="009EE0" w:sz="2" w:space="0"/>
            </w:tcBorders>
            <w:tcMar>
              <w:top w:w="22" w:type="dxa"/>
              <w:left w:w="28" w:type="dxa"/>
              <w:bottom w:w="22" w:type="dxa"/>
              <w:right w:w="28" w:type="dxa"/>
            </w:tcMar>
          </w:tcPr>
          <w:p w:rsidRPr="006F2FC4" w:rsidR="0084290D" w:rsidRDefault="0084290D" w14:paraId="60736FD2"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795B3D0"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55201B50"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BC4A35B"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51BBA4FC"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26B549F7" w14:textId="77777777">
            <w:pPr>
              <w:pStyle w:val="p-table"/>
              <w:rPr>
                <w:sz w:val="13"/>
                <w:szCs w:val="13"/>
              </w:rPr>
            </w:pPr>
          </w:p>
        </w:tc>
        <w:tc>
          <w:tcPr>
            <w:tcW w:w="954" w:type="dxa"/>
            <w:tcBorders>
              <w:bottom w:val="single" w:color="009EE0" w:sz="2" w:space="0"/>
            </w:tcBorders>
            <w:tcMar>
              <w:top w:w="22" w:type="dxa"/>
              <w:left w:w="28" w:type="dxa"/>
              <w:bottom w:w="22" w:type="dxa"/>
              <w:right w:w="28" w:type="dxa"/>
            </w:tcMar>
          </w:tcPr>
          <w:p w:rsidRPr="006F2FC4" w:rsidR="0084290D" w:rsidRDefault="0084290D" w14:paraId="13E34A39" w14:textId="77777777">
            <w:pPr>
              <w:pStyle w:val="p-table"/>
              <w:rPr>
                <w:sz w:val="13"/>
                <w:szCs w:val="13"/>
              </w:rPr>
            </w:pPr>
          </w:p>
        </w:tc>
      </w:tr>
      <w:tr w:rsidRPr="002448E9" w:rsidR="001546E4" w:rsidTr="007433BE" w14:paraId="7BF74FB8" w14:textId="77777777">
        <w:tc>
          <w:tcPr>
            <w:tcW w:w="2419" w:type="dxa"/>
            <w:tcBorders>
              <w:bottom w:val="single" w:color="009EE0" w:sz="2" w:space="0"/>
            </w:tcBorders>
            <w:tcMar>
              <w:top w:w="22" w:type="dxa"/>
              <w:bottom w:w="22" w:type="dxa"/>
              <w:right w:w="28" w:type="dxa"/>
            </w:tcMar>
          </w:tcPr>
          <w:p w:rsidRPr="006F2FC4" w:rsidR="0084290D" w:rsidRDefault="00CF5B93" w14:paraId="38AC4D0B" w14:textId="77777777">
            <w:pPr>
              <w:pStyle w:val="p-table"/>
              <w:rPr>
                <w:sz w:val="13"/>
                <w:szCs w:val="13"/>
              </w:rPr>
            </w:pPr>
            <w:r w:rsidRPr="006F2FC4">
              <w:rPr>
                <w:sz w:val="13"/>
                <w:szCs w:val="13"/>
              </w:rPr>
              <w:t>1) ICT opdrachten Belastingdienst</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4514668D" w14:textId="77777777">
            <w:pPr>
              <w:pStyle w:val="p-table"/>
              <w:jc w:val="right"/>
              <w:rPr>
                <w:sz w:val="13"/>
                <w:szCs w:val="13"/>
              </w:rPr>
            </w:pPr>
            <w:r w:rsidRPr="006F2FC4">
              <w:rPr>
                <w:sz w:val="13"/>
                <w:szCs w:val="13"/>
              </w:rPr>
              <w:t>1</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AAF1AF8" w14:textId="77777777">
            <w:pPr>
              <w:pStyle w:val="p-table"/>
              <w:jc w:val="right"/>
              <w:rPr>
                <w:sz w:val="13"/>
                <w:szCs w:val="13"/>
              </w:rPr>
            </w:pPr>
            <w:r w:rsidRPr="006F2FC4">
              <w:rPr>
                <w:sz w:val="13"/>
                <w:szCs w:val="13"/>
              </w:rPr>
              <w:t>40.000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AAA7D93" w14:textId="77777777">
            <w:pPr>
              <w:pStyle w:val="p-table"/>
              <w:jc w:val="right"/>
              <w:rPr>
                <w:sz w:val="13"/>
                <w:szCs w:val="13"/>
              </w:rPr>
            </w:pPr>
            <w:r w:rsidRPr="006F2FC4">
              <w:rPr>
                <w:sz w:val="13"/>
                <w:szCs w:val="13"/>
              </w:rPr>
              <w:t>75.000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9A0564E" w14:textId="77777777">
            <w:pPr>
              <w:pStyle w:val="p-table"/>
              <w:jc w:val="right"/>
              <w:rPr>
                <w:sz w:val="13"/>
                <w:szCs w:val="13"/>
              </w:rPr>
            </w:pPr>
            <w:r w:rsidRPr="006F2FC4">
              <w:rPr>
                <w:sz w:val="13"/>
                <w:szCs w:val="13"/>
              </w:rPr>
              <w:t>80.000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71BC961" w14:textId="77777777">
            <w:pPr>
              <w:pStyle w:val="p-table"/>
              <w:jc w:val="right"/>
              <w:rPr>
                <w:sz w:val="13"/>
                <w:szCs w:val="13"/>
              </w:rPr>
            </w:pPr>
            <w:r w:rsidRPr="006F2FC4">
              <w:rPr>
                <w:sz w:val="13"/>
                <w:szCs w:val="13"/>
              </w:rPr>
              <w:t>85.000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00935F3" w14:textId="77777777">
            <w:pPr>
              <w:pStyle w:val="p-table"/>
              <w:jc w:val="right"/>
              <w:rPr>
                <w:sz w:val="13"/>
                <w:szCs w:val="13"/>
              </w:rPr>
            </w:pPr>
            <w:r w:rsidRPr="006F2FC4">
              <w:rPr>
                <w:sz w:val="13"/>
                <w:szCs w:val="13"/>
              </w:rPr>
              <w:t>85.000</w:t>
            </w:r>
          </w:p>
        </w:tc>
        <w:tc>
          <w:tcPr>
            <w:tcW w:w="954" w:type="dxa"/>
            <w:tcBorders>
              <w:bottom w:val="single" w:color="009EE0" w:sz="2" w:space="0"/>
            </w:tcBorders>
            <w:tcMar>
              <w:top w:w="22" w:type="dxa"/>
              <w:left w:w="28" w:type="dxa"/>
              <w:bottom w:w="22" w:type="dxa"/>
              <w:right w:w="28" w:type="dxa"/>
            </w:tcMar>
          </w:tcPr>
          <w:p w:rsidRPr="006F2FC4" w:rsidR="0084290D" w:rsidRDefault="0084290D" w14:paraId="0C678F76" w14:textId="77777777">
            <w:pPr>
              <w:pStyle w:val="p-table"/>
              <w:rPr>
                <w:sz w:val="13"/>
                <w:szCs w:val="13"/>
              </w:rPr>
            </w:pPr>
          </w:p>
        </w:tc>
      </w:tr>
      <w:tr w:rsidRPr="002448E9" w:rsidR="001546E4" w:rsidTr="007433BE" w14:paraId="17359761" w14:textId="77777777">
        <w:tc>
          <w:tcPr>
            <w:tcW w:w="2419" w:type="dxa"/>
            <w:tcBorders>
              <w:bottom w:val="single" w:color="009EE0" w:sz="2" w:space="0"/>
            </w:tcBorders>
            <w:tcMar>
              <w:top w:w="22" w:type="dxa"/>
              <w:bottom w:w="22" w:type="dxa"/>
              <w:right w:w="28" w:type="dxa"/>
            </w:tcMar>
          </w:tcPr>
          <w:p w:rsidRPr="006F2FC4" w:rsidR="0084290D" w:rsidRDefault="00CF5B93" w14:paraId="59BA4C57" w14:textId="77777777">
            <w:pPr>
              <w:pStyle w:val="p-table"/>
              <w:rPr>
                <w:sz w:val="13"/>
                <w:szCs w:val="13"/>
              </w:rPr>
            </w:pPr>
            <w:r w:rsidRPr="006F2FC4">
              <w:rPr>
                <w:sz w:val="13"/>
                <w:szCs w:val="13"/>
              </w:rPr>
              <w:t>2) Opvraag aanvullende post: uitvoeringskosten herstel box 3</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5B0F813E" w14:textId="77777777">
            <w:pPr>
              <w:pStyle w:val="p-table"/>
              <w:jc w:val="right"/>
              <w:rPr>
                <w:sz w:val="13"/>
                <w:szCs w:val="13"/>
              </w:rPr>
            </w:pPr>
            <w:r w:rsidRPr="006F2FC4">
              <w:rPr>
                <w:sz w:val="13"/>
                <w:szCs w:val="13"/>
              </w:rPr>
              <w:t>1</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CDE06FB" w14:textId="77777777">
            <w:pPr>
              <w:pStyle w:val="p-table"/>
              <w:jc w:val="right"/>
              <w:rPr>
                <w:sz w:val="13"/>
                <w:szCs w:val="13"/>
              </w:rPr>
            </w:pPr>
            <w:r w:rsidRPr="006F2FC4">
              <w:rPr>
                <w:sz w:val="13"/>
                <w:szCs w:val="13"/>
              </w:rPr>
              <w:t>11.000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CBEB4C1" w14:textId="77777777">
            <w:pPr>
              <w:pStyle w:val="p-table"/>
              <w:jc w:val="right"/>
              <w:rPr>
                <w:sz w:val="13"/>
                <w:szCs w:val="13"/>
              </w:rPr>
            </w:pPr>
            <w:r w:rsidRPr="006F2FC4">
              <w:rPr>
                <w:sz w:val="13"/>
                <w:szCs w:val="13"/>
              </w:rPr>
              <w:t>70.000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B294DC4"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A994992"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5A83922"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31A4B80D" w14:textId="77777777">
            <w:pPr>
              <w:pStyle w:val="p-table"/>
              <w:rPr>
                <w:sz w:val="13"/>
                <w:szCs w:val="13"/>
              </w:rPr>
            </w:pPr>
          </w:p>
        </w:tc>
      </w:tr>
      <w:tr w:rsidRPr="002448E9" w:rsidR="001546E4" w:rsidTr="007433BE" w14:paraId="07939E61" w14:textId="77777777">
        <w:tc>
          <w:tcPr>
            <w:tcW w:w="2419" w:type="dxa"/>
            <w:tcBorders>
              <w:bottom w:val="single" w:color="009EE0" w:sz="2" w:space="0"/>
            </w:tcBorders>
            <w:tcMar>
              <w:top w:w="22" w:type="dxa"/>
              <w:bottom w:w="22" w:type="dxa"/>
              <w:right w:w="28" w:type="dxa"/>
            </w:tcMar>
          </w:tcPr>
          <w:p w:rsidRPr="006F2FC4" w:rsidR="0084290D" w:rsidRDefault="00CF5B93" w14:paraId="7DFD10BE" w14:textId="77777777">
            <w:pPr>
              <w:pStyle w:val="p-table"/>
              <w:rPr>
                <w:sz w:val="13"/>
                <w:szCs w:val="13"/>
              </w:rPr>
            </w:pPr>
            <w:r w:rsidRPr="006F2FC4">
              <w:rPr>
                <w:sz w:val="13"/>
                <w:szCs w:val="13"/>
              </w:rPr>
              <w:t xml:space="preserve">3) Prijsstijging </w:t>
            </w:r>
            <w:proofErr w:type="spellStart"/>
            <w:r w:rsidRPr="006F2FC4">
              <w:rPr>
                <w:sz w:val="13"/>
                <w:szCs w:val="13"/>
              </w:rPr>
              <w:t>portikosten</w:t>
            </w:r>
            <w:proofErr w:type="spellEnd"/>
            <w:r w:rsidRPr="006F2FC4">
              <w:rPr>
                <w:sz w:val="13"/>
                <w:szCs w:val="13"/>
              </w:rPr>
              <w:t xml:space="preserve"> Belastingdienst</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7078452D" w14:textId="77777777">
            <w:pPr>
              <w:pStyle w:val="p-table"/>
              <w:jc w:val="right"/>
              <w:rPr>
                <w:sz w:val="13"/>
                <w:szCs w:val="13"/>
              </w:rPr>
            </w:pPr>
            <w:r w:rsidRPr="006F2FC4">
              <w:rPr>
                <w:sz w:val="13"/>
                <w:szCs w:val="13"/>
              </w:rPr>
              <w:t>1</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102CECD" w14:textId="77777777">
            <w:pPr>
              <w:pStyle w:val="p-table"/>
              <w:jc w:val="right"/>
              <w:rPr>
                <w:sz w:val="13"/>
                <w:szCs w:val="13"/>
              </w:rPr>
            </w:pPr>
            <w:r w:rsidRPr="006F2FC4">
              <w:rPr>
                <w:sz w:val="13"/>
                <w:szCs w:val="13"/>
              </w:rPr>
              <w:t>24.460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3C46743"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0BA588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7E3B938"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6456254"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7ED9E0D7" w14:textId="77777777">
            <w:pPr>
              <w:pStyle w:val="p-table"/>
              <w:rPr>
                <w:sz w:val="13"/>
                <w:szCs w:val="13"/>
              </w:rPr>
            </w:pPr>
          </w:p>
        </w:tc>
      </w:tr>
      <w:tr w:rsidRPr="002448E9" w:rsidR="001546E4" w:rsidTr="007433BE" w14:paraId="39CF4DC2"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452FB5E5" w14:textId="77777777">
            <w:pPr>
              <w:pStyle w:val="p-table"/>
              <w:rPr>
                <w:sz w:val="13"/>
                <w:szCs w:val="13"/>
              </w:rPr>
            </w:pPr>
            <w:r w:rsidRPr="006F2FC4">
              <w:rPr>
                <w:sz w:val="13"/>
                <w:szCs w:val="13"/>
              </w:rPr>
              <w:t>4) Belasting- en invorderingsrente</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5261F70B" w14:textId="77777777">
            <w:pPr>
              <w:pStyle w:val="p-table"/>
              <w:jc w:val="right"/>
              <w:rPr>
                <w:sz w:val="13"/>
                <w:szCs w:val="13"/>
              </w:rPr>
            </w:pPr>
            <w:r w:rsidRPr="006F2FC4">
              <w:rPr>
                <w:sz w:val="13"/>
                <w:szCs w:val="13"/>
              </w:rPr>
              <w:t>1, 9</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134F4D92" w14:textId="05903607">
            <w:pPr>
              <w:pStyle w:val="p-table"/>
              <w:jc w:val="right"/>
              <w:rPr>
                <w:sz w:val="13"/>
                <w:szCs w:val="13"/>
              </w:rPr>
            </w:pPr>
            <w:r w:rsidRPr="006F2FC4">
              <w:rPr>
                <w:sz w:val="13"/>
                <w:szCs w:val="13"/>
              </w:rPr>
              <w:t>41.930</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645F9515" w14:textId="0875594D">
            <w:pPr>
              <w:pStyle w:val="p-table"/>
              <w:jc w:val="right"/>
              <w:rPr>
                <w:sz w:val="13"/>
                <w:szCs w:val="13"/>
              </w:rPr>
            </w:pPr>
            <w:r w:rsidRPr="006F2FC4">
              <w:rPr>
                <w:sz w:val="13"/>
                <w:szCs w:val="13"/>
              </w:rPr>
              <w:t>42.914</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41E72590" w14:textId="18EF9FA3">
            <w:pPr>
              <w:pStyle w:val="p-table"/>
              <w:jc w:val="right"/>
              <w:rPr>
                <w:sz w:val="13"/>
                <w:szCs w:val="13"/>
              </w:rPr>
            </w:pPr>
            <w:r w:rsidRPr="006F2FC4">
              <w:rPr>
                <w:sz w:val="13"/>
                <w:szCs w:val="13"/>
              </w:rPr>
              <w:t>43.824</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5B98E478" w14:textId="3BCC00B0">
            <w:pPr>
              <w:pStyle w:val="p-table"/>
              <w:jc w:val="right"/>
              <w:rPr>
                <w:sz w:val="13"/>
                <w:szCs w:val="13"/>
              </w:rPr>
            </w:pPr>
            <w:r w:rsidRPr="006F2FC4">
              <w:rPr>
                <w:sz w:val="13"/>
                <w:szCs w:val="13"/>
              </w:rPr>
              <w:t>45.453</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1381C3A9" w14:textId="1C433CED">
            <w:pPr>
              <w:pStyle w:val="p-table"/>
              <w:jc w:val="right"/>
              <w:rPr>
                <w:sz w:val="13"/>
                <w:szCs w:val="13"/>
              </w:rPr>
            </w:pPr>
            <w:r w:rsidRPr="006F2FC4">
              <w:rPr>
                <w:sz w:val="13"/>
                <w:szCs w:val="13"/>
              </w:rPr>
              <w:t>46.804</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743BEBBB" w14:textId="77777777">
            <w:pPr>
              <w:pStyle w:val="p-table"/>
              <w:rPr>
                <w:sz w:val="13"/>
                <w:szCs w:val="13"/>
              </w:rPr>
            </w:pPr>
          </w:p>
        </w:tc>
      </w:tr>
      <w:tr w:rsidRPr="002448E9" w:rsidR="001546E4" w:rsidTr="007433BE" w14:paraId="6EAC303C" w14:textId="77777777">
        <w:tc>
          <w:tcPr>
            <w:tcW w:w="2419" w:type="dxa"/>
            <w:tcBorders>
              <w:bottom w:val="single" w:color="009EE0" w:sz="2" w:space="0"/>
            </w:tcBorders>
            <w:tcMar>
              <w:top w:w="22" w:type="dxa"/>
              <w:bottom w:w="22" w:type="dxa"/>
              <w:right w:w="28" w:type="dxa"/>
            </w:tcMar>
          </w:tcPr>
          <w:p w:rsidRPr="006F2FC4" w:rsidR="0084290D" w:rsidRDefault="00CF5B93" w14:paraId="60E6E9CF" w14:textId="77777777">
            <w:pPr>
              <w:pStyle w:val="p-table"/>
              <w:rPr>
                <w:sz w:val="13"/>
                <w:szCs w:val="13"/>
              </w:rPr>
            </w:pPr>
            <w:r w:rsidRPr="006F2FC4">
              <w:rPr>
                <w:sz w:val="13"/>
                <w:szCs w:val="13"/>
              </w:rPr>
              <w:t xml:space="preserve">5) European </w:t>
            </w:r>
            <w:proofErr w:type="spellStart"/>
            <w:r w:rsidRPr="006F2FC4">
              <w:rPr>
                <w:sz w:val="13"/>
                <w:szCs w:val="13"/>
              </w:rPr>
              <w:t>Stability</w:t>
            </w:r>
            <w:proofErr w:type="spellEnd"/>
            <w:r w:rsidRPr="006F2FC4">
              <w:rPr>
                <w:sz w:val="13"/>
                <w:szCs w:val="13"/>
              </w:rPr>
              <w:t xml:space="preserve"> </w:t>
            </w:r>
            <w:proofErr w:type="spellStart"/>
            <w:r w:rsidRPr="006F2FC4">
              <w:rPr>
                <w:sz w:val="13"/>
                <w:szCs w:val="13"/>
              </w:rPr>
              <w:t>Mechanism</w:t>
            </w:r>
            <w:proofErr w:type="spellEnd"/>
            <w:r w:rsidRPr="006F2FC4">
              <w:rPr>
                <w:sz w:val="13"/>
                <w:szCs w:val="13"/>
              </w:rPr>
              <w:t xml:space="preserve"> (ESM) kapitaalinleg</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15A49E57" w14:textId="77777777">
            <w:pPr>
              <w:pStyle w:val="p-table"/>
              <w:jc w:val="right"/>
              <w:rPr>
                <w:sz w:val="13"/>
                <w:szCs w:val="13"/>
              </w:rPr>
            </w:pPr>
            <w:r w:rsidRPr="006F2FC4">
              <w:rPr>
                <w:sz w:val="13"/>
                <w:szCs w:val="13"/>
              </w:rPr>
              <w:t>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75B37E9" w14:textId="77777777">
            <w:pPr>
              <w:pStyle w:val="p-table"/>
              <w:jc w:val="right"/>
              <w:rPr>
                <w:sz w:val="13"/>
                <w:szCs w:val="13"/>
              </w:rPr>
            </w:pPr>
            <w:r w:rsidRPr="006F2FC4">
              <w:rPr>
                <w:sz w:val="13"/>
                <w:szCs w:val="13"/>
              </w:rPr>
              <w:t>‒ 252.900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17CCA59" w14:textId="77777777">
            <w:pPr>
              <w:pStyle w:val="p-table"/>
              <w:jc w:val="right"/>
              <w:rPr>
                <w:sz w:val="13"/>
                <w:szCs w:val="13"/>
              </w:rPr>
            </w:pPr>
            <w:r w:rsidRPr="006F2FC4">
              <w:rPr>
                <w:sz w:val="13"/>
                <w:szCs w:val="13"/>
              </w:rPr>
              <w:t>252.900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B6B96F8"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98B6B62"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4A3466C"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46D18370" w14:textId="77777777">
            <w:pPr>
              <w:pStyle w:val="p-table"/>
              <w:rPr>
                <w:sz w:val="13"/>
                <w:szCs w:val="13"/>
              </w:rPr>
            </w:pPr>
          </w:p>
        </w:tc>
      </w:tr>
      <w:tr w:rsidRPr="002448E9" w:rsidR="001546E4" w:rsidTr="007433BE" w14:paraId="5F13E27D" w14:textId="77777777">
        <w:tc>
          <w:tcPr>
            <w:tcW w:w="2419" w:type="dxa"/>
            <w:tcBorders>
              <w:bottom w:val="single" w:color="009EE0" w:sz="2" w:space="0"/>
            </w:tcBorders>
            <w:tcMar>
              <w:top w:w="22" w:type="dxa"/>
              <w:bottom w:w="22" w:type="dxa"/>
              <w:right w:w="28" w:type="dxa"/>
            </w:tcMar>
          </w:tcPr>
          <w:p w:rsidRPr="006F2FC4" w:rsidR="0084290D" w:rsidRDefault="00CF5B93" w14:paraId="5EC351C0" w14:textId="77777777">
            <w:pPr>
              <w:pStyle w:val="p-table"/>
              <w:rPr>
                <w:sz w:val="13"/>
                <w:szCs w:val="13"/>
              </w:rPr>
            </w:pPr>
            <w:r w:rsidRPr="006F2FC4">
              <w:rPr>
                <w:sz w:val="13"/>
                <w:szCs w:val="13"/>
              </w:rPr>
              <w:t>6) Bijstelling raming schadeuitkering ekv</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06241895" w14:textId="77777777">
            <w:pPr>
              <w:pStyle w:val="p-table"/>
              <w:jc w:val="right"/>
              <w:rPr>
                <w:sz w:val="13"/>
                <w:szCs w:val="13"/>
              </w:rPr>
            </w:pPr>
            <w:r w:rsidRPr="006F2FC4">
              <w:rPr>
                <w:sz w:val="13"/>
                <w:szCs w:val="13"/>
              </w:rPr>
              <w:t>5</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1CFB9D6" w14:textId="77777777">
            <w:pPr>
              <w:pStyle w:val="p-table"/>
              <w:jc w:val="right"/>
              <w:rPr>
                <w:sz w:val="13"/>
                <w:szCs w:val="13"/>
              </w:rPr>
            </w:pPr>
            <w:r w:rsidRPr="006F2FC4">
              <w:rPr>
                <w:sz w:val="13"/>
                <w:szCs w:val="13"/>
              </w:rPr>
              <w:t>38.500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91918F1" w14:textId="77777777">
            <w:pPr>
              <w:pStyle w:val="p-table"/>
              <w:jc w:val="right"/>
              <w:rPr>
                <w:sz w:val="13"/>
                <w:szCs w:val="13"/>
              </w:rPr>
            </w:pPr>
            <w:r w:rsidRPr="006F2FC4">
              <w:rPr>
                <w:sz w:val="13"/>
                <w:szCs w:val="13"/>
              </w:rPr>
              <w:t>44.500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2DE92FE" w14:textId="77777777">
            <w:pPr>
              <w:pStyle w:val="p-table"/>
              <w:jc w:val="right"/>
              <w:rPr>
                <w:sz w:val="13"/>
                <w:szCs w:val="13"/>
              </w:rPr>
            </w:pPr>
            <w:r w:rsidRPr="006F2FC4">
              <w:rPr>
                <w:sz w:val="13"/>
                <w:szCs w:val="13"/>
              </w:rPr>
              <w:t>13.500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FB9F204" w14:textId="77777777">
            <w:pPr>
              <w:pStyle w:val="p-table"/>
              <w:jc w:val="right"/>
              <w:rPr>
                <w:sz w:val="13"/>
                <w:szCs w:val="13"/>
              </w:rPr>
            </w:pPr>
            <w:r w:rsidRPr="006F2FC4">
              <w:rPr>
                <w:sz w:val="13"/>
                <w:szCs w:val="13"/>
              </w:rPr>
              <w:t>4.500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B8651D4" w14:textId="77777777">
            <w:pPr>
              <w:pStyle w:val="p-table"/>
              <w:jc w:val="right"/>
              <w:rPr>
                <w:sz w:val="13"/>
                <w:szCs w:val="13"/>
              </w:rPr>
            </w:pPr>
            <w:r w:rsidRPr="006F2FC4">
              <w:rPr>
                <w:sz w:val="13"/>
                <w:szCs w:val="13"/>
              </w:rPr>
              <w:t>‒ 7.500</w:t>
            </w:r>
          </w:p>
        </w:tc>
        <w:tc>
          <w:tcPr>
            <w:tcW w:w="954" w:type="dxa"/>
            <w:tcBorders>
              <w:bottom w:val="single" w:color="009EE0" w:sz="2" w:space="0"/>
            </w:tcBorders>
            <w:tcMar>
              <w:top w:w="22" w:type="dxa"/>
              <w:left w:w="28" w:type="dxa"/>
              <w:bottom w:w="22" w:type="dxa"/>
              <w:right w:w="28" w:type="dxa"/>
            </w:tcMar>
          </w:tcPr>
          <w:p w:rsidRPr="006F2FC4" w:rsidR="0084290D" w:rsidRDefault="0084290D" w14:paraId="5AFE0BB4" w14:textId="77777777">
            <w:pPr>
              <w:pStyle w:val="p-table"/>
              <w:rPr>
                <w:sz w:val="13"/>
                <w:szCs w:val="13"/>
              </w:rPr>
            </w:pPr>
          </w:p>
        </w:tc>
      </w:tr>
      <w:tr w:rsidRPr="002448E9" w:rsidR="001546E4" w:rsidTr="007433BE" w14:paraId="1CB856A7" w14:textId="77777777">
        <w:tc>
          <w:tcPr>
            <w:tcW w:w="2419" w:type="dxa"/>
            <w:tcBorders>
              <w:bottom w:val="single" w:color="009EE0" w:sz="2" w:space="0"/>
            </w:tcBorders>
            <w:tcMar>
              <w:top w:w="22" w:type="dxa"/>
              <w:bottom w:w="22" w:type="dxa"/>
              <w:right w:w="28" w:type="dxa"/>
            </w:tcMar>
          </w:tcPr>
          <w:p w:rsidRPr="006F2FC4" w:rsidR="0084290D" w:rsidRDefault="00CF5B93" w14:paraId="18E4B70B" w14:textId="77777777">
            <w:pPr>
              <w:pStyle w:val="p-table"/>
              <w:rPr>
                <w:sz w:val="13"/>
                <w:szCs w:val="13"/>
              </w:rPr>
            </w:pPr>
            <w:r w:rsidRPr="006F2FC4">
              <w:rPr>
                <w:sz w:val="13"/>
                <w:szCs w:val="13"/>
              </w:rPr>
              <w:t>7) Btw-compensatiefonds</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194EEE7A" w14:textId="77777777">
            <w:pPr>
              <w:pStyle w:val="p-table"/>
              <w:jc w:val="right"/>
              <w:rPr>
                <w:sz w:val="13"/>
                <w:szCs w:val="13"/>
              </w:rPr>
            </w:pPr>
            <w:r w:rsidRPr="006F2FC4">
              <w:rPr>
                <w:sz w:val="13"/>
                <w:szCs w:val="13"/>
              </w:rPr>
              <w:t>6</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41F6AC2" w14:textId="77777777">
            <w:pPr>
              <w:pStyle w:val="p-table"/>
              <w:jc w:val="right"/>
              <w:rPr>
                <w:sz w:val="13"/>
                <w:szCs w:val="13"/>
              </w:rPr>
            </w:pPr>
            <w:r w:rsidRPr="006F2FC4">
              <w:rPr>
                <w:sz w:val="13"/>
                <w:szCs w:val="13"/>
              </w:rPr>
              <w:t>10.795</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44F3CF0" w14:textId="77777777">
            <w:pPr>
              <w:pStyle w:val="p-table"/>
              <w:jc w:val="right"/>
              <w:rPr>
                <w:sz w:val="13"/>
                <w:szCs w:val="13"/>
              </w:rPr>
            </w:pPr>
            <w:r w:rsidRPr="006F2FC4">
              <w:rPr>
                <w:sz w:val="13"/>
                <w:szCs w:val="13"/>
              </w:rPr>
              <w:t>20.718</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EE1A053" w14:textId="77777777">
            <w:pPr>
              <w:pStyle w:val="p-table"/>
              <w:jc w:val="right"/>
              <w:rPr>
                <w:sz w:val="13"/>
                <w:szCs w:val="13"/>
              </w:rPr>
            </w:pPr>
            <w:r w:rsidRPr="006F2FC4">
              <w:rPr>
                <w:sz w:val="13"/>
                <w:szCs w:val="13"/>
              </w:rPr>
              <w:t>606</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0D06187" w14:textId="77777777">
            <w:pPr>
              <w:pStyle w:val="p-table"/>
              <w:jc w:val="right"/>
              <w:rPr>
                <w:sz w:val="13"/>
                <w:szCs w:val="13"/>
              </w:rPr>
            </w:pPr>
            <w:r w:rsidRPr="006F2FC4">
              <w:rPr>
                <w:sz w:val="13"/>
                <w:szCs w:val="13"/>
              </w:rPr>
              <w:t>118</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53A358E"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55258DA8" w14:textId="77777777">
            <w:pPr>
              <w:pStyle w:val="p-table"/>
              <w:rPr>
                <w:sz w:val="13"/>
                <w:szCs w:val="13"/>
              </w:rPr>
            </w:pPr>
          </w:p>
        </w:tc>
      </w:tr>
      <w:tr w:rsidRPr="002448E9" w:rsidR="001546E4" w:rsidTr="007433BE" w14:paraId="7BD9BD15" w14:textId="77777777">
        <w:tc>
          <w:tcPr>
            <w:tcW w:w="2419" w:type="dxa"/>
            <w:tcBorders>
              <w:bottom w:val="single" w:color="009EE0" w:sz="2" w:space="0"/>
            </w:tcBorders>
            <w:tcMar>
              <w:top w:w="22" w:type="dxa"/>
              <w:bottom w:w="22" w:type="dxa"/>
              <w:right w:w="28" w:type="dxa"/>
            </w:tcMar>
          </w:tcPr>
          <w:p w:rsidRPr="006F2FC4" w:rsidR="0084290D" w:rsidRDefault="00CF5B93" w14:paraId="66E0F85E" w14:textId="77777777">
            <w:pPr>
              <w:pStyle w:val="p-table"/>
              <w:rPr>
                <w:sz w:val="13"/>
                <w:szCs w:val="13"/>
              </w:rPr>
            </w:pPr>
            <w:r w:rsidRPr="006F2FC4">
              <w:rPr>
                <w:sz w:val="13"/>
                <w:szCs w:val="13"/>
              </w:rPr>
              <w:t>8) Nieuwe EU-wetgeving e-commerce (Handling fee)</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5FA514B9" w14:textId="77777777">
            <w:pPr>
              <w:pStyle w:val="p-table"/>
              <w:jc w:val="right"/>
              <w:rPr>
                <w:sz w:val="13"/>
                <w:szCs w:val="13"/>
              </w:rPr>
            </w:pPr>
            <w:r w:rsidRPr="006F2FC4">
              <w:rPr>
                <w:sz w:val="13"/>
                <w:szCs w:val="13"/>
              </w:rPr>
              <w:t>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B18F098" w14:textId="77777777">
            <w:pPr>
              <w:pStyle w:val="p-table"/>
              <w:jc w:val="right"/>
              <w:rPr>
                <w:sz w:val="13"/>
                <w:szCs w:val="13"/>
              </w:rPr>
            </w:pPr>
            <w:r w:rsidRPr="006F2FC4">
              <w:rPr>
                <w:sz w:val="13"/>
                <w:szCs w:val="13"/>
              </w:rPr>
              <w:t>43.197</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6D2ECEE" w14:textId="77777777">
            <w:pPr>
              <w:pStyle w:val="p-table"/>
              <w:jc w:val="right"/>
              <w:rPr>
                <w:sz w:val="13"/>
                <w:szCs w:val="13"/>
              </w:rPr>
            </w:pPr>
            <w:r w:rsidRPr="006F2FC4">
              <w:rPr>
                <w:sz w:val="13"/>
                <w:szCs w:val="13"/>
              </w:rPr>
              <w:t>116.723</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4D84E03" w14:textId="77777777">
            <w:pPr>
              <w:pStyle w:val="p-table"/>
              <w:jc w:val="right"/>
              <w:rPr>
                <w:sz w:val="13"/>
                <w:szCs w:val="13"/>
              </w:rPr>
            </w:pPr>
            <w:r w:rsidRPr="006F2FC4">
              <w:rPr>
                <w:sz w:val="13"/>
                <w:szCs w:val="13"/>
              </w:rPr>
              <w:t>134.796</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935A3FB" w14:textId="77777777">
            <w:pPr>
              <w:pStyle w:val="p-table"/>
              <w:jc w:val="right"/>
              <w:rPr>
                <w:sz w:val="13"/>
                <w:szCs w:val="13"/>
              </w:rPr>
            </w:pPr>
            <w:r w:rsidRPr="006F2FC4">
              <w:rPr>
                <w:sz w:val="13"/>
                <w:szCs w:val="13"/>
              </w:rPr>
              <w:t>135.000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9E09452" w14:textId="77777777">
            <w:pPr>
              <w:pStyle w:val="p-table"/>
              <w:jc w:val="right"/>
              <w:rPr>
                <w:sz w:val="13"/>
                <w:szCs w:val="13"/>
              </w:rPr>
            </w:pPr>
            <w:r w:rsidRPr="006F2FC4">
              <w:rPr>
                <w:sz w:val="13"/>
                <w:szCs w:val="13"/>
              </w:rPr>
              <w:t>116.645</w:t>
            </w:r>
          </w:p>
        </w:tc>
        <w:tc>
          <w:tcPr>
            <w:tcW w:w="954" w:type="dxa"/>
            <w:tcBorders>
              <w:bottom w:val="single" w:color="009EE0" w:sz="2" w:space="0"/>
            </w:tcBorders>
            <w:tcMar>
              <w:top w:w="22" w:type="dxa"/>
              <w:left w:w="28" w:type="dxa"/>
              <w:bottom w:w="22" w:type="dxa"/>
              <w:right w:w="28" w:type="dxa"/>
            </w:tcMar>
          </w:tcPr>
          <w:p w:rsidRPr="006F2FC4" w:rsidR="0084290D" w:rsidRDefault="0084290D" w14:paraId="17A6FA37" w14:textId="77777777">
            <w:pPr>
              <w:pStyle w:val="p-table"/>
              <w:rPr>
                <w:sz w:val="13"/>
                <w:szCs w:val="13"/>
              </w:rPr>
            </w:pPr>
          </w:p>
        </w:tc>
      </w:tr>
      <w:tr w:rsidRPr="002448E9" w:rsidR="001546E4" w:rsidTr="007433BE" w14:paraId="5C70C579" w14:textId="77777777">
        <w:tc>
          <w:tcPr>
            <w:tcW w:w="2419" w:type="dxa"/>
            <w:tcBorders>
              <w:bottom w:val="single" w:color="009EE0" w:sz="2" w:space="0"/>
            </w:tcBorders>
            <w:tcMar>
              <w:top w:w="22" w:type="dxa"/>
              <w:bottom w:w="22" w:type="dxa"/>
              <w:right w:w="28" w:type="dxa"/>
            </w:tcMar>
          </w:tcPr>
          <w:p w:rsidRPr="006F2FC4" w:rsidR="0084290D" w:rsidRDefault="00CF5B93" w14:paraId="6B37DC2B" w14:textId="5EAC7034">
            <w:pPr>
              <w:pStyle w:val="p-table"/>
              <w:rPr>
                <w:sz w:val="13"/>
                <w:szCs w:val="13"/>
              </w:rPr>
            </w:pPr>
            <w:r w:rsidRPr="006F2FC4">
              <w:rPr>
                <w:sz w:val="13"/>
                <w:szCs w:val="13"/>
              </w:rPr>
              <w:t xml:space="preserve">9) Scan- en </w:t>
            </w:r>
            <w:r w:rsidRPr="006F2FC4" w:rsidR="00CA2275">
              <w:rPr>
                <w:sz w:val="13"/>
                <w:szCs w:val="13"/>
              </w:rPr>
              <w:t>detectie</w:t>
            </w:r>
            <w:r w:rsidRPr="006F2FC4">
              <w:rPr>
                <w:sz w:val="13"/>
                <w:szCs w:val="13"/>
              </w:rPr>
              <w:t>materialen</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59063C1B" w14:textId="77777777">
            <w:pPr>
              <w:pStyle w:val="p-table"/>
              <w:jc w:val="right"/>
              <w:rPr>
                <w:sz w:val="13"/>
                <w:szCs w:val="13"/>
              </w:rPr>
            </w:pPr>
            <w:r w:rsidRPr="006F2FC4">
              <w:rPr>
                <w:sz w:val="13"/>
                <w:szCs w:val="13"/>
              </w:rPr>
              <w:t>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F3CB398"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6C2BB9D" w14:textId="77777777">
            <w:pPr>
              <w:pStyle w:val="p-table"/>
              <w:jc w:val="right"/>
              <w:rPr>
                <w:sz w:val="13"/>
                <w:szCs w:val="13"/>
              </w:rPr>
            </w:pPr>
            <w:r w:rsidRPr="006F2FC4">
              <w:rPr>
                <w:sz w:val="13"/>
                <w:szCs w:val="13"/>
              </w:rPr>
              <w:t>17.000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7A4575D"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6B8891E"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07100D2"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5A391F40" w14:textId="77777777">
            <w:pPr>
              <w:pStyle w:val="p-table"/>
              <w:rPr>
                <w:sz w:val="13"/>
                <w:szCs w:val="13"/>
              </w:rPr>
            </w:pPr>
          </w:p>
        </w:tc>
      </w:tr>
      <w:tr w:rsidRPr="002448E9" w:rsidR="001546E4" w:rsidTr="007433BE" w14:paraId="0023CE4B" w14:textId="77777777">
        <w:tc>
          <w:tcPr>
            <w:tcW w:w="2419" w:type="dxa"/>
            <w:tcBorders>
              <w:bottom w:val="single" w:color="009EE0" w:sz="2" w:space="0"/>
            </w:tcBorders>
            <w:tcMar>
              <w:top w:w="22" w:type="dxa"/>
              <w:bottom w:w="22" w:type="dxa"/>
              <w:right w:w="28" w:type="dxa"/>
            </w:tcMar>
          </w:tcPr>
          <w:p w:rsidRPr="006F2FC4" w:rsidR="0084290D" w:rsidRDefault="00CF5B93" w14:paraId="6D548A05" w14:textId="77777777">
            <w:pPr>
              <w:pStyle w:val="p-table"/>
              <w:rPr>
                <w:sz w:val="13"/>
                <w:szCs w:val="13"/>
              </w:rPr>
            </w:pPr>
            <w:r w:rsidRPr="006F2FC4">
              <w:rPr>
                <w:sz w:val="13"/>
                <w:szCs w:val="13"/>
              </w:rPr>
              <w:t>10) Eindejaarsmarge</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5F3FE491" w14:textId="77777777">
            <w:pPr>
              <w:pStyle w:val="p-table"/>
              <w:jc w:val="right"/>
              <w:rPr>
                <w:sz w:val="13"/>
                <w:szCs w:val="13"/>
              </w:rPr>
            </w:pPr>
            <w:r w:rsidRPr="006F2FC4">
              <w:rPr>
                <w:sz w:val="13"/>
                <w:szCs w:val="13"/>
              </w:rPr>
              <w:t>10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130672B" w14:textId="77777777">
            <w:pPr>
              <w:pStyle w:val="p-table"/>
              <w:jc w:val="right"/>
              <w:rPr>
                <w:sz w:val="13"/>
                <w:szCs w:val="13"/>
              </w:rPr>
            </w:pPr>
            <w:r w:rsidRPr="006F2FC4">
              <w:rPr>
                <w:sz w:val="13"/>
                <w:szCs w:val="13"/>
              </w:rPr>
              <w:t>53.711</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8F2A3F4"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F889E7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734C288"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E1799F8"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6A7AB2A2" w14:textId="77777777">
            <w:pPr>
              <w:pStyle w:val="p-table"/>
              <w:rPr>
                <w:sz w:val="13"/>
                <w:szCs w:val="13"/>
              </w:rPr>
            </w:pPr>
          </w:p>
        </w:tc>
      </w:tr>
      <w:tr w:rsidRPr="002448E9" w:rsidR="001546E4" w:rsidTr="007433BE" w14:paraId="272799BC" w14:textId="77777777">
        <w:tc>
          <w:tcPr>
            <w:tcW w:w="2419" w:type="dxa"/>
            <w:tcBorders>
              <w:bottom w:val="single" w:color="009EE0" w:sz="2" w:space="0"/>
            </w:tcBorders>
            <w:tcMar>
              <w:top w:w="22" w:type="dxa"/>
              <w:bottom w:w="22" w:type="dxa"/>
              <w:right w:w="28" w:type="dxa"/>
            </w:tcMar>
          </w:tcPr>
          <w:p w:rsidRPr="006F2FC4" w:rsidR="001546E4" w:rsidP="001546E4" w:rsidRDefault="001546E4" w14:paraId="78ADB3C3" w14:textId="77777777">
            <w:pPr>
              <w:pStyle w:val="p-table"/>
              <w:rPr>
                <w:sz w:val="13"/>
                <w:szCs w:val="13"/>
              </w:rPr>
            </w:pPr>
            <w:r w:rsidRPr="006F2FC4">
              <w:rPr>
                <w:sz w:val="13"/>
                <w:szCs w:val="13"/>
              </w:rPr>
              <w:t>11) Nog te verdelen</w:t>
            </w:r>
          </w:p>
        </w:tc>
        <w:tc>
          <w:tcPr>
            <w:tcW w:w="841" w:type="dxa"/>
            <w:tcBorders>
              <w:bottom w:val="single" w:color="009EE0" w:sz="2" w:space="0"/>
            </w:tcBorders>
            <w:tcMar>
              <w:top w:w="22" w:type="dxa"/>
              <w:left w:w="28" w:type="dxa"/>
              <w:bottom w:w="22" w:type="dxa"/>
              <w:right w:w="28" w:type="dxa"/>
            </w:tcMar>
            <w:vAlign w:val="center"/>
          </w:tcPr>
          <w:p w:rsidRPr="006F2FC4" w:rsidR="001546E4" w:rsidP="001546E4" w:rsidRDefault="001546E4" w14:paraId="3AD6399A" w14:textId="77777777">
            <w:pPr>
              <w:pStyle w:val="p-table"/>
              <w:jc w:val="right"/>
              <w:rPr>
                <w:sz w:val="13"/>
                <w:szCs w:val="13"/>
              </w:rPr>
            </w:pPr>
            <w:r w:rsidRPr="006F2FC4">
              <w:rPr>
                <w:sz w:val="13"/>
                <w:szCs w:val="13"/>
              </w:rPr>
              <w:t>10</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476C9140" w14:textId="3E4B3487">
            <w:pPr>
              <w:pStyle w:val="p-table"/>
              <w:jc w:val="right"/>
              <w:rPr>
                <w:sz w:val="13"/>
                <w:szCs w:val="13"/>
              </w:rPr>
            </w:pPr>
            <w:r w:rsidRPr="006F2FC4">
              <w:rPr>
                <w:sz w:val="13"/>
                <w:szCs w:val="13"/>
              </w:rPr>
              <w:t>‒ 15.057</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2B0D28F5" w14:textId="1A38E0AA">
            <w:pPr>
              <w:pStyle w:val="p-table"/>
              <w:jc w:val="right"/>
              <w:rPr>
                <w:sz w:val="13"/>
                <w:szCs w:val="13"/>
              </w:rPr>
            </w:pPr>
            <w:r w:rsidRPr="006F2FC4">
              <w:rPr>
                <w:sz w:val="13"/>
                <w:szCs w:val="13"/>
              </w:rPr>
              <w:t>‒ 25.710</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32E8F747" w14:textId="571FE32A">
            <w:pPr>
              <w:pStyle w:val="p-table"/>
              <w:jc w:val="right"/>
              <w:rPr>
                <w:sz w:val="13"/>
                <w:szCs w:val="13"/>
              </w:rPr>
            </w:pPr>
            <w:r w:rsidRPr="006F2FC4">
              <w:rPr>
                <w:sz w:val="13"/>
                <w:szCs w:val="13"/>
              </w:rPr>
              <w:t>‒ 15.153</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2E632214" w14:textId="1B7EB617">
            <w:pPr>
              <w:pStyle w:val="p-table"/>
              <w:jc w:val="right"/>
              <w:rPr>
                <w:sz w:val="13"/>
                <w:szCs w:val="13"/>
              </w:rPr>
            </w:pPr>
            <w:r w:rsidRPr="006F2FC4">
              <w:rPr>
                <w:sz w:val="13"/>
                <w:szCs w:val="13"/>
              </w:rPr>
              <w:t>‒ 13.329</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2C1F3774" w14:textId="41A55C96">
            <w:pPr>
              <w:pStyle w:val="p-table"/>
              <w:jc w:val="right"/>
              <w:rPr>
                <w:sz w:val="13"/>
                <w:szCs w:val="13"/>
              </w:rPr>
            </w:pPr>
            <w:r w:rsidRPr="006F2FC4">
              <w:rPr>
                <w:sz w:val="13"/>
                <w:szCs w:val="13"/>
              </w:rPr>
              <w:t>‒ 13.029</w:t>
            </w:r>
          </w:p>
        </w:tc>
        <w:tc>
          <w:tcPr>
            <w:tcW w:w="954" w:type="dxa"/>
            <w:tcBorders>
              <w:bottom w:val="single" w:color="009EE0" w:sz="2" w:space="0"/>
            </w:tcBorders>
            <w:tcMar>
              <w:top w:w="22" w:type="dxa"/>
              <w:left w:w="28" w:type="dxa"/>
              <w:bottom w:w="22" w:type="dxa"/>
              <w:right w:w="28" w:type="dxa"/>
            </w:tcMar>
          </w:tcPr>
          <w:p w:rsidRPr="006F2FC4" w:rsidR="001546E4" w:rsidP="001546E4" w:rsidRDefault="001546E4" w14:paraId="449F1CFB" w14:textId="77777777">
            <w:pPr>
              <w:pStyle w:val="p-table"/>
              <w:rPr>
                <w:sz w:val="13"/>
                <w:szCs w:val="13"/>
              </w:rPr>
            </w:pPr>
          </w:p>
        </w:tc>
      </w:tr>
      <w:tr w:rsidRPr="002448E9" w:rsidR="00446A23" w:rsidTr="007433BE" w14:paraId="11360387"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36178144" w14:textId="3F7CD304">
            <w:pPr>
              <w:pStyle w:val="p-table"/>
              <w:rPr>
                <w:sz w:val="13"/>
                <w:szCs w:val="13"/>
              </w:rPr>
            </w:pPr>
            <w:r w:rsidRPr="006F2FC4">
              <w:rPr>
                <w:sz w:val="13"/>
                <w:szCs w:val="13"/>
              </w:rPr>
              <w:t>12) Loon- en prijsbijstelling</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3EC6D449" w14:textId="1C946E85">
            <w:pPr>
              <w:pStyle w:val="p-table"/>
              <w:jc w:val="right"/>
              <w:rPr>
                <w:sz w:val="13"/>
                <w:szCs w:val="13"/>
              </w:rPr>
            </w:pPr>
            <w:r w:rsidRPr="006F2FC4">
              <w:rPr>
                <w:sz w:val="13"/>
                <w:szCs w:val="13"/>
              </w:rPr>
              <w:t>10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6CCAD267" w14:textId="72D62E7B">
            <w:pPr>
              <w:pStyle w:val="p-table"/>
              <w:jc w:val="right"/>
              <w:rPr>
                <w:sz w:val="13"/>
                <w:szCs w:val="13"/>
              </w:rPr>
            </w:pPr>
            <w:r w:rsidRPr="006F2FC4">
              <w:rPr>
                <w:sz w:val="13"/>
                <w:szCs w:val="13"/>
              </w:rPr>
              <w:t>84.194</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3BF6AA1C" w14:textId="1CBFC158">
            <w:pPr>
              <w:pStyle w:val="p-table"/>
              <w:jc w:val="right"/>
              <w:rPr>
                <w:sz w:val="13"/>
                <w:szCs w:val="13"/>
              </w:rPr>
            </w:pPr>
            <w:r w:rsidRPr="006F2FC4">
              <w:rPr>
                <w:sz w:val="13"/>
                <w:szCs w:val="13"/>
              </w:rPr>
              <w:t>81.696</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00E8D535" w14:textId="21FED8E1">
            <w:pPr>
              <w:pStyle w:val="p-table"/>
              <w:jc w:val="right"/>
              <w:rPr>
                <w:sz w:val="13"/>
                <w:szCs w:val="13"/>
              </w:rPr>
            </w:pPr>
            <w:r w:rsidRPr="006F2FC4">
              <w:rPr>
                <w:sz w:val="13"/>
                <w:szCs w:val="13"/>
              </w:rPr>
              <w:t>52.434</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7F480E58" w14:textId="48D2F785">
            <w:pPr>
              <w:pStyle w:val="p-table"/>
              <w:jc w:val="right"/>
              <w:rPr>
                <w:sz w:val="13"/>
                <w:szCs w:val="13"/>
              </w:rPr>
            </w:pPr>
            <w:r w:rsidRPr="006F2FC4">
              <w:rPr>
                <w:sz w:val="13"/>
                <w:szCs w:val="13"/>
              </w:rPr>
              <w:t>47.043</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0A5B39BD" w14:textId="606E839A">
            <w:pPr>
              <w:pStyle w:val="p-table"/>
              <w:jc w:val="right"/>
              <w:rPr>
                <w:sz w:val="13"/>
                <w:szCs w:val="13"/>
              </w:rPr>
            </w:pPr>
            <w:r w:rsidRPr="006F2FC4">
              <w:rPr>
                <w:sz w:val="13"/>
                <w:szCs w:val="13"/>
              </w:rPr>
              <w:t>46.876</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68C2B8BC" w14:textId="77777777">
            <w:pPr>
              <w:pStyle w:val="p-table"/>
              <w:rPr>
                <w:sz w:val="13"/>
                <w:szCs w:val="13"/>
              </w:rPr>
            </w:pPr>
          </w:p>
        </w:tc>
      </w:tr>
      <w:tr w:rsidRPr="002448E9" w:rsidR="001546E4" w:rsidTr="007433BE" w14:paraId="00D5DD8D"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35417EE4" w14:textId="7FDDC353">
            <w:pPr>
              <w:pStyle w:val="p-table"/>
              <w:rPr>
                <w:sz w:val="13"/>
                <w:szCs w:val="13"/>
              </w:rPr>
            </w:pPr>
            <w:r w:rsidRPr="006F2FC4">
              <w:rPr>
                <w:sz w:val="13"/>
                <w:szCs w:val="13"/>
              </w:rPr>
              <w:t>13) Uitvoeringskosten nieuw financieringsstelsel kinderopvang (NFKO)</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2CADB025" w14:textId="77777777">
            <w:pPr>
              <w:pStyle w:val="p-table"/>
              <w:jc w:val="right"/>
              <w:rPr>
                <w:sz w:val="13"/>
                <w:szCs w:val="13"/>
              </w:rPr>
            </w:pPr>
            <w:r w:rsidRPr="006F2FC4">
              <w:rPr>
                <w:sz w:val="13"/>
                <w:szCs w:val="13"/>
              </w:rPr>
              <w:t>13</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1E4B4194" w14:textId="77777777">
            <w:pPr>
              <w:pStyle w:val="p-table"/>
              <w:jc w:val="right"/>
              <w:rPr>
                <w:sz w:val="13"/>
                <w:szCs w:val="13"/>
              </w:rPr>
            </w:pPr>
            <w:r w:rsidRPr="006F2FC4">
              <w:rPr>
                <w:sz w:val="13"/>
                <w:szCs w:val="13"/>
              </w:rPr>
              <w:t>12.000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81F7ED7" w14:textId="77777777">
            <w:pPr>
              <w:pStyle w:val="p-table"/>
              <w:jc w:val="right"/>
              <w:rPr>
                <w:sz w:val="13"/>
                <w:szCs w:val="13"/>
              </w:rPr>
            </w:pPr>
            <w:r w:rsidRPr="006F2FC4">
              <w:rPr>
                <w:sz w:val="13"/>
                <w:szCs w:val="13"/>
              </w:rPr>
              <w:t>38.300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7B51E128" w14:textId="77777777">
            <w:pPr>
              <w:pStyle w:val="p-table"/>
              <w:jc w:val="right"/>
              <w:rPr>
                <w:sz w:val="13"/>
                <w:szCs w:val="13"/>
              </w:rPr>
            </w:pPr>
            <w:r w:rsidRPr="006F2FC4">
              <w:rPr>
                <w:sz w:val="13"/>
                <w:szCs w:val="13"/>
              </w:rPr>
              <w:t>40.000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0F37C0AF" w14:textId="77777777">
            <w:pPr>
              <w:pStyle w:val="p-table"/>
              <w:jc w:val="right"/>
              <w:rPr>
                <w:sz w:val="13"/>
                <w:szCs w:val="13"/>
              </w:rPr>
            </w:pPr>
            <w:r w:rsidRPr="006F2FC4">
              <w:rPr>
                <w:sz w:val="13"/>
                <w:szCs w:val="13"/>
              </w:rPr>
              <w:t>12.000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68E7A482" w14:textId="77777777">
            <w:pPr>
              <w:pStyle w:val="p-table"/>
              <w:jc w:val="right"/>
              <w:rPr>
                <w:sz w:val="13"/>
                <w:szCs w:val="13"/>
              </w:rPr>
            </w:pPr>
            <w:r w:rsidRPr="006F2FC4">
              <w:rPr>
                <w:sz w:val="13"/>
                <w:szCs w:val="13"/>
              </w:rPr>
              <w:t>12.000</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199EEC24" w14:textId="77777777">
            <w:pPr>
              <w:pStyle w:val="p-table"/>
              <w:rPr>
                <w:sz w:val="13"/>
                <w:szCs w:val="13"/>
              </w:rPr>
            </w:pPr>
          </w:p>
        </w:tc>
      </w:tr>
      <w:tr w:rsidRPr="002448E9" w:rsidR="001546E4" w:rsidTr="007433BE" w14:paraId="2F1B5D51"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27A10DBE" w14:textId="799B4960">
            <w:pPr>
              <w:pStyle w:val="p-table"/>
              <w:rPr>
                <w:sz w:val="13"/>
                <w:szCs w:val="13"/>
              </w:rPr>
            </w:pPr>
            <w:r w:rsidRPr="006F2FC4">
              <w:rPr>
                <w:sz w:val="13"/>
                <w:szCs w:val="13"/>
              </w:rPr>
              <w:t>14) Toeslagen Herstel</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6898E93F" w14:textId="77777777">
            <w:pPr>
              <w:pStyle w:val="p-table"/>
              <w:jc w:val="right"/>
              <w:rPr>
                <w:sz w:val="13"/>
                <w:szCs w:val="13"/>
              </w:rPr>
            </w:pPr>
            <w:r w:rsidRPr="006F2FC4">
              <w:rPr>
                <w:sz w:val="13"/>
                <w:szCs w:val="13"/>
              </w:rPr>
              <w:t>13</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D38F635" w14:textId="77777777">
            <w:pPr>
              <w:pStyle w:val="p-table"/>
              <w:jc w:val="right"/>
              <w:rPr>
                <w:sz w:val="13"/>
                <w:szCs w:val="13"/>
              </w:rPr>
            </w:pPr>
            <w:r w:rsidRPr="006F2FC4">
              <w:rPr>
                <w:sz w:val="13"/>
                <w:szCs w:val="13"/>
              </w:rPr>
              <w:t>482.941</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1D4A2905" w14:textId="77777777">
            <w:pPr>
              <w:pStyle w:val="p-table"/>
              <w:jc w:val="right"/>
              <w:rPr>
                <w:sz w:val="13"/>
                <w:szCs w:val="13"/>
              </w:rPr>
            </w:pPr>
            <w:r w:rsidRPr="006F2FC4">
              <w:rPr>
                <w:sz w:val="13"/>
                <w:szCs w:val="13"/>
              </w:rPr>
              <w:t>257.339</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1146F85" w14:textId="77777777">
            <w:pPr>
              <w:pStyle w:val="p-table"/>
              <w:jc w:val="right"/>
              <w:rPr>
                <w:sz w:val="13"/>
                <w:szCs w:val="13"/>
              </w:rPr>
            </w:pPr>
            <w:r w:rsidRPr="006F2FC4">
              <w:rPr>
                <w:sz w:val="13"/>
                <w:szCs w:val="13"/>
              </w:rPr>
              <w:t>‒ 154.052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8071ED4" w14:textId="77777777">
            <w:pPr>
              <w:pStyle w:val="p-table"/>
              <w:jc w:val="right"/>
              <w:rPr>
                <w:sz w:val="13"/>
                <w:szCs w:val="13"/>
              </w:rPr>
            </w:pPr>
            <w:r w:rsidRPr="006F2FC4">
              <w:rPr>
                <w:sz w:val="13"/>
                <w:szCs w:val="13"/>
              </w:rPr>
              <w:t>43.650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543678DD" w14:textId="77777777">
            <w:pPr>
              <w:pStyle w:val="p-table"/>
              <w:jc w:val="right"/>
              <w:rPr>
                <w:sz w:val="13"/>
                <w:szCs w:val="13"/>
              </w:rPr>
            </w:pPr>
            <w:r w:rsidRPr="006F2FC4">
              <w:rPr>
                <w:sz w:val="13"/>
                <w:szCs w:val="13"/>
              </w:rPr>
              <w:t>14.250</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48C7ABEC" w14:textId="77777777">
            <w:pPr>
              <w:pStyle w:val="p-table"/>
              <w:rPr>
                <w:sz w:val="13"/>
                <w:szCs w:val="13"/>
              </w:rPr>
            </w:pPr>
          </w:p>
        </w:tc>
      </w:tr>
      <w:tr w:rsidRPr="002448E9" w:rsidR="001546E4" w:rsidTr="007433BE" w14:paraId="66B5C53D"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47D7CB6F" w14:textId="555ADC63">
            <w:pPr>
              <w:pStyle w:val="p-table"/>
              <w:rPr>
                <w:sz w:val="13"/>
                <w:szCs w:val="13"/>
              </w:rPr>
            </w:pPr>
            <w:r w:rsidRPr="006F2FC4">
              <w:rPr>
                <w:sz w:val="13"/>
                <w:szCs w:val="13"/>
              </w:rPr>
              <w:t>15) Tariefstijging Rijksvastgoedbedrijf (huisvesting)</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3CA44774" w14:textId="77777777">
            <w:pPr>
              <w:pStyle w:val="p-table"/>
              <w:jc w:val="right"/>
              <w:rPr>
                <w:sz w:val="13"/>
                <w:szCs w:val="13"/>
              </w:rPr>
            </w:pPr>
            <w:r w:rsidRPr="006F2FC4">
              <w:rPr>
                <w:sz w:val="13"/>
                <w:szCs w:val="13"/>
              </w:rPr>
              <w:t>div</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0555F6B9" w14:textId="77777777">
            <w:pPr>
              <w:pStyle w:val="p-table"/>
              <w:jc w:val="right"/>
              <w:rPr>
                <w:sz w:val="13"/>
                <w:szCs w:val="13"/>
              </w:rPr>
            </w:pPr>
            <w:r w:rsidRPr="006F2FC4">
              <w:rPr>
                <w:sz w:val="13"/>
                <w:szCs w:val="13"/>
              </w:rPr>
              <w:t>19.917</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DE6D8EB" w14:textId="77777777">
            <w:pPr>
              <w:pStyle w:val="p-table"/>
              <w:jc w:val="right"/>
              <w:rPr>
                <w:sz w:val="13"/>
                <w:szCs w:val="13"/>
              </w:rPr>
            </w:pPr>
            <w:r w:rsidRPr="006F2FC4">
              <w:rPr>
                <w:sz w:val="13"/>
                <w:szCs w:val="13"/>
              </w:rPr>
              <w:t>19.432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2C1C94AD" w14:textId="77777777">
            <w:pPr>
              <w:pStyle w:val="p-table"/>
              <w:jc w:val="right"/>
              <w:rPr>
                <w:sz w:val="13"/>
                <w:szCs w:val="13"/>
              </w:rPr>
            </w:pPr>
            <w:r w:rsidRPr="006F2FC4">
              <w:rPr>
                <w:sz w:val="13"/>
                <w:szCs w:val="13"/>
              </w:rPr>
              <w:t>19.432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5F807A80" w14:textId="77777777">
            <w:pPr>
              <w:pStyle w:val="p-table"/>
              <w:jc w:val="right"/>
              <w:rPr>
                <w:sz w:val="13"/>
                <w:szCs w:val="13"/>
              </w:rPr>
            </w:pPr>
            <w:r w:rsidRPr="006F2FC4">
              <w:rPr>
                <w:sz w:val="13"/>
                <w:szCs w:val="13"/>
              </w:rPr>
              <w:t>19.432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5EE86F8B" w14:textId="77777777">
            <w:pPr>
              <w:pStyle w:val="p-table"/>
              <w:jc w:val="right"/>
              <w:rPr>
                <w:sz w:val="13"/>
                <w:szCs w:val="13"/>
              </w:rPr>
            </w:pPr>
            <w:r w:rsidRPr="006F2FC4">
              <w:rPr>
                <w:sz w:val="13"/>
                <w:szCs w:val="13"/>
              </w:rPr>
              <w:t>19.432</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160C08AE" w14:textId="77777777">
            <w:pPr>
              <w:pStyle w:val="p-table"/>
              <w:rPr>
                <w:sz w:val="13"/>
                <w:szCs w:val="13"/>
              </w:rPr>
            </w:pPr>
          </w:p>
        </w:tc>
      </w:tr>
      <w:tr w:rsidRPr="002448E9" w:rsidR="001546E4" w:rsidTr="007433BE" w14:paraId="70195F7E" w14:textId="77777777">
        <w:tc>
          <w:tcPr>
            <w:tcW w:w="2419" w:type="dxa"/>
            <w:tcBorders>
              <w:bottom w:val="single" w:color="009EE0" w:sz="2" w:space="0"/>
            </w:tcBorders>
            <w:tcMar>
              <w:top w:w="22" w:type="dxa"/>
              <w:bottom w:w="22" w:type="dxa"/>
              <w:right w:w="28" w:type="dxa"/>
            </w:tcMar>
          </w:tcPr>
          <w:p w:rsidRPr="006F2FC4" w:rsidR="001546E4" w:rsidP="001546E4" w:rsidRDefault="001546E4" w14:paraId="665CA0AE" w14:textId="19C5AD31">
            <w:pPr>
              <w:pStyle w:val="p-table"/>
              <w:rPr>
                <w:sz w:val="13"/>
                <w:szCs w:val="13"/>
              </w:rPr>
            </w:pPr>
            <w:r w:rsidRPr="006F2FC4">
              <w:rPr>
                <w:sz w:val="13"/>
                <w:szCs w:val="13"/>
              </w:rPr>
              <w:t>16) Overige mutaties &amp; extrapolatie</w:t>
            </w:r>
          </w:p>
        </w:tc>
        <w:tc>
          <w:tcPr>
            <w:tcW w:w="841" w:type="dxa"/>
            <w:tcBorders>
              <w:bottom w:val="single" w:color="009EE0" w:sz="2" w:space="0"/>
            </w:tcBorders>
            <w:tcMar>
              <w:top w:w="22" w:type="dxa"/>
              <w:left w:w="28" w:type="dxa"/>
              <w:bottom w:w="22" w:type="dxa"/>
              <w:right w:w="28" w:type="dxa"/>
            </w:tcMar>
            <w:vAlign w:val="center"/>
          </w:tcPr>
          <w:p w:rsidRPr="006F2FC4" w:rsidR="001546E4" w:rsidP="001546E4" w:rsidRDefault="001546E4" w14:paraId="0A8D2628" w14:textId="77777777">
            <w:pPr>
              <w:pStyle w:val="p-table"/>
              <w:jc w:val="right"/>
              <w:rPr>
                <w:sz w:val="13"/>
                <w:szCs w:val="13"/>
              </w:rPr>
            </w:pPr>
            <w:r w:rsidRPr="006F2FC4">
              <w:rPr>
                <w:sz w:val="13"/>
                <w:szCs w:val="13"/>
              </w:rPr>
              <w:t>div</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63FD7212" w14:textId="4F91E181">
            <w:pPr>
              <w:pStyle w:val="p-table"/>
              <w:jc w:val="right"/>
              <w:rPr>
                <w:sz w:val="13"/>
                <w:szCs w:val="13"/>
              </w:rPr>
            </w:pPr>
            <w:r w:rsidRPr="006F2FC4">
              <w:rPr>
                <w:sz w:val="13"/>
                <w:szCs w:val="13"/>
              </w:rPr>
              <w:t>30.580</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0D0DF675" w14:textId="48B4E5AA">
            <w:pPr>
              <w:pStyle w:val="p-table"/>
              <w:jc w:val="right"/>
              <w:rPr>
                <w:sz w:val="13"/>
                <w:szCs w:val="13"/>
              </w:rPr>
            </w:pPr>
            <w:r w:rsidRPr="006F2FC4">
              <w:rPr>
                <w:sz w:val="13"/>
                <w:szCs w:val="13"/>
              </w:rPr>
              <w:t>‒ 11.563</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6BB498C7" w14:textId="28691D03">
            <w:pPr>
              <w:pStyle w:val="p-table"/>
              <w:jc w:val="right"/>
              <w:rPr>
                <w:sz w:val="13"/>
                <w:szCs w:val="13"/>
              </w:rPr>
            </w:pPr>
            <w:r w:rsidRPr="006F2FC4">
              <w:rPr>
                <w:sz w:val="13"/>
                <w:szCs w:val="13"/>
              </w:rPr>
              <w:t>‒ 18.904</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0A5605EE" w14:textId="5D6F3D76">
            <w:pPr>
              <w:pStyle w:val="p-table"/>
              <w:jc w:val="right"/>
              <w:rPr>
                <w:sz w:val="13"/>
                <w:szCs w:val="13"/>
              </w:rPr>
            </w:pPr>
            <w:r w:rsidRPr="006F2FC4">
              <w:rPr>
                <w:sz w:val="13"/>
                <w:szCs w:val="13"/>
              </w:rPr>
              <w:t>‒ 29.323</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212E23D9" w14:textId="01A90690">
            <w:pPr>
              <w:pStyle w:val="p-table"/>
              <w:jc w:val="right"/>
              <w:rPr>
                <w:sz w:val="13"/>
                <w:szCs w:val="13"/>
              </w:rPr>
            </w:pPr>
            <w:r w:rsidRPr="006F2FC4">
              <w:rPr>
                <w:sz w:val="13"/>
                <w:szCs w:val="13"/>
              </w:rPr>
              <w:t>‒ 30.106</w:t>
            </w:r>
          </w:p>
        </w:tc>
        <w:tc>
          <w:tcPr>
            <w:tcW w:w="954" w:type="dxa"/>
            <w:tcBorders>
              <w:bottom w:val="single" w:color="009EE0" w:sz="2" w:space="0"/>
            </w:tcBorders>
            <w:tcMar>
              <w:top w:w="22" w:type="dxa"/>
              <w:left w:w="28" w:type="dxa"/>
              <w:bottom w:w="22" w:type="dxa"/>
              <w:right w:w="28" w:type="dxa"/>
            </w:tcMar>
            <w:vAlign w:val="center"/>
          </w:tcPr>
          <w:p w:rsidRPr="006F2FC4" w:rsidR="001546E4" w:rsidP="001546E4" w:rsidRDefault="001546E4" w14:paraId="02221201" w14:textId="4C6D65C1">
            <w:pPr>
              <w:pStyle w:val="p-table"/>
              <w:jc w:val="right"/>
              <w:rPr>
                <w:sz w:val="13"/>
                <w:szCs w:val="13"/>
              </w:rPr>
            </w:pPr>
            <w:r w:rsidRPr="006F2FC4">
              <w:rPr>
                <w:sz w:val="13"/>
                <w:szCs w:val="13"/>
              </w:rPr>
              <w:t>10.589.412</w:t>
            </w:r>
          </w:p>
        </w:tc>
      </w:tr>
      <w:tr w:rsidRPr="002448E9" w:rsidR="001546E4" w:rsidTr="007433BE" w14:paraId="3DF94CC5"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18714849" w14:textId="77777777">
            <w:pPr>
              <w:pStyle w:val="p-table"/>
              <w:rPr>
                <w:sz w:val="13"/>
                <w:szCs w:val="13"/>
              </w:rPr>
            </w:pPr>
          </w:p>
        </w:tc>
        <w:tc>
          <w:tcPr>
            <w:tcW w:w="841" w:type="dxa"/>
            <w:tcBorders>
              <w:bottom w:val="single" w:color="009EE0" w:sz="2" w:space="0"/>
            </w:tcBorders>
            <w:tcMar>
              <w:top w:w="22" w:type="dxa"/>
              <w:left w:w="28" w:type="dxa"/>
              <w:bottom w:w="22" w:type="dxa"/>
              <w:right w:w="28" w:type="dxa"/>
            </w:tcMar>
          </w:tcPr>
          <w:p w:rsidRPr="006F2FC4" w:rsidR="003C11D7" w:rsidP="003C11D7" w:rsidRDefault="003C11D7" w14:paraId="4CEEC51A"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7F0C5334"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16E0ED27"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4DF69D00"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08F1ECCF"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44167294" w14:textId="77777777">
            <w:pPr>
              <w:pStyle w:val="p-table"/>
              <w:rPr>
                <w:sz w:val="13"/>
                <w:szCs w:val="13"/>
              </w:rPr>
            </w:pP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2C366624" w14:textId="77777777">
            <w:pPr>
              <w:pStyle w:val="p-table"/>
              <w:rPr>
                <w:sz w:val="13"/>
                <w:szCs w:val="13"/>
              </w:rPr>
            </w:pPr>
          </w:p>
        </w:tc>
      </w:tr>
      <w:tr w:rsidRPr="002448E9" w:rsidR="001546E4" w:rsidTr="007433BE" w14:paraId="0025D27A"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2002E54E" w14:textId="77777777">
            <w:pPr>
              <w:pStyle w:val="p-table"/>
              <w:rPr>
                <w:b/>
                <w:bCs/>
                <w:sz w:val="13"/>
                <w:szCs w:val="13"/>
              </w:rPr>
            </w:pPr>
            <w:r w:rsidRPr="006F2FC4">
              <w:rPr>
                <w:b/>
                <w:bCs/>
                <w:sz w:val="13"/>
                <w:szCs w:val="13"/>
              </w:rPr>
              <w:t>Stand 1e suppletoire begroting 2026</w:t>
            </w:r>
          </w:p>
        </w:tc>
        <w:tc>
          <w:tcPr>
            <w:tcW w:w="841" w:type="dxa"/>
            <w:tcBorders>
              <w:bottom w:val="single" w:color="009EE0" w:sz="2" w:space="0"/>
            </w:tcBorders>
            <w:tcMar>
              <w:top w:w="22" w:type="dxa"/>
              <w:left w:w="28" w:type="dxa"/>
              <w:bottom w:w="22" w:type="dxa"/>
              <w:right w:w="28" w:type="dxa"/>
            </w:tcMar>
          </w:tcPr>
          <w:p w:rsidRPr="006F2FC4" w:rsidR="003C11D7" w:rsidP="003C11D7" w:rsidRDefault="003C11D7" w14:paraId="2A239C9B" w14:textId="77777777">
            <w:pPr>
              <w:pStyle w:val="p-table"/>
              <w:rPr>
                <w:b/>
                <w:bCs/>
                <w:sz w:val="13"/>
                <w:szCs w:val="13"/>
              </w:rPr>
            </w:pP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333BB3C9" w14:textId="1BE573BC">
            <w:pPr>
              <w:pStyle w:val="p-table"/>
              <w:jc w:val="right"/>
              <w:rPr>
                <w:b/>
                <w:bCs/>
                <w:sz w:val="13"/>
                <w:szCs w:val="13"/>
              </w:rPr>
            </w:pPr>
            <w:r w:rsidRPr="006F2FC4">
              <w:rPr>
                <w:b/>
                <w:bCs/>
                <w:sz w:val="13"/>
                <w:szCs w:val="13"/>
              </w:rPr>
              <w:t>24.</w:t>
            </w:r>
            <w:r w:rsidRPr="006F2FC4" w:rsidR="001546E4">
              <w:rPr>
                <w:b/>
                <w:bCs/>
                <w:sz w:val="13"/>
                <w:szCs w:val="13"/>
              </w:rPr>
              <w:t>515.917</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146CF8D1" w14:textId="25C1195E">
            <w:pPr>
              <w:pStyle w:val="p-table"/>
              <w:jc w:val="right"/>
              <w:rPr>
                <w:b/>
                <w:bCs/>
                <w:sz w:val="13"/>
                <w:szCs w:val="13"/>
              </w:rPr>
            </w:pPr>
            <w:r w:rsidRPr="006F2FC4">
              <w:rPr>
                <w:b/>
                <w:bCs/>
                <w:sz w:val="13"/>
                <w:szCs w:val="13"/>
              </w:rPr>
              <w:t>13.</w:t>
            </w:r>
            <w:r w:rsidRPr="006F2FC4" w:rsidR="001546E4">
              <w:rPr>
                <w:b/>
                <w:bCs/>
                <w:sz w:val="13"/>
                <w:szCs w:val="13"/>
              </w:rPr>
              <w:t>626</w:t>
            </w:r>
            <w:r w:rsidRPr="006F2FC4">
              <w:rPr>
                <w:b/>
                <w:bCs/>
                <w:sz w:val="13"/>
                <w:szCs w:val="13"/>
              </w:rPr>
              <w:t>.</w:t>
            </w:r>
            <w:r w:rsidRPr="006F2FC4" w:rsidR="001546E4">
              <w:rPr>
                <w:b/>
                <w:bCs/>
                <w:sz w:val="13"/>
                <w:szCs w:val="13"/>
              </w:rPr>
              <w:t>289</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1546E4" w14:paraId="339238C0" w14:textId="7BF6FEEA">
            <w:pPr>
              <w:pStyle w:val="p-table"/>
              <w:jc w:val="right"/>
              <w:rPr>
                <w:b/>
                <w:bCs/>
                <w:sz w:val="13"/>
                <w:szCs w:val="13"/>
              </w:rPr>
            </w:pPr>
            <w:r w:rsidRPr="006F2FC4">
              <w:rPr>
                <w:b/>
                <w:bCs/>
                <w:sz w:val="13"/>
                <w:szCs w:val="13"/>
              </w:rPr>
              <w:t>11.052.092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1546E4" w14:paraId="0B97FAE4" w14:textId="4D9E5A0F">
            <w:pPr>
              <w:pStyle w:val="p-table"/>
              <w:jc w:val="right"/>
              <w:rPr>
                <w:b/>
                <w:bCs/>
                <w:sz w:val="13"/>
                <w:szCs w:val="13"/>
              </w:rPr>
            </w:pPr>
            <w:r w:rsidRPr="006F2FC4">
              <w:rPr>
                <w:b/>
                <w:bCs/>
                <w:sz w:val="13"/>
                <w:szCs w:val="13"/>
              </w:rPr>
              <w:t>10.682.438</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1546E4" w14:paraId="6080A7D6" w14:textId="4EF1BF73">
            <w:pPr>
              <w:pStyle w:val="p-table"/>
              <w:jc w:val="right"/>
              <w:rPr>
                <w:b/>
                <w:bCs/>
                <w:sz w:val="13"/>
                <w:szCs w:val="13"/>
              </w:rPr>
            </w:pPr>
            <w:r w:rsidRPr="006F2FC4">
              <w:rPr>
                <w:b/>
                <w:bCs/>
                <w:sz w:val="13"/>
                <w:szCs w:val="13"/>
              </w:rPr>
              <w:t>10.527.889</w:t>
            </w:r>
          </w:p>
        </w:tc>
        <w:tc>
          <w:tcPr>
            <w:tcW w:w="954" w:type="dxa"/>
            <w:tcBorders>
              <w:bottom w:val="single" w:color="009EE0" w:sz="2" w:space="0"/>
            </w:tcBorders>
            <w:tcMar>
              <w:top w:w="22" w:type="dxa"/>
              <w:left w:w="28" w:type="dxa"/>
              <w:bottom w:w="22" w:type="dxa"/>
              <w:right w:w="28" w:type="dxa"/>
            </w:tcMar>
            <w:vAlign w:val="center"/>
          </w:tcPr>
          <w:p w:rsidRPr="006F2FC4" w:rsidR="003C11D7" w:rsidP="003C11D7" w:rsidRDefault="001546E4" w14:paraId="42B3A09F" w14:textId="2B4A7BFD">
            <w:pPr>
              <w:pStyle w:val="p-table"/>
              <w:jc w:val="right"/>
              <w:rPr>
                <w:b/>
                <w:bCs/>
                <w:sz w:val="13"/>
                <w:szCs w:val="13"/>
              </w:rPr>
            </w:pPr>
            <w:r w:rsidRPr="006F2FC4">
              <w:rPr>
                <w:b/>
                <w:bCs/>
                <w:sz w:val="13"/>
                <w:szCs w:val="13"/>
              </w:rPr>
              <w:t>10.589.412</w:t>
            </w:r>
          </w:p>
        </w:tc>
      </w:tr>
    </w:tbl>
    <w:p w:rsidR="0084290D" w:rsidRDefault="0084290D" w14:paraId="46083636" w14:textId="77777777">
      <w:pPr>
        <w:pStyle w:val="p-marginbottom"/>
      </w:pPr>
    </w:p>
    <w:p w:rsidR="0084290D" w:rsidRDefault="00CF5B93" w14:paraId="44148FAF" w14:textId="77777777">
      <w:pPr>
        <w:pStyle w:val="header-h1"/>
      </w:pPr>
      <w:r>
        <w:t>Toelichting</w:t>
      </w:r>
    </w:p>
    <w:p w:rsidR="0084290D" w:rsidRDefault="0084290D" w14:paraId="63D8FB2C" w14:textId="77777777">
      <w:pPr>
        <w:pStyle w:val="p-marginbottom"/>
      </w:pPr>
    </w:p>
    <w:p w:rsidR="0084290D" w:rsidRDefault="00CF5B93" w14:paraId="1628B595" w14:textId="77777777">
      <w:pPr>
        <w:pStyle w:val="header-h5"/>
      </w:pPr>
      <w:r>
        <w:t>Mutaties coalitieakkoord: Apparaatstaakstellingen</w:t>
      </w:r>
    </w:p>
    <w:p w:rsidR="001546E4" w:rsidP="001546E4" w:rsidRDefault="001546E4" w14:paraId="10588E01" w14:textId="1B457950">
      <w:pPr>
        <w:pStyle w:val="p"/>
      </w:pPr>
      <w:r w:rsidRPr="001546E4">
        <w:t>Het coalitieakkoord «Aan de slag» bevat een taakstelling op de apparaatsuitgaven van de Rijksoverheid (kerndepartementen en uitvoering). De korting bestaat uit een efficiencytaakstelling en een taakstelling gericht op de vernieuwing van de rijksdienst en een slagvaardige overheid. De kortingen zijn rijksbreed naar rato van de apparaatsuitgaven verdeeld. De betreffende budgettaire taakstellingsmutaties raken zowel de uitgaven (€ 343 mln. structureel) als de ontvangsten (€ 10 mln. structureel; zie ook tabel 3 "belangrijkste suppletoire ontvangstenmutaties</w:t>
      </w:r>
      <w:r w:rsidR="008F1CDA">
        <w:t>”</w:t>
      </w:r>
      <w:r w:rsidRPr="001546E4">
        <w:t>), wat per saldo tot een korting op de Financiënbegroting van € 333 mln. structureel leidt.</w:t>
      </w:r>
    </w:p>
    <w:p w:rsidR="0084290D" w:rsidRDefault="00CF5B93" w14:paraId="29142D42" w14:textId="77777777">
      <w:pPr>
        <w:pStyle w:val="header-h2"/>
      </w:pPr>
      <w:r>
        <w:t>1. Coalitieakkoord: efficiencytaakstelling</w:t>
      </w:r>
    </w:p>
    <w:p w:rsidR="0084290D" w:rsidRDefault="00CF5B93" w14:paraId="0618FFE4" w14:textId="77777777">
      <w:pPr>
        <w:pStyle w:val="p"/>
      </w:pPr>
      <w:r>
        <w:t>Deze mutatie betreft het aandeel van het ministerie van Financiën in maatregel 61 «efficiencytaakstelling» uit het coalitieakkoord.</w:t>
      </w:r>
    </w:p>
    <w:p w:rsidR="0084290D" w:rsidRDefault="00CF5B93" w14:paraId="081D892D" w14:textId="77777777">
      <w:pPr>
        <w:pStyle w:val="header-h2"/>
      </w:pPr>
      <w:r>
        <w:t>2. Coalitieakkoord: taakstelling vernieuwing rijksdienst/slagvaardige overheid</w:t>
      </w:r>
    </w:p>
    <w:p w:rsidR="0084290D" w:rsidRDefault="00CF5B93" w14:paraId="7024316D" w14:textId="05E491DD">
      <w:pPr>
        <w:pStyle w:val="p"/>
      </w:pPr>
      <w:r>
        <w:t xml:space="preserve">Deze mutatie betreft het aandeel van het ministerie van Financiën in maatregel 62 </w:t>
      </w:r>
      <w:r w:rsidR="005B7C30">
        <w:t>«</w:t>
      </w:r>
      <w:r>
        <w:t>vernieuwing rijksdienst en een slagvaardige overheid</w:t>
      </w:r>
      <w:r w:rsidR="005B7C30">
        <w:t>»</w:t>
      </w:r>
      <w:r>
        <w:t>.</w:t>
      </w:r>
    </w:p>
    <w:p w:rsidR="0084290D" w:rsidRDefault="00CF5B93" w14:paraId="378917A3" w14:textId="77777777">
      <w:pPr>
        <w:pStyle w:val="header-h5"/>
      </w:pPr>
      <w:r>
        <w:t>Belangrijkste suppletoire mutaties</w:t>
      </w:r>
    </w:p>
    <w:p w:rsidR="0084290D" w:rsidRDefault="00CF5B93" w14:paraId="215C9791" w14:textId="77777777">
      <w:pPr>
        <w:pStyle w:val="header-h2"/>
      </w:pPr>
      <w:r>
        <w:t>1. ICT opdrachten Belastingdienst</w:t>
      </w:r>
    </w:p>
    <w:p w:rsidR="0084290D" w:rsidRDefault="00CF5B93" w14:paraId="782F56DC" w14:textId="77777777">
      <w:pPr>
        <w:pStyle w:val="p"/>
      </w:pPr>
      <w:r>
        <w:t>De Belastingdienst kent stijgende ICT-uitgaven. Oorzaken hiervoor zijn hoge prijsstijgingen voor soft- en hardware en de groeiende vraag naar uitbreiding van het ICT-landschap. Om dit tekort structureel op te lossen, wordt het ICT-budget met ingang van 2026 met € 40 mln. verhoogd. Daarnaast heeft er binnen de Belastingdienst een herschikking van budgetten plaatsgevonden. Dit levert een aanvulling op van € 35 mln. in 2027, € 40 mln. in 2028 en € 45 mln. in de daaropvolgende jaren.</w:t>
      </w:r>
    </w:p>
    <w:p w:rsidR="0084290D" w:rsidRDefault="00CF5B93" w14:paraId="4B24372C" w14:textId="77777777">
      <w:pPr>
        <w:pStyle w:val="header-h2"/>
      </w:pPr>
      <w:r>
        <w:lastRenderedPageBreak/>
        <w:t>2. Opvraag aanvullende post: uitvoeringskosten herstel box 3</w:t>
      </w:r>
    </w:p>
    <w:p w:rsidR="0084290D" w:rsidRDefault="00CF5B93" w14:paraId="47657990" w14:textId="77777777">
      <w:pPr>
        <w:pStyle w:val="p"/>
      </w:pPr>
      <w:r>
        <w:t xml:space="preserve">De Belastingdienst ontvangt middelen vanuit de Aanvullende Post voor de uitvoering van het rechtsherstel Box 3. Dit betreft € 11 mln. in 2026 en € 70 mln. in 2027. Het gaat hierbij om een gedeelte van de uitvoeringskosten, die gemoeid zijn met de </w:t>
      </w:r>
      <w:hyperlink w:history="1" w:anchor="activity-2024A08331" r:id="rId11">
        <w:r>
          <w:rPr>
            <w:color w:val="548DD4"/>
            <w:u w:val="single"/>
          </w:rPr>
          <w:t>Wet tegenbewijsregeling box 3</w:t>
        </w:r>
      </w:hyperlink>
      <w:r>
        <w:t>.</w:t>
      </w:r>
    </w:p>
    <w:p w:rsidR="0084290D" w:rsidRDefault="00CF5B93" w14:paraId="1AF55657" w14:textId="77777777">
      <w:pPr>
        <w:pStyle w:val="header-h2"/>
      </w:pPr>
      <w:r>
        <w:t xml:space="preserve">3. Prijsstijging </w:t>
      </w:r>
      <w:proofErr w:type="spellStart"/>
      <w:r>
        <w:t>portikosten</w:t>
      </w:r>
      <w:proofErr w:type="spellEnd"/>
      <w:r>
        <w:t xml:space="preserve"> Belastingdienst</w:t>
      </w:r>
    </w:p>
    <w:p w:rsidR="0084290D" w:rsidRDefault="00CF5B93" w14:paraId="50FE16F4" w14:textId="77777777">
      <w:pPr>
        <w:pStyle w:val="p"/>
      </w:pPr>
      <w:r>
        <w:t>De tarieven van PostNL zijn het afgelopen jaar met 52% toegenomen. Om deze kostenstijging gedeeltelijk te compenseren, heeft de Belastingdienst het initiatief ‘Keuze Digitaal’ gestart, met als doel het postvolume te verminderen. Voor de resterende kostenstijging wordt het budget Overige opdrachten met € 24 mln. in 2026 verhoogd.</w:t>
      </w:r>
    </w:p>
    <w:p w:rsidR="0084290D" w:rsidRDefault="00CF5B93" w14:paraId="3EC37631" w14:textId="77777777">
      <w:pPr>
        <w:pStyle w:val="header-h2"/>
      </w:pPr>
      <w:r>
        <w:t>4. Belasting- en invorderingsrente</w:t>
      </w:r>
    </w:p>
    <w:p w:rsidR="0084290D" w:rsidRDefault="00CF5B93" w14:paraId="6B9A10B0" w14:textId="77777777">
      <w:pPr>
        <w:pStyle w:val="p"/>
      </w:pPr>
      <w:r>
        <w:t>De uitgavenraming van de belasting- en invorderingsrente wordt geactualiseerd naar aanleiding van de nieuwe raming van de korte rente uit het Centraal Economisch Plan (CEP) van het Centraal Planbureau (CPB) en de realisatiecijfers uit 2025.</w:t>
      </w:r>
    </w:p>
    <w:p w:rsidR="0084290D" w:rsidRDefault="00CF5B93" w14:paraId="107F1671" w14:textId="77777777">
      <w:pPr>
        <w:pStyle w:val="header-h2"/>
      </w:pPr>
      <w:r>
        <w:t xml:space="preserve">5. European </w:t>
      </w:r>
      <w:proofErr w:type="spellStart"/>
      <w:r>
        <w:t>Stability</w:t>
      </w:r>
      <w:proofErr w:type="spellEnd"/>
      <w:r>
        <w:t xml:space="preserve"> </w:t>
      </w:r>
      <w:proofErr w:type="spellStart"/>
      <w:r>
        <w:t>Mechanism</w:t>
      </w:r>
      <w:proofErr w:type="spellEnd"/>
      <w:r>
        <w:t xml:space="preserve"> (ESM) kapitaalinleg</w:t>
      </w:r>
    </w:p>
    <w:p w:rsidR="0084290D" w:rsidRDefault="00CF5B93" w14:paraId="768CB31B" w14:textId="77777777">
      <w:pPr>
        <w:pStyle w:val="p"/>
      </w:pPr>
      <w:r>
        <w:t>De toetreding van Kroatië tot het Europees Stabiliteitsmechanisme (ESM) startte het proces om de ESM-kapitaalsleutel uit 2009 te herzien. Hieruit volgt dat Nederland een groter aandeel in de Europese economie en bevolking had dan voorheen. Nederland heeft in 2025 de aanvullende kapitaalstorting begroot om, indien nodig, de storting te kunnen doen. In afwachting van de actualisatie van de kapitaalsleutel wordt de reservering naar 2027 geschoven. Een nieuwe sleutel zou op zijn vroegst na 1 januari 2027 worden vastgesteld, wanneer de tijdelijke korting op de kapitaalinleg van Litouwen eindigt.</w:t>
      </w:r>
    </w:p>
    <w:p w:rsidR="0084290D" w:rsidRDefault="00CF5B93" w14:paraId="0EC00CA5" w14:textId="77777777">
      <w:pPr>
        <w:pStyle w:val="header-h2"/>
      </w:pPr>
      <w:r>
        <w:t>6. Bijstelling raming schadeuitkering ekv</w:t>
      </w:r>
    </w:p>
    <w:p w:rsidR="0084290D" w:rsidRDefault="00CF5B93" w14:paraId="78B1D6E7" w14:textId="77777777">
      <w:pPr>
        <w:pStyle w:val="p"/>
      </w:pPr>
      <w:r>
        <w:t>De begroting wordt meerjarig aangesloten op de raming van Atradius Dutch State Business (ADSB) en is daarmee in lijn met de hogere realisaties uit afgelopen jaren.</w:t>
      </w:r>
    </w:p>
    <w:p w:rsidR="0084290D" w:rsidRDefault="00CF5B93" w14:paraId="598E4843" w14:textId="77777777">
      <w:pPr>
        <w:pStyle w:val="header-h2"/>
      </w:pPr>
      <w:r>
        <w:t>7. Btw-compensatiefonds (BCF)</w:t>
      </w:r>
    </w:p>
    <w:p w:rsidR="0084290D" w:rsidRDefault="00CF5B93" w14:paraId="4277255B" w14:textId="77777777">
      <w:pPr>
        <w:pStyle w:val="p"/>
      </w:pPr>
      <w:r>
        <w:t xml:space="preserve">Als gevolg van overhevelingen van budget van ministeries naar het gemeente- of provinciefonds wordt het geraamde btw-deel van dit budget in het BCF gestort (meerjarig € 32,2 mln.). Gemeentes en provincies kunnen de betaalde btw die verband houdt met de overhevelingen terugvragen bij het BCF. Een onder- of </w:t>
      </w:r>
      <w:proofErr w:type="spellStart"/>
      <w:r>
        <w:t>overschrĳding</w:t>
      </w:r>
      <w:proofErr w:type="spellEnd"/>
      <w:r>
        <w:t xml:space="preserve"> </w:t>
      </w:r>
      <w:proofErr w:type="spellStart"/>
      <w:r>
        <w:t>bĳ</w:t>
      </w:r>
      <w:proofErr w:type="spellEnd"/>
      <w:r>
        <w:t xml:space="preserve"> het BCF komt ten laste of ten gunste van het gemeente- en provinciefonds.</w:t>
      </w:r>
    </w:p>
    <w:p w:rsidR="0084290D" w:rsidRDefault="00CF5B93" w14:paraId="6FE0E6ED" w14:textId="77777777">
      <w:pPr>
        <w:pStyle w:val="header-h2"/>
      </w:pPr>
      <w:r>
        <w:t>8. Nieuwe EU-wetgeving e-commerce (Handling fee)</w:t>
      </w:r>
    </w:p>
    <w:p w:rsidR="0084290D" w:rsidRDefault="00CF5B93" w14:paraId="22080E42" w14:textId="651FFBEF">
      <w:pPr>
        <w:pStyle w:val="p"/>
      </w:pPr>
      <w:r>
        <w:t xml:space="preserve">Vanaf juli 2026 vervalt de huidige de-minimisvrijstelling voor pakketten met een waarde tot € 150 uit derde landen en vanaf november </w:t>
      </w:r>
      <w:r w:rsidR="00E62126">
        <w:t xml:space="preserve">2026 </w:t>
      </w:r>
      <w:r>
        <w:t>wordt een uniforme Europese handling fee ingevoerd. Dit is het gevolg van Europese besluitvorming om een gelijk speelveld te creëren en het controlepercentage op e-commerce te waarborgen en verbeteren. Vanwege deze aangepaste EU-wetgeving wordt voor de uitvoering van de extra controle op de e-commercestroom in totaal structureel € 100 mln. per jaar beschikbaar gesteld. Deze kosten bevatten onder andere een formatieve uitbreiding, toezichtkosten voor de markttoezichthouders, benodigde IT-middelen, en extra scan- en detectieapparatuur.</w:t>
      </w:r>
    </w:p>
    <w:p w:rsidR="009665F5" w:rsidRDefault="009665F5" w14:paraId="094EFF16" w14:textId="77777777">
      <w:pPr>
        <w:rPr>
          <w:i/>
          <w:sz w:val="17"/>
        </w:rPr>
      </w:pPr>
      <w:r>
        <w:br w:type="page"/>
      </w:r>
    </w:p>
    <w:p w:rsidR="0084290D" w:rsidRDefault="00CF5B93" w14:paraId="2A17ACB4" w14:textId="6280FBF6">
      <w:pPr>
        <w:pStyle w:val="header-h2"/>
      </w:pPr>
      <w:r>
        <w:lastRenderedPageBreak/>
        <w:t>9. Scan- en detectiematerialen</w:t>
      </w:r>
    </w:p>
    <w:p w:rsidR="0084290D" w:rsidRDefault="00CF5B93" w14:paraId="69494E1B" w14:textId="77777777">
      <w:pPr>
        <w:pStyle w:val="p"/>
      </w:pPr>
      <w:r>
        <w:t>Dit betreft budget voor de aanschaf van scan- en detectiematerialen door Douane, als onderdeel van de vervangingsopgave van scan- en detectiemateriaal voor het realiseren van afbouw van het gebruik van elektronica uit landen met een offensief cyberprogramma. Vanwege een verwachte subsidie vanuit Brussel in 2026 wordt € 17 mln. toegevoegd aan het budget; vervolgens wordt € 17 mln. doorgeschoven naar 2027 op basis van de geplande uitgaven.</w:t>
      </w:r>
    </w:p>
    <w:p w:rsidR="0084290D" w:rsidRDefault="00CF5B93" w14:paraId="3C463E0C" w14:textId="77777777">
      <w:pPr>
        <w:pStyle w:val="header-h2"/>
      </w:pPr>
      <w:r>
        <w:t>10. Eindejaarsmarge</w:t>
      </w:r>
    </w:p>
    <w:p w:rsidR="0084290D" w:rsidRDefault="00CF5B93" w14:paraId="6DC71CD6" w14:textId="77777777">
      <w:pPr>
        <w:pStyle w:val="p"/>
      </w:pPr>
      <w:r>
        <w:t>De eindejaarsmarge 2025 van € 53,7 mln. wordt toegevoegd aan de begroting van Financiën.</w:t>
      </w:r>
    </w:p>
    <w:p w:rsidR="0084290D" w:rsidP="00446A23" w:rsidRDefault="00CF5B93" w14:paraId="0AAA2CB7" w14:textId="77777777">
      <w:pPr>
        <w:pStyle w:val="header-h2"/>
      </w:pPr>
      <w:r>
        <w:t>11. Nog te verdelen</w:t>
      </w:r>
    </w:p>
    <w:p w:rsidR="005B7C30" w:rsidP="00446A23" w:rsidRDefault="005B7C30" w14:paraId="524FF5DA" w14:textId="6ED7F266">
      <w:pPr>
        <w:pStyle w:val="p"/>
      </w:pPr>
      <w:r w:rsidRPr="00446A23">
        <w:t>Voor diverse problematiek worden nog onverdeelde middelen op artikel 10 (per saldo circa € 15 mln. in 2026 en € 13 mln. structureel) ingezet. Het gaat hierbij met name om tariefstijgingen van Shared Service Organisaties en het Rijksvastgoedbedrijf en prijsstijgingen van ICT.</w:t>
      </w:r>
    </w:p>
    <w:p w:rsidR="005B7C30" w:rsidP="005B7C30" w:rsidRDefault="00CF5B93" w14:paraId="79F12277" w14:textId="0055AA99">
      <w:pPr>
        <w:pStyle w:val="header-h2"/>
      </w:pPr>
      <w:r>
        <w:t xml:space="preserve">12. </w:t>
      </w:r>
      <w:r w:rsidR="005B7C30">
        <w:t xml:space="preserve">loon- en prijsbijstelling </w:t>
      </w:r>
    </w:p>
    <w:p w:rsidR="005B7C30" w:rsidP="00446A23" w:rsidRDefault="005B7C30" w14:paraId="7A52B7C3" w14:textId="1710DF6F">
      <w:pPr>
        <w:pStyle w:val="p"/>
      </w:pPr>
      <w:r w:rsidRPr="00446A23">
        <w:t xml:space="preserve">De loon- en prijsbijstelling 2026 wordt toegevoegd aan de Financiënbegroting (€ 84 mln. in 2026 en € 47 mln. structureel). </w:t>
      </w:r>
    </w:p>
    <w:p w:rsidR="0084290D" w:rsidP="00446A23" w:rsidRDefault="00D212CD" w14:paraId="438896E6" w14:textId="1CEEA200">
      <w:pPr>
        <w:pStyle w:val="header-h2"/>
      </w:pPr>
      <w:r>
        <w:t xml:space="preserve">13. </w:t>
      </w:r>
      <w:r w:rsidR="00CF5B93">
        <w:t>Uitvoeringskosten nieuw financieringsstelsel kinderopvang (NFKO)</w:t>
      </w:r>
    </w:p>
    <w:p w:rsidR="0084290D" w:rsidRDefault="00CF5B93" w14:paraId="6A11DC94" w14:textId="2CBC8C53">
      <w:pPr>
        <w:pStyle w:val="p"/>
      </w:pPr>
      <w:r>
        <w:t>Voor de dekking van de uitvoeringskosten van het nieuwe financieringsstelsel kinderopvang (NFKO) is een beroep gedaan op gereserveerde middelen op de Aanvullende Post. Hiervoor wordt budget toegevoegd aan artikel 13 Toeslagen.</w:t>
      </w:r>
    </w:p>
    <w:p w:rsidR="0084290D" w:rsidRDefault="00CF5B93" w14:paraId="4A48109A" w14:textId="5860191A">
      <w:pPr>
        <w:pStyle w:val="header-h2"/>
      </w:pPr>
      <w:r>
        <w:t>1</w:t>
      </w:r>
      <w:r w:rsidR="00D212CD">
        <w:t>4</w:t>
      </w:r>
      <w:r>
        <w:t>. Toeslagen Herstel</w:t>
      </w:r>
    </w:p>
    <w:p w:rsidR="0084290D" w:rsidRDefault="00CF5B93" w14:paraId="49B1C0EE" w14:textId="77777777">
      <w:pPr>
        <w:pStyle w:val="p"/>
      </w:pPr>
      <w:r>
        <w:t xml:space="preserve">De raming van de Hersteloperatie is herijkt op basis van actuele inzichten in de ontwikkelingen binnen Toeslagen Herstel, waaronder de aanvullende schade en de SPUK brede ondersteuning. Als gevolg van de herijking worden € 389,5 mln. niet bestede middelen uit 2025 en middelen vanuit de Aanvullende Post (€ 254,6 mln.) toegevoegd aan de begroting. Deze middelen worden ingezet op het budget van personeel, opdrachten, bijdrage aan medeoverheden en (schade)vergoedingen. Tot slot vindt er een wijziging plaats in het kasritme van de herstelmiddelen, zowel door herschikkingen binnen het herstelbudget op artikel 13 Toeslagen, als de reservering op de Aanvullende Post. Het betreft een verschuiving van circa € 348,2 mln. vanuit 2027 en 2028 naar 2026 (€ 93,4 mln.), 2029 (€ 197,3 mln.) en 2030 (€ 57,5 mln.). Het budget in 2029 en 2030 is voornamelijk bestemd voor de brede ondersteuning door gemeenten. De middelen vanaf 2028 zijn bedoeld voor aanvullende schade voor ex-partners. Het integrale overzicht van de financiële stand van zaken van de Hersteloperatie Toeslagen en de voortgang per compensatieregeling is te vinden in de </w:t>
      </w:r>
      <w:hyperlink w:history="1" r:id="rId12">
        <w:r>
          <w:rPr>
            <w:color w:val="548DD4"/>
            <w:u w:val="single"/>
          </w:rPr>
          <w:t>voortgangsrapportage Hersteloperatie Toeslagen</w:t>
        </w:r>
      </w:hyperlink>
      <w:r>
        <w:rPr>
          <w:rStyle w:val="Voetnootmarkering"/>
        </w:rPr>
        <w:footnoteReference w:id="1"/>
      </w:r>
      <w:r>
        <w:t>. De totale raming van € 11,6 mld. blijft gelijk.</w:t>
      </w:r>
    </w:p>
    <w:p w:rsidR="0084290D" w:rsidRDefault="00CF5B93" w14:paraId="43435443" w14:textId="6500A079">
      <w:pPr>
        <w:pStyle w:val="header-h2"/>
      </w:pPr>
      <w:r>
        <w:t>1</w:t>
      </w:r>
      <w:r w:rsidR="00D212CD">
        <w:t>5</w:t>
      </w:r>
      <w:r>
        <w:t>. Tariefstijging Rijksvastgoedbedrijf (huisvesting)</w:t>
      </w:r>
    </w:p>
    <w:p w:rsidR="0084290D" w:rsidRDefault="00CF5B93" w14:paraId="0904541A" w14:textId="77777777">
      <w:pPr>
        <w:pStyle w:val="p"/>
      </w:pPr>
      <w:r>
        <w:t>De Belastingdienst, het kerndepartement en Douane hebben te maken met een gemiddelde tariefstijging per 2026 van circa 10% bij het Rijksvastgoedbedrijf.</w:t>
      </w:r>
    </w:p>
    <w:p w:rsidR="0084290D" w:rsidRDefault="0084290D" w14:paraId="061B210C" w14:textId="77777777">
      <w:pPr>
        <w:pStyle w:val="page-break"/>
      </w:pPr>
    </w:p>
    <w:tbl>
      <w:tblPr>
        <w:tblW w:w="5000" w:type="pct"/>
        <w:tblCellMar>
          <w:left w:w="10" w:type="dxa"/>
          <w:right w:w="10" w:type="dxa"/>
        </w:tblCellMar>
        <w:tblLook w:val="0000" w:firstRow="0" w:lastRow="0" w:firstColumn="0" w:lastColumn="0" w:noHBand="0" w:noVBand="0"/>
      </w:tblPr>
      <w:tblGrid>
        <w:gridCol w:w="3205"/>
        <w:gridCol w:w="713"/>
        <w:gridCol w:w="957"/>
        <w:gridCol w:w="959"/>
        <w:gridCol w:w="959"/>
        <w:gridCol w:w="959"/>
        <w:gridCol w:w="959"/>
        <w:gridCol w:w="955"/>
      </w:tblGrid>
      <w:tr w:rsidR="0084290D" w:rsidTr="007433BE" w14:paraId="06AD3E29" w14:textId="77777777">
        <w:trPr>
          <w:tblHeader/>
        </w:trPr>
        <w:tc>
          <w:tcPr>
            <w:tcW w:w="5000" w:type="pct"/>
            <w:gridSpan w:val="8"/>
            <w:tcMar>
              <w:top w:w="22" w:type="dxa"/>
              <w:left w:w="113" w:type="dxa"/>
              <w:bottom w:w="22" w:type="dxa"/>
            </w:tcMar>
          </w:tcPr>
          <w:p w:rsidR="0084290D" w:rsidRDefault="00CF5B93" w14:paraId="59CF744B" w14:textId="77777777">
            <w:pPr>
              <w:pStyle w:val="kio2-table-title"/>
            </w:pPr>
            <w:r>
              <w:t>Tabel 3 Overzicht belangrijkste suppletoire niet-belastingontvangsten 2026 (Eerste suppletoire begroting) (bedragen x € 1.000)</w:t>
            </w:r>
          </w:p>
        </w:tc>
      </w:tr>
      <w:tr w:rsidR="0084290D" w:rsidTr="007433BE" w14:paraId="4A6EFDE9" w14:textId="77777777">
        <w:trPr>
          <w:tblHeader/>
        </w:trPr>
        <w:tc>
          <w:tcPr>
            <w:tcW w:w="1658" w:type="pct"/>
            <w:tcBorders>
              <w:top w:val="single" w:color="000000" w:sz="2" w:space="0"/>
              <w:bottom w:val="single" w:color="009EE0" w:sz="2" w:space="0"/>
            </w:tcBorders>
            <w:tcMar>
              <w:top w:w="28" w:type="dxa"/>
              <w:bottom w:w="28" w:type="dxa"/>
              <w:right w:w="28" w:type="dxa"/>
            </w:tcMar>
          </w:tcPr>
          <w:p w:rsidRPr="006F2FC4" w:rsidR="0084290D" w:rsidRDefault="0084290D" w14:paraId="3F36675D" w14:textId="77777777">
            <w:pPr>
              <w:pStyle w:val="p-table"/>
              <w:rPr>
                <w:color w:val="000000"/>
                <w:sz w:val="13"/>
                <w:szCs w:val="13"/>
              </w:rPr>
            </w:pPr>
          </w:p>
        </w:tc>
        <w:tc>
          <w:tcPr>
            <w:tcW w:w="369"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52824AB" w14:textId="77777777">
            <w:pPr>
              <w:pStyle w:val="p-table"/>
              <w:jc w:val="right"/>
              <w:rPr>
                <w:color w:val="000000"/>
                <w:sz w:val="13"/>
                <w:szCs w:val="13"/>
              </w:rPr>
            </w:pPr>
            <w:r w:rsidRPr="006F2FC4">
              <w:rPr>
                <w:color w:val="000000"/>
                <w:sz w:val="13"/>
                <w:szCs w:val="13"/>
              </w:rPr>
              <w:t>Artikelnummer</w:t>
            </w:r>
          </w:p>
        </w:tc>
        <w:tc>
          <w:tcPr>
            <w:tcW w:w="49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0136B59" w14:textId="77777777">
            <w:pPr>
              <w:pStyle w:val="p-table"/>
              <w:jc w:val="right"/>
              <w:rPr>
                <w:color w:val="000000"/>
                <w:sz w:val="13"/>
                <w:szCs w:val="13"/>
              </w:rPr>
            </w:pPr>
            <w:r w:rsidRPr="006F2FC4">
              <w:rPr>
                <w:color w:val="000000"/>
                <w:sz w:val="13"/>
                <w:szCs w:val="13"/>
              </w:rPr>
              <w:t>Ontvangsten 2026</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409E3C9" w14:textId="77777777">
            <w:pPr>
              <w:pStyle w:val="p-table"/>
              <w:jc w:val="right"/>
              <w:rPr>
                <w:color w:val="000000"/>
                <w:sz w:val="13"/>
                <w:szCs w:val="13"/>
              </w:rPr>
            </w:pPr>
            <w:r w:rsidRPr="006F2FC4">
              <w:rPr>
                <w:color w:val="000000"/>
                <w:sz w:val="13"/>
                <w:szCs w:val="13"/>
              </w:rPr>
              <w:t>Ontvangsten 2027</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A74878A" w14:textId="77777777">
            <w:pPr>
              <w:pStyle w:val="p-table"/>
              <w:jc w:val="right"/>
              <w:rPr>
                <w:color w:val="000000"/>
                <w:sz w:val="13"/>
                <w:szCs w:val="13"/>
              </w:rPr>
            </w:pPr>
            <w:r w:rsidRPr="006F2FC4">
              <w:rPr>
                <w:color w:val="000000"/>
                <w:sz w:val="13"/>
                <w:szCs w:val="13"/>
              </w:rPr>
              <w:t>Ontvangsten 2028</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38073BB" w14:textId="77777777">
            <w:pPr>
              <w:pStyle w:val="p-table"/>
              <w:jc w:val="right"/>
              <w:rPr>
                <w:color w:val="000000"/>
                <w:sz w:val="13"/>
                <w:szCs w:val="13"/>
              </w:rPr>
            </w:pPr>
            <w:r w:rsidRPr="006F2FC4">
              <w:rPr>
                <w:color w:val="000000"/>
                <w:sz w:val="13"/>
                <w:szCs w:val="13"/>
              </w:rPr>
              <w:t>Ontvangsten 2029</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1E4820E" w14:textId="77777777">
            <w:pPr>
              <w:pStyle w:val="p-table"/>
              <w:jc w:val="right"/>
              <w:rPr>
                <w:color w:val="000000"/>
                <w:sz w:val="13"/>
                <w:szCs w:val="13"/>
              </w:rPr>
            </w:pPr>
            <w:r w:rsidRPr="006F2FC4">
              <w:rPr>
                <w:color w:val="000000"/>
                <w:sz w:val="13"/>
                <w:szCs w:val="13"/>
              </w:rPr>
              <w:t>Ontvangsten 2030</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65E4AF8" w14:textId="77777777">
            <w:pPr>
              <w:pStyle w:val="p-table"/>
              <w:jc w:val="right"/>
              <w:rPr>
                <w:color w:val="000000"/>
                <w:sz w:val="13"/>
                <w:szCs w:val="13"/>
              </w:rPr>
            </w:pPr>
            <w:r w:rsidRPr="006F2FC4">
              <w:rPr>
                <w:color w:val="000000"/>
                <w:sz w:val="13"/>
                <w:szCs w:val="13"/>
              </w:rPr>
              <w:t>Ontvangsten 2031</w:t>
            </w:r>
          </w:p>
        </w:tc>
      </w:tr>
      <w:tr w:rsidR="0084290D" w:rsidTr="007433BE" w14:paraId="3D0F1A82" w14:textId="77777777">
        <w:tc>
          <w:tcPr>
            <w:tcW w:w="1658" w:type="pct"/>
            <w:tcBorders>
              <w:bottom w:val="single" w:color="009EE0" w:sz="2" w:space="0"/>
            </w:tcBorders>
            <w:tcMar>
              <w:top w:w="22" w:type="dxa"/>
              <w:bottom w:w="22" w:type="dxa"/>
              <w:right w:w="28" w:type="dxa"/>
            </w:tcMar>
          </w:tcPr>
          <w:p w:rsidRPr="006F2FC4" w:rsidR="0084290D" w:rsidRDefault="00CF5B93" w14:paraId="1F0FAA1D" w14:textId="77777777">
            <w:pPr>
              <w:pStyle w:val="p-table"/>
              <w:rPr>
                <w:sz w:val="13"/>
                <w:szCs w:val="13"/>
              </w:rPr>
            </w:pPr>
            <w:r w:rsidRPr="006F2FC4">
              <w:rPr>
                <w:b/>
                <w:sz w:val="13"/>
                <w:szCs w:val="13"/>
              </w:rPr>
              <w:t>Stand begroting 2026</w:t>
            </w:r>
          </w:p>
        </w:tc>
        <w:tc>
          <w:tcPr>
            <w:tcW w:w="369" w:type="pct"/>
            <w:tcBorders>
              <w:bottom w:val="single" w:color="009EE0" w:sz="2" w:space="0"/>
            </w:tcBorders>
            <w:tcMar>
              <w:top w:w="22" w:type="dxa"/>
              <w:left w:w="28" w:type="dxa"/>
              <w:bottom w:w="22" w:type="dxa"/>
              <w:right w:w="28" w:type="dxa"/>
            </w:tcMar>
          </w:tcPr>
          <w:p w:rsidRPr="006F2FC4" w:rsidR="0084290D" w:rsidRDefault="0084290D" w14:paraId="36FDE58A"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55BB227" w14:textId="77777777">
            <w:pPr>
              <w:pStyle w:val="p-table"/>
              <w:jc w:val="right"/>
              <w:rPr>
                <w:sz w:val="13"/>
                <w:szCs w:val="13"/>
              </w:rPr>
            </w:pPr>
            <w:r w:rsidRPr="006F2FC4">
              <w:rPr>
                <w:b/>
                <w:sz w:val="13"/>
                <w:szCs w:val="13"/>
              </w:rPr>
              <w:t>4.046.880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9CE65E5" w14:textId="77777777">
            <w:pPr>
              <w:pStyle w:val="p-table"/>
              <w:jc w:val="right"/>
              <w:rPr>
                <w:sz w:val="13"/>
                <w:szCs w:val="13"/>
              </w:rPr>
            </w:pPr>
            <w:r w:rsidRPr="006F2FC4">
              <w:rPr>
                <w:b/>
                <w:sz w:val="13"/>
                <w:szCs w:val="13"/>
              </w:rPr>
              <w:t>4.338.607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2E27F954" w14:textId="77777777">
            <w:pPr>
              <w:pStyle w:val="p-table"/>
              <w:jc w:val="right"/>
              <w:rPr>
                <w:sz w:val="13"/>
                <w:szCs w:val="13"/>
              </w:rPr>
            </w:pPr>
            <w:r w:rsidRPr="006F2FC4">
              <w:rPr>
                <w:b/>
                <w:sz w:val="13"/>
                <w:szCs w:val="13"/>
              </w:rPr>
              <w:t>4.074.564</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4E94DE03" w14:textId="77777777">
            <w:pPr>
              <w:pStyle w:val="p-table"/>
              <w:jc w:val="right"/>
              <w:rPr>
                <w:sz w:val="13"/>
                <w:szCs w:val="13"/>
              </w:rPr>
            </w:pPr>
            <w:r w:rsidRPr="006F2FC4">
              <w:rPr>
                <w:b/>
                <w:sz w:val="13"/>
                <w:szCs w:val="13"/>
              </w:rPr>
              <w:t>4.278.858</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4015F268" w14:textId="77777777">
            <w:pPr>
              <w:pStyle w:val="p-table"/>
              <w:jc w:val="right"/>
              <w:rPr>
                <w:sz w:val="13"/>
                <w:szCs w:val="13"/>
              </w:rPr>
            </w:pPr>
            <w:r w:rsidRPr="006F2FC4">
              <w:rPr>
                <w:b/>
                <w:sz w:val="13"/>
                <w:szCs w:val="13"/>
              </w:rPr>
              <w:t>4.328.207</w:t>
            </w:r>
          </w:p>
        </w:tc>
        <w:tc>
          <w:tcPr>
            <w:tcW w:w="496" w:type="pct"/>
            <w:tcBorders>
              <w:bottom w:val="single" w:color="009EE0" w:sz="2" w:space="0"/>
            </w:tcBorders>
            <w:tcMar>
              <w:top w:w="22" w:type="dxa"/>
              <w:left w:w="28" w:type="dxa"/>
              <w:bottom w:w="22" w:type="dxa"/>
              <w:right w:w="28" w:type="dxa"/>
            </w:tcMar>
          </w:tcPr>
          <w:p w:rsidRPr="006F2FC4" w:rsidR="0084290D" w:rsidRDefault="0084290D" w14:paraId="2501470A" w14:textId="77777777">
            <w:pPr>
              <w:pStyle w:val="p-table"/>
              <w:rPr>
                <w:sz w:val="13"/>
                <w:szCs w:val="13"/>
              </w:rPr>
            </w:pPr>
          </w:p>
        </w:tc>
      </w:tr>
      <w:tr w:rsidR="0084290D" w:rsidTr="007433BE" w14:paraId="37ECC087" w14:textId="77777777">
        <w:tc>
          <w:tcPr>
            <w:tcW w:w="1658" w:type="pct"/>
            <w:tcBorders>
              <w:bottom w:val="single" w:color="009EE0" w:sz="2" w:space="0"/>
            </w:tcBorders>
            <w:tcMar>
              <w:top w:w="22" w:type="dxa"/>
              <w:bottom w:w="22" w:type="dxa"/>
              <w:right w:w="28" w:type="dxa"/>
            </w:tcMar>
          </w:tcPr>
          <w:p w:rsidRPr="006F2FC4" w:rsidR="0084290D" w:rsidRDefault="0084290D" w14:paraId="0778B8D5" w14:textId="77777777">
            <w:pPr>
              <w:pStyle w:val="p-table"/>
              <w:rPr>
                <w:sz w:val="13"/>
                <w:szCs w:val="13"/>
              </w:rPr>
            </w:pPr>
          </w:p>
        </w:tc>
        <w:tc>
          <w:tcPr>
            <w:tcW w:w="369" w:type="pct"/>
            <w:tcBorders>
              <w:bottom w:val="single" w:color="009EE0" w:sz="2" w:space="0"/>
            </w:tcBorders>
            <w:tcMar>
              <w:top w:w="22" w:type="dxa"/>
              <w:left w:w="28" w:type="dxa"/>
              <w:bottom w:w="22" w:type="dxa"/>
              <w:right w:w="28" w:type="dxa"/>
            </w:tcMar>
          </w:tcPr>
          <w:p w:rsidRPr="006F2FC4" w:rsidR="0084290D" w:rsidRDefault="0084290D" w14:paraId="3D57816C"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tcPr>
          <w:p w:rsidRPr="006F2FC4" w:rsidR="0084290D" w:rsidRDefault="0084290D" w14:paraId="610CCEFE"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436DE068"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6946D277"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5D051385"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26CAAB90"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48246969" w14:textId="77777777">
            <w:pPr>
              <w:pStyle w:val="p-table"/>
              <w:rPr>
                <w:sz w:val="13"/>
                <w:szCs w:val="13"/>
              </w:rPr>
            </w:pPr>
          </w:p>
        </w:tc>
      </w:tr>
      <w:tr w:rsidR="0084290D" w:rsidTr="007433BE" w14:paraId="395EDDCA" w14:textId="77777777">
        <w:tc>
          <w:tcPr>
            <w:tcW w:w="1658" w:type="pct"/>
            <w:tcBorders>
              <w:bottom w:val="single" w:color="009EE0" w:sz="2" w:space="0"/>
            </w:tcBorders>
            <w:tcMar>
              <w:top w:w="22" w:type="dxa"/>
              <w:bottom w:w="22" w:type="dxa"/>
              <w:right w:w="28" w:type="dxa"/>
            </w:tcMar>
          </w:tcPr>
          <w:p w:rsidRPr="006F2FC4" w:rsidR="0084290D" w:rsidRDefault="00CF5B93" w14:paraId="10A2DDA7" w14:textId="77777777">
            <w:pPr>
              <w:pStyle w:val="p-table"/>
              <w:rPr>
                <w:sz w:val="13"/>
                <w:szCs w:val="13"/>
              </w:rPr>
            </w:pPr>
            <w:r w:rsidRPr="006F2FC4">
              <w:rPr>
                <w:sz w:val="13"/>
                <w:szCs w:val="13"/>
              </w:rPr>
              <w:t>Mutaties coalitieakkoord:</w:t>
            </w:r>
          </w:p>
        </w:tc>
        <w:tc>
          <w:tcPr>
            <w:tcW w:w="369" w:type="pct"/>
            <w:tcBorders>
              <w:bottom w:val="single" w:color="009EE0" w:sz="2" w:space="0"/>
            </w:tcBorders>
            <w:tcMar>
              <w:top w:w="22" w:type="dxa"/>
              <w:left w:w="28" w:type="dxa"/>
              <w:bottom w:w="22" w:type="dxa"/>
              <w:right w:w="28" w:type="dxa"/>
            </w:tcMar>
          </w:tcPr>
          <w:p w:rsidRPr="006F2FC4" w:rsidR="0084290D" w:rsidRDefault="0084290D" w14:paraId="531E04A4"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1A4F187"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FD29BBC" w14:textId="77777777">
            <w:pPr>
              <w:pStyle w:val="p-table"/>
              <w:jc w:val="right"/>
              <w:rPr>
                <w:sz w:val="13"/>
                <w:szCs w:val="13"/>
              </w:rPr>
            </w:pPr>
            <w:r w:rsidRPr="006F2FC4">
              <w:rPr>
                <w:sz w:val="13"/>
                <w:szCs w:val="13"/>
              </w:rPr>
              <w:t>‒ 576</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DAD7760" w14:textId="77777777">
            <w:pPr>
              <w:pStyle w:val="p-table"/>
              <w:jc w:val="right"/>
              <w:rPr>
                <w:sz w:val="13"/>
                <w:szCs w:val="13"/>
              </w:rPr>
            </w:pPr>
            <w:r w:rsidRPr="006F2FC4">
              <w:rPr>
                <w:sz w:val="13"/>
                <w:szCs w:val="13"/>
              </w:rPr>
              <w:t>‒ 1.063</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2C9964A" w14:textId="77777777">
            <w:pPr>
              <w:pStyle w:val="p-table"/>
              <w:jc w:val="right"/>
              <w:rPr>
                <w:sz w:val="13"/>
                <w:szCs w:val="13"/>
              </w:rPr>
            </w:pPr>
            <w:r w:rsidRPr="006F2FC4">
              <w:rPr>
                <w:sz w:val="13"/>
                <w:szCs w:val="13"/>
              </w:rPr>
              <w:t>‒ 4.776</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A974477" w14:textId="77777777">
            <w:pPr>
              <w:pStyle w:val="p-table"/>
              <w:jc w:val="right"/>
              <w:rPr>
                <w:sz w:val="13"/>
                <w:szCs w:val="13"/>
              </w:rPr>
            </w:pPr>
            <w:r w:rsidRPr="006F2FC4">
              <w:rPr>
                <w:sz w:val="13"/>
                <w:szCs w:val="13"/>
              </w:rPr>
              <w:t>‒ 10.052</w:t>
            </w:r>
          </w:p>
        </w:tc>
        <w:tc>
          <w:tcPr>
            <w:tcW w:w="496" w:type="pct"/>
            <w:tcBorders>
              <w:bottom w:val="single" w:color="009EE0" w:sz="2" w:space="0"/>
            </w:tcBorders>
            <w:tcMar>
              <w:top w:w="22" w:type="dxa"/>
              <w:left w:w="28" w:type="dxa"/>
              <w:bottom w:w="22" w:type="dxa"/>
              <w:right w:w="28" w:type="dxa"/>
            </w:tcMar>
          </w:tcPr>
          <w:p w:rsidRPr="006F2FC4" w:rsidR="0084290D" w:rsidRDefault="0084290D" w14:paraId="682A49D2" w14:textId="77777777">
            <w:pPr>
              <w:pStyle w:val="p-table"/>
              <w:rPr>
                <w:sz w:val="13"/>
                <w:szCs w:val="13"/>
              </w:rPr>
            </w:pPr>
          </w:p>
        </w:tc>
      </w:tr>
      <w:tr w:rsidR="0084290D" w:rsidTr="007433BE" w14:paraId="0B1FBE5F" w14:textId="77777777">
        <w:tc>
          <w:tcPr>
            <w:tcW w:w="1658" w:type="pct"/>
            <w:tcBorders>
              <w:bottom w:val="single" w:color="009EE0" w:sz="2" w:space="0"/>
            </w:tcBorders>
            <w:tcMar>
              <w:top w:w="22" w:type="dxa"/>
              <w:bottom w:w="22" w:type="dxa"/>
              <w:right w:w="28" w:type="dxa"/>
            </w:tcMar>
          </w:tcPr>
          <w:p w:rsidRPr="006F2FC4" w:rsidR="0084290D" w:rsidRDefault="00CF5B93" w14:paraId="076F5724" w14:textId="77777777">
            <w:pPr>
              <w:pStyle w:val="p-table"/>
              <w:rPr>
                <w:sz w:val="13"/>
                <w:szCs w:val="13"/>
              </w:rPr>
            </w:pPr>
            <w:r w:rsidRPr="006F2FC4">
              <w:rPr>
                <w:sz w:val="13"/>
                <w:szCs w:val="13"/>
              </w:rPr>
              <w:t>1) Coalitieakkoord: efficiencytaakstelling</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556EC1DD" w14:textId="77777777">
            <w:pPr>
              <w:pStyle w:val="p-table"/>
              <w:jc w:val="right"/>
              <w:rPr>
                <w:sz w:val="13"/>
                <w:szCs w:val="13"/>
              </w:rPr>
            </w:pPr>
            <w:r w:rsidRPr="006F2FC4">
              <w:rPr>
                <w:sz w:val="13"/>
                <w:szCs w:val="13"/>
              </w:rPr>
              <w:t>div</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1510278F"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27CA5E7C" w14:textId="77777777">
            <w:pPr>
              <w:pStyle w:val="p-table"/>
              <w:jc w:val="right"/>
              <w:rPr>
                <w:sz w:val="13"/>
                <w:szCs w:val="13"/>
              </w:rPr>
            </w:pPr>
            <w:r w:rsidRPr="006F2FC4">
              <w:rPr>
                <w:sz w:val="13"/>
                <w:szCs w:val="13"/>
              </w:rPr>
              <w:t>‒ 576</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997841B" w14:textId="77777777">
            <w:pPr>
              <w:pStyle w:val="p-table"/>
              <w:jc w:val="right"/>
              <w:rPr>
                <w:sz w:val="13"/>
                <w:szCs w:val="13"/>
              </w:rPr>
            </w:pPr>
            <w:r w:rsidRPr="006F2FC4">
              <w:rPr>
                <w:sz w:val="13"/>
                <w:szCs w:val="13"/>
              </w:rPr>
              <w:t>‒ 1.063</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4B3B71B" w14:textId="77777777">
            <w:pPr>
              <w:pStyle w:val="p-table"/>
              <w:jc w:val="right"/>
              <w:rPr>
                <w:sz w:val="13"/>
                <w:szCs w:val="13"/>
              </w:rPr>
            </w:pPr>
            <w:r w:rsidRPr="006F2FC4">
              <w:rPr>
                <w:sz w:val="13"/>
                <w:szCs w:val="13"/>
              </w:rPr>
              <w:t>‒ 1.807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D846298" w14:textId="77777777">
            <w:pPr>
              <w:pStyle w:val="p-table"/>
              <w:jc w:val="right"/>
              <w:rPr>
                <w:sz w:val="13"/>
                <w:szCs w:val="13"/>
              </w:rPr>
            </w:pPr>
            <w:r w:rsidRPr="006F2FC4">
              <w:rPr>
                <w:sz w:val="13"/>
                <w:szCs w:val="13"/>
              </w:rPr>
              <w:t>‒ 2.608</w:t>
            </w:r>
          </w:p>
        </w:tc>
        <w:tc>
          <w:tcPr>
            <w:tcW w:w="496" w:type="pct"/>
            <w:tcBorders>
              <w:bottom w:val="single" w:color="009EE0" w:sz="2" w:space="0"/>
            </w:tcBorders>
            <w:tcMar>
              <w:top w:w="22" w:type="dxa"/>
              <w:left w:w="28" w:type="dxa"/>
              <w:bottom w:w="22" w:type="dxa"/>
              <w:right w:w="28" w:type="dxa"/>
            </w:tcMar>
          </w:tcPr>
          <w:p w:rsidRPr="006F2FC4" w:rsidR="0084290D" w:rsidRDefault="0084290D" w14:paraId="3AC74E9D" w14:textId="77777777">
            <w:pPr>
              <w:pStyle w:val="p-table"/>
              <w:rPr>
                <w:sz w:val="13"/>
                <w:szCs w:val="13"/>
              </w:rPr>
            </w:pPr>
          </w:p>
        </w:tc>
      </w:tr>
      <w:tr w:rsidR="0084290D" w:rsidTr="007433BE" w14:paraId="56AB7F97" w14:textId="77777777">
        <w:tc>
          <w:tcPr>
            <w:tcW w:w="1658" w:type="pct"/>
            <w:tcBorders>
              <w:bottom w:val="single" w:color="009EE0" w:sz="2" w:space="0"/>
            </w:tcBorders>
            <w:tcMar>
              <w:top w:w="22" w:type="dxa"/>
              <w:bottom w:w="22" w:type="dxa"/>
              <w:right w:w="28" w:type="dxa"/>
            </w:tcMar>
          </w:tcPr>
          <w:p w:rsidRPr="006F2FC4" w:rsidR="0084290D" w:rsidRDefault="00CF5B93" w14:paraId="5BD6F41D" w14:textId="77777777">
            <w:pPr>
              <w:pStyle w:val="p-table"/>
              <w:rPr>
                <w:sz w:val="13"/>
                <w:szCs w:val="13"/>
              </w:rPr>
            </w:pPr>
            <w:r w:rsidRPr="006F2FC4">
              <w:rPr>
                <w:sz w:val="13"/>
                <w:szCs w:val="13"/>
              </w:rPr>
              <w:t>2) Coalitieakkoord: taakstelling vernieuwing rijksdienst/slagvaardige overheid</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605FDFD0" w14:textId="77777777">
            <w:pPr>
              <w:pStyle w:val="p-table"/>
              <w:jc w:val="right"/>
              <w:rPr>
                <w:sz w:val="13"/>
                <w:szCs w:val="13"/>
              </w:rPr>
            </w:pPr>
            <w:r w:rsidRPr="006F2FC4">
              <w:rPr>
                <w:sz w:val="13"/>
                <w:szCs w:val="13"/>
              </w:rPr>
              <w:t>div</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591A2240"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AA0DC79"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836E506"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CFCF392" w14:textId="77777777">
            <w:pPr>
              <w:pStyle w:val="p-table"/>
              <w:jc w:val="right"/>
              <w:rPr>
                <w:sz w:val="13"/>
                <w:szCs w:val="13"/>
              </w:rPr>
            </w:pPr>
            <w:r w:rsidRPr="006F2FC4">
              <w:rPr>
                <w:sz w:val="13"/>
                <w:szCs w:val="13"/>
              </w:rPr>
              <w:t>‒ 2.969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2F18DA18" w14:textId="77777777">
            <w:pPr>
              <w:pStyle w:val="p-table"/>
              <w:jc w:val="right"/>
              <w:rPr>
                <w:sz w:val="13"/>
                <w:szCs w:val="13"/>
              </w:rPr>
            </w:pPr>
            <w:r w:rsidRPr="006F2FC4">
              <w:rPr>
                <w:sz w:val="13"/>
                <w:szCs w:val="13"/>
              </w:rPr>
              <w:t>‒ 7.444</w:t>
            </w:r>
          </w:p>
        </w:tc>
        <w:tc>
          <w:tcPr>
            <w:tcW w:w="496" w:type="pct"/>
            <w:tcBorders>
              <w:bottom w:val="single" w:color="009EE0" w:sz="2" w:space="0"/>
            </w:tcBorders>
            <w:tcMar>
              <w:top w:w="22" w:type="dxa"/>
              <w:left w:w="28" w:type="dxa"/>
              <w:bottom w:w="22" w:type="dxa"/>
              <w:right w:w="28" w:type="dxa"/>
            </w:tcMar>
          </w:tcPr>
          <w:p w:rsidRPr="006F2FC4" w:rsidR="0084290D" w:rsidRDefault="0084290D" w14:paraId="67738B14" w14:textId="77777777">
            <w:pPr>
              <w:pStyle w:val="p-table"/>
              <w:rPr>
                <w:sz w:val="13"/>
                <w:szCs w:val="13"/>
              </w:rPr>
            </w:pPr>
          </w:p>
        </w:tc>
      </w:tr>
      <w:tr w:rsidR="0084290D" w:rsidTr="007433BE" w14:paraId="6DFB5066" w14:textId="77777777">
        <w:tc>
          <w:tcPr>
            <w:tcW w:w="1658" w:type="pct"/>
            <w:tcBorders>
              <w:bottom w:val="single" w:color="009EE0" w:sz="2" w:space="0"/>
            </w:tcBorders>
            <w:tcMar>
              <w:top w:w="22" w:type="dxa"/>
              <w:bottom w:w="22" w:type="dxa"/>
              <w:right w:w="28" w:type="dxa"/>
            </w:tcMar>
          </w:tcPr>
          <w:p w:rsidRPr="006F2FC4" w:rsidR="0084290D" w:rsidRDefault="0084290D" w14:paraId="0C4AB154" w14:textId="77777777">
            <w:pPr>
              <w:pStyle w:val="p-table"/>
              <w:rPr>
                <w:sz w:val="13"/>
                <w:szCs w:val="13"/>
              </w:rPr>
            </w:pPr>
          </w:p>
        </w:tc>
        <w:tc>
          <w:tcPr>
            <w:tcW w:w="369" w:type="pct"/>
            <w:tcBorders>
              <w:bottom w:val="single" w:color="009EE0" w:sz="2" w:space="0"/>
            </w:tcBorders>
            <w:tcMar>
              <w:top w:w="22" w:type="dxa"/>
              <w:left w:w="28" w:type="dxa"/>
              <w:bottom w:w="22" w:type="dxa"/>
              <w:right w:w="28" w:type="dxa"/>
            </w:tcMar>
          </w:tcPr>
          <w:p w:rsidRPr="006F2FC4" w:rsidR="0084290D" w:rsidRDefault="0084290D" w14:paraId="2881A574"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tcPr>
          <w:p w:rsidRPr="006F2FC4" w:rsidR="0084290D" w:rsidRDefault="0084290D" w14:paraId="10B526FD"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10A57534"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368E15B2"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03E32449"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3BF3B719"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0FC404DD" w14:textId="77777777">
            <w:pPr>
              <w:pStyle w:val="p-table"/>
              <w:rPr>
                <w:sz w:val="13"/>
                <w:szCs w:val="13"/>
              </w:rPr>
            </w:pPr>
          </w:p>
        </w:tc>
      </w:tr>
      <w:tr w:rsidR="0084290D" w:rsidTr="007433BE" w14:paraId="33CD5824" w14:textId="77777777">
        <w:tc>
          <w:tcPr>
            <w:tcW w:w="1658" w:type="pct"/>
            <w:tcBorders>
              <w:bottom w:val="single" w:color="009EE0" w:sz="2" w:space="0"/>
            </w:tcBorders>
            <w:tcMar>
              <w:top w:w="22" w:type="dxa"/>
              <w:bottom w:w="22" w:type="dxa"/>
              <w:right w:w="28" w:type="dxa"/>
            </w:tcMar>
          </w:tcPr>
          <w:p w:rsidRPr="006F2FC4" w:rsidR="0084290D" w:rsidRDefault="00CF5B93" w14:paraId="5D484925" w14:textId="77777777">
            <w:pPr>
              <w:pStyle w:val="p-table"/>
              <w:rPr>
                <w:sz w:val="13"/>
                <w:szCs w:val="13"/>
              </w:rPr>
            </w:pPr>
            <w:r w:rsidRPr="006F2FC4">
              <w:rPr>
                <w:sz w:val="13"/>
                <w:szCs w:val="13"/>
              </w:rPr>
              <w:t>Belangrijkste suppletoire mutaties:</w:t>
            </w:r>
          </w:p>
        </w:tc>
        <w:tc>
          <w:tcPr>
            <w:tcW w:w="369" w:type="pct"/>
            <w:tcBorders>
              <w:bottom w:val="single" w:color="009EE0" w:sz="2" w:space="0"/>
            </w:tcBorders>
            <w:tcMar>
              <w:top w:w="22" w:type="dxa"/>
              <w:left w:w="28" w:type="dxa"/>
              <w:bottom w:w="22" w:type="dxa"/>
              <w:right w:w="28" w:type="dxa"/>
            </w:tcMar>
          </w:tcPr>
          <w:p w:rsidRPr="006F2FC4" w:rsidR="0084290D" w:rsidRDefault="0084290D" w14:paraId="392B0674"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tcPr>
          <w:p w:rsidRPr="006F2FC4" w:rsidR="0084290D" w:rsidRDefault="0084290D" w14:paraId="42A36D34"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12A12E4C"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4C79DB3F"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79DCDE38"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2945FE7C"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7D40A380" w14:textId="77777777">
            <w:pPr>
              <w:pStyle w:val="p-table"/>
              <w:rPr>
                <w:sz w:val="13"/>
                <w:szCs w:val="13"/>
              </w:rPr>
            </w:pPr>
          </w:p>
        </w:tc>
      </w:tr>
      <w:tr w:rsidR="0084290D" w:rsidTr="007433BE" w14:paraId="7DDCF6FB" w14:textId="77777777">
        <w:tc>
          <w:tcPr>
            <w:tcW w:w="1658" w:type="pct"/>
            <w:tcBorders>
              <w:bottom w:val="single" w:color="009EE0" w:sz="2" w:space="0"/>
            </w:tcBorders>
            <w:tcMar>
              <w:top w:w="22" w:type="dxa"/>
              <w:bottom w:w="22" w:type="dxa"/>
              <w:right w:w="28" w:type="dxa"/>
            </w:tcMar>
          </w:tcPr>
          <w:p w:rsidRPr="006F2FC4" w:rsidR="0084290D" w:rsidRDefault="00CF5B93" w14:paraId="67BB339E" w14:textId="77777777">
            <w:pPr>
              <w:pStyle w:val="p-table"/>
              <w:rPr>
                <w:sz w:val="13"/>
                <w:szCs w:val="13"/>
              </w:rPr>
            </w:pPr>
            <w:r w:rsidRPr="006F2FC4">
              <w:rPr>
                <w:sz w:val="13"/>
                <w:szCs w:val="13"/>
              </w:rPr>
              <w:t>1) Niet-belastingontvangsten</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13B82CBC" w14:textId="77777777">
            <w:pPr>
              <w:pStyle w:val="p-table"/>
              <w:jc w:val="right"/>
              <w:rPr>
                <w:sz w:val="13"/>
                <w:szCs w:val="13"/>
              </w:rPr>
            </w:pPr>
            <w:r w:rsidRPr="006F2FC4">
              <w:rPr>
                <w:sz w:val="13"/>
                <w:szCs w:val="13"/>
              </w:rPr>
              <w:t>1</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1B98F733" w14:textId="77777777">
            <w:pPr>
              <w:pStyle w:val="p-table"/>
              <w:jc w:val="right"/>
              <w:rPr>
                <w:sz w:val="13"/>
                <w:szCs w:val="13"/>
              </w:rPr>
            </w:pPr>
            <w:r w:rsidRPr="006F2FC4">
              <w:rPr>
                <w:sz w:val="13"/>
                <w:szCs w:val="13"/>
              </w:rPr>
              <w:t>68.629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6501D44" w14:textId="77777777">
            <w:pPr>
              <w:pStyle w:val="p-table"/>
              <w:jc w:val="right"/>
              <w:rPr>
                <w:sz w:val="13"/>
                <w:szCs w:val="13"/>
              </w:rPr>
            </w:pPr>
            <w:r w:rsidRPr="006F2FC4">
              <w:rPr>
                <w:sz w:val="13"/>
                <w:szCs w:val="13"/>
              </w:rPr>
              <w:t>56.399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A7FAD51" w14:textId="77777777">
            <w:pPr>
              <w:pStyle w:val="p-table"/>
              <w:jc w:val="right"/>
              <w:rPr>
                <w:sz w:val="13"/>
                <w:szCs w:val="13"/>
              </w:rPr>
            </w:pPr>
            <w:r w:rsidRPr="006F2FC4">
              <w:rPr>
                <w:sz w:val="13"/>
                <w:szCs w:val="13"/>
              </w:rPr>
              <w:t>56.399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F28E0AD" w14:textId="77777777">
            <w:pPr>
              <w:pStyle w:val="p-table"/>
              <w:jc w:val="right"/>
              <w:rPr>
                <w:sz w:val="13"/>
                <w:szCs w:val="13"/>
              </w:rPr>
            </w:pPr>
            <w:r w:rsidRPr="006F2FC4">
              <w:rPr>
                <w:sz w:val="13"/>
                <w:szCs w:val="13"/>
              </w:rPr>
              <w:t>56.399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E404E67" w14:textId="77777777">
            <w:pPr>
              <w:pStyle w:val="p-table"/>
              <w:jc w:val="right"/>
              <w:rPr>
                <w:sz w:val="13"/>
                <w:szCs w:val="13"/>
              </w:rPr>
            </w:pPr>
            <w:r w:rsidRPr="006F2FC4">
              <w:rPr>
                <w:sz w:val="13"/>
                <w:szCs w:val="13"/>
              </w:rPr>
              <w:t>56.399</w:t>
            </w:r>
          </w:p>
        </w:tc>
        <w:tc>
          <w:tcPr>
            <w:tcW w:w="496" w:type="pct"/>
            <w:tcBorders>
              <w:bottom w:val="single" w:color="009EE0" w:sz="2" w:space="0"/>
            </w:tcBorders>
            <w:tcMar>
              <w:top w:w="22" w:type="dxa"/>
              <w:left w:w="28" w:type="dxa"/>
              <w:bottom w:w="22" w:type="dxa"/>
              <w:right w:w="28" w:type="dxa"/>
            </w:tcMar>
          </w:tcPr>
          <w:p w:rsidRPr="006F2FC4" w:rsidR="0084290D" w:rsidRDefault="0084290D" w14:paraId="540C7B24" w14:textId="77777777">
            <w:pPr>
              <w:pStyle w:val="p-table"/>
              <w:rPr>
                <w:sz w:val="13"/>
                <w:szCs w:val="13"/>
              </w:rPr>
            </w:pPr>
          </w:p>
        </w:tc>
      </w:tr>
      <w:tr w:rsidR="00C30ADC" w:rsidTr="007433BE" w14:paraId="1B5AE0AF" w14:textId="77777777">
        <w:tc>
          <w:tcPr>
            <w:tcW w:w="1658" w:type="pct"/>
            <w:tcBorders>
              <w:bottom w:val="single" w:color="009EE0" w:sz="2" w:space="0"/>
            </w:tcBorders>
            <w:tcMar>
              <w:top w:w="22" w:type="dxa"/>
              <w:bottom w:w="22" w:type="dxa"/>
              <w:right w:w="28" w:type="dxa"/>
            </w:tcMar>
          </w:tcPr>
          <w:p w:rsidRPr="006F2FC4" w:rsidR="00C30ADC" w:rsidP="00C30ADC" w:rsidRDefault="00C30ADC" w14:paraId="20FBF266" w14:textId="77777777">
            <w:pPr>
              <w:pStyle w:val="p-table"/>
              <w:rPr>
                <w:sz w:val="13"/>
                <w:szCs w:val="13"/>
              </w:rPr>
            </w:pPr>
            <w:r w:rsidRPr="006F2FC4">
              <w:rPr>
                <w:sz w:val="13"/>
                <w:szCs w:val="13"/>
              </w:rPr>
              <w:t>2) Belasting- en invorderingsrente</w:t>
            </w:r>
          </w:p>
        </w:tc>
        <w:tc>
          <w:tcPr>
            <w:tcW w:w="369" w:type="pct"/>
            <w:tcBorders>
              <w:bottom w:val="single" w:color="009EE0" w:sz="2" w:space="0"/>
            </w:tcBorders>
            <w:tcMar>
              <w:top w:w="22" w:type="dxa"/>
              <w:left w:w="28" w:type="dxa"/>
              <w:bottom w:w="22" w:type="dxa"/>
              <w:right w:w="28" w:type="dxa"/>
            </w:tcMar>
            <w:vAlign w:val="center"/>
          </w:tcPr>
          <w:p w:rsidRPr="006F2FC4" w:rsidR="00C30ADC" w:rsidP="00C30ADC" w:rsidRDefault="00C30ADC" w14:paraId="7C8EE63A" w14:textId="77777777">
            <w:pPr>
              <w:pStyle w:val="p-table"/>
              <w:jc w:val="right"/>
              <w:rPr>
                <w:sz w:val="13"/>
                <w:szCs w:val="13"/>
              </w:rPr>
            </w:pPr>
            <w:r w:rsidRPr="006F2FC4">
              <w:rPr>
                <w:sz w:val="13"/>
                <w:szCs w:val="13"/>
              </w:rPr>
              <w:t>1, 9</w:t>
            </w:r>
          </w:p>
        </w:tc>
        <w:tc>
          <w:tcPr>
            <w:tcW w:w="495" w:type="pct"/>
            <w:tcBorders>
              <w:bottom w:val="single" w:color="009EE0" w:sz="2" w:space="0"/>
            </w:tcBorders>
            <w:tcMar>
              <w:top w:w="22" w:type="dxa"/>
              <w:left w:w="28" w:type="dxa"/>
              <w:bottom w:w="22" w:type="dxa"/>
              <w:right w:w="28" w:type="dxa"/>
            </w:tcMar>
          </w:tcPr>
          <w:p w:rsidRPr="006F2FC4" w:rsidR="00C30ADC" w:rsidP="00C30ADC" w:rsidRDefault="00C30ADC" w14:paraId="11234199" w14:textId="33EB397A">
            <w:pPr>
              <w:pStyle w:val="p-table"/>
              <w:jc w:val="right"/>
              <w:rPr>
                <w:sz w:val="13"/>
                <w:szCs w:val="13"/>
              </w:rPr>
            </w:pPr>
            <w:r w:rsidRPr="006F2FC4">
              <w:rPr>
                <w:sz w:val="13"/>
                <w:szCs w:val="13"/>
              </w:rPr>
              <w:t>‒ 30.586</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0984E3F" w14:textId="6208CD0B">
            <w:pPr>
              <w:pStyle w:val="p-table"/>
              <w:jc w:val="right"/>
              <w:rPr>
                <w:sz w:val="13"/>
                <w:szCs w:val="13"/>
              </w:rPr>
            </w:pPr>
            <w:r w:rsidRPr="006F2FC4">
              <w:rPr>
                <w:sz w:val="13"/>
                <w:szCs w:val="13"/>
              </w:rPr>
              <w:t>91.738</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DFE7B30" w14:textId="06AF0307">
            <w:pPr>
              <w:pStyle w:val="p-table"/>
              <w:jc w:val="right"/>
              <w:rPr>
                <w:sz w:val="13"/>
                <w:szCs w:val="13"/>
              </w:rPr>
            </w:pPr>
            <w:r w:rsidRPr="006F2FC4">
              <w:rPr>
                <w:sz w:val="13"/>
                <w:szCs w:val="13"/>
              </w:rPr>
              <w:t>92.905</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66C8B208" w14:textId="0313E9D4">
            <w:pPr>
              <w:pStyle w:val="p-table"/>
              <w:jc w:val="right"/>
              <w:rPr>
                <w:sz w:val="13"/>
                <w:szCs w:val="13"/>
              </w:rPr>
            </w:pPr>
            <w:r w:rsidRPr="006F2FC4">
              <w:rPr>
                <w:sz w:val="13"/>
                <w:szCs w:val="13"/>
              </w:rPr>
              <w:t>95.047</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C62D5B1" w14:textId="2DFE2C07">
            <w:pPr>
              <w:pStyle w:val="p-table"/>
              <w:jc w:val="right"/>
              <w:rPr>
                <w:sz w:val="13"/>
                <w:szCs w:val="13"/>
              </w:rPr>
            </w:pPr>
            <w:r w:rsidRPr="006F2FC4">
              <w:rPr>
                <w:sz w:val="13"/>
                <w:szCs w:val="13"/>
              </w:rPr>
              <w:t>96.615</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6ACB9A6" w14:textId="77777777">
            <w:pPr>
              <w:pStyle w:val="p-table"/>
              <w:rPr>
                <w:sz w:val="13"/>
                <w:szCs w:val="13"/>
              </w:rPr>
            </w:pPr>
          </w:p>
        </w:tc>
      </w:tr>
      <w:tr w:rsidR="0084290D" w:rsidTr="007433BE" w14:paraId="2D23CD4D" w14:textId="77777777">
        <w:tc>
          <w:tcPr>
            <w:tcW w:w="1658" w:type="pct"/>
            <w:tcBorders>
              <w:bottom w:val="single" w:color="009EE0" w:sz="2" w:space="0"/>
            </w:tcBorders>
            <w:tcMar>
              <w:top w:w="22" w:type="dxa"/>
              <w:bottom w:w="22" w:type="dxa"/>
              <w:right w:w="28" w:type="dxa"/>
            </w:tcMar>
          </w:tcPr>
          <w:p w:rsidRPr="006F2FC4" w:rsidR="0084290D" w:rsidRDefault="00CF5B93" w14:paraId="086A6914" w14:textId="77777777">
            <w:pPr>
              <w:pStyle w:val="p-table"/>
              <w:rPr>
                <w:sz w:val="13"/>
                <w:szCs w:val="13"/>
              </w:rPr>
            </w:pPr>
            <w:r w:rsidRPr="006F2FC4">
              <w:rPr>
                <w:sz w:val="13"/>
                <w:szCs w:val="13"/>
              </w:rPr>
              <w:t>3) Boeteontvangsten DNB en AFM</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754DCD06" w14:textId="77777777">
            <w:pPr>
              <w:pStyle w:val="p-table"/>
              <w:jc w:val="right"/>
              <w:rPr>
                <w:sz w:val="13"/>
                <w:szCs w:val="13"/>
              </w:rPr>
            </w:pPr>
            <w:r w:rsidRPr="006F2FC4">
              <w:rPr>
                <w:sz w:val="13"/>
                <w:szCs w:val="13"/>
              </w:rPr>
              <w:t>2</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4BF5830" w14:textId="77777777">
            <w:pPr>
              <w:pStyle w:val="p-table"/>
              <w:jc w:val="right"/>
              <w:rPr>
                <w:sz w:val="13"/>
                <w:szCs w:val="13"/>
              </w:rPr>
            </w:pPr>
            <w:r w:rsidRPr="006F2FC4">
              <w:rPr>
                <w:sz w:val="13"/>
                <w:szCs w:val="13"/>
              </w:rPr>
              <w:t>50.200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BA710C3"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33AF52F"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7DCFF18"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432E83B"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0003CEDE" w14:textId="77777777">
            <w:pPr>
              <w:pStyle w:val="p-table"/>
              <w:rPr>
                <w:sz w:val="13"/>
                <w:szCs w:val="13"/>
              </w:rPr>
            </w:pPr>
          </w:p>
        </w:tc>
      </w:tr>
      <w:tr w:rsidR="0084290D" w:rsidTr="007433BE" w14:paraId="20E29455" w14:textId="77777777">
        <w:tc>
          <w:tcPr>
            <w:tcW w:w="1658" w:type="pct"/>
            <w:tcBorders>
              <w:bottom w:val="single" w:color="009EE0" w:sz="2" w:space="0"/>
            </w:tcBorders>
            <w:tcMar>
              <w:top w:w="22" w:type="dxa"/>
              <w:bottom w:w="22" w:type="dxa"/>
              <w:right w:w="28" w:type="dxa"/>
            </w:tcMar>
          </w:tcPr>
          <w:p w:rsidRPr="006F2FC4" w:rsidR="0084290D" w:rsidRDefault="00CF5B93" w14:paraId="5187D4B8" w14:textId="77777777">
            <w:pPr>
              <w:pStyle w:val="p-table"/>
              <w:rPr>
                <w:sz w:val="13"/>
                <w:szCs w:val="13"/>
              </w:rPr>
            </w:pPr>
            <w:r w:rsidRPr="006F2FC4">
              <w:rPr>
                <w:sz w:val="13"/>
                <w:szCs w:val="13"/>
              </w:rPr>
              <w:t>4) Premieontvangsten garantie TenneT</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62F88506"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7314282B" w14:textId="77777777">
            <w:pPr>
              <w:pStyle w:val="p-table"/>
              <w:jc w:val="right"/>
              <w:rPr>
                <w:sz w:val="13"/>
                <w:szCs w:val="13"/>
              </w:rPr>
            </w:pPr>
            <w:r w:rsidRPr="006F2FC4">
              <w:rPr>
                <w:sz w:val="13"/>
                <w:szCs w:val="13"/>
              </w:rPr>
              <w:t>‒ 20.047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755F686" w14:textId="77777777">
            <w:pPr>
              <w:pStyle w:val="p-table"/>
              <w:jc w:val="right"/>
              <w:rPr>
                <w:sz w:val="13"/>
                <w:szCs w:val="13"/>
              </w:rPr>
            </w:pPr>
            <w:r w:rsidRPr="006F2FC4">
              <w:rPr>
                <w:sz w:val="13"/>
                <w:szCs w:val="13"/>
              </w:rPr>
              <w:t>‒ 36.693</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7DF6B16" w14:textId="77777777">
            <w:pPr>
              <w:pStyle w:val="p-table"/>
              <w:jc w:val="right"/>
              <w:rPr>
                <w:sz w:val="13"/>
                <w:szCs w:val="13"/>
              </w:rPr>
            </w:pPr>
            <w:r w:rsidRPr="006F2FC4">
              <w:rPr>
                <w:sz w:val="13"/>
                <w:szCs w:val="13"/>
              </w:rPr>
              <w:t>‒ 51.699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11C273A" w14:textId="77777777">
            <w:pPr>
              <w:pStyle w:val="p-table"/>
              <w:jc w:val="right"/>
              <w:rPr>
                <w:sz w:val="13"/>
                <w:szCs w:val="13"/>
              </w:rPr>
            </w:pPr>
            <w:r w:rsidRPr="006F2FC4">
              <w:rPr>
                <w:sz w:val="13"/>
                <w:szCs w:val="13"/>
              </w:rPr>
              <w:t>‒ 68.938</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301995B1" w14:textId="77777777">
            <w:pPr>
              <w:pStyle w:val="p-table"/>
              <w:jc w:val="right"/>
              <w:rPr>
                <w:sz w:val="13"/>
                <w:szCs w:val="13"/>
              </w:rPr>
            </w:pPr>
            <w:r w:rsidRPr="006F2FC4">
              <w:rPr>
                <w:sz w:val="13"/>
                <w:szCs w:val="13"/>
              </w:rPr>
              <w:t>‒ 78.988</w:t>
            </w:r>
          </w:p>
        </w:tc>
        <w:tc>
          <w:tcPr>
            <w:tcW w:w="496" w:type="pct"/>
            <w:tcBorders>
              <w:bottom w:val="single" w:color="009EE0" w:sz="2" w:space="0"/>
            </w:tcBorders>
            <w:tcMar>
              <w:top w:w="22" w:type="dxa"/>
              <w:left w:w="28" w:type="dxa"/>
              <w:bottom w:w="22" w:type="dxa"/>
              <w:right w:w="28" w:type="dxa"/>
            </w:tcMar>
          </w:tcPr>
          <w:p w:rsidRPr="006F2FC4" w:rsidR="0084290D" w:rsidRDefault="0084290D" w14:paraId="609074ED" w14:textId="77777777">
            <w:pPr>
              <w:pStyle w:val="p-table"/>
              <w:rPr>
                <w:sz w:val="13"/>
                <w:szCs w:val="13"/>
              </w:rPr>
            </w:pPr>
          </w:p>
        </w:tc>
      </w:tr>
      <w:tr w:rsidR="0084290D" w:rsidTr="007433BE" w14:paraId="693DF0E1" w14:textId="77777777">
        <w:tc>
          <w:tcPr>
            <w:tcW w:w="1658" w:type="pct"/>
            <w:tcBorders>
              <w:bottom w:val="single" w:color="009EE0" w:sz="2" w:space="0"/>
            </w:tcBorders>
            <w:tcMar>
              <w:top w:w="22" w:type="dxa"/>
              <w:bottom w:w="22" w:type="dxa"/>
              <w:right w:w="28" w:type="dxa"/>
            </w:tcMar>
          </w:tcPr>
          <w:p w:rsidRPr="006F2FC4" w:rsidR="0084290D" w:rsidRDefault="00CF5B93" w14:paraId="2F615626" w14:textId="77777777">
            <w:pPr>
              <w:pStyle w:val="p-table"/>
              <w:rPr>
                <w:sz w:val="13"/>
                <w:szCs w:val="13"/>
              </w:rPr>
            </w:pPr>
            <w:r w:rsidRPr="006F2FC4">
              <w:rPr>
                <w:sz w:val="13"/>
                <w:szCs w:val="13"/>
              </w:rPr>
              <w:t>5) Renteontvangsten lening TenneT</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4432BE68"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69BF6403" w14:textId="77777777">
            <w:pPr>
              <w:pStyle w:val="p-table"/>
              <w:jc w:val="right"/>
              <w:rPr>
                <w:sz w:val="13"/>
                <w:szCs w:val="13"/>
              </w:rPr>
            </w:pPr>
            <w:r w:rsidRPr="006F2FC4">
              <w:rPr>
                <w:sz w:val="13"/>
                <w:szCs w:val="13"/>
              </w:rPr>
              <w:t>‒ 124.017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E6CA4D3" w14:textId="77777777">
            <w:pPr>
              <w:pStyle w:val="p-table"/>
              <w:jc w:val="right"/>
              <w:rPr>
                <w:sz w:val="13"/>
                <w:szCs w:val="13"/>
              </w:rPr>
            </w:pPr>
            <w:r w:rsidRPr="006F2FC4">
              <w:rPr>
                <w:sz w:val="13"/>
                <w:szCs w:val="13"/>
              </w:rPr>
              <w:t>‒ 167.324</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8FC1568" w14:textId="77777777">
            <w:pPr>
              <w:pStyle w:val="p-table"/>
              <w:jc w:val="right"/>
              <w:rPr>
                <w:sz w:val="13"/>
                <w:szCs w:val="13"/>
              </w:rPr>
            </w:pPr>
            <w:r w:rsidRPr="006F2FC4">
              <w:rPr>
                <w:sz w:val="13"/>
                <w:szCs w:val="13"/>
              </w:rPr>
              <w:t>‒ 155.998</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9CE2034" w14:textId="77777777">
            <w:pPr>
              <w:pStyle w:val="p-table"/>
              <w:jc w:val="right"/>
              <w:rPr>
                <w:sz w:val="13"/>
                <w:szCs w:val="13"/>
              </w:rPr>
            </w:pPr>
            <w:r w:rsidRPr="006F2FC4">
              <w:rPr>
                <w:sz w:val="13"/>
                <w:szCs w:val="13"/>
              </w:rPr>
              <w:t>‒ 155.998</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3B65A88" w14:textId="77777777">
            <w:pPr>
              <w:pStyle w:val="p-table"/>
              <w:jc w:val="right"/>
              <w:rPr>
                <w:sz w:val="13"/>
                <w:szCs w:val="13"/>
              </w:rPr>
            </w:pPr>
            <w:r w:rsidRPr="006F2FC4">
              <w:rPr>
                <w:sz w:val="13"/>
                <w:szCs w:val="13"/>
              </w:rPr>
              <w:t>‒ 155.998</w:t>
            </w:r>
          </w:p>
        </w:tc>
        <w:tc>
          <w:tcPr>
            <w:tcW w:w="496" w:type="pct"/>
            <w:tcBorders>
              <w:bottom w:val="single" w:color="009EE0" w:sz="2" w:space="0"/>
            </w:tcBorders>
            <w:tcMar>
              <w:top w:w="22" w:type="dxa"/>
              <w:left w:w="28" w:type="dxa"/>
              <w:bottom w:w="22" w:type="dxa"/>
              <w:right w:w="28" w:type="dxa"/>
            </w:tcMar>
          </w:tcPr>
          <w:p w:rsidRPr="006F2FC4" w:rsidR="0084290D" w:rsidRDefault="0084290D" w14:paraId="15BC05F9" w14:textId="77777777">
            <w:pPr>
              <w:pStyle w:val="p-table"/>
              <w:rPr>
                <w:sz w:val="13"/>
                <w:szCs w:val="13"/>
              </w:rPr>
            </w:pPr>
          </w:p>
        </w:tc>
      </w:tr>
      <w:tr w:rsidR="0084290D" w:rsidTr="007433BE" w14:paraId="178322B5" w14:textId="77777777">
        <w:tc>
          <w:tcPr>
            <w:tcW w:w="1658" w:type="pct"/>
            <w:tcBorders>
              <w:bottom w:val="single" w:color="009EE0" w:sz="2" w:space="0"/>
            </w:tcBorders>
            <w:tcMar>
              <w:top w:w="22" w:type="dxa"/>
              <w:bottom w:w="22" w:type="dxa"/>
              <w:right w:w="28" w:type="dxa"/>
            </w:tcMar>
          </w:tcPr>
          <w:p w:rsidRPr="006F2FC4" w:rsidR="0084290D" w:rsidRDefault="00CF5B93" w14:paraId="084ED643" w14:textId="77777777">
            <w:pPr>
              <w:pStyle w:val="p-table"/>
              <w:rPr>
                <w:sz w:val="13"/>
                <w:szCs w:val="13"/>
              </w:rPr>
            </w:pPr>
            <w:r w:rsidRPr="006F2FC4">
              <w:rPr>
                <w:sz w:val="13"/>
                <w:szCs w:val="13"/>
              </w:rPr>
              <w:t>6) Verkoop aandelen ABN AMRO</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537E78BE"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35EAF7E7" w14:textId="77777777">
            <w:pPr>
              <w:pStyle w:val="p-table"/>
              <w:jc w:val="right"/>
              <w:rPr>
                <w:sz w:val="13"/>
                <w:szCs w:val="13"/>
              </w:rPr>
            </w:pPr>
            <w:r w:rsidRPr="006F2FC4">
              <w:rPr>
                <w:sz w:val="13"/>
                <w:szCs w:val="13"/>
              </w:rPr>
              <w:t>182.619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2351B75"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A6B165F"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945FD33"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2D0F5A55"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41092953" w14:textId="77777777">
            <w:pPr>
              <w:pStyle w:val="p-table"/>
              <w:rPr>
                <w:sz w:val="13"/>
                <w:szCs w:val="13"/>
              </w:rPr>
            </w:pPr>
          </w:p>
        </w:tc>
      </w:tr>
      <w:tr w:rsidR="0084290D" w:rsidTr="007433BE" w14:paraId="65AE18BB" w14:textId="77777777">
        <w:tc>
          <w:tcPr>
            <w:tcW w:w="1658" w:type="pct"/>
            <w:tcBorders>
              <w:bottom w:val="single" w:color="009EE0" w:sz="2" w:space="0"/>
            </w:tcBorders>
            <w:tcMar>
              <w:top w:w="22" w:type="dxa"/>
              <w:bottom w:w="22" w:type="dxa"/>
              <w:right w:w="28" w:type="dxa"/>
            </w:tcMar>
          </w:tcPr>
          <w:p w:rsidRPr="006F2FC4" w:rsidR="0084290D" w:rsidRDefault="00CF5B93" w14:paraId="1CD72D28" w14:textId="77777777">
            <w:pPr>
              <w:pStyle w:val="p-table"/>
              <w:rPr>
                <w:sz w:val="13"/>
                <w:szCs w:val="13"/>
              </w:rPr>
            </w:pPr>
            <w:r w:rsidRPr="006F2FC4">
              <w:rPr>
                <w:sz w:val="13"/>
                <w:szCs w:val="13"/>
              </w:rPr>
              <w:t>7) Dividenden staatsdeelnemingen</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05EC223D"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EEA354F" w14:textId="77777777">
            <w:pPr>
              <w:pStyle w:val="p-table"/>
              <w:jc w:val="right"/>
              <w:rPr>
                <w:sz w:val="13"/>
                <w:szCs w:val="13"/>
              </w:rPr>
            </w:pPr>
            <w:r w:rsidRPr="006F2FC4">
              <w:rPr>
                <w:sz w:val="13"/>
                <w:szCs w:val="13"/>
              </w:rPr>
              <w:t>68.935</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A0BE58E"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5722180" w14:textId="77777777">
            <w:pPr>
              <w:pStyle w:val="p-table"/>
              <w:jc w:val="right"/>
              <w:rPr>
                <w:sz w:val="13"/>
                <w:szCs w:val="13"/>
              </w:rPr>
            </w:pPr>
            <w:r w:rsidRPr="006F2FC4">
              <w:rPr>
                <w:sz w:val="13"/>
                <w:szCs w:val="13"/>
              </w:rPr>
              <w:t>25.000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67BE5B9"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A28A2DA" w14:textId="77777777">
            <w:pPr>
              <w:pStyle w:val="p-table"/>
              <w:jc w:val="right"/>
              <w:rPr>
                <w:sz w:val="13"/>
                <w:szCs w:val="13"/>
              </w:rPr>
            </w:pPr>
            <w:r w:rsidRPr="006F2FC4">
              <w:rPr>
                <w:sz w:val="13"/>
                <w:szCs w:val="13"/>
              </w:rPr>
              <w:t>‒ 10.000</w:t>
            </w:r>
          </w:p>
        </w:tc>
        <w:tc>
          <w:tcPr>
            <w:tcW w:w="496" w:type="pct"/>
            <w:tcBorders>
              <w:bottom w:val="single" w:color="009EE0" w:sz="2" w:space="0"/>
            </w:tcBorders>
            <w:tcMar>
              <w:top w:w="22" w:type="dxa"/>
              <w:left w:w="28" w:type="dxa"/>
              <w:bottom w:w="22" w:type="dxa"/>
              <w:right w:w="28" w:type="dxa"/>
            </w:tcMar>
          </w:tcPr>
          <w:p w:rsidRPr="006F2FC4" w:rsidR="0084290D" w:rsidRDefault="0084290D" w14:paraId="63FC6B52" w14:textId="77777777">
            <w:pPr>
              <w:pStyle w:val="p-table"/>
              <w:rPr>
                <w:sz w:val="13"/>
                <w:szCs w:val="13"/>
              </w:rPr>
            </w:pPr>
          </w:p>
        </w:tc>
      </w:tr>
      <w:tr w:rsidR="0084290D" w:rsidTr="007433BE" w14:paraId="669BB57B" w14:textId="77777777">
        <w:tc>
          <w:tcPr>
            <w:tcW w:w="1658" w:type="pct"/>
            <w:tcBorders>
              <w:bottom w:val="single" w:color="009EE0" w:sz="2" w:space="0"/>
            </w:tcBorders>
            <w:tcMar>
              <w:top w:w="22" w:type="dxa"/>
              <w:bottom w:w="22" w:type="dxa"/>
              <w:right w:w="28" w:type="dxa"/>
            </w:tcMar>
          </w:tcPr>
          <w:p w:rsidRPr="006F2FC4" w:rsidR="0084290D" w:rsidRDefault="00CF5B93" w14:paraId="62F7A602" w14:textId="77777777">
            <w:pPr>
              <w:pStyle w:val="p-table"/>
              <w:rPr>
                <w:sz w:val="13"/>
                <w:szCs w:val="13"/>
              </w:rPr>
            </w:pPr>
            <w:r w:rsidRPr="006F2FC4">
              <w:rPr>
                <w:sz w:val="13"/>
                <w:szCs w:val="13"/>
              </w:rPr>
              <w:t>8) Verkoopopbrengst TenneT Duitsland</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51A88007"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8447C90" w14:textId="77777777">
            <w:pPr>
              <w:pStyle w:val="p-table"/>
              <w:jc w:val="right"/>
              <w:rPr>
                <w:sz w:val="13"/>
                <w:szCs w:val="13"/>
              </w:rPr>
            </w:pPr>
            <w:r w:rsidRPr="006F2FC4">
              <w:rPr>
                <w:sz w:val="13"/>
                <w:szCs w:val="13"/>
              </w:rPr>
              <w:t>3.300.000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66B68FF"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1A7B974"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A828788" w14:textId="77777777">
            <w:pPr>
              <w:pStyle w:val="p-table"/>
              <w:jc w:val="right"/>
              <w:rPr>
                <w:sz w:val="13"/>
                <w:szCs w:val="13"/>
              </w:rPr>
            </w:pPr>
            <w:r w:rsidRPr="006F2FC4">
              <w:rPr>
                <w:sz w:val="13"/>
                <w:szCs w:val="13"/>
              </w:rPr>
              <w:t>1.500.000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C9657ED"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2EB8121D" w14:textId="77777777">
            <w:pPr>
              <w:pStyle w:val="p-table"/>
              <w:rPr>
                <w:sz w:val="13"/>
                <w:szCs w:val="13"/>
              </w:rPr>
            </w:pPr>
          </w:p>
        </w:tc>
      </w:tr>
      <w:tr w:rsidR="00C30ADC" w:rsidTr="007433BE" w14:paraId="183993F8" w14:textId="77777777">
        <w:tc>
          <w:tcPr>
            <w:tcW w:w="1658" w:type="pct"/>
            <w:tcBorders>
              <w:bottom w:val="single" w:color="009EE0" w:sz="2" w:space="0"/>
            </w:tcBorders>
            <w:tcMar>
              <w:top w:w="22" w:type="dxa"/>
              <w:bottom w:w="22" w:type="dxa"/>
              <w:right w:w="28" w:type="dxa"/>
            </w:tcMar>
          </w:tcPr>
          <w:p w:rsidRPr="006F2FC4" w:rsidR="00C30ADC" w:rsidP="00C30ADC" w:rsidRDefault="00C30ADC" w14:paraId="7E8E0C71" w14:textId="1EA18AA9">
            <w:pPr>
              <w:pStyle w:val="p-table"/>
              <w:rPr>
                <w:sz w:val="13"/>
                <w:szCs w:val="13"/>
              </w:rPr>
            </w:pPr>
            <w:r w:rsidRPr="006F2FC4">
              <w:rPr>
                <w:sz w:val="13"/>
                <w:szCs w:val="13"/>
              </w:rPr>
              <w:t>9) Kasschuif aflossing en rente bilaterale lening Oekraïne</w:t>
            </w:r>
          </w:p>
        </w:tc>
        <w:tc>
          <w:tcPr>
            <w:tcW w:w="369" w:type="pct"/>
            <w:tcBorders>
              <w:bottom w:val="single" w:color="009EE0" w:sz="2" w:space="0"/>
            </w:tcBorders>
            <w:tcMar>
              <w:top w:w="22" w:type="dxa"/>
              <w:left w:w="28" w:type="dxa"/>
              <w:bottom w:w="22" w:type="dxa"/>
              <w:right w:w="28" w:type="dxa"/>
            </w:tcMar>
            <w:vAlign w:val="center"/>
          </w:tcPr>
          <w:p w:rsidRPr="006F2FC4" w:rsidR="00C30ADC" w:rsidP="00C30ADC" w:rsidRDefault="00C30ADC" w14:paraId="2A80464F" w14:textId="77777777">
            <w:pPr>
              <w:pStyle w:val="p-table"/>
              <w:jc w:val="right"/>
              <w:rPr>
                <w:sz w:val="13"/>
                <w:szCs w:val="13"/>
              </w:rPr>
            </w:pPr>
            <w:r w:rsidRPr="006F2FC4">
              <w:rPr>
                <w:sz w:val="13"/>
                <w:szCs w:val="13"/>
              </w:rPr>
              <w:t>4</w:t>
            </w:r>
          </w:p>
        </w:tc>
        <w:tc>
          <w:tcPr>
            <w:tcW w:w="495" w:type="pct"/>
            <w:tcBorders>
              <w:bottom w:val="single" w:color="009EE0" w:sz="2" w:space="0"/>
            </w:tcBorders>
            <w:tcMar>
              <w:top w:w="22" w:type="dxa"/>
              <w:left w:w="28" w:type="dxa"/>
              <w:bottom w:w="22" w:type="dxa"/>
              <w:right w:w="28" w:type="dxa"/>
            </w:tcMar>
            <w:vAlign w:val="center"/>
          </w:tcPr>
          <w:p w:rsidRPr="006F2FC4" w:rsidR="00C30ADC" w:rsidP="00C30ADC" w:rsidRDefault="00C30ADC" w14:paraId="161616E6"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687932FE" w14:textId="167E1099">
            <w:pPr>
              <w:pStyle w:val="p-table"/>
              <w:jc w:val="right"/>
              <w:rPr>
                <w:sz w:val="13"/>
                <w:szCs w:val="13"/>
              </w:rPr>
            </w:pPr>
            <w:r w:rsidRPr="006F2FC4">
              <w:rPr>
                <w:sz w:val="13"/>
                <w:szCs w:val="13"/>
              </w:rPr>
              <w:t>‒ 36.671</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0CA63862" w14:textId="6DBC4695">
            <w:pPr>
              <w:pStyle w:val="p-table"/>
              <w:jc w:val="right"/>
              <w:rPr>
                <w:sz w:val="13"/>
                <w:szCs w:val="13"/>
              </w:rPr>
            </w:pPr>
            <w:r w:rsidRPr="006F2FC4">
              <w:rPr>
                <w:sz w:val="13"/>
                <w:szCs w:val="13"/>
              </w:rPr>
              <w:t>‒ 39.098</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5FCDAF9D" w14:textId="14AC2DE0">
            <w:pPr>
              <w:pStyle w:val="p-table"/>
              <w:jc w:val="right"/>
              <w:rPr>
                <w:sz w:val="13"/>
                <w:szCs w:val="13"/>
              </w:rPr>
            </w:pPr>
            <w:r w:rsidRPr="006F2FC4">
              <w:rPr>
                <w:sz w:val="13"/>
                <w:szCs w:val="13"/>
              </w:rPr>
              <w:t>‒ 37.884</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70D6F3B9" w14:textId="2C68A20C">
            <w:pPr>
              <w:pStyle w:val="p-table"/>
              <w:jc w:val="right"/>
              <w:rPr>
                <w:sz w:val="13"/>
                <w:szCs w:val="13"/>
              </w:rPr>
            </w:pPr>
            <w:r w:rsidRPr="006F2FC4">
              <w:rPr>
                <w:sz w:val="13"/>
                <w:szCs w:val="13"/>
              </w:rPr>
              <w:t>36.671</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0150EA4F" w14:textId="77777777">
            <w:pPr>
              <w:pStyle w:val="p-table"/>
              <w:rPr>
                <w:sz w:val="13"/>
                <w:szCs w:val="13"/>
              </w:rPr>
            </w:pPr>
          </w:p>
        </w:tc>
      </w:tr>
      <w:tr w:rsidR="0084290D" w:rsidTr="007433BE" w14:paraId="65F1E004" w14:textId="77777777">
        <w:tc>
          <w:tcPr>
            <w:tcW w:w="1658" w:type="pct"/>
            <w:tcBorders>
              <w:bottom w:val="single" w:color="009EE0" w:sz="2" w:space="0"/>
            </w:tcBorders>
            <w:tcMar>
              <w:top w:w="22" w:type="dxa"/>
              <w:bottom w:w="22" w:type="dxa"/>
              <w:right w:w="28" w:type="dxa"/>
            </w:tcMar>
          </w:tcPr>
          <w:p w:rsidRPr="006F2FC4" w:rsidR="0084290D" w:rsidRDefault="00CF5B93" w14:paraId="73EE5E91" w14:textId="77777777">
            <w:pPr>
              <w:pStyle w:val="p-table"/>
              <w:rPr>
                <w:sz w:val="13"/>
                <w:szCs w:val="13"/>
              </w:rPr>
            </w:pPr>
            <w:r w:rsidRPr="006F2FC4">
              <w:rPr>
                <w:sz w:val="13"/>
                <w:szCs w:val="13"/>
              </w:rPr>
              <w:t>10) Nieuwe EU-wetgeving e-commerce (Handling fee)</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1AAEE557" w14:textId="77777777">
            <w:pPr>
              <w:pStyle w:val="p-table"/>
              <w:jc w:val="right"/>
              <w:rPr>
                <w:sz w:val="13"/>
                <w:szCs w:val="13"/>
              </w:rPr>
            </w:pPr>
            <w:r w:rsidRPr="006F2FC4">
              <w:rPr>
                <w:sz w:val="13"/>
                <w:szCs w:val="13"/>
              </w:rPr>
              <w:t>9</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2A0F1D4"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EB084F" w14:paraId="336A26D6" w14:textId="2BB95F95">
            <w:pPr>
              <w:pStyle w:val="p-table"/>
              <w:jc w:val="right"/>
              <w:rPr>
                <w:sz w:val="13"/>
                <w:szCs w:val="13"/>
              </w:rPr>
            </w:pPr>
            <w:r>
              <w:rPr>
                <w:sz w:val="13"/>
                <w:szCs w:val="13"/>
              </w:rPr>
              <w:t>98.010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EB084F" w14:paraId="0A60AAE6" w14:textId="57CB1128">
            <w:pPr>
              <w:pStyle w:val="p-table"/>
              <w:jc w:val="right"/>
              <w:rPr>
                <w:sz w:val="13"/>
                <w:szCs w:val="13"/>
              </w:rPr>
            </w:pPr>
            <w:r>
              <w:rPr>
                <w:sz w:val="13"/>
                <w:szCs w:val="13"/>
              </w:rPr>
              <w:t>498.697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3988F426"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60B314B"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066EDBC6" w14:textId="77777777">
            <w:pPr>
              <w:pStyle w:val="p-table"/>
              <w:rPr>
                <w:sz w:val="13"/>
                <w:szCs w:val="13"/>
              </w:rPr>
            </w:pPr>
          </w:p>
        </w:tc>
      </w:tr>
      <w:tr w:rsidR="0084290D" w:rsidTr="007433BE" w14:paraId="7104C2A8" w14:textId="77777777">
        <w:tc>
          <w:tcPr>
            <w:tcW w:w="1658" w:type="pct"/>
            <w:tcBorders>
              <w:bottom w:val="single" w:color="009EE0" w:sz="2" w:space="0"/>
            </w:tcBorders>
            <w:tcMar>
              <w:top w:w="22" w:type="dxa"/>
              <w:bottom w:w="22" w:type="dxa"/>
              <w:right w:w="28" w:type="dxa"/>
            </w:tcMar>
          </w:tcPr>
          <w:p w:rsidRPr="006F2FC4" w:rsidR="0084290D" w:rsidRDefault="00CF5B93" w14:paraId="0B2BF64A" w14:textId="77777777">
            <w:pPr>
              <w:pStyle w:val="p-table"/>
              <w:rPr>
                <w:sz w:val="13"/>
                <w:szCs w:val="13"/>
              </w:rPr>
            </w:pPr>
            <w:r w:rsidRPr="006F2FC4">
              <w:rPr>
                <w:sz w:val="13"/>
                <w:szCs w:val="13"/>
              </w:rPr>
              <w:t>11) Scan- en detectiematerialen</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30941986" w14:textId="77777777">
            <w:pPr>
              <w:pStyle w:val="p-table"/>
              <w:jc w:val="right"/>
              <w:rPr>
                <w:sz w:val="13"/>
                <w:szCs w:val="13"/>
              </w:rPr>
            </w:pPr>
            <w:r w:rsidRPr="006F2FC4">
              <w:rPr>
                <w:sz w:val="13"/>
                <w:szCs w:val="13"/>
              </w:rPr>
              <w:t>9</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3CA3FCB3" w14:textId="77777777">
            <w:pPr>
              <w:pStyle w:val="p-table"/>
              <w:jc w:val="right"/>
              <w:rPr>
                <w:sz w:val="13"/>
                <w:szCs w:val="13"/>
              </w:rPr>
            </w:pPr>
            <w:r w:rsidRPr="006F2FC4">
              <w:rPr>
                <w:sz w:val="13"/>
                <w:szCs w:val="13"/>
              </w:rPr>
              <w:t>17.000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A2242C1"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F67DD41"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E9FB2E6"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F9EE271"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3D61EE6E" w14:textId="77777777">
            <w:pPr>
              <w:pStyle w:val="p-table"/>
              <w:rPr>
                <w:sz w:val="13"/>
                <w:szCs w:val="13"/>
              </w:rPr>
            </w:pPr>
          </w:p>
        </w:tc>
      </w:tr>
      <w:tr w:rsidR="00446A23" w:rsidTr="007433BE" w14:paraId="60471DC6" w14:textId="77777777">
        <w:tc>
          <w:tcPr>
            <w:tcW w:w="1658" w:type="pct"/>
            <w:tcBorders>
              <w:bottom w:val="single" w:color="009EE0" w:sz="2" w:space="0"/>
            </w:tcBorders>
            <w:tcMar>
              <w:top w:w="22" w:type="dxa"/>
              <w:bottom w:w="22" w:type="dxa"/>
              <w:right w:w="28" w:type="dxa"/>
            </w:tcMar>
          </w:tcPr>
          <w:p w:rsidRPr="006F2FC4" w:rsidR="00C30ADC" w:rsidP="00C30ADC" w:rsidRDefault="00C30ADC" w14:paraId="5EAC98EC" w14:textId="77777777">
            <w:pPr>
              <w:pStyle w:val="p-table"/>
              <w:rPr>
                <w:sz w:val="13"/>
                <w:szCs w:val="13"/>
              </w:rPr>
            </w:pPr>
            <w:r w:rsidRPr="006F2FC4">
              <w:rPr>
                <w:sz w:val="13"/>
                <w:szCs w:val="13"/>
              </w:rPr>
              <w:t>12) Overige mutaties &amp; extrapolatie</w:t>
            </w:r>
          </w:p>
        </w:tc>
        <w:tc>
          <w:tcPr>
            <w:tcW w:w="369" w:type="pct"/>
            <w:tcBorders>
              <w:bottom w:val="single" w:color="009EE0" w:sz="2" w:space="0"/>
            </w:tcBorders>
            <w:tcMar>
              <w:top w:w="22" w:type="dxa"/>
              <w:left w:w="28" w:type="dxa"/>
              <w:bottom w:w="22" w:type="dxa"/>
              <w:right w:w="28" w:type="dxa"/>
            </w:tcMar>
            <w:vAlign w:val="center"/>
          </w:tcPr>
          <w:p w:rsidRPr="006F2FC4" w:rsidR="00C30ADC" w:rsidP="00C30ADC" w:rsidRDefault="00C30ADC" w14:paraId="1E73732C" w14:textId="77777777">
            <w:pPr>
              <w:pStyle w:val="p-table"/>
              <w:jc w:val="right"/>
              <w:rPr>
                <w:sz w:val="13"/>
                <w:szCs w:val="13"/>
              </w:rPr>
            </w:pPr>
            <w:r w:rsidRPr="006F2FC4">
              <w:rPr>
                <w:sz w:val="13"/>
                <w:szCs w:val="13"/>
              </w:rPr>
              <w:t>div</w:t>
            </w:r>
          </w:p>
        </w:tc>
        <w:tc>
          <w:tcPr>
            <w:tcW w:w="495" w:type="pct"/>
            <w:tcBorders>
              <w:bottom w:val="single" w:color="009EE0" w:sz="2" w:space="0"/>
            </w:tcBorders>
            <w:tcMar>
              <w:top w:w="22" w:type="dxa"/>
              <w:left w:w="28" w:type="dxa"/>
              <w:bottom w:w="22" w:type="dxa"/>
              <w:right w:w="28" w:type="dxa"/>
            </w:tcMar>
          </w:tcPr>
          <w:p w:rsidRPr="006F2FC4" w:rsidR="00C30ADC" w:rsidP="00C30ADC" w:rsidRDefault="00C30ADC" w14:paraId="4E1625DE" w14:textId="451D7EA0">
            <w:pPr>
              <w:pStyle w:val="p-table"/>
              <w:jc w:val="right"/>
              <w:rPr>
                <w:sz w:val="13"/>
                <w:szCs w:val="13"/>
              </w:rPr>
            </w:pPr>
            <w:r w:rsidRPr="006F2FC4">
              <w:rPr>
                <w:sz w:val="13"/>
                <w:szCs w:val="13"/>
              </w:rPr>
              <w:t>24.734</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42B7890B" w14:textId="7AEA2C36">
            <w:pPr>
              <w:pStyle w:val="p-table"/>
              <w:jc w:val="right"/>
              <w:rPr>
                <w:sz w:val="13"/>
                <w:szCs w:val="13"/>
              </w:rPr>
            </w:pPr>
            <w:r w:rsidRPr="006F2FC4">
              <w:rPr>
                <w:sz w:val="13"/>
                <w:szCs w:val="13"/>
              </w:rPr>
              <w:t>‒ 1.017</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6114B35" w14:textId="48ACD2A9">
            <w:pPr>
              <w:pStyle w:val="p-table"/>
              <w:jc w:val="right"/>
              <w:rPr>
                <w:sz w:val="13"/>
                <w:szCs w:val="13"/>
              </w:rPr>
            </w:pPr>
            <w:r w:rsidRPr="006F2FC4">
              <w:rPr>
                <w:sz w:val="13"/>
                <w:szCs w:val="13"/>
              </w:rPr>
              <w:t>‒ 1.578</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07EEC6C" w14:textId="77EFA3DF">
            <w:pPr>
              <w:pStyle w:val="p-table"/>
              <w:jc w:val="right"/>
              <w:rPr>
                <w:sz w:val="13"/>
                <w:szCs w:val="13"/>
              </w:rPr>
            </w:pPr>
            <w:r w:rsidRPr="006F2FC4">
              <w:rPr>
                <w:sz w:val="13"/>
                <w:szCs w:val="13"/>
              </w:rPr>
              <w:t>‒ 1.223</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040BF9B" w14:textId="3F6E8F68">
            <w:pPr>
              <w:pStyle w:val="p-table"/>
              <w:jc w:val="right"/>
              <w:rPr>
                <w:sz w:val="13"/>
                <w:szCs w:val="13"/>
              </w:rPr>
            </w:pPr>
            <w:r w:rsidRPr="006F2FC4">
              <w:rPr>
                <w:sz w:val="13"/>
                <w:szCs w:val="13"/>
              </w:rPr>
              <w:t>‒ 2.519</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F036504" w14:textId="0F806A1E">
            <w:pPr>
              <w:pStyle w:val="p-table"/>
              <w:jc w:val="right"/>
              <w:rPr>
                <w:sz w:val="13"/>
                <w:szCs w:val="13"/>
              </w:rPr>
            </w:pPr>
            <w:r w:rsidRPr="006F2FC4">
              <w:rPr>
                <w:sz w:val="13"/>
                <w:szCs w:val="13"/>
              </w:rPr>
              <w:t>4.452.742</w:t>
            </w:r>
          </w:p>
        </w:tc>
      </w:tr>
      <w:tr w:rsidR="0084290D" w:rsidTr="007433BE" w14:paraId="392E17F0" w14:textId="77777777">
        <w:tc>
          <w:tcPr>
            <w:tcW w:w="1658" w:type="pct"/>
            <w:tcBorders>
              <w:bottom w:val="single" w:color="009EE0" w:sz="2" w:space="0"/>
            </w:tcBorders>
            <w:tcMar>
              <w:top w:w="22" w:type="dxa"/>
              <w:bottom w:w="22" w:type="dxa"/>
              <w:right w:w="28" w:type="dxa"/>
            </w:tcMar>
          </w:tcPr>
          <w:p w:rsidRPr="006F2FC4" w:rsidR="0084290D" w:rsidRDefault="0084290D" w14:paraId="234E0E2C" w14:textId="77777777">
            <w:pPr>
              <w:pStyle w:val="p-table"/>
              <w:rPr>
                <w:sz w:val="13"/>
                <w:szCs w:val="13"/>
              </w:rPr>
            </w:pPr>
          </w:p>
        </w:tc>
        <w:tc>
          <w:tcPr>
            <w:tcW w:w="369" w:type="pct"/>
            <w:tcBorders>
              <w:bottom w:val="single" w:color="009EE0" w:sz="2" w:space="0"/>
            </w:tcBorders>
            <w:tcMar>
              <w:top w:w="22" w:type="dxa"/>
              <w:left w:w="28" w:type="dxa"/>
              <w:bottom w:w="22" w:type="dxa"/>
              <w:right w:w="28" w:type="dxa"/>
            </w:tcMar>
          </w:tcPr>
          <w:p w:rsidRPr="006F2FC4" w:rsidR="0084290D" w:rsidRDefault="0084290D" w14:paraId="04826E47"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tcPr>
          <w:p w:rsidRPr="006F2FC4" w:rsidR="0084290D" w:rsidRDefault="0084290D" w14:paraId="1ACD476D"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5039EBD3"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5918E594"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2B2C3622"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5A25883F"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6CE8C72E" w14:textId="77777777">
            <w:pPr>
              <w:pStyle w:val="p-table"/>
              <w:rPr>
                <w:sz w:val="13"/>
                <w:szCs w:val="13"/>
              </w:rPr>
            </w:pPr>
          </w:p>
        </w:tc>
      </w:tr>
      <w:tr w:rsidR="00446A23" w:rsidTr="007433BE" w14:paraId="4C5F40DF" w14:textId="77777777">
        <w:tc>
          <w:tcPr>
            <w:tcW w:w="1658" w:type="pct"/>
            <w:tcBorders>
              <w:bottom w:val="single" w:color="009EE0" w:sz="2" w:space="0"/>
            </w:tcBorders>
            <w:tcMar>
              <w:top w:w="22" w:type="dxa"/>
              <w:bottom w:w="22" w:type="dxa"/>
              <w:right w:w="28" w:type="dxa"/>
            </w:tcMar>
          </w:tcPr>
          <w:p w:rsidRPr="006F2FC4" w:rsidR="00C30ADC" w:rsidP="00C30ADC" w:rsidRDefault="00C30ADC" w14:paraId="38591F24" w14:textId="77777777">
            <w:pPr>
              <w:pStyle w:val="p-table"/>
              <w:rPr>
                <w:b/>
                <w:bCs/>
                <w:sz w:val="13"/>
                <w:szCs w:val="13"/>
              </w:rPr>
            </w:pPr>
            <w:r w:rsidRPr="006F2FC4">
              <w:rPr>
                <w:b/>
                <w:bCs/>
                <w:sz w:val="13"/>
                <w:szCs w:val="13"/>
              </w:rPr>
              <w:t>Stand 1e suppletoire begroting 2026</w:t>
            </w:r>
          </w:p>
        </w:tc>
        <w:tc>
          <w:tcPr>
            <w:tcW w:w="369" w:type="pct"/>
            <w:tcBorders>
              <w:bottom w:val="single" w:color="009EE0" w:sz="2" w:space="0"/>
            </w:tcBorders>
            <w:tcMar>
              <w:top w:w="22" w:type="dxa"/>
              <w:left w:w="28" w:type="dxa"/>
              <w:bottom w:w="22" w:type="dxa"/>
              <w:right w:w="28" w:type="dxa"/>
            </w:tcMar>
          </w:tcPr>
          <w:p w:rsidRPr="006F2FC4" w:rsidR="00C30ADC" w:rsidP="00C30ADC" w:rsidRDefault="00C30ADC" w14:paraId="4E0C7075" w14:textId="77777777">
            <w:pPr>
              <w:pStyle w:val="p-table"/>
              <w:rPr>
                <w:b/>
                <w:bCs/>
                <w:sz w:val="13"/>
                <w:szCs w:val="13"/>
              </w:rPr>
            </w:pPr>
          </w:p>
        </w:tc>
        <w:tc>
          <w:tcPr>
            <w:tcW w:w="495" w:type="pct"/>
            <w:tcBorders>
              <w:bottom w:val="single" w:color="009EE0" w:sz="2" w:space="0"/>
            </w:tcBorders>
            <w:tcMar>
              <w:top w:w="22" w:type="dxa"/>
              <w:left w:w="28" w:type="dxa"/>
              <w:bottom w:w="22" w:type="dxa"/>
              <w:right w:w="28" w:type="dxa"/>
            </w:tcMar>
          </w:tcPr>
          <w:p w:rsidRPr="006F2FC4" w:rsidR="00C30ADC" w:rsidP="00C30ADC" w:rsidRDefault="00C30ADC" w14:paraId="4E43242D" w14:textId="4C73B280">
            <w:pPr>
              <w:pStyle w:val="p-table"/>
              <w:jc w:val="right"/>
              <w:rPr>
                <w:b/>
                <w:bCs/>
                <w:sz w:val="13"/>
                <w:szCs w:val="13"/>
              </w:rPr>
            </w:pPr>
            <w:r w:rsidRPr="006F2FC4">
              <w:rPr>
                <w:b/>
                <w:bCs/>
                <w:sz w:val="13"/>
                <w:szCs w:val="13"/>
              </w:rPr>
              <w:t>7.584.347</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00CFACDD" w14:textId="0D93BBC9">
            <w:pPr>
              <w:pStyle w:val="p-table"/>
              <w:jc w:val="right"/>
              <w:rPr>
                <w:b/>
                <w:bCs/>
                <w:sz w:val="13"/>
                <w:szCs w:val="13"/>
              </w:rPr>
            </w:pPr>
            <w:r w:rsidRPr="006F2FC4">
              <w:rPr>
                <w:b/>
                <w:bCs/>
                <w:sz w:val="13"/>
                <w:szCs w:val="13"/>
              </w:rPr>
              <w:t>4.342.473</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A275DF2" w14:textId="7797B4FB">
            <w:pPr>
              <w:pStyle w:val="p-table"/>
              <w:jc w:val="right"/>
              <w:rPr>
                <w:b/>
                <w:bCs/>
                <w:sz w:val="13"/>
                <w:szCs w:val="13"/>
              </w:rPr>
            </w:pPr>
            <w:r w:rsidRPr="006F2FC4">
              <w:rPr>
                <w:b/>
                <w:bCs/>
                <w:sz w:val="13"/>
                <w:szCs w:val="13"/>
              </w:rPr>
              <w:t>4.498.129</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34BE795" w14:textId="1206EC69">
            <w:pPr>
              <w:pStyle w:val="p-table"/>
              <w:jc w:val="right"/>
              <w:rPr>
                <w:b/>
                <w:bCs/>
                <w:sz w:val="13"/>
                <w:szCs w:val="13"/>
              </w:rPr>
            </w:pPr>
            <w:r w:rsidRPr="006F2FC4">
              <w:rPr>
                <w:b/>
                <w:bCs/>
                <w:sz w:val="13"/>
                <w:szCs w:val="13"/>
              </w:rPr>
              <w:t>5.661.485</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61FFF5D3" w14:textId="2EA828ED">
            <w:pPr>
              <w:pStyle w:val="p-table"/>
              <w:jc w:val="right"/>
              <w:rPr>
                <w:b/>
                <w:bCs/>
                <w:sz w:val="13"/>
                <w:szCs w:val="13"/>
              </w:rPr>
            </w:pPr>
            <w:r w:rsidRPr="006F2FC4">
              <w:rPr>
                <w:b/>
                <w:bCs/>
                <w:sz w:val="13"/>
                <w:szCs w:val="13"/>
              </w:rPr>
              <w:t>4.260.335</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386906C" w14:textId="0436C918">
            <w:pPr>
              <w:pStyle w:val="p-table"/>
              <w:jc w:val="right"/>
              <w:rPr>
                <w:b/>
                <w:bCs/>
                <w:sz w:val="13"/>
                <w:szCs w:val="13"/>
              </w:rPr>
            </w:pPr>
            <w:r w:rsidRPr="006F2FC4">
              <w:rPr>
                <w:b/>
                <w:bCs/>
                <w:sz w:val="13"/>
                <w:szCs w:val="13"/>
              </w:rPr>
              <w:t>4.452.742</w:t>
            </w:r>
          </w:p>
        </w:tc>
      </w:tr>
    </w:tbl>
    <w:p w:rsidR="0084290D" w:rsidRDefault="0084290D" w14:paraId="7D488958" w14:textId="77777777">
      <w:pPr>
        <w:pStyle w:val="p-marginbottom"/>
      </w:pPr>
    </w:p>
    <w:p w:rsidR="0084290D" w:rsidRDefault="00CF5B93" w14:paraId="62C9E91B" w14:textId="77777777">
      <w:pPr>
        <w:pStyle w:val="header-h1"/>
      </w:pPr>
      <w:r>
        <w:t>Toelichting</w:t>
      </w:r>
    </w:p>
    <w:p w:rsidR="0084290D" w:rsidRDefault="0084290D" w14:paraId="77009FA0" w14:textId="77777777">
      <w:pPr>
        <w:pStyle w:val="p-marginbottom"/>
      </w:pPr>
    </w:p>
    <w:p w:rsidR="0084290D" w:rsidRDefault="00CF5B93" w14:paraId="6DF8AFC3" w14:textId="77777777">
      <w:pPr>
        <w:pStyle w:val="header-h5"/>
      </w:pPr>
      <w:r>
        <w:t>Mutaties coalitieakkoord</w:t>
      </w:r>
    </w:p>
    <w:p w:rsidR="0084290D" w:rsidRDefault="00CF5B93" w14:paraId="787BC8BE" w14:textId="77777777">
      <w:pPr>
        <w:pStyle w:val="p"/>
      </w:pPr>
      <w:r>
        <w:t>Zie toelichting bij tabel 2 onder 'Mutaties coalitieakkoord: Apparaatstaakstellingen'.</w:t>
      </w:r>
    </w:p>
    <w:p w:rsidR="0084290D" w:rsidRDefault="00CF5B93" w14:paraId="3FD1196F" w14:textId="77777777">
      <w:pPr>
        <w:pStyle w:val="header-h5"/>
      </w:pPr>
      <w:r>
        <w:t>Belangrijkste suppletoire mutaties</w:t>
      </w:r>
    </w:p>
    <w:p w:rsidR="0084290D" w:rsidRDefault="00CF5B93" w14:paraId="53C98D44" w14:textId="77777777">
      <w:pPr>
        <w:pStyle w:val="header-h2"/>
      </w:pPr>
      <w:r>
        <w:t>1. Niet-belastingontvangsten</w:t>
      </w:r>
    </w:p>
    <w:p w:rsidR="0084290D" w:rsidRDefault="00CF5B93" w14:paraId="763D50A7" w14:textId="77777777">
      <w:pPr>
        <w:pStyle w:val="p"/>
      </w:pPr>
      <w:r>
        <w:t>De raming van de ontvangsten uit bestuurlijke boeten en uit het doorbelasten van invorderingsmaatregelen wordt verhoogd naar aanleiding van de hogere realisaties van het afgelopen jaar en de indexatie van de Kostenwet invordering rijksbelastingen en Besluit Bestuurlijke Boeten Belastingdienst.</w:t>
      </w:r>
    </w:p>
    <w:p w:rsidR="0084290D" w:rsidRDefault="00CF5B93" w14:paraId="294C068A" w14:textId="77777777">
      <w:pPr>
        <w:pStyle w:val="header-h2"/>
      </w:pPr>
      <w:r>
        <w:t>2. Belasting- en invorderingsrente</w:t>
      </w:r>
    </w:p>
    <w:p w:rsidR="0084290D" w:rsidRDefault="00CF5B93" w14:paraId="64A396F3" w14:textId="77777777">
      <w:pPr>
        <w:pStyle w:val="p"/>
      </w:pPr>
      <w:r>
        <w:t>De ontvangstenraming van de belasting- en invorderingsrente wordt geactualiseerd naar aanleiding van de nieuwe raming van de korte rente uit het Centraal Economisch Plan (CEP) van het Centraal Planbureau (CPB) en de realisatiecijfers uit 2025, die ruim € 200 mln. hoger waren dan geraamd. Daarnaast heeft de Hoge Raad op 16 januari 2026 geoordeeld dat het verhoogde percentage belastingrente voor de vennootschapsbelasting en enige andere middelen, in strijd is met algemene rechtsbeginselen en heeft de bepaling waarmee het verhoogde percentage wordt geregeld onverbindend verklaard. Dit leidt ertoe dat deze belastingrente wordt verlaagd naar het reguliere belastingrentepercentage. Dit leidt in 2026 tot € 264 mln. lagere ontvangsten en € 145 mln. lagere ontvangsten in latere jaren.</w:t>
      </w:r>
    </w:p>
    <w:p w:rsidR="0084290D" w:rsidRDefault="00CF5B93" w14:paraId="72E2D8AB" w14:textId="77777777">
      <w:pPr>
        <w:pStyle w:val="header-h2"/>
      </w:pPr>
      <w:r>
        <w:t>3. Boeteontvangsten DNB en AFM</w:t>
      </w:r>
    </w:p>
    <w:p w:rsidR="0084290D" w:rsidRDefault="00CF5B93" w14:paraId="039F03A6" w14:textId="77777777">
      <w:pPr>
        <w:pStyle w:val="p"/>
      </w:pPr>
      <w:r>
        <w:t>Een deel van de ontvangsten uit boetes en dwangsommen van De Nederlandse Bank (DNB) en de Autoriteit Financiële Markten (AFM) komen toe aan de Staat. In 2026 bedragen deze ontvangsten € 50,2 mln., vooral vanwege enkele grote boetes aan banken die in 2025 zijn geïnd, en die in 2026 worden afgedragen aan de Staat.</w:t>
      </w:r>
    </w:p>
    <w:p w:rsidR="0084290D" w:rsidRDefault="00CF5B93" w14:paraId="065B9D99" w14:textId="77777777">
      <w:pPr>
        <w:pStyle w:val="header-h2"/>
      </w:pPr>
      <w:r>
        <w:t>4. Premieontvangsten garantie TenneT</w:t>
      </w:r>
    </w:p>
    <w:p w:rsidR="0084290D" w:rsidRDefault="00CF5B93" w14:paraId="03B9A318" w14:textId="77777777">
      <w:pPr>
        <w:pStyle w:val="p"/>
      </w:pPr>
      <w:r>
        <w:t>De Staat ontvangt als garantieverstrekker garantiepremie voor het verstrekken van de garantie aan TenneT Nederland. Op basis van de meest recente marktconforme rentepercentages worden de premieontvangsten van de garantie aan TenneT meerjarig naar beneden bijgesteld.</w:t>
      </w:r>
    </w:p>
    <w:p w:rsidR="0084290D" w:rsidRDefault="00CF5B93" w14:paraId="03B27F27" w14:textId="77777777">
      <w:pPr>
        <w:pStyle w:val="header-h2"/>
      </w:pPr>
      <w:r>
        <w:t>5. Renteontvangsten lening TenneT</w:t>
      </w:r>
    </w:p>
    <w:p w:rsidR="0084290D" w:rsidRDefault="00CF5B93" w14:paraId="71C4ADD1" w14:textId="041C3E4D">
      <w:pPr>
        <w:pStyle w:val="p"/>
      </w:pPr>
      <w:r>
        <w:t xml:space="preserve">Op basis van de meest recente inzichten in de verwachte door </w:t>
      </w:r>
      <w:proofErr w:type="spellStart"/>
      <w:r>
        <w:t>TenneT</w:t>
      </w:r>
      <w:proofErr w:type="spellEnd"/>
      <w:r>
        <w:t xml:space="preserve"> te trekken </w:t>
      </w:r>
      <w:proofErr w:type="spellStart"/>
      <w:r>
        <w:t>leningdelen</w:t>
      </w:r>
      <w:proofErr w:type="spellEnd"/>
      <w:r>
        <w:t xml:space="preserve"> worden de verwachte ontvangsten op de lening aan TenneT meerjarig naar beneden bijgesteld. Met de garantie voor TenneT is inmiddels een structurele oplossing geïmplementeerd voor de financiering van TenneT Nederland. Tevens is met de deelname van private investeerders in TenneT Duitsland voor TenneT Duitsland in de kapitaalbehoefte voorzien. Dit maakt dat TenneT minder uit de </w:t>
      </w:r>
      <w:r w:rsidR="00710232">
        <w:t>leningsfaciliteit</w:t>
      </w:r>
      <w:r>
        <w:t xml:space="preserve"> hoeft op te nemen, en daarom ook minder rente hoeft te betalen.</w:t>
      </w:r>
    </w:p>
    <w:p w:rsidR="0084290D" w:rsidRDefault="00CF5B93" w14:paraId="214D230A" w14:textId="77777777">
      <w:pPr>
        <w:pStyle w:val="header-h2"/>
      </w:pPr>
      <w:r>
        <w:lastRenderedPageBreak/>
        <w:t>6. Verkoop aandelen ABN AMRO</w:t>
      </w:r>
    </w:p>
    <w:p w:rsidR="0084290D" w:rsidRDefault="00CF5B93" w14:paraId="2745F0B4" w14:textId="2761EE0B">
      <w:pPr>
        <w:pStyle w:val="p"/>
      </w:pPr>
      <w:r>
        <w:t>De verwachte verkoopopbrengsten van aandelen ABN AMRO worden met € 182,6 mln</w:t>
      </w:r>
      <w:r w:rsidR="001A41B9">
        <w:t>.</w:t>
      </w:r>
      <w:r>
        <w:t xml:space="preserve"> omhoog bijgesteld als gevolg van het lopende verkoopprogramma van aandelen ABN AMRO van de Staat.</w:t>
      </w:r>
    </w:p>
    <w:p w:rsidR="0084290D" w:rsidRDefault="00CF5B93" w14:paraId="412FFA77" w14:textId="77777777">
      <w:pPr>
        <w:pStyle w:val="header-h2"/>
      </w:pPr>
      <w:r>
        <w:t>7. Dividenden staatsdeelnemingen</w:t>
      </w:r>
    </w:p>
    <w:p w:rsidR="0084290D" w:rsidRDefault="00CF5B93" w14:paraId="68A86F3C" w14:textId="77777777">
      <w:pPr>
        <w:pStyle w:val="p"/>
      </w:pPr>
      <w:r>
        <w:t>De dividendraming wordt aangepast aan de meest recente informatie over het verwachte dividend van zowel de financiële staatsdeelnemingen als de niet-financiële staatsdeelnemingen, als gevolg van de huidige marktomstandigheden. Met betrekking tot Havenbedrijf Rotterdam is het dividendbeleid aangepast waardoor hogere dividenden worden verwacht.</w:t>
      </w:r>
    </w:p>
    <w:p w:rsidR="0084290D" w:rsidRDefault="00CF5B93" w14:paraId="20C03FFE" w14:textId="77777777">
      <w:pPr>
        <w:pStyle w:val="p"/>
      </w:pPr>
      <w:r>
        <w:t>In 2026 betreft het voor de financiële staatsdeelnemingen een verhoging van circa € 48,9 mln. en voor de niet-financiële staatsdeelnemingen betreft het een verhoging van circa € 20 mln.</w:t>
      </w:r>
    </w:p>
    <w:p w:rsidR="0084290D" w:rsidRDefault="00CF5B93" w14:paraId="0A63BC08" w14:textId="77777777">
      <w:pPr>
        <w:pStyle w:val="header-h2"/>
      </w:pPr>
      <w:r>
        <w:t>8. Verkoopopbrengst TenneT Duitsland</w:t>
      </w:r>
    </w:p>
    <w:p w:rsidR="0084290D" w:rsidRDefault="00CF5B93" w14:paraId="2F3140B2" w14:textId="6FA6E847">
      <w:pPr>
        <w:pStyle w:val="p"/>
      </w:pPr>
      <w:r>
        <w:t xml:space="preserve">De Duitse </w:t>
      </w:r>
      <w:r w:rsidR="003B28DC">
        <w:t>s</w:t>
      </w:r>
      <w:r>
        <w:t>taat verkrijgt in 2026 voor een bedrag van circa € 3,3 mld. aandelen in TenneT Duitsland. Dit gebeurt via een verkoop van aandelen die TenneT houdt in TenneT Duitsland. De Nederlandse staat heeft een aandeelhouderslening verstrekt aan TenneT. Met de opbrengsten door de deelname van de Duitse staat in TenneT Duitsland gaat TenneT een gedeelte van deze lening aflossen. Hiermee komen de opbrengsten toe aan de Nederlandse staat. Het betreft een niet-saldorelevante opbrengst van € 3,3 mld. in 2026 en bij een gelijkblijvende kapitaalbehoefte wordt uiterlijk in 2029 nogmaals circa € 1,5 mld. aan opbrengsten gerealiseerd.</w:t>
      </w:r>
    </w:p>
    <w:p w:rsidR="0084290D" w:rsidRDefault="00CF5B93" w14:paraId="0F8BB293" w14:textId="7E724C8F">
      <w:pPr>
        <w:pStyle w:val="header-h2"/>
      </w:pPr>
      <w:r>
        <w:t xml:space="preserve">9. Kasschuif aflossing </w:t>
      </w:r>
      <w:r w:rsidR="00C30ADC">
        <w:t xml:space="preserve">en rente </w:t>
      </w:r>
      <w:r>
        <w:t>bilaterale lening Oekraïne</w:t>
      </w:r>
    </w:p>
    <w:p w:rsidR="0084290D" w:rsidRDefault="00CF5B93" w14:paraId="7D4E76EF" w14:textId="64193EEF">
      <w:pPr>
        <w:pStyle w:val="p"/>
      </w:pPr>
      <w:r>
        <w:t xml:space="preserve">Dit betreft een uitstel van de betalingen (rente en aflossing) van Oekraïne aan Nederland die gepland stonden voor de jaren 2027 ‒ 2029. Reden voor het uitstel is de onhoudbare overheidsschuld van Oekraïne op dit moment en het politiek commitment dat Nederland heeft afgegeven Oekraïne te blijven steunen zolang als nodig is. Voorlopig zijn de betalingen verschoven naar </w:t>
      </w:r>
      <w:r w:rsidR="00C30ADC">
        <w:t>2030-2031</w:t>
      </w:r>
      <w:r>
        <w:t>, maar hier zijn nog geen afspraken over bekend. Over eventuele kwijtschelding van (delen van) de lening moet op een later moment worden besloten.</w:t>
      </w:r>
    </w:p>
    <w:p w:rsidR="0084290D" w:rsidRDefault="00CF5B93" w14:paraId="46359E3E" w14:textId="77777777">
      <w:pPr>
        <w:pStyle w:val="header-h2"/>
      </w:pPr>
      <w:r>
        <w:t>10. Nieuwe EU-wetgeving e-commerce (Handling fee)</w:t>
      </w:r>
    </w:p>
    <w:p w:rsidR="0084290D" w:rsidRDefault="00CF5B93" w14:paraId="12048E43" w14:textId="77777777">
      <w:pPr>
        <w:pStyle w:val="p"/>
      </w:pPr>
      <w:r>
        <w:t>De ontvangsten vanuit de Europese Handling fee worden geraamd op € 596,7 mln. in totaal. Deze ontvangsten worden volledig ingezet ter dekking van de uitvoeringskosten van de extra controle op de e-commercestroom binnen de meerjarenperiode.</w:t>
      </w:r>
    </w:p>
    <w:p w:rsidR="0084290D" w:rsidRDefault="00CF5B93" w14:paraId="53D25CBB" w14:textId="77777777">
      <w:pPr>
        <w:pStyle w:val="header-h2"/>
      </w:pPr>
      <w:r>
        <w:t>11. Scan- en detectiematerialen</w:t>
      </w:r>
    </w:p>
    <w:p w:rsidR="0084290D" w:rsidRDefault="00CF5B93" w14:paraId="483C5B35" w14:textId="36C95957">
      <w:pPr>
        <w:pStyle w:val="p"/>
      </w:pPr>
      <w:r>
        <w:t xml:space="preserve">De ontvangsten in 2026 worden met € 17 mln. verhoogd vanwege een verwachte subsidie vanuit de Europese Unie voor de aanschaf van scan- en detectieapparatuur door de Douane. Zie ook toelichting bij post </w:t>
      </w:r>
      <w:r w:rsidR="003B28DC">
        <w:t>9</w:t>
      </w:r>
      <w:r>
        <w:t> van de tabel Belangrijkste suppletoire uitgavenmutaties.</w:t>
      </w:r>
    </w:p>
    <w:p w:rsidR="0084290D" w:rsidRDefault="0084290D" w14:paraId="4E83E1F6" w14:textId="77777777">
      <w:pPr>
        <w:pStyle w:val="page-break"/>
      </w:pPr>
    </w:p>
    <w:p w:rsidR="0084290D" w:rsidRDefault="00CF5B93" w14:paraId="34806ED0" w14:textId="77777777">
      <w:pPr>
        <w:pStyle w:val="section-title-3"/>
      </w:pPr>
      <w:r>
        <w:t>2.2 Overzicht belangrijkste uitgaven- en ontvangstenmutaties IXA</w:t>
      </w:r>
    </w:p>
    <w:p w:rsidR="0084290D" w:rsidRDefault="00CF5B93" w14:paraId="3E27F03D" w14:textId="77777777">
      <w:pPr>
        <w:pStyle w:val="p"/>
      </w:pPr>
      <w:r>
        <w:t>In onderstaande tabellen worden de belangrijkste suppletoire uitgaven-(tabel 4) en ontvangstenmutaties (tabel 5) weergegeven.</w:t>
      </w:r>
    </w:p>
    <w:tbl>
      <w:tblPr>
        <w:tblW w:w="5000" w:type="pct"/>
        <w:tblCellMar>
          <w:left w:w="10" w:type="dxa"/>
          <w:right w:w="10" w:type="dxa"/>
        </w:tblCellMar>
        <w:tblLook w:val="0000" w:firstRow="0" w:lastRow="0" w:firstColumn="0" w:lastColumn="0" w:noHBand="0" w:noVBand="0"/>
      </w:tblPr>
      <w:tblGrid>
        <w:gridCol w:w="2579"/>
        <w:gridCol w:w="1013"/>
        <w:gridCol w:w="1013"/>
        <w:gridCol w:w="1013"/>
        <w:gridCol w:w="1013"/>
        <w:gridCol w:w="1013"/>
        <w:gridCol w:w="1013"/>
        <w:gridCol w:w="1009"/>
      </w:tblGrid>
      <w:tr w:rsidR="0084290D" w:rsidTr="007433BE" w14:paraId="0DB15A0A" w14:textId="77777777">
        <w:trPr>
          <w:tblHeader/>
        </w:trPr>
        <w:tc>
          <w:tcPr>
            <w:tcW w:w="5000" w:type="pct"/>
            <w:gridSpan w:val="8"/>
            <w:tcMar>
              <w:top w:w="22" w:type="dxa"/>
              <w:left w:w="113" w:type="dxa"/>
              <w:bottom w:w="22" w:type="dxa"/>
            </w:tcMar>
          </w:tcPr>
          <w:p w:rsidR="0084290D" w:rsidRDefault="00CF5B93" w14:paraId="1D38235D" w14:textId="77777777">
            <w:pPr>
              <w:pStyle w:val="kio2-table-title"/>
            </w:pPr>
            <w:r>
              <w:t>Tabel 4 Overzicht belangrijkste suppletoire uitgavenmutaties 2026 (Eerste suppletoire begroting) (bedragen x € 1.000)</w:t>
            </w:r>
          </w:p>
        </w:tc>
      </w:tr>
      <w:tr w:rsidR="0084290D" w:rsidTr="007433BE" w14:paraId="3DDFA9D6" w14:textId="77777777">
        <w:trPr>
          <w:tblHeader/>
        </w:trPr>
        <w:tc>
          <w:tcPr>
            <w:tcW w:w="1334" w:type="pct"/>
            <w:tcBorders>
              <w:top w:val="single" w:color="000000" w:sz="2" w:space="0"/>
              <w:bottom w:val="single" w:color="009EE0" w:sz="2" w:space="0"/>
            </w:tcBorders>
            <w:tcMar>
              <w:top w:w="28" w:type="dxa"/>
              <w:bottom w:w="28" w:type="dxa"/>
              <w:right w:w="28" w:type="dxa"/>
            </w:tcMar>
          </w:tcPr>
          <w:p w:rsidRPr="006F2FC4" w:rsidR="0084290D" w:rsidRDefault="0084290D" w14:paraId="67D7EE66" w14:textId="77777777">
            <w:pPr>
              <w:pStyle w:val="p-table"/>
              <w:rPr>
                <w:color w:val="000000"/>
                <w:sz w:val="13"/>
                <w:szCs w:val="13"/>
              </w:rPr>
            </w:pP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1E1A4CE" w14:textId="77777777">
            <w:pPr>
              <w:pStyle w:val="p-table"/>
              <w:jc w:val="right"/>
              <w:rPr>
                <w:color w:val="000000"/>
                <w:sz w:val="13"/>
                <w:szCs w:val="13"/>
              </w:rPr>
            </w:pPr>
            <w:r w:rsidRPr="006F2FC4">
              <w:rPr>
                <w:color w:val="000000"/>
                <w:sz w:val="13"/>
                <w:szCs w:val="13"/>
              </w:rPr>
              <w:t>Artikelnummer</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87C664D" w14:textId="77777777">
            <w:pPr>
              <w:pStyle w:val="p-table"/>
              <w:jc w:val="right"/>
              <w:rPr>
                <w:color w:val="000000"/>
                <w:sz w:val="13"/>
                <w:szCs w:val="13"/>
              </w:rPr>
            </w:pPr>
            <w:r w:rsidRPr="006F2FC4">
              <w:rPr>
                <w:color w:val="000000"/>
                <w:sz w:val="13"/>
                <w:szCs w:val="13"/>
              </w:rPr>
              <w:t>Uitgaven 2026</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76D6E4A" w14:textId="77777777">
            <w:pPr>
              <w:pStyle w:val="p-table"/>
              <w:jc w:val="right"/>
              <w:rPr>
                <w:color w:val="000000"/>
                <w:sz w:val="13"/>
                <w:szCs w:val="13"/>
              </w:rPr>
            </w:pPr>
            <w:r w:rsidRPr="006F2FC4">
              <w:rPr>
                <w:color w:val="000000"/>
                <w:sz w:val="13"/>
                <w:szCs w:val="13"/>
              </w:rPr>
              <w:t>Uitgaven 2027</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C2CF050" w14:textId="77777777">
            <w:pPr>
              <w:pStyle w:val="p-table"/>
              <w:jc w:val="right"/>
              <w:rPr>
                <w:color w:val="000000"/>
                <w:sz w:val="13"/>
                <w:szCs w:val="13"/>
              </w:rPr>
            </w:pPr>
            <w:r w:rsidRPr="006F2FC4">
              <w:rPr>
                <w:color w:val="000000"/>
                <w:sz w:val="13"/>
                <w:szCs w:val="13"/>
              </w:rPr>
              <w:t>Uitgaven 2028</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30C0853" w14:textId="77777777">
            <w:pPr>
              <w:pStyle w:val="p-table"/>
              <w:jc w:val="right"/>
              <w:rPr>
                <w:color w:val="000000"/>
                <w:sz w:val="13"/>
                <w:szCs w:val="13"/>
              </w:rPr>
            </w:pPr>
            <w:r w:rsidRPr="006F2FC4">
              <w:rPr>
                <w:color w:val="000000"/>
                <w:sz w:val="13"/>
                <w:szCs w:val="13"/>
              </w:rPr>
              <w:t>Uitgaven 2029</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FA83B22" w14:textId="77777777">
            <w:pPr>
              <w:pStyle w:val="p-table"/>
              <w:jc w:val="right"/>
              <w:rPr>
                <w:color w:val="000000"/>
                <w:sz w:val="13"/>
                <w:szCs w:val="13"/>
              </w:rPr>
            </w:pPr>
            <w:r w:rsidRPr="006F2FC4">
              <w:rPr>
                <w:color w:val="000000"/>
                <w:sz w:val="13"/>
                <w:szCs w:val="13"/>
              </w:rPr>
              <w:t>Uitgaven 2030</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3F15F3E" w14:textId="77777777">
            <w:pPr>
              <w:pStyle w:val="p-table"/>
              <w:jc w:val="right"/>
              <w:rPr>
                <w:color w:val="000000"/>
                <w:sz w:val="13"/>
                <w:szCs w:val="13"/>
              </w:rPr>
            </w:pPr>
            <w:r w:rsidRPr="006F2FC4">
              <w:rPr>
                <w:color w:val="000000"/>
                <w:sz w:val="13"/>
                <w:szCs w:val="13"/>
              </w:rPr>
              <w:t>Uitgaven 2031</w:t>
            </w:r>
          </w:p>
        </w:tc>
      </w:tr>
      <w:tr w:rsidR="0084290D" w:rsidTr="007433BE" w14:paraId="7BC8D2B3" w14:textId="77777777">
        <w:tc>
          <w:tcPr>
            <w:tcW w:w="1334" w:type="pct"/>
            <w:tcBorders>
              <w:bottom w:val="single" w:color="009EE0" w:sz="2" w:space="0"/>
            </w:tcBorders>
            <w:tcMar>
              <w:top w:w="22" w:type="dxa"/>
              <w:bottom w:w="22" w:type="dxa"/>
              <w:right w:w="28" w:type="dxa"/>
            </w:tcMar>
          </w:tcPr>
          <w:p w:rsidRPr="006F2FC4" w:rsidR="0084290D" w:rsidRDefault="00CF5B93" w14:paraId="48834830" w14:textId="77777777">
            <w:pPr>
              <w:pStyle w:val="p-table"/>
              <w:rPr>
                <w:sz w:val="13"/>
                <w:szCs w:val="13"/>
              </w:rPr>
            </w:pPr>
            <w:r w:rsidRPr="006F2FC4">
              <w:rPr>
                <w:b/>
                <w:sz w:val="13"/>
                <w:szCs w:val="13"/>
              </w:rPr>
              <w:t>Stand begroting 2026</w:t>
            </w:r>
          </w:p>
        </w:tc>
        <w:tc>
          <w:tcPr>
            <w:tcW w:w="524" w:type="pct"/>
            <w:tcBorders>
              <w:bottom w:val="single" w:color="009EE0" w:sz="2" w:space="0"/>
            </w:tcBorders>
            <w:tcMar>
              <w:top w:w="22" w:type="dxa"/>
              <w:left w:w="28" w:type="dxa"/>
              <w:bottom w:w="22" w:type="dxa"/>
              <w:right w:w="28" w:type="dxa"/>
            </w:tcMar>
          </w:tcPr>
          <w:p w:rsidRPr="006F2FC4" w:rsidR="0084290D" w:rsidRDefault="0084290D" w14:paraId="6F754448"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00C97F1D" w14:textId="77777777">
            <w:pPr>
              <w:pStyle w:val="p-table"/>
              <w:jc w:val="right"/>
              <w:rPr>
                <w:sz w:val="13"/>
                <w:szCs w:val="13"/>
              </w:rPr>
            </w:pPr>
            <w:r w:rsidRPr="006F2FC4">
              <w:rPr>
                <w:b/>
                <w:sz w:val="13"/>
                <w:szCs w:val="13"/>
              </w:rPr>
              <w:t>42.447.494</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4D1E1FE0" w14:textId="77777777">
            <w:pPr>
              <w:pStyle w:val="p-table"/>
              <w:jc w:val="right"/>
              <w:rPr>
                <w:sz w:val="13"/>
                <w:szCs w:val="13"/>
              </w:rPr>
            </w:pPr>
            <w:r w:rsidRPr="006F2FC4">
              <w:rPr>
                <w:b/>
                <w:sz w:val="13"/>
                <w:szCs w:val="13"/>
              </w:rPr>
              <w:t>48.917.607</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17B9B1E4" w14:textId="77777777">
            <w:pPr>
              <w:pStyle w:val="p-table"/>
              <w:jc w:val="right"/>
              <w:rPr>
                <w:sz w:val="13"/>
                <w:szCs w:val="13"/>
              </w:rPr>
            </w:pPr>
            <w:r w:rsidRPr="006F2FC4">
              <w:rPr>
                <w:b/>
                <w:sz w:val="13"/>
                <w:szCs w:val="13"/>
              </w:rPr>
              <w:t>50.210.485</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49EA2AC7" w14:textId="77777777">
            <w:pPr>
              <w:pStyle w:val="p-table"/>
              <w:jc w:val="right"/>
              <w:rPr>
                <w:sz w:val="13"/>
                <w:szCs w:val="13"/>
              </w:rPr>
            </w:pPr>
            <w:r w:rsidRPr="006F2FC4">
              <w:rPr>
                <w:b/>
                <w:sz w:val="13"/>
                <w:szCs w:val="13"/>
              </w:rPr>
              <w:t>51.091.079</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377801EA" w14:textId="77777777">
            <w:pPr>
              <w:pStyle w:val="p-table"/>
              <w:jc w:val="right"/>
              <w:rPr>
                <w:sz w:val="13"/>
                <w:szCs w:val="13"/>
              </w:rPr>
            </w:pPr>
            <w:r w:rsidRPr="006F2FC4">
              <w:rPr>
                <w:b/>
                <w:sz w:val="13"/>
                <w:szCs w:val="13"/>
              </w:rPr>
              <w:t>53.394.301</w:t>
            </w:r>
          </w:p>
        </w:tc>
        <w:tc>
          <w:tcPr>
            <w:tcW w:w="524" w:type="pct"/>
            <w:tcBorders>
              <w:bottom w:val="single" w:color="009EE0" w:sz="2" w:space="0"/>
            </w:tcBorders>
            <w:tcMar>
              <w:top w:w="22" w:type="dxa"/>
              <w:left w:w="28" w:type="dxa"/>
              <w:bottom w:w="22" w:type="dxa"/>
              <w:right w:w="28" w:type="dxa"/>
            </w:tcMar>
          </w:tcPr>
          <w:p w:rsidRPr="006F2FC4" w:rsidR="0084290D" w:rsidRDefault="0084290D" w14:paraId="11EE3DE2" w14:textId="77777777">
            <w:pPr>
              <w:pStyle w:val="p-table"/>
              <w:rPr>
                <w:sz w:val="13"/>
                <w:szCs w:val="13"/>
              </w:rPr>
            </w:pPr>
          </w:p>
        </w:tc>
      </w:tr>
      <w:tr w:rsidR="0084290D" w:rsidTr="007433BE" w14:paraId="565D5764" w14:textId="77777777">
        <w:tc>
          <w:tcPr>
            <w:tcW w:w="1334" w:type="pct"/>
            <w:tcBorders>
              <w:bottom w:val="single" w:color="009EE0" w:sz="2" w:space="0"/>
            </w:tcBorders>
            <w:tcMar>
              <w:top w:w="22" w:type="dxa"/>
              <w:bottom w:w="22" w:type="dxa"/>
              <w:right w:w="28" w:type="dxa"/>
            </w:tcMar>
          </w:tcPr>
          <w:p w:rsidRPr="006F2FC4" w:rsidR="0084290D" w:rsidRDefault="0084290D" w14:paraId="624827CB"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052B7FE0"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70D561C7"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5151258"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546D87F8"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0906124F"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8F912AD"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164E569C" w14:textId="77777777">
            <w:pPr>
              <w:pStyle w:val="p-table"/>
              <w:rPr>
                <w:sz w:val="13"/>
                <w:szCs w:val="13"/>
              </w:rPr>
            </w:pPr>
          </w:p>
        </w:tc>
      </w:tr>
      <w:tr w:rsidR="0084290D" w:rsidTr="007433BE" w14:paraId="2AB1EA96" w14:textId="77777777">
        <w:tc>
          <w:tcPr>
            <w:tcW w:w="1334" w:type="pct"/>
            <w:tcBorders>
              <w:bottom w:val="single" w:color="009EE0" w:sz="2" w:space="0"/>
            </w:tcBorders>
            <w:tcMar>
              <w:top w:w="22" w:type="dxa"/>
              <w:bottom w:w="22" w:type="dxa"/>
              <w:right w:w="28" w:type="dxa"/>
            </w:tcMar>
          </w:tcPr>
          <w:p w:rsidRPr="006F2FC4" w:rsidR="0084290D" w:rsidRDefault="00CF5B93" w14:paraId="55EE846C" w14:textId="77777777">
            <w:pPr>
              <w:pStyle w:val="p-table"/>
              <w:rPr>
                <w:sz w:val="13"/>
                <w:szCs w:val="13"/>
              </w:rPr>
            </w:pPr>
            <w:r w:rsidRPr="006F2FC4">
              <w:rPr>
                <w:sz w:val="13"/>
                <w:szCs w:val="13"/>
              </w:rPr>
              <w:t>Mutaties coalitieakkoord:</w:t>
            </w:r>
          </w:p>
        </w:tc>
        <w:tc>
          <w:tcPr>
            <w:tcW w:w="524" w:type="pct"/>
            <w:tcBorders>
              <w:bottom w:val="single" w:color="009EE0" w:sz="2" w:space="0"/>
            </w:tcBorders>
            <w:tcMar>
              <w:top w:w="22" w:type="dxa"/>
              <w:left w:w="28" w:type="dxa"/>
              <w:bottom w:w="22" w:type="dxa"/>
              <w:right w:w="28" w:type="dxa"/>
            </w:tcMar>
          </w:tcPr>
          <w:p w:rsidRPr="006F2FC4" w:rsidR="0084290D" w:rsidRDefault="0084290D" w14:paraId="3A5B0F0F"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525D7489"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664C8D8D"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21DF35A3"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0B1978C6"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6B3AED23"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tcPr>
          <w:p w:rsidRPr="006F2FC4" w:rsidR="0084290D" w:rsidRDefault="0084290D" w14:paraId="4EA8542C" w14:textId="77777777">
            <w:pPr>
              <w:pStyle w:val="p-table"/>
              <w:rPr>
                <w:sz w:val="13"/>
                <w:szCs w:val="13"/>
              </w:rPr>
            </w:pPr>
          </w:p>
        </w:tc>
      </w:tr>
      <w:tr w:rsidR="0084290D" w:rsidTr="007433BE" w14:paraId="177FD578" w14:textId="77777777">
        <w:tc>
          <w:tcPr>
            <w:tcW w:w="1334" w:type="pct"/>
            <w:tcBorders>
              <w:bottom w:val="single" w:color="009EE0" w:sz="2" w:space="0"/>
            </w:tcBorders>
            <w:tcMar>
              <w:top w:w="22" w:type="dxa"/>
              <w:bottom w:w="22" w:type="dxa"/>
              <w:right w:w="28" w:type="dxa"/>
            </w:tcMar>
          </w:tcPr>
          <w:p w:rsidRPr="006F2FC4" w:rsidR="0084290D" w:rsidRDefault="0084290D" w14:paraId="068144BA"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28364AF2"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5E5E24E"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1F27B39D"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51224961"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2B65E2AF"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7EB6223F"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2C4CC073" w14:textId="77777777">
            <w:pPr>
              <w:pStyle w:val="p-table"/>
              <w:rPr>
                <w:sz w:val="13"/>
                <w:szCs w:val="13"/>
              </w:rPr>
            </w:pPr>
          </w:p>
        </w:tc>
      </w:tr>
      <w:tr w:rsidR="0084290D" w:rsidTr="007433BE" w14:paraId="58F1D9DF" w14:textId="77777777">
        <w:tc>
          <w:tcPr>
            <w:tcW w:w="1334" w:type="pct"/>
            <w:tcBorders>
              <w:bottom w:val="single" w:color="009EE0" w:sz="2" w:space="0"/>
            </w:tcBorders>
            <w:tcMar>
              <w:top w:w="22" w:type="dxa"/>
              <w:bottom w:w="22" w:type="dxa"/>
              <w:right w:w="28" w:type="dxa"/>
            </w:tcMar>
          </w:tcPr>
          <w:p w:rsidRPr="006F2FC4" w:rsidR="0084290D" w:rsidRDefault="00CF5B93" w14:paraId="1E2D2055" w14:textId="77777777">
            <w:pPr>
              <w:pStyle w:val="p-table"/>
              <w:rPr>
                <w:sz w:val="13"/>
                <w:szCs w:val="13"/>
              </w:rPr>
            </w:pPr>
            <w:r w:rsidRPr="006F2FC4">
              <w:rPr>
                <w:sz w:val="13"/>
                <w:szCs w:val="13"/>
              </w:rPr>
              <w:t>Belangrijkste suppletoire mutaties:</w:t>
            </w:r>
          </w:p>
        </w:tc>
        <w:tc>
          <w:tcPr>
            <w:tcW w:w="524" w:type="pct"/>
            <w:tcBorders>
              <w:bottom w:val="single" w:color="009EE0" w:sz="2" w:space="0"/>
            </w:tcBorders>
            <w:tcMar>
              <w:top w:w="22" w:type="dxa"/>
              <w:left w:w="28" w:type="dxa"/>
              <w:bottom w:w="22" w:type="dxa"/>
              <w:right w:w="28" w:type="dxa"/>
            </w:tcMar>
          </w:tcPr>
          <w:p w:rsidRPr="006F2FC4" w:rsidR="0084290D" w:rsidRDefault="0084290D" w14:paraId="443E1826"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1D313748"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042297F5"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3E2C3A77"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1CBC45E"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1391B85"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6E1A132" w14:textId="77777777">
            <w:pPr>
              <w:pStyle w:val="p-table"/>
              <w:rPr>
                <w:sz w:val="13"/>
                <w:szCs w:val="13"/>
              </w:rPr>
            </w:pPr>
          </w:p>
        </w:tc>
      </w:tr>
      <w:tr w:rsidR="001F3AF4" w:rsidTr="007433BE" w14:paraId="71922957"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514030A1" w14:textId="77777777">
            <w:pPr>
              <w:pStyle w:val="p-table"/>
              <w:rPr>
                <w:sz w:val="13"/>
                <w:szCs w:val="13"/>
              </w:rPr>
            </w:pPr>
            <w:r w:rsidRPr="006F2FC4">
              <w:rPr>
                <w:sz w:val="13"/>
                <w:szCs w:val="13"/>
              </w:rPr>
              <w:t>1) Rente vaste schuld</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6966A8E" w14:textId="77777777">
            <w:pPr>
              <w:pStyle w:val="p-table"/>
              <w:jc w:val="right"/>
              <w:rPr>
                <w:sz w:val="13"/>
                <w:szCs w:val="13"/>
              </w:rPr>
            </w:pPr>
            <w:r w:rsidRPr="006F2FC4">
              <w:rPr>
                <w:sz w:val="13"/>
                <w:szCs w:val="13"/>
              </w:rPr>
              <w:t>11</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38289CC" w14:textId="2CDCC3C4">
            <w:pPr>
              <w:pStyle w:val="p-table"/>
              <w:jc w:val="right"/>
              <w:rPr>
                <w:sz w:val="13"/>
                <w:szCs w:val="13"/>
              </w:rPr>
            </w:pPr>
            <w:r w:rsidRPr="006F2FC4">
              <w:rPr>
                <w:sz w:val="13"/>
                <w:szCs w:val="13"/>
              </w:rPr>
              <w:t>-449.000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1ED4A7F" w14:textId="6E303E4C">
            <w:pPr>
              <w:pStyle w:val="p-table"/>
              <w:jc w:val="right"/>
              <w:rPr>
                <w:sz w:val="13"/>
                <w:szCs w:val="13"/>
              </w:rPr>
            </w:pPr>
            <w:r w:rsidRPr="006F2FC4">
              <w:rPr>
                <w:sz w:val="13"/>
                <w:szCs w:val="13"/>
              </w:rPr>
              <w:t>-453.000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74FDFDA" w14:textId="7427507A">
            <w:pPr>
              <w:pStyle w:val="p-table"/>
              <w:jc w:val="right"/>
              <w:rPr>
                <w:sz w:val="13"/>
                <w:szCs w:val="13"/>
              </w:rPr>
            </w:pPr>
            <w:r w:rsidRPr="006F2FC4">
              <w:rPr>
                <w:sz w:val="13"/>
                <w:szCs w:val="13"/>
              </w:rPr>
              <w:t>-273.000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0E4B6F76" w14:textId="0374FA7F">
            <w:pPr>
              <w:pStyle w:val="p-table"/>
              <w:jc w:val="right"/>
              <w:rPr>
                <w:sz w:val="13"/>
                <w:szCs w:val="13"/>
              </w:rPr>
            </w:pPr>
            <w:r w:rsidRPr="006F2FC4">
              <w:rPr>
                <w:sz w:val="13"/>
                <w:szCs w:val="13"/>
              </w:rPr>
              <w:t>-110.000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EFFBD5B" w14:textId="44F73049">
            <w:pPr>
              <w:pStyle w:val="p-table"/>
              <w:jc w:val="right"/>
              <w:rPr>
                <w:sz w:val="13"/>
                <w:szCs w:val="13"/>
              </w:rPr>
            </w:pPr>
            <w:r w:rsidRPr="006F2FC4">
              <w:rPr>
                <w:sz w:val="13"/>
                <w:szCs w:val="13"/>
              </w:rPr>
              <w:t>3.000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41054CE" w14:textId="2788D2D3">
            <w:pPr>
              <w:pStyle w:val="p-table"/>
              <w:rPr>
                <w:sz w:val="13"/>
                <w:szCs w:val="13"/>
              </w:rPr>
            </w:pPr>
            <w:r w:rsidRPr="006F2FC4">
              <w:rPr>
                <w:sz w:val="13"/>
                <w:szCs w:val="13"/>
              </w:rPr>
              <w:t> </w:t>
            </w:r>
          </w:p>
        </w:tc>
      </w:tr>
      <w:tr w:rsidR="001F3AF4" w:rsidTr="007433BE" w14:paraId="0604204F"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0F48EBE4" w14:textId="77777777">
            <w:pPr>
              <w:pStyle w:val="p-table"/>
              <w:rPr>
                <w:sz w:val="13"/>
                <w:szCs w:val="13"/>
              </w:rPr>
            </w:pPr>
            <w:r w:rsidRPr="006F2FC4">
              <w:rPr>
                <w:sz w:val="13"/>
                <w:szCs w:val="13"/>
              </w:rPr>
              <w:t>2) Rente vlottende schuld</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B8E31E9" w14:textId="77777777">
            <w:pPr>
              <w:pStyle w:val="p-table"/>
              <w:jc w:val="right"/>
              <w:rPr>
                <w:sz w:val="13"/>
                <w:szCs w:val="13"/>
              </w:rPr>
            </w:pPr>
            <w:r w:rsidRPr="006F2FC4">
              <w:rPr>
                <w:sz w:val="13"/>
                <w:szCs w:val="13"/>
              </w:rPr>
              <w:t>11</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91DBEAB" w14:textId="5A0432F0">
            <w:pPr>
              <w:pStyle w:val="p-table"/>
              <w:jc w:val="right"/>
              <w:rPr>
                <w:sz w:val="13"/>
                <w:szCs w:val="13"/>
              </w:rPr>
            </w:pPr>
            <w:r w:rsidRPr="006F2FC4">
              <w:rPr>
                <w:sz w:val="13"/>
                <w:szCs w:val="13"/>
              </w:rPr>
              <w:t>417.000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52865E3" w14:textId="6E2319E5">
            <w:pPr>
              <w:pStyle w:val="p-table"/>
              <w:jc w:val="right"/>
              <w:rPr>
                <w:sz w:val="13"/>
                <w:szCs w:val="13"/>
              </w:rPr>
            </w:pPr>
            <w:r w:rsidRPr="006F2FC4">
              <w:rPr>
                <w:sz w:val="13"/>
                <w:szCs w:val="13"/>
              </w:rPr>
              <w:t>841.000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9D97F0C" w14:textId="53A557EF">
            <w:pPr>
              <w:pStyle w:val="p-table"/>
              <w:jc w:val="right"/>
              <w:rPr>
                <w:sz w:val="13"/>
                <w:szCs w:val="13"/>
              </w:rPr>
            </w:pPr>
            <w:r w:rsidRPr="006F2FC4">
              <w:rPr>
                <w:sz w:val="13"/>
                <w:szCs w:val="13"/>
              </w:rPr>
              <w:t>912.000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7EBB112" w14:textId="092B3B7A">
            <w:pPr>
              <w:pStyle w:val="p-table"/>
              <w:jc w:val="right"/>
              <w:rPr>
                <w:sz w:val="13"/>
                <w:szCs w:val="13"/>
              </w:rPr>
            </w:pPr>
            <w:r w:rsidRPr="006F2FC4">
              <w:rPr>
                <w:sz w:val="13"/>
                <w:szCs w:val="13"/>
              </w:rPr>
              <w:t>984.000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7F4E4D8" w14:textId="5A956E04">
            <w:pPr>
              <w:pStyle w:val="p-table"/>
              <w:jc w:val="right"/>
              <w:rPr>
                <w:sz w:val="13"/>
                <w:szCs w:val="13"/>
              </w:rPr>
            </w:pPr>
            <w:r w:rsidRPr="006F2FC4">
              <w:rPr>
                <w:sz w:val="13"/>
                <w:szCs w:val="13"/>
              </w:rPr>
              <w:t>1.038.000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8FBFC1F" w14:textId="47BED5E0">
            <w:pPr>
              <w:pStyle w:val="p-table"/>
              <w:rPr>
                <w:sz w:val="13"/>
                <w:szCs w:val="13"/>
              </w:rPr>
            </w:pPr>
            <w:r w:rsidRPr="006F2FC4">
              <w:rPr>
                <w:sz w:val="13"/>
                <w:szCs w:val="13"/>
              </w:rPr>
              <w:t> </w:t>
            </w:r>
          </w:p>
        </w:tc>
      </w:tr>
      <w:tr w:rsidR="001F3AF4" w:rsidTr="007433BE" w14:paraId="40483AEA"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67583184" w14:textId="77777777">
            <w:pPr>
              <w:pStyle w:val="p-table"/>
              <w:rPr>
                <w:sz w:val="13"/>
                <w:szCs w:val="13"/>
              </w:rPr>
            </w:pPr>
            <w:r w:rsidRPr="006F2FC4">
              <w:rPr>
                <w:sz w:val="13"/>
                <w:szCs w:val="13"/>
              </w:rPr>
              <w:t>3) Aflossing vaste schuld</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D708559" w14:textId="77777777">
            <w:pPr>
              <w:pStyle w:val="p-table"/>
              <w:jc w:val="right"/>
              <w:rPr>
                <w:sz w:val="13"/>
                <w:szCs w:val="13"/>
              </w:rPr>
            </w:pPr>
            <w:r w:rsidRPr="006F2FC4">
              <w:rPr>
                <w:sz w:val="13"/>
                <w:szCs w:val="13"/>
              </w:rPr>
              <w:t>11</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0B86C7E" w14:textId="31AA8039">
            <w:pPr>
              <w:pStyle w:val="p-table"/>
              <w:jc w:val="right"/>
              <w:rPr>
                <w:sz w:val="13"/>
                <w:szCs w:val="13"/>
              </w:rPr>
            </w:pPr>
            <w:r w:rsidRPr="006F2FC4">
              <w:rPr>
                <w:sz w:val="13"/>
                <w:szCs w:val="13"/>
              </w:rPr>
              <w:t>220.000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E26EA59" w14:textId="7A7D2A4D">
            <w:pPr>
              <w:pStyle w:val="p-table"/>
              <w:jc w:val="right"/>
              <w:rPr>
                <w:sz w:val="13"/>
                <w:szCs w:val="13"/>
              </w:rPr>
            </w:pPr>
            <w:r w:rsidRPr="006F2FC4">
              <w:rPr>
                <w:sz w:val="13"/>
                <w:szCs w:val="13"/>
              </w:rPr>
              <w:t>-270.000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5F94A9A" w14:textId="2ECCC030">
            <w:pPr>
              <w:pStyle w:val="p-table"/>
              <w:jc w:val="right"/>
              <w:rPr>
                <w:sz w:val="13"/>
                <w:szCs w:val="13"/>
              </w:rPr>
            </w:pPr>
            <w:r w:rsidRPr="006F2FC4">
              <w:rPr>
                <w:sz w:val="13"/>
                <w:szCs w:val="13"/>
              </w:rPr>
              <w:t>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7AFA980" w14:textId="7FF5C0C8">
            <w:pPr>
              <w:pStyle w:val="p-table"/>
              <w:jc w:val="right"/>
              <w:rPr>
                <w:sz w:val="13"/>
                <w:szCs w:val="13"/>
              </w:rPr>
            </w:pPr>
            <w:r w:rsidRPr="006F2FC4">
              <w:rPr>
                <w:sz w:val="13"/>
                <w:szCs w:val="13"/>
              </w:rPr>
              <w:t>12.000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90645C7" w14:textId="11F1C693">
            <w:pPr>
              <w:pStyle w:val="p-table"/>
              <w:jc w:val="right"/>
              <w:rPr>
                <w:sz w:val="13"/>
                <w:szCs w:val="13"/>
              </w:rPr>
            </w:pPr>
            <w:r w:rsidRPr="006F2FC4">
              <w:rPr>
                <w:sz w:val="13"/>
                <w:szCs w:val="13"/>
              </w:rPr>
              <w:t>3.000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0AFB891" w14:textId="425AA5E4">
            <w:pPr>
              <w:pStyle w:val="p-table"/>
              <w:rPr>
                <w:sz w:val="13"/>
                <w:szCs w:val="13"/>
              </w:rPr>
            </w:pPr>
            <w:r w:rsidRPr="006F2FC4">
              <w:rPr>
                <w:sz w:val="13"/>
                <w:szCs w:val="13"/>
              </w:rPr>
              <w:t> </w:t>
            </w:r>
          </w:p>
        </w:tc>
      </w:tr>
      <w:tr w:rsidR="001F3AF4" w:rsidTr="007433BE" w14:paraId="4832EE68"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2E08EB3D" w14:textId="77777777">
            <w:pPr>
              <w:pStyle w:val="p-table"/>
              <w:rPr>
                <w:sz w:val="13"/>
                <w:szCs w:val="13"/>
              </w:rPr>
            </w:pPr>
            <w:r w:rsidRPr="006F2FC4">
              <w:rPr>
                <w:sz w:val="13"/>
                <w:szCs w:val="13"/>
              </w:rPr>
              <w:t>4) Rente kasbeheer</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73560E6" w14:textId="77777777">
            <w:pPr>
              <w:pStyle w:val="p-table"/>
              <w:jc w:val="right"/>
              <w:rPr>
                <w:sz w:val="13"/>
                <w:szCs w:val="13"/>
              </w:rPr>
            </w:pPr>
            <w:r w:rsidRPr="006F2FC4">
              <w:rPr>
                <w:sz w:val="13"/>
                <w:szCs w:val="13"/>
              </w:rPr>
              <w:t>12</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5D313F2" w14:textId="035BAA15">
            <w:pPr>
              <w:pStyle w:val="p-table"/>
              <w:jc w:val="right"/>
              <w:rPr>
                <w:sz w:val="13"/>
                <w:szCs w:val="13"/>
              </w:rPr>
            </w:pPr>
            <w:r w:rsidRPr="006F2FC4">
              <w:rPr>
                <w:sz w:val="13"/>
                <w:szCs w:val="13"/>
              </w:rPr>
              <w:t>457.514</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DB11430" w14:textId="6E988F57">
            <w:pPr>
              <w:pStyle w:val="p-table"/>
              <w:jc w:val="right"/>
              <w:rPr>
                <w:sz w:val="13"/>
                <w:szCs w:val="13"/>
              </w:rPr>
            </w:pPr>
            <w:r w:rsidRPr="006F2FC4">
              <w:rPr>
                <w:sz w:val="13"/>
                <w:szCs w:val="13"/>
              </w:rPr>
              <w:t>442.179</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D605725" w14:textId="6DBFE0C8">
            <w:pPr>
              <w:pStyle w:val="p-table"/>
              <w:jc w:val="right"/>
              <w:rPr>
                <w:sz w:val="13"/>
                <w:szCs w:val="13"/>
              </w:rPr>
            </w:pPr>
            <w:r w:rsidRPr="006F2FC4">
              <w:rPr>
                <w:sz w:val="13"/>
                <w:szCs w:val="13"/>
              </w:rPr>
              <w:t>551.326</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3FBFAE3" w14:textId="751F5350">
            <w:pPr>
              <w:pStyle w:val="p-table"/>
              <w:jc w:val="right"/>
              <w:rPr>
                <w:sz w:val="13"/>
                <w:szCs w:val="13"/>
              </w:rPr>
            </w:pPr>
            <w:r w:rsidRPr="006F2FC4">
              <w:rPr>
                <w:sz w:val="13"/>
                <w:szCs w:val="13"/>
              </w:rPr>
              <w:t>732.909</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4D4A524" w14:textId="4DCC0B3D">
            <w:pPr>
              <w:pStyle w:val="p-table"/>
              <w:jc w:val="right"/>
              <w:rPr>
                <w:sz w:val="13"/>
                <w:szCs w:val="13"/>
              </w:rPr>
            </w:pPr>
            <w:r w:rsidRPr="006F2FC4">
              <w:rPr>
                <w:sz w:val="13"/>
                <w:szCs w:val="13"/>
              </w:rPr>
              <w:t>954.592</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CD02547" w14:textId="57CAE19F">
            <w:pPr>
              <w:pStyle w:val="p-table"/>
              <w:rPr>
                <w:sz w:val="13"/>
                <w:szCs w:val="13"/>
              </w:rPr>
            </w:pPr>
            <w:r w:rsidRPr="006F2FC4">
              <w:rPr>
                <w:sz w:val="13"/>
                <w:szCs w:val="13"/>
              </w:rPr>
              <w:t> </w:t>
            </w:r>
          </w:p>
        </w:tc>
      </w:tr>
      <w:tr w:rsidR="001F3AF4" w:rsidTr="007433BE" w14:paraId="0D8FA45B"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64F0EEE9" w14:textId="77777777">
            <w:pPr>
              <w:pStyle w:val="p-table"/>
              <w:rPr>
                <w:sz w:val="13"/>
                <w:szCs w:val="13"/>
              </w:rPr>
            </w:pPr>
            <w:r w:rsidRPr="006F2FC4">
              <w:rPr>
                <w:sz w:val="13"/>
                <w:szCs w:val="13"/>
              </w:rPr>
              <w:t>5) Overige mutaties &amp; extrapolatie</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0A0A4667" w14:textId="77777777">
            <w:pPr>
              <w:pStyle w:val="p-table"/>
              <w:jc w:val="right"/>
              <w:rPr>
                <w:sz w:val="13"/>
                <w:szCs w:val="13"/>
              </w:rPr>
            </w:pPr>
            <w:r w:rsidRPr="006F2FC4">
              <w:rPr>
                <w:sz w:val="13"/>
                <w:szCs w:val="13"/>
              </w:rPr>
              <w:t>div</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73B8428" w14:textId="27D801A6">
            <w:pPr>
              <w:pStyle w:val="p-table"/>
              <w:jc w:val="right"/>
              <w:rPr>
                <w:sz w:val="13"/>
                <w:szCs w:val="13"/>
              </w:rPr>
            </w:pPr>
            <w:r w:rsidRPr="006F2FC4">
              <w:rPr>
                <w:sz w:val="13"/>
                <w:szCs w:val="13"/>
              </w:rPr>
              <w:t>2.006</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149C8D9" w14:textId="24C3F2A8">
            <w:pPr>
              <w:pStyle w:val="p-table"/>
              <w:jc w:val="right"/>
              <w:rPr>
                <w:sz w:val="13"/>
                <w:szCs w:val="13"/>
              </w:rPr>
            </w:pPr>
            <w:r w:rsidRPr="006F2FC4">
              <w:rPr>
                <w:sz w:val="13"/>
                <w:szCs w:val="13"/>
              </w:rPr>
              <w:t>900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6AB1044" w14:textId="0C40D719">
            <w:pPr>
              <w:pStyle w:val="p-table"/>
              <w:jc w:val="right"/>
              <w:rPr>
                <w:sz w:val="13"/>
                <w:szCs w:val="13"/>
              </w:rPr>
            </w:pPr>
            <w:r w:rsidRPr="006F2FC4">
              <w:rPr>
                <w:sz w:val="13"/>
                <w:szCs w:val="13"/>
              </w:rPr>
              <w:t>900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B9BB59A" w14:textId="2E88992C">
            <w:pPr>
              <w:pStyle w:val="p-table"/>
              <w:jc w:val="right"/>
              <w:rPr>
                <w:sz w:val="13"/>
                <w:szCs w:val="13"/>
              </w:rPr>
            </w:pPr>
            <w:r w:rsidRPr="006F2FC4">
              <w:rPr>
                <w:sz w:val="13"/>
                <w:szCs w:val="13"/>
              </w:rPr>
              <w:t>900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F92B7ED" w14:textId="49690493">
            <w:pPr>
              <w:pStyle w:val="p-table"/>
              <w:jc w:val="right"/>
              <w:rPr>
                <w:sz w:val="13"/>
                <w:szCs w:val="13"/>
              </w:rPr>
            </w:pPr>
            <w:r w:rsidRPr="006F2FC4">
              <w:rPr>
                <w:sz w:val="13"/>
                <w:szCs w:val="13"/>
              </w:rPr>
              <w:t>900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AA6D6EB" w14:textId="5CE16234">
            <w:pPr>
              <w:pStyle w:val="p-table"/>
              <w:jc w:val="right"/>
              <w:rPr>
                <w:sz w:val="13"/>
                <w:szCs w:val="13"/>
              </w:rPr>
            </w:pPr>
            <w:r w:rsidRPr="006F2FC4">
              <w:rPr>
                <w:sz w:val="13"/>
                <w:szCs w:val="13"/>
              </w:rPr>
              <w:t>49.727.599</w:t>
            </w:r>
          </w:p>
        </w:tc>
      </w:tr>
      <w:tr w:rsidR="001F3AF4" w:rsidTr="007433BE" w14:paraId="6713B21B"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5AA0E643"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1F3AF4" w:rsidP="001F3AF4" w:rsidRDefault="001F3AF4" w14:paraId="69AE82D0"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66DD43AC" w14:textId="3C9240B9">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179FCB8" w14:textId="51C9D8AA">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FE0F383" w14:textId="4789DB55">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03EACC2C" w14:textId="0EB02319">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61A776D2" w14:textId="163F3A0B">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0863106" w14:textId="12A2882C">
            <w:pPr>
              <w:pStyle w:val="p-table"/>
              <w:rPr>
                <w:sz w:val="13"/>
                <w:szCs w:val="13"/>
              </w:rPr>
            </w:pPr>
            <w:r w:rsidRPr="006F2FC4">
              <w:rPr>
                <w:rFonts w:ascii="Calibri" w:hAnsi="Calibri" w:cs="Calibri"/>
                <w:color w:val="000000"/>
                <w:sz w:val="13"/>
                <w:szCs w:val="13"/>
              </w:rPr>
              <w:t> </w:t>
            </w:r>
          </w:p>
        </w:tc>
      </w:tr>
      <w:tr w:rsidR="001F3AF4" w:rsidTr="007433BE" w14:paraId="0B42B339"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79A4AA9E" w14:textId="77777777">
            <w:pPr>
              <w:pStyle w:val="p-table"/>
              <w:rPr>
                <w:b/>
                <w:sz w:val="13"/>
                <w:szCs w:val="13"/>
              </w:rPr>
            </w:pPr>
            <w:r w:rsidRPr="006F2FC4">
              <w:rPr>
                <w:b/>
                <w:sz w:val="13"/>
                <w:szCs w:val="13"/>
              </w:rPr>
              <w:t>Stand 1e suppletoire begroting 2026</w:t>
            </w:r>
          </w:p>
        </w:tc>
        <w:tc>
          <w:tcPr>
            <w:tcW w:w="524" w:type="pct"/>
            <w:tcBorders>
              <w:bottom w:val="single" w:color="009EE0" w:sz="2" w:space="0"/>
            </w:tcBorders>
            <w:tcMar>
              <w:top w:w="22" w:type="dxa"/>
              <w:left w:w="28" w:type="dxa"/>
              <w:bottom w:w="22" w:type="dxa"/>
              <w:right w:w="28" w:type="dxa"/>
            </w:tcMar>
          </w:tcPr>
          <w:p w:rsidRPr="006F2FC4" w:rsidR="001F3AF4" w:rsidP="001F3AF4" w:rsidRDefault="001F3AF4" w14:paraId="3D32766B" w14:textId="77777777">
            <w:pPr>
              <w:pStyle w:val="p-table"/>
              <w:rPr>
                <w:b/>
                <w:sz w:val="13"/>
                <w:szCs w:val="13"/>
              </w:rPr>
            </w:pP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3F5CCFF" w14:textId="4D8146D2">
            <w:pPr>
              <w:pStyle w:val="p-table"/>
              <w:jc w:val="right"/>
              <w:rPr>
                <w:b/>
                <w:sz w:val="13"/>
                <w:szCs w:val="13"/>
              </w:rPr>
            </w:pPr>
            <w:r w:rsidRPr="006F2FC4">
              <w:rPr>
                <w:b/>
                <w:sz w:val="13"/>
                <w:szCs w:val="13"/>
              </w:rPr>
              <w:t>43.095.014</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7C64295" w14:textId="7386CFA3">
            <w:pPr>
              <w:pStyle w:val="p-table"/>
              <w:jc w:val="right"/>
              <w:rPr>
                <w:b/>
                <w:sz w:val="13"/>
                <w:szCs w:val="13"/>
              </w:rPr>
            </w:pPr>
            <w:r w:rsidRPr="006F2FC4">
              <w:rPr>
                <w:b/>
                <w:sz w:val="13"/>
                <w:szCs w:val="13"/>
              </w:rPr>
              <w:t>49.478.686</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BF50FD8" w14:textId="15D888E4">
            <w:pPr>
              <w:pStyle w:val="p-table"/>
              <w:jc w:val="right"/>
              <w:rPr>
                <w:b/>
                <w:sz w:val="13"/>
                <w:szCs w:val="13"/>
              </w:rPr>
            </w:pPr>
            <w:r w:rsidRPr="006F2FC4">
              <w:rPr>
                <w:b/>
                <w:sz w:val="13"/>
                <w:szCs w:val="13"/>
              </w:rPr>
              <w:t>51.401.711</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36D9068" w14:textId="2F08633A">
            <w:pPr>
              <w:pStyle w:val="p-table"/>
              <w:jc w:val="right"/>
              <w:rPr>
                <w:b/>
                <w:sz w:val="13"/>
                <w:szCs w:val="13"/>
              </w:rPr>
            </w:pPr>
            <w:r w:rsidRPr="006F2FC4">
              <w:rPr>
                <w:b/>
                <w:sz w:val="13"/>
                <w:szCs w:val="13"/>
              </w:rPr>
              <w:t>52.710.888</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D49D5CC" w14:textId="6FD37E16">
            <w:pPr>
              <w:pStyle w:val="p-table"/>
              <w:jc w:val="right"/>
              <w:rPr>
                <w:b/>
                <w:sz w:val="13"/>
                <w:szCs w:val="13"/>
              </w:rPr>
            </w:pPr>
            <w:r w:rsidRPr="006F2FC4">
              <w:rPr>
                <w:b/>
                <w:sz w:val="13"/>
                <w:szCs w:val="13"/>
              </w:rPr>
              <w:t>55.393.793</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49BE23B" w14:textId="1F98FFEA">
            <w:pPr>
              <w:pStyle w:val="p-table"/>
              <w:jc w:val="right"/>
              <w:rPr>
                <w:b/>
                <w:sz w:val="13"/>
                <w:szCs w:val="13"/>
              </w:rPr>
            </w:pPr>
            <w:r w:rsidRPr="006F2FC4">
              <w:rPr>
                <w:b/>
                <w:sz w:val="13"/>
                <w:szCs w:val="13"/>
              </w:rPr>
              <w:t>49.727.599</w:t>
            </w:r>
          </w:p>
        </w:tc>
      </w:tr>
    </w:tbl>
    <w:p w:rsidR="0084290D" w:rsidRDefault="0084290D" w14:paraId="18E2579E" w14:textId="77777777">
      <w:pPr>
        <w:pStyle w:val="p-marginbottom"/>
      </w:pPr>
    </w:p>
    <w:p w:rsidR="0084290D" w:rsidRDefault="00CF5B93" w14:paraId="3E480DEF" w14:textId="77777777">
      <w:pPr>
        <w:pStyle w:val="header-h1"/>
      </w:pPr>
      <w:r>
        <w:t>Toelichting</w:t>
      </w:r>
    </w:p>
    <w:p w:rsidR="0084290D" w:rsidRDefault="0084290D" w14:paraId="6D4B52E0" w14:textId="77777777">
      <w:pPr>
        <w:pStyle w:val="p-marginbottom"/>
      </w:pPr>
    </w:p>
    <w:p w:rsidR="0084290D" w:rsidRDefault="00CF5B93" w14:paraId="7DB75F65" w14:textId="77777777">
      <w:pPr>
        <w:pStyle w:val="header-h2"/>
      </w:pPr>
      <w:r>
        <w:t>1. Rente vaste schuld</w:t>
      </w:r>
    </w:p>
    <w:p w:rsidR="00C30ADC" w:rsidP="00446A23" w:rsidRDefault="00C30ADC" w14:paraId="636857D4" w14:textId="77777777">
      <w:pPr>
        <w:pStyle w:val="p"/>
      </w:pPr>
      <w:r w:rsidRPr="00446A23">
        <w:t>In het financieringsplan 2026 is opgenomen dat er in 2026 minder vaste schuld wordt uitgegeven dan waarmee rekening werd gehouden in de begroting. Als gevolg hiervan nemen de rentelasten op de vaste schuld in het lopende begrotingsjaar en in latere jaren af. Daarentegen nemen de rentelasten op de vaste schuld toe vanwege de hogere lange rekenrentes zoals geraamd in het CEP en de neerwaartse bijstelling van het geraamde kassaldo. Per saldo neemt de raming van de rentelasten op de vaste schuld in de jaren 2026 tot en met 2029 af en in het jaar 2030 licht toe.</w:t>
      </w:r>
    </w:p>
    <w:p w:rsidR="0084290D" w:rsidRDefault="00CF5B93" w14:paraId="18E09052" w14:textId="77777777">
      <w:pPr>
        <w:pStyle w:val="header-h2"/>
      </w:pPr>
      <w:r>
        <w:t>2. Rente vlottende schuld</w:t>
      </w:r>
    </w:p>
    <w:p w:rsidR="00C30ADC" w:rsidP="00C30ADC" w:rsidRDefault="00C30ADC" w14:paraId="7EF7CCED" w14:textId="77777777">
      <w:pPr>
        <w:pStyle w:val="Plattetekst"/>
        <w:spacing w:line="247" w:lineRule="auto"/>
        <w:ind w:right="108"/>
        <w:rPr>
          <w:color w:val="231F20"/>
          <w:w w:val="110"/>
        </w:rPr>
      </w:pPr>
      <w:r w:rsidRPr="00C30ADC">
        <w:rPr>
          <w:rFonts w:ascii="DejaVu Sans" w:hAnsi="DejaVu Sans" w:eastAsia="Arial Unicode MS"/>
          <w:kern w:val="3"/>
          <w:sz w:val="17"/>
          <w:szCs w:val="20"/>
          <w:lang w:eastAsia="nl-NL"/>
        </w:rPr>
        <w:t>In het financieringsplan 2026 is opgenomen dat er in 2026 meer vlottende schuld wordt uitgegeven dan waarmee rekening werd gehouden in de begroting. Als gevolg hiervan neemt de omvang van de vlottende schuld in 2026 en in latere jaren toe. In combinatie met de naar boven bijgestelde raming van de korte rekenrente in het CEP leidt dit tot hogere rentelasten op de vlottende schuld. Dit effect wordt echter enigszins gedempt door de bijstelling van het kassaldo</w:t>
      </w:r>
      <w:r>
        <w:rPr>
          <w:color w:val="231F20"/>
          <w:w w:val="110"/>
        </w:rPr>
        <w:t>.</w:t>
      </w:r>
    </w:p>
    <w:p w:rsidR="00C30ADC" w:rsidP="00446A23" w:rsidRDefault="00C30ADC" w14:paraId="6872CF34" w14:textId="77777777">
      <w:pPr>
        <w:pStyle w:val="Plattetekst"/>
        <w:spacing w:line="247" w:lineRule="auto"/>
        <w:ind w:right="108"/>
      </w:pPr>
    </w:p>
    <w:p w:rsidR="0084290D" w:rsidRDefault="00CF5B93" w14:paraId="6C4B7082" w14:textId="77777777">
      <w:pPr>
        <w:pStyle w:val="header-h2"/>
      </w:pPr>
      <w:r>
        <w:t>3. Aflossing vaste schuld</w:t>
      </w:r>
    </w:p>
    <w:p w:rsidR="0084290D" w:rsidRDefault="00CF5B93" w14:paraId="25282A3B" w14:textId="22E52EB0">
      <w:pPr>
        <w:pStyle w:val="p"/>
      </w:pPr>
      <w:r>
        <w:t xml:space="preserve">Vanwege de vervroegde aflossing van vaste schuld in 2025 en 2026 wordt er in 2026 meer vaste schuld afgelost en </w:t>
      </w:r>
      <w:r w:rsidR="00510775">
        <w:t xml:space="preserve">wordt er </w:t>
      </w:r>
      <w:r>
        <w:t xml:space="preserve">in 2027 minder vaste schuld </w:t>
      </w:r>
      <w:r w:rsidR="00510775">
        <w:t xml:space="preserve">afgelost. </w:t>
      </w:r>
    </w:p>
    <w:p w:rsidR="0084290D" w:rsidRDefault="00CF5B93" w14:paraId="10E8EEC8" w14:textId="77777777">
      <w:pPr>
        <w:pStyle w:val="header-h2"/>
      </w:pPr>
      <w:r>
        <w:t>4. Rente kasbeheer</w:t>
      </w:r>
    </w:p>
    <w:p w:rsidRPr="00446A23" w:rsidR="00510775" w:rsidP="00446A23" w:rsidRDefault="00510775" w14:paraId="7470BB88" w14:textId="77777777">
      <w:pPr>
        <w:pStyle w:val="Plattetekst"/>
        <w:spacing w:line="247" w:lineRule="auto"/>
        <w:ind w:right="108"/>
        <w:rPr>
          <w:rFonts w:ascii="DejaVu Sans" w:hAnsi="DejaVu Sans" w:eastAsia="Arial Unicode MS"/>
          <w:kern w:val="3"/>
          <w:sz w:val="17"/>
          <w:szCs w:val="20"/>
          <w:lang w:eastAsia="nl-NL"/>
        </w:rPr>
      </w:pPr>
      <w:r w:rsidRPr="00446A23">
        <w:rPr>
          <w:rFonts w:ascii="DejaVu Sans" w:hAnsi="DejaVu Sans" w:eastAsia="Arial Unicode MS"/>
          <w:kern w:val="3"/>
          <w:sz w:val="17"/>
          <w:szCs w:val="20"/>
          <w:lang w:eastAsia="nl-NL"/>
        </w:rPr>
        <w:t>De raming van de rentelasten uit hoofde van het kasbeheer is structureel naar boven bijgesteld. Deze bijstelling is gebaseerd op de verwachting dat met name de sociale fondsen meer middelen zullen aanhouden op hun rekeningen-courant. Dit effect wordt versterkt door de naar boven bijgestelde raming van de korte rekenrente in het CEP.</w:t>
      </w:r>
    </w:p>
    <w:p w:rsidR="0084290D" w:rsidRDefault="0084290D" w14:paraId="1F0F6B66" w14:textId="77777777">
      <w:pPr>
        <w:pStyle w:val="page-break"/>
      </w:pPr>
    </w:p>
    <w:tbl>
      <w:tblPr>
        <w:tblW w:w="5000" w:type="pct"/>
        <w:tblCellMar>
          <w:left w:w="10" w:type="dxa"/>
          <w:right w:w="10" w:type="dxa"/>
        </w:tblCellMar>
        <w:tblLook w:val="0000" w:firstRow="0" w:lastRow="0" w:firstColumn="0" w:lastColumn="0" w:noHBand="0" w:noVBand="0"/>
      </w:tblPr>
      <w:tblGrid>
        <w:gridCol w:w="3021"/>
        <w:gridCol w:w="707"/>
        <w:gridCol w:w="988"/>
        <w:gridCol w:w="988"/>
        <w:gridCol w:w="988"/>
        <w:gridCol w:w="990"/>
        <w:gridCol w:w="988"/>
        <w:gridCol w:w="986"/>
        <w:gridCol w:w="10"/>
      </w:tblGrid>
      <w:tr w:rsidR="0084290D" w:rsidTr="007433BE" w14:paraId="36719AB5" w14:textId="77777777">
        <w:trPr>
          <w:gridAfter w:val="1"/>
          <w:wAfter w:w="5" w:type="pct"/>
          <w:tblHeader/>
        </w:trPr>
        <w:tc>
          <w:tcPr>
            <w:tcW w:w="4995" w:type="pct"/>
            <w:gridSpan w:val="8"/>
            <w:tcMar>
              <w:top w:w="22" w:type="dxa"/>
              <w:left w:w="113" w:type="dxa"/>
              <w:bottom w:w="22" w:type="dxa"/>
            </w:tcMar>
          </w:tcPr>
          <w:p w:rsidR="0084290D" w:rsidRDefault="00CF5B93" w14:paraId="2D97DFCE" w14:textId="77777777">
            <w:pPr>
              <w:pStyle w:val="kio2-table-title"/>
            </w:pPr>
            <w:r>
              <w:t>Tabel 5 Overzicht belangrijkste suppletoire ontvangstenmutaties 2026 (Eerste suppletoire begroting) (bedragen x € 1.000)</w:t>
            </w:r>
          </w:p>
        </w:tc>
      </w:tr>
      <w:tr w:rsidR="003B0A61" w:rsidTr="007433BE" w14:paraId="0715DF74" w14:textId="77777777">
        <w:trPr>
          <w:tblHeader/>
        </w:trPr>
        <w:tc>
          <w:tcPr>
            <w:tcW w:w="1563" w:type="pct"/>
            <w:tcBorders>
              <w:top w:val="single" w:color="000000" w:sz="2" w:space="0"/>
              <w:bottom w:val="single" w:color="009EE0" w:sz="2" w:space="0"/>
            </w:tcBorders>
            <w:tcMar>
              <w:top w:w="28" w:type="dxa"/>
              <w:bottom w:w="28" w:type="dxa"/>
              <w:right w:w="28" w:type="dxa"/>
            </w:tcMar>
          </w:tcPr>
          <w:p w:rsidRPr="006F2FC4" w:rsidR="0084290D" w:rsidRDefault="0084290D" w14:paraId="3F48E66C" w14:textId="77777777">
            <w:pPr>
              <w:pStyle w:val="p-table"/>
              <w:rPr>
                <w:color w:val="000000"/>
                <w:sz w:val="13"/>
                <w:szCs w:val="13"/>
              </w:rPr>
            </w:pPr>
          </w:p>
        </w:tc>
        <w:tc>
          <w:tcPr>
            <w:tcW w:w="36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ABCA0D0" w14:textId="77777777">
            <w:pPr>
              <w:pStyle w:val="p-table"/>
              <w:jc w:val="right"/>
              <w:rPr>
                <w:color w:val="000000"/>
                <w:sz w:val="13"/>
                <w:szCs w:val="13"/>
              </w:rPr>
            </w:pPr>
            <w:r w:rsidRPr="006F2FC4">
              <w:rPr>
                <w:color w:val="000000"/>
                <w:sz w:val="13"/>
                <w:szCs w:val="13"/>
              </w:rPr>
              <w:t>Artikelnummer</w:t>
            </w:r>
          </w:p>
        </w:tc>
        <w:tc>
          <w:tcPr>
            <w:tcW w:w="51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17234C3" w14:textId="77777777">
            <w:pPr>
              <w:pStyle w:val="p-table"/>
              <w:jc w:val="right"/>
              <w:rPr>
                <w:color w:val="000000"/>
                <w:sz w:val="13"/>
                <w:szCs w:val="13"/>
              </w:rPr>
            </w:pPr>
            <w:r w:rsidRPr="006F2FC4">
              <w:rPr>
                <w:color w:val="000000"/>
                <w:sz w:val="13"/>
                <w:szCs w:val="13"/>
              </w:rPr>
              <w:t>Ontvangsten 2026</w:t>
            </w:r>
          </w:p>
        </w:tc>
        <w:tc>
          <w:tcPr>
            <w:tcW w:w="51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55EF793" w14:textId="77777777">
            <w:pPr>
              <w:pStyle w:val="p-table"/>
              <w:jc w:val="right"/>
              <w:rPr>
                <w:color w:val="000000"/>
                <w:sz w:val="13"/>
                <w:szCs w:val="13"/>
              </w:rPr>
            </w:pPr>
            <w:r w:rsidRPr="006F2FC4">
              <w:rPr>
                <w:color w:val="000000"/>
                <w:sz w:val="13"/>
                <w:szCs w:val="13"/>
              </w:rPr>
              <w:t>Ontvangsten 2027</w:t>
            </w:r>
          </w:p>
        </w:tc>
        <w:tc>
          <w:tcPr>
            <w:tcW w:w="51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74CC154" w14:textId="77777777">
            <w:pPr>
              <w:pStyle w:val="p-table"/>
              <w:jc w:val="right"/>
              <w:rPr>
                <w:color w:val="000000"/>
                <w:sz w:val="13"/>
                <w:szCs w:val="13"/>
              </w:rPr>
            </w:pPr>
            <w:r w:rsidRPr="006F2FC4">
              <w:rPr>
                <w:color w:val="000000"/>
                <w:sz w:val="13"/>
                <w:szCs w:val="13"/>
              </w:rPr>
              <w:t>Ontvangsten 2028</w:t>
            </w:r>
          </w:p>
        </w:tc>
        <w:tc>
          <w:tcPr>
            <w:tcW w:w="51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6A1A854" w14:textId="77777777">
            <w:pPr>
              <w:pStyle w:val="p-table"/>
              <w:jc w:val="right"/>
              <w:rPr>
                <w:color w:val="000000"/>
                <w:sz w:val="13"/>
                <w:szCs w:val="13"/>
              </w:rPr>
            </w:pPr>
            <w:r w:rsidRPr="006F2FC4">
              <w:rPr>
                <w:color w:val="000000"/>
                <w:sz w:val="13"/>
                <w:szCs w:val="13"/>
              </w:rPr>
              <w:t>Ontvangsten 2029</w:t>
            </w:r>
          </w:p>
        </w:tc>
        <w:tc>
          <w:tcPr>
            <w:tcW w:w="51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2C37F2C" w14:textId="77777777">
            <w:pPr>
              <w:pStyle w:val="p-table"/>
              <w:jc w:val="right"/>
              <w:rPr>
                <w:color w:val="000000"/>
                <w:sz w:val="13"/>
                <w:szCs w:val="13"/>
              </w:rPr>
            </w:pPr>
            <w:r w:rsidRPr="006F2FC4">
              <w:rPr>
                <w:color w:val="000000"/>
                <w:sz w:val="13"/>
                <w:szCs w:val="13"/>
              </w:rPr>
              <w:t>Ontvangsten 2030</w:t>
            </w:r>
          </w:p>
        </w:tc>
        <w:tc>
          <w:tcPr>
            <w:tcW w:w="515" w:type="pct"/>
            <w:gridSpan w:val="2"/>
            <w:tcBorders>
              <w:top w:val="single" w:color="000000" w:sz="2" w:space="0"/>
              <w:bottom w:val="single" w:color="009EE0" w:sz="2" w:space="0"/>
            </w:tcBorders>
            <w:tcMar>
              <w:top w:w="28" w:type="dxa"/>
              <w:left w:w="28" w:type="dxa"/>
              <w:bottom w:w="28" w:type="dxa"/>
              <w:right w:w="28" w:type="dxa"/>
            </w:tcMar>
          </w:tcPr>
          <w:p w:rsidRPr="006F2FC4" w:rsidR="0084290D" w:rsidRDefault="00CF5B93" w14:paraId="50F2A0F6" w14:textId="77777777">
            <w:pPr>
              <w:pStyle w:val="p-table"/>
              <w:jc w:val="right"/>
              <w:rPr>
                <w:color w:val="000000"/>
                <w:sz w:val="13"/>
                <w:szCs w:val="13"/>
              </w:rPr>
            </w:pPr>
            <w:r w:rsidRPr="006F2FC4">
              <w:rPr>
                <w:color w:val="000000"/>
                <w:sz w:val="13"/>
                <w:szCs w:val="13"/>
              </w:rPr>
              <w:t>Ontvangsten 2031</w:t>
            </w:r>
          </w:p>
        </w:tc>
      </w:tr>
      <w:tr w:rsidR="003B0A61" w:rsidTr="007433BE" w14:paraId="693E3589" w14:textId="77777777">
        <w:tc>
          <w:tcPr>
            <w:tcW w:w="1563" w:type="pct"/>
            <w:tcBorders>
              <w:bottom w:val="single" w:color="009EE0" w:sz="2" w:space="0"/>
            </w:tcBorders>
            <w:tcMar>
              <w:top w:w="22" w:type="dxa"/>
              <w:bottom w:w="22" w:type="dxa"/>
              <w:right w:w="28" w:type="dxa"/>
            </w:tcMar>
          </w:tcPr>
          <w:p w:rsidRPr="006F2FC4" w:rsidR="0084290D" w:rsidRDefault="00CF5B93" w14:paraId="6D2A0FB3" w14:textId="77777777">
            <w:pPr>
              <w:pStyle w:val="p-table"/>
              <w:rPr>
                <w:b/>
                <w:bCs/>
                <w:color w:val="000000"/>
                <w:sz w:val="13"/>
                <w:szCs w:val="13"/>
              </w:rPr>
            </w:pPr>
            <w:r w:rsidRPr="006F2FC4">
              <w:rPr>
                <w:b/>
                <w:bCs/>
                <w:color w:val="000000"/>
                <w:sz w:val="13"/>
                <w:szCs w:val="13"/>
              </w:rPr>
              <w:t>Stand begroting 2026</w:t>
            </w:r>
          </w:p>
        </w:tc>
        <w:tc>
          <w:tcPr>
            <w:tcW w:w="366" w:type="pct"/>
            <w:tcBorders>
              <w:bottom w:val="single" w:color="009EE0" w:sz="2" w:space="0"/>
            </w:tcBorders>
            <w:tcMar>
              <w:top w:w="22" w:type="dxa"/>
              <w:left w:w="28" w:type="dxa"/>
              <w:bottom w:w="22" w:type="dxa"/>
              <w:right w:w="28" w:type="dxa"/>
            </w:tcMar>
          </w:tcPr>
          <w:p w:rsidRPr="006F2FC4" w:rsidR="0084290D" w:rsidRDefault="0084290D" w14:paraId="01A92677" w14:textId="77777777">
            <w:pPr>
              <w:pStyle w:val="p-table"/>
              <w:rPr>
                <w:b/>
                <w:bCs/>
                <w:color w:val="000000"/>
                <w:sz w:val="13"/>
                <w:szCs w:val="13"/>
              </w:rPr>
            </w:pP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51354E04" w14:textId="77777777">
            <w:pPr>
              <w:pStyle w:val="p-table"/>
              <w:jc w:val="right"/>
              <w:rPr>
                <w:b/>
                <w:bCs/>
                <w:color w:val="000000"/>
                <w:sz w:val="13"/>
                <w:szCs w:val="13"/>
              </w:rPr>
            </w:pPr>
            <w:r w:rsidRPr="006F2FC4">
              <w:rPr>
                <w:b/>
                <w:bCs/>
                <w:color w:val="000000"/>
                <w:sz w:val="13"/>
                <w:szCs w:val="13"/>
              </w:rPr>
              <w:t>97.783.806</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04FEBE6F" w14:textId="77777777">
            <w:pPr>
              <w:pStyle w:val="p-table"/>
              <w:jc w:val="right"/>
              <w:rPr>
                <w:b/>
                <w:bCs/>
                <w:color w:val="000000"/>
                <w:sz w:val="13"/>
                <w:szCs w:val="13"/>
              </w:rPr>
            </w:pPr>
            <w:r w:rsidRPr="006F2FC4">
              <w:rPr>
                <w:b/>
                <w:bCs/>
                <w:color w:val="000000"/>
                <w:sz w:val="13"/>
                <w:szCs w:val="13"/>
              </w:rPr>
              <w:t>73.813.872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BDC5223" w14:textId="77777777">
            <w:pPr>
              <w:pStyle w:val="p-table"/>
              <w:jc w:val="right"/>
              <w:rPr>
                <w:b/>
                <w:bCs/>
                <w:color w:val="000000"/>
                <w:sz w:val="13"/>
                <w:szCs w:val="13"/>
              </w:rPr>
            </w:pPr>
            <w:r w:rsidRPr="006F2FC4">
              <w:rPr>
                <w:b/>
                <w:bCs/>
                <w:color w:val="000000"/>
                <w:sz w:val="13"/>
                <w:szCs w:val="13"/>
              </w:rPr>
              <w:t>79.340.582</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0E47C9D5" w14:textId="77777777">
            <w:pPr>
              <w:pStyle w:val="p-table"/>
              <w:jc w:val="right"/>
              <w:rPr>
                <w:b/>
                <w:bCs/>
                <w:color w:val="000000"/>
                <w:sz w:val="13"/>
                <w:szCs w:val="13"/>
              </w:rPr>
            </w:pPr>
            <w:r w:rsidRPr="006F2FC4">
              <w:rPr>
                <w:b/>
                <w:bCs/>
                <w:color w:val="000000"/>
                <w:sz w:val="13"/>
                <w:szCs w:val="13"/>
              </w:rPr>
              <w:t>74.109.194</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73169DEF" w14:textId="77777777">
            <w:pPr>
              <w:pStyle w:val="p-table"/>
              <w:jc w:val="right"/>
              <w:rPr>
                <w:b/>
                <w:bCs/>
                <w:color w:val="000000"/>
                <w:sz w:val="13"/>
                <w:szCs w:val="13"/>
              </w:rPr>
            </w:pPr>
            <w:r w:rsidRPr="006F2FC4">
              <w:rPr>
                <w:b/>
                <w:bCs/>
                <w:color w:val="000000"/>
                <w:sz w:val="13"/>
                <w:szCs w:val="13"/>
              </w:rPr>
              <w:t>78.309.190</w:t>
            </w: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45B5C472" w14:textId="77777777">
            <w:pPr>
              <w:pStyle w:val="p-table"/>
              <w:rPr>
                <w:b/>
                <w:bCs/>
                <w:color w:val="000000"/>
                <w:sz w:val="13"/>
                <w:szCs w:val="13"/>
              </w:rPr>
            </w:pPr>
          </w:p>
        </w:tc>
      </w:tr>
      <w:tr w:rsidR="003B0A61" w:rsidTr="007433BE" w14:paraId="1806A7D3" w14:textId="77777777">
        <w:tc>
          <w:tcPr>
            <w:tcW w:w="1563" w:type="pct"/>
            <w:tcBorders>
              <w:bottom w:val="single" w:color="009EE0" w:sz="2" w:space="0"/>
            </w:tcBorders>
            <w:tcMar>
              <w:top w:w="22" w:type="dxa"/>
              <w:bottom w:w="22" w:type="dxa"/>
              <w:right w:w="28" w:type="dxa"/>
            </w:tcMar>
          </w:tcPr>
          <w:p w:rsidRPr="006F2FC4" w:rsidR="0084290D" w:rsidRDefault="0084290D" w14:paraId="1298A6BC" w14:textId="77777777">
            <w:pPr>
              <w:pStyle w:val="p-table"/>
              <w:rPr>
                <w:color w:val="000000"/>
                <w:sz w:val="13"/>
                <w:szCs w:val="13"/>
              </w:rPr>
            </w:pPr>
          </w:p>
        </w:tc>
        <w:tc>
          <w:tcPr>
            <w:tcW w:w="366" w:type="pct"/>
            <w:tcBorders>
              <w:bottom w:val="single" w:color="009EE0" w:sz="2" w:space="0"/>
            </w:tcBorders>
            <w:tcMar>
              <w:top w:w="22" w:type="dxa"/>
              <w:left w:w="28" w:type="dxa"/>
              <w:bottom w:w="22" w:type="dxa"/>
              <w:right w:w="28" w:type="dxa"/>
            </w:tcMar>
          </w:tcPr>
          <w:p w:rsidRPr="006F2FC4" w:rsidR="0084290D" w:rsidRDefault="0084290D" w14:paraId="0541253C"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2F3E2559"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7E2B83CC"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666C195A" w14:textId="77777777">
            <w:pPr>
              <w:pStyle w:val="p-table"/>
              <w:rPr>
                <w:color w:val="000000"/>
                <w:sz w:val="13"/>
                <w:szCs w:val="13"/>
              </w:rPr>
            </w:pPr>
          </w:p>
        </w:tc>
        <w:tc>
          <w:tcPr>
            <w:tcW w:w="512" w:type="pct"/>
            <w:tcBorders>
              <w:bottom w:val="single" w:color="009EE0" w:sz="2" w:space="0"/>
            </w:tcBorders>
            <w:tcMar>
              <w:top w:w="22" w:type="dxa"/>
              <w:left w:w="28" w:type="dxa"/>
              <w:bottom w:w="22" w:type="dxa"/>
              <w:right w:w="28" w:type="dxa"/>
            </w:tcMar>
          </w:tcPr>
          <w:p w:rsidRPr="006F2FC4" w:rsidR="0084290D" w:rsidRDefault="0084290D" w14:paraId="5C156F6E"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3D60B1B8" w14:textId="77777777">
            <w:pPr>
              <w:pStyle w:val="p-table"/>
              <w:rPr>
                <w:color w:val="000000"/>
                <w:sz w:val="13"/>
                <w:szCs w:val="13"/>
              </w:rPr>
            </w:pP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418EA2C1" w14:textId="77777777">
            <w:pPr>
              <w:pStyle w:val="p-table"/>
              <w:rPr>
                <w:color w:val="000000"/>
                <w:sz w:val="13"/>
                <w:szCs w:val="13"/>
              </w:rPr>
            </w:pPr>
          </w:p>
        </w:tc>
      </w:tr>
      <w:tr w:rsidR="003B0A61" w:rsidTr="007433BE" w14:paraId="005C6FA5" w14:textId="77777777">
        <w:tc>
          <w:tcPr>
            <w:tcW w:w="1563" w:type="pct"/>
            <w:tcBorders>
              <w:bottom w:val="single" w:color="009EE0" w:sz="2" w:space="0"/>
            </w:tcBorders>
            <w:tcMar>
              <w:top w:w="22" w:type="dxa"/>
              <w:bottom w:w="22" w:type="dxa"/>
              <w:right w:w="28" w:type="dxa"/>
            </w:tcMar>
          </w:tcPr>
          <w:p w:rsidRPr="006F2FC4" w:rsidR="0084290D" w:rsidRDefault="00CF5B93" w14:paraId="5260F7BC" w14:textId="77777777">
            <w:pPr>
              <w:pStyle w:val="p-table"/>
              <w:rPr>
                <w:color w:val="000000"/>
                <w:sz w:val="13"/>
                <w:szCs w:val="13"/>
              </w:rPr>
            </w:pPr>
            <w:r w:rsidRPr="006F2FC4">
              <w:rPr>
                <w:color w:val="000000"/>
                <w:sz w:val="13"/>
                <w:szCs w:val="13"/>
              </w:rPr>
              <w:t>Mutaties coalitieakkoord:</w:t>
            </w:r>
          </w:p>
        </w:tc>
        <w:tc>
          <w:tcPr>
            <w:tcW w:w="366" w:type="pct"/>
            <w:tcBorders>
              <w:bottom w:val="single" w:color="009EE0" w:sz="2" w:space="0"/>
            </w:tcBorders>
            <w:tcMar>
              <w:top w:w="22" w:type="dxa"/>
              <w:left w:w="28" w:type="dxa"/>
              <w:bottom w:w="22" w:type="dxa"/>
              <w:right w:w="28" w:type="dxa"/>
            </w:tcMar>
          </w:tcPr>
          <w:p w:rsidRPr="006F2FC4" w:rsidR="0084290D" w:rsidRDefault="0084290D" w14:paraId="6D0CB5F8"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1BADE0A9" w14:textId="77777777">
            <w:pPr>
              <w:pStyle w:val="p-table"/>
              <w:jc w:val="right"/>
              <w:rPr>
                <w:color w:val="000000"/>
                <w:sz w:val="13"/>
                <w:szCs w:val="13"/>
              </w:rPr>
            </w:pPr>
            <w:r w:rsidRPr="006F2FC4">
              <w:rPr>
                <w:color w:val="000000"/>
                <w:sz w:val="13"/>
                <w:szCs w:val="13"/>
              </w:rPr>
              <w:t>n.v.t.</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789066B8" w14:textId="77777777">
            <w:pPr>
              <w:pStyle w:val="p-table"/>
              <w:jc w:val="right"/>
              <w:rPr>
                <w:color w:val="000000"/>
                <w:sz w:val="13"/>
                <w:szCs w:val="13"/>
              </w:rPr>
            </w:pPr>
            <w:r w:rsidRPr="006F2FC4">
              <w:rPr>
                <w:color w:val="000000"/>
                <w:sz w:val="13"/>
                <w:szCs w:val="13"/>
              </w:rPr>
              <w:t>n.v.t.</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56C18AF1" w14:textId="77777777">
            <w:pPr>
              <w:pStyle w:val="p-table"/>
              <w:jc w:val="right"/>
              <w:rPr>
                <w:color w:val="000000"/>
                <w:sz w:val="13"/>
                <w:szCs w:val="13"/>
              </w:rPr>
            </w:pPr>
            <w:r w:rsidRPr="006F2FC4">
              <w:rPr>
                <w:color w:val="000000"/>
                <w:sz w:val="13"/>
                <w:szCs w:val="13"/>
              </w:rPr>
              <w:t>n.v.t.</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59FC212E" w14:textId="77777777">
            <w:pPr>
              <w:pStyle w:val="p-table"/>
              <w:jc w:val="right"/>
              <w:rPr>
                <w:color w:val="000000"/>
                <w:sz w:val="13"/>
                <w:szCs w:val="13"/>
              </w:rPr>
            </w:pPr>
            <w:r w:rsidRPr="006F2FC4">
              <w:rPr>
                <w:color w:val="000000"/>
                <w:sz w:val="13"/>
                <w:szCs w:val="13"/>
              </w:rPr>
              <w:t>n.v.t.</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891D58D" w14:textId="77777777">
            <w:pPr>
              <w:pStyle w:val="p-table"/>
              <w:jc w:val="right"/>
              <w:rPr>
                <w:color w:val="000000"/>
                <w:sz w:val="13"/>
                <w:szCs w:val="13"/>
              </w:rPr>
            </w:pPr>
            <w:r w:rsidRPr="006F2FC4">
              <w:rPr>
                <w:color w:val="000000"/>
                <w:sz w:val="13"/>
                <w:szCs w:val="13"/>
              </w:rPr>
              <w:t>n.v.t.</w:t>
            </w: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4DBA5505" w14:textId="77777777">
            <w:pPr>
              <w:pStyle w:val="p-table"/>
              <w:rPr>
                <w:color w:val="000000"/>
                <w:sz w:val="13"/>
                <w:szCs w:val="13"/>
              </w:rPr>
            </w:pPr>
          </w:p>
        </w:tc>
      </w:tr>
      <w:tr w:rsidR="003B0A61" w:rsidTr="007433BE" w14:paraId="27ABAC7B" w14:textId="77777777">
        <w:tc>
          <w:tcPr>
            <w:tcW w:w="1563" w:type="pct"/>
            <w:tcBorders>
              <w:bottom w:val="single" w:color="009EE0" w:sz="2" w:space="0"/>
            </w:tcBorders>
            <w:tcMar>
              <w:top w:w="22" w:type="dxa"/>
              <w:bottom w:w="22" w:type="dxa"/>
              <w:right w:w="28" w:type="dxa"/>
            </w:tcMar>
          </w:tcPr>
          <w:p w:rsidRPr="006F2FC4" w:rsidR="0084290D" w:rsidRDefault="0084290D" w14:paraId="7533C3B6" w14:textId="77777777">
            <w:pPr>
              <w:pStyle w:val="p-table"/>
              <w:rPr>
                <w:color w:val="000000"/>
                <w:sz w:val="13"/>
                <w:szCs w:val="13"/>
              </w:rPr>
            </w:pPr>
          </w:p>
        </w:tc>
        <w:tc>
          <w:tcPr>
            <w:tcW w:w="366" w:type="pct"/>
            <w:tcBorders>
              <w:bottom w:val="single" w:color="009EE0" w:sz="2" w:space="0"/>
            </w:tcBorders>
            <w:tcMar>
              <w:top w:w="22" w:type="dxa"/>
              <w:left w:w="28" w:type="dxa"/>
              <w:bottom w:w="22" w:type="dxa"/>
              <w:right w:w="28" w:type="dxa"/>
            </w:tcMar>
          </w:tcPr>
          <w:p w:rsidRPr="006F2FC4" w:rsidR="0084290D" w:rsidRDefault="0084290D" w14:paraId="5DE814DA"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2B74E176"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3DFA45C8"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4553E24C" w14:textId="77777777">
            <w:pPr>
              <w:pStyle w:val="p-table"/>
              <w:rPr>
                <w:color w:val="000000"/>
                <w:sz w:val="13"/>
                <w:szCs w:val="13"/>
              </w:rPr>
            </w:pPr>
          </w:p>
        </w:tc>
        <w:tc>
          <w:tcPr>
            <w:tcW w:w="512" w:type="pct"/>
            <w:tcBorders>
              <w:bottom w:val="single" w:color="009EE0" w:sz="2" w:space="0"/>
            </w:tcBorders>
            <w:tcMar>
              <w:top w:w="22" w:type="dxa"/>
              <w:left w:w="28" w:type="dxa"/>
              <w:bottom w:w="22" w:type="dxa"/>
              <w:right w:w="28" w:type="dxa"/>
            </w:tcMar>
          </w:tcPr>
          <w:p w:rsidRPr="006F2FC4" w:rsidR="0084290D" w:rsidRDefault="0084290D" w14:paraId="3E1D52E1"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06015058" w14:textId="77777777">
            <w:pPr>
              <w:pStyle w:val="p-table"/>
              <w:rPr>
                <w:color w:val="000000"/>
                <w:sz w:val="13"/>
                <w:szCs w:val="13"/>
              </w:rPr>
            </w:pP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7B73E1D5" w14:textId="77777777">
            <w:pPr>
              <w:pStyle w:val="p-table"/>
              <w:rPr>
                <w:color w:val="000000"/>
                <w:sz w:val="13"/>
                <w:szCs w:val="13"/>
              </w:rPr>
            </w:pPr>
          </w:p>
        </w:tc>
      </w:tr>
      <w:tr w:rsidR="003B0A61" w:rsidTr="007433BE" w14:paraId="0717E5A5" w14:textId="77777777">
        <w:tc>
          <w:tcPr>
            <w:tcW w:w="1563" w:type="pct"/>
            <w:tcBorders>
              <w:bottom w:val="single" w:color="009EE0" w:sz="2" w:space="0"/>
            </w:tcBorders>
            <w:tcMar>
              <w:top w:w="22" w:type="dxa"/>
              <w:bottom w:w="22" w:type="dxa"/>
              <w:right w:w="28" w:type="dxa"/>
            </w:tcMar>
          </w:tcPr>
          <w:p w:rsidRPr="006F2FC4" w:rsidR="0084290D" w:rsidRDefault="00CF5B93" w14:paraId="0004A728" w14:textId="77777777">
            <w:pPr>
              <w:pStyle w:val="p-table"/>
              <w:rPr>
                <w:color w:val="000000"/>
                <w:sz w:val="13"/>
                <w:szCs w:val="13"/>
              </w:rPr>
            </w:pPr>
            <w:r w:rsidRPr="006F2FC4">
              <w:rPr>
                <w:color w:val="000000"/>
                <w:sz w:val="13"/>
                <w:szCs w:val="13"/>
              </w:rPr>
              <w:t>Belangrijkste suppletoire mutaties:</w:t>
            </w:r>
          </w:p>
        </w:tc>
        <w:tc>
          <w:tcPr>
            <w:tcW w:w="366" w:type="pct"/>
            <w:tcBorders>
              <w:bottom w:val="single" w:color="009EE0" w:sz="2" w:space="0"/>
            </w:tcBorders>
            <w:tcMar>
              <w:top w:w="22" w:type="dxa"/>
              <w:left w:w="28" w:type="dxa"/>
              <w:bottom w:w="22" w:type="dxa"/>
              <w:right w:w="28" w:type="dxa"/>
            </w:tcMar>
          </w:tcPr>
          <w:p w:rsidRPr="006F2FC4" w:rsidR="0084290D" w:rsidRDefault="0084290D" w14:paraId="4D8D4D0C"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40D1A2F2"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45650098"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4ED4A986" w14:textId="77777777">
            <w:pPr>
              <w:pStyle w:val="p-table"/>
              <w:rPr>
                <w:color w:val="000000"/>
                <w:sz w:val="13"/>
                <w:szCs w:val="13"/>
              </w:rPr>
            </w:pPr>
          </w:p>
        </w:tc>
        <w:tc>
          <w:tcPr>
            <w:tcW w:w="512" w:type="pct"/>
            <w:tcBorders>
              <w:bottom w:val="single" w:color="009EE0" w:sz="2" w:space="0"/>
            </w:tcBorders>
            <w:tcMar>
              <w:top w:w="22" w:type="dxa"/>
              <w:left w:w="28" w:type="dxa"/>
              <w:bottom w:w="22" w:type="dxa"/>
              <w:right w:w="28" w:type="dxa"/>
            </w:tcMar>
          </w:tcPr>
          <w:p w:rsidRPr="006F2FC4" w:rsidR="0084290D" w:rsidRDefault="0084290D" w14:paraId="4F785F82"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57F4D24C" w14:textId="77777777">
            <w:pPr>
              <w:pStyle w:val="p-table"/>
              <w:rPr>
                <w:color w:val="000000"/>
                <w:sz w:val="13"/>
                <w:szCs w:val="13"/>
              </w:rPr>
            </w:pP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66347FCE" w14:textId="77777777">
            <w:pPr>
              <w:pStyle w:val="p-table"/>
              <w:rPr>
                <w:color w:val="000000"/>
                <w:sz w:val="13"/>
                <w:szCs w:val="13"/>
              </w:rPr>
            </w:pPr>
          </w:p>
        </w:tc>
      </w:tr>
      <w:tr w:rsidR="003B0A61" w:rsidTr="007433BE" w14:paraId="2ADFDB95" w14:textId="77777777">
        <w:tc>
          <w:tcPr>
            <w:tcW w:w="1563" w:type="pct"/>
            <w:tcBorders>
              <w:bottom w:val="single" w:color="009EE0" w:sz="2" w:space="0"/>
            </w:tcBorders>
            <w:tcMar>
              <w:top w:w="22" w:type="dxa"/>
              <w:bottom w:w="22" w:type="dxa"/>
              <w:right w:w="28" w:type="dxa"/>
            </w:tcMar>
          </w:tcPr>
          <w:p w:rsidRPr="006F2FC4" w:rsidR="006D2CF7" w:rsidP="006D2CF7" w:rsidRDefault="006D2CF7" w14:paraId="3AD19C52" w14:textId="77777777">
            <w:pPr>
              <w:pStyle w:val="p-table"/>
              <w:rPr>
                <w:color w:val="000000"/>
                <w:sz w:val="13"/>
                <w:szCs w:val="13"/>
              </w:rPr>
            </w:pPr>
            <w:r w:rsidRPr="006F2FC4">
              <w:rPr>
                <w:color w:val="000000"/>
                <w:sz w:val="13"/>
                <w:szCs w:val="13"/>
              </w:rPr>
              <w:t>1) Uitgifte vaste schuld</w:t>
            </w:r>
          </w:p>
        </w:tc>
        <w:tc>
          <w:tcPr>
            <w:tcW w:w="366" w:type="pct"/>
            <w:tcBorders>
              <w:bottom w:val="single" w:color="009EE0" w:sz="2" w:space="0"/>
            </w:tcBorders>
            <w:tcMar>
              <w:top w:w="22" w:type="dxa"/>
              <w:left w:w="28" w:type="dxa"/>
              <w:bottom w:w="22" w:type="dxa"/>
              <w:right w:w="28" w:type="dxa"/>
            </w:tcMar>
          </w:tcPr>
          <w:p w:rsidRPr="006F2FC4" w:rsidR="006D2CF7" w:rsidP="00EB084F" w:rsidRDefault="00EB084F" w14:paraId="1666C42B" w14:textId="07903801">
            <w:pPr>
              <w:pStyle w:val="p-table"/>
              <w:jc w:val="right"/>
              <w:rPr>
                <w:color w:val="000000"/>
                <w:sz w:val="13"/>
                <w:szCs w:val="13"/>
              </w:rPr>
            </w:pPr>
            <w:r>
              <w:rPr>
                <w:color w:val="000000"/>
                <w:sz w:val="13"/>
                <w:szCs w:val="13"/>
              </w:rPr>
              <w:t>11</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7F8058F2" w14:textId="77777777">
            <w:pPr>
              <w:pStyle w:val="p-table"/>
              <w:jc w:val="right"/>
              <w:rPr>
                <w:color w:val="000000"/>
                <w:sz w:val="13"/>
                <w:szCs w:val="13"/>
              </w:rPr>
            </w:pPr>
            <w:r w:rsidRPr="006F2FC4">
              <w:rPr>
                <w:color w:val="000000"/>
                <w:sz w:val="13"/>
                <w:szCs w:val="13"/>
              </w:rPr>
              <w:t>‒ 35.334.000</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79E12602" w14:textId="5554028C">
            <w:pPr>
              <w:pStyle w:val="p-table"/>
              <w:jc w:val="right"/>
              <w:rPr>
                <w:color w:val="000000"/>
                <w:sz w:val="13"/>
                <w:szCs w:val="13"/>
              </w:rPr>
            </w:pPr>
            <w:r w:rsidRPr="006F2FC4">
              <w:rPr>
                <w:color w:val="000000"/>
                <w:sz w:val="13"/>
                <w:szCs w:val="13"/>
              </w:rPr>
              <w:t>12.044.000</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4D7C22B9" w14:textId="12F28C4E">
            <w:pPr>
              <w:pStyle w:val="p-table"/>
              <w:jc w:val="right"/>
              <w:rPr>
                <w:color w:val="000000"/>
                <w:sz w:val="13"/>
                <w:szCs w:val="13"/>
              </w:rPr>
            </w:pPr>
            <w:r w:rsidRPr="006F2FC4">
              <w:rPr>
                <w:color w:val="000000"/>
                <w:sz w:val="13"/>
                <w:szCs w:val="13"/>
              </w:rPr>
              <w:t>-1.954.000</w:t>
            </w:r>
          </w:p>
        </w:tc>
        <w:tc>
          <w:tcPr>
            <w:tcW w:w="512" w:type="pct"/>
            <w:tcBorders>
              <w:bottom w:val="single" w:color="009EE0" w:sz="2" w:space="0"/>
            </w:tcBorders>
            <w:tcMar>
              <w:top w:w="22" w:type="dxa"/>
              <w:left w:w="28" w:type="dxa"/>
              <w:bottom w:w="22" w:type="dxa"/>
              <w:right w:w="28" w:type="dxa"/>
            </w:tcMar>
            <w:vAlign w:val="center"/>
          </w:tcPr>
          <w:p w:rsidRPr="006F2FC4" w:rsidR="006D2CF7" w:rsidP="006D2CF7" w:rsidRDefault="006D2CF7" w14:paraId="2E4CE0C2" w14:textId="7DFD3ED6">
            <w:pPr>
              <w:pStyle w:val="p-table"/>
              <w:jc w:val="right"/>
              <w:rPr>
                <w:color w:val="000000"/>
                <w:sz w:val="13"/>
                <w:szCs w:val="13"/>
              </w:rPr>
            </w:pPr>
            <w:r w:rsidRPr="006F2FC4">
              <w:rPr>
                <w:color w:val="000000"/>
                <w:sz w:val="13"/>
                <w:szCs w:val="13"/>
              </w:rPr>
              <w:t>2.266.000</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56574C3D" w14:textId="4C64D6AF">
            <w:pPr>
              <w:pStyle w:val="p-table"/>
              <w:jc w:val="right"/>
              <w:rPr>
                <w:color w:val="000000"/>
                <w:sz w:val="13"/>
                <w:szCs w:val="13"/>
              </w:rPr>
            </w:pPr>
            <w:r w:rsidRPr="006F2FC4">
              <w:rPr>
                <w:color w:val="000000"/>
                <w:sz w:val="13"/>
                <w:szCs w:val="13"/>
              </w:rPr>
              <w:t>-1.391.000</w:t>
            </w:r>
          </w:p>
        </w:tc>
        <w:tc>
          <w:tcPr>
            <w:tcW w:w="515" w:type="pct"/>
            <w:gridSpan w:val="2"/>
            <w:tcBorders>
              <w:bottom w:val="single" w:color="009EE0" w:sz="2" w:space="0"/>
            </w:tcBorders>
            <w:tcMar>
              <w:top w:w="22" w:type="dxa"/>
              <w:left w:w="28" w:type="dxa"/>
              <w:bottom w:w="22" w:type="dxa"/>
              <w:right w:w="28" w:type="dxa"/>
            </w:tcMar>
          </w:tcPr>
          <w:p w:rsidRPr="006F2FC4" w:rsidR="006D2CF7" w:rsidP="006D2CF7" w:rsidRDefault="006D2CF7" w14:paraId="6E14B139" w14:textId="77777777">
            <w:pPr>
              <w:pStyle w:val="p-table"/>
              <w:rPr>
                <w:color w:val="000000"/>
                <w:sz w:val="13"/>
                <w:szCs w:val="13"/>
              </w:rPr>
            </w:pPr>
          </w:p>
        </w:tc>
      </w:tr>
      <w:tr w:rsidR="003B0A61" w:rsidTr="007433BE" w14:paraId="0EAEE288" w14:textId="77777777">
        <w:tc>
          <w:tcPr>
            <w:tcW w:w="1563" w:type="pct"/>
            <w:tcBorders>
              <w:bottom w:val="single" w:color="009EE0" w:sz="2" w:space="0"/>
            </w:tcBorders>
            <w:tcMar>
              <w:top w:w="22" w:type="dxa"/>
              <w:bottom w:w="22" w:type="dxa"/>
              <w:right w:w="28" w:type="dxa"/>
            </w:tcMar>
          </w:tcPr>
          <w:p w:rsidRPr="006F2FC4" w:rsidR="00F264F5" w:rsidRDefault="00F264F5" w14:paraId="4A140A71" w14:textId="17316A94">
            <w:pPr>
              <w:pStyle w:val="p-table"/>
              <w:rPr>
                <w:color w:val="000000"/>
                <w:sz w:val="13"/>
                <w:szCs w:val="13"/>
              </w:rPr>
            </w:pPr>
            <w:r w:rsidRPr="006F2FC4">
              <w:rPr>
                <w:color w:val="000000"/>
                <w:sz w:val="13"/>
                <w:szCs w:val="13"/>
              </w:rPr>
              <w:t>2) Mutatie vlottende schuld</w:t>
            </w:r>
          </w:p>
        </w:tc>
        <w:tc>
          <w:tcPr>
            <w:tcW w:w="366" w:type="pct"/>
            <w:tcBorders>
              <w:bottom w:val="single" w:color="009EE0" w:sz="2" w:space="0"/>
            </w:tcBorders>
            <w:tcMar>
              <w:top w:w="22" w:type="dxa"/>
              <w:left w:w="28" w:type="dxa"/>
              <w:bottom w:w="22" w:type="dxa"/>
              <w:right w:w="28" w:type="dxa"/>
            </w:tcMar>
          </w:tcPr>
          <w:p w:rsidRPr="006F2FC4" w:rsidR="00F264F5" w:rsidP="00EB084F" w:rsidRDefault="00EB084F" w14:paraId="7DE17860" w14:textId="088AD7D1">
            <w:pPr>
              <w:pStyle w:val="p-table"/>
              <w:jc w:val="right"/>
              <w:rPr>
                <w:color w:val="000000"/>
                <w:sz w:val="13"/>
                <w:szCs w:val="13"/>
              </w:rPr>
            </w:pPr>
            <w:r>
              <w:rPr>
                <w:color w:val="000000"/>
                <w:sz w:val="13"/>
                <w:szCs w:val="13"/>
              </w:rPr>
              <w:t>11</w:t>
            </w:r>
          </w:p>
        </w:tc>
        <w:tc>
          <w:tcPr>
            <w:tcW w:w="511" w:type="pct"/>
            <w:tcBorders>
              <w:bottom w:val="single" w:color="009EE0" w:sz="2" w:space="0"/>
            </w:tcBorders>
            <w:tcMar>
              <w:top w:w="22" w:type="dxa"/>
              <w:left w:w="28" w:type="dxa"/>
              <w:bottom w:w="22" w:type="dxa"/>
              <w:right w:w="28" w:type="dxa"/>
            </w:tcMar>
            <w:vAlign w:val="center"/>
          </w:tcPr>
          <w:p w:rsidRPr="006F2FC4" w:rsidR="006D2CF7" w:rsidP="003B0A61" w:rsidRDefault="006D2CF7" w14:paraId="2CC5ADE1" w14:textId="77777777">
            <w:pPr>
              <w:pStyle w:val="p-table"/>
              <w:jc w:val="right"/>
              <w:rPr>
                <w:color w:val="000000"/>
                <w:sz w:val="13"/>
                <w:szCs w:val="13"/>
              </w:rPr>
            </w:pPr>
            <w:r w:rsidRPr="006F2FC4">
              <w:rPr>
                <w:color w:val="000000"/>
                <w:sz w:val="13"/>
                <w:szCs w:val="13"/>
              </w:rPr>
              <w:t>28.496.000</w:t>
            </w:r>
          </w:p>
          <w:p w:rsidRPr="006F2FC4" w:rsidR="00F264F5" w:rsidP="006D2CF7" w:rsidRDefault="00F264F5" w14:paraId="4DD3E739" w14:textId="77777777">
            <w:pPr>
              <w:pStyle w:val="p-table"/>
              <w:jc w:val="right"/>
              <w:rPr>
                <w:color w:val="000000"/>
                <w:sz w:val="13"/>
                <w:szCs w:val="13"/>
              </w:rPr>
            </w:pPr>
          </w:p>
        </w:tc>
        <w:tc>
          <w:tcPr>
            <w:tcW w:w="511" w:type="pct"/>
            <w:tcBorders>
              <w:bottom w:val="single" w:color="009EE0" w:sz="2" w:space="0"/>
            </w:tcBorders>
            <w:tcMar>
              <w:top w:w="22" w:type="dxa"/>
              <w:left w:w="28" w:type="dxa"/>
              <w:bottom w:w="22" w:type="dxa"/>
              <w:right w:w="28" w:type="dxa"/>
            </w:tcMar>
            <w:vAlign w:val="center"/>
          </w:tcPr>
          <w:p w:rsidRPr="006F2FC4" w:rsidR="00F264F5" w:rsidP="006D2CF7" w:rsidRDefault="00EB084F" w14:paraId="555A425C" w14:textId="245DFEEE">
            <w:pPr>
              <w:pStyle w:val="p-table"/>
              <w:jc w:val="right"/>
              <w:rPr>
                <w:color w:val="000000"/>
                <w:sz w:val="13"/>
                <w:szCs w:val="13"/>
              </w:rPr>
            </w:pPr>
            <w:r>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F264F5" w:rsidRDefault="00EB084F" w14:paraId="02B0964C" w14:textId="4509AA4E">
            <w:pPr>
              <w:pStyle w:val="p-table"/>
              <w:jc w:val="right"/>
              <w:rPr>
                <w:color w:val="000000"/>
                <w:sz w:val="13"/>
                <w:szCs w:val="13"/>
              </w:rPr>
            </w:pPr>
            <w:r>
              <w:rPr>
                <w:color w:val="000000"/>
                <w:sz w:val="13"/>
                <w:szCs w:val="13"/>
              </w:rPr>
              <w:t>0</w:t>
            </w:r>
          </w:p>
        </w:tc>
        <w:tc>
          <w:tcPr>
            <w:tcW w:w="512" w:type="pct"/>
            <w:tcBorders>
              <w:bottom w:val="single" w:color="009EE0" w:sz="2" w:space="0"/>
            </w:tcBorders>
            <w:tcMar>
              <w:top w:w="22" w:type="dxa"/>
              <w:left w:w="28" w:type="dxa"/>
              <w:bottom w:w="22" w:type="dxa"/>
              <w:right w:w="28" w:type="dxa"/>
            </w:tcMar>
            <w:vAlign w:val="center"/>
          </w:tcPr>
          <w:p w:rsidRPr="006F2FC4" w:rsidR="00F264F5" w:rsidRDefault="00EB084F" w14:paraId="4B82910A" w14:textId="1ED754DE">
            <w:pPr>
              <w:pStyle w:val="p-table"/>
              <w:jc w:val="right"/>
              <w:rPr>
                <w:color w:val="000000"/>
                <w:sz w:val="13"/>
                <w:szCs w:val="13"/>
              </w:rPr>
            </w:pPr>
            <w:r>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F264F5" w:rsidRDefault="00EB084F" w14:paraId="6B0305A6" w14:textId="45DF9D05">
            <w:pPr>
              <w:pStyle w:val="p-table"/>
              <w:jc w:val="right"/>
              <w:rPr>
                <w:color w:val="000000"/>
                <w:sz w:val="13"/>
                <w:szCs w:val="13"/>
              </w:rPr>
            </w:pPr>
            <w:r>
              <w:rPr>
                <w:color w:val="000000"/>
                <w:sz w:val="13"/>
                <w:szCs w:val="13"/>
              </w:rPr>
              <w:t>0</w:t>
            </w:r>
          </w:p>
        </w:tc>
        <w:tc>
          <w:tcPr>
            <w:tcW w:w="515" w:type="pct"/>
            <w:gridSpan w:val="2"/>
            <w:tcBorders>
              <w:bottom w:val="single" w:color="009EE0" w:sz="2" w:space="0"/>
            </w:tcBorders>
            <w:tcMar>
              <w:top w:w="22" w:type="dxa"/>
              <w:left w:w="28" w:type="dxa"/>
              <w:bottom w:w="22" w:type="dxa"/>
              <w:right w:w="28" w:type="dxa"/>
            </w:tcMar>
          </w:tcPr>
          <w:p w:rsidRPr="006F2FC4" w:rsidR="00F264F5" w:rsidRDefault="00F264F5" w14:paraId="6DFC9A0D" w14:textId="77777777">
            <w:pPr>
              <w:pStyle w:val="p-table"/>
              <w:rPr>
                <w:color w:val="000000"/>
                <w:sz w:val="13"/>
                <w:szCs w:val="13"/>
              </w:rPr>
            </w:pPr>
          </w:p>
        </w:tc>
      </w:tr>
      <w:tr w:rsidR="003B0A61" w:rsidTr="007433BE" w14:paraId="348987FC" w14:textId="77777777">
        <w:tc>
          <w:tcPr>
            <w:tcW w:w="1563" w:type="pct"/>
            <w:tcBorders>
              <w:bottom w:val="single" w:color="009EE0" w:sz="2" w:space="0"/>
            </w:tcBorders>
            <w:tcMar>
              <w:top w:w="22" w:type="dxa"/>
              <w:bottom w:w="22" w:type="dxa"/>
              <w:right w:w="28" w:type="dxa"/>
            </w:tcMar>
          </w:tcPr>
          <w:p w:rsidRPr="006F2FC4" w:rsidR="0084290D" w:rsidRDefault="00F264F5" w14:paraId="68F7B0FA" w14:textId="538CC7F9">
            <w:pPr>
              <w:pStyle w:val="p-table"/>
              <w:rPr>
                <w:color w:val="000000"/>
                <w:sz w:val="13"/>
                <w:szCs w:val="13"/>
              </w:rPr>
            </w:pPr>
            <w:r w:rsidRPr="006F2FC4">
              <w:rPr>
                <w:color w:val="000000"/>
                <w:sz w:val="13"/>
                <w:szCs w:val="13"/>
              </w:rPr>
              <w:t>3</w:t>
            </w:r>
            <w:r w:rsidRPr="006F2FC4" w:rsidR="00CF5B93">
              <w:rPr>
                <w:color w:val="000000"/>
                <w:sz w:val="13"/>
                <w:szCs w:val="13"/>
              </w:rPr>
              <w:t>) Rente kasbeheer</w:t>
            </w:r>
          </w:p>
        </w:tc>
        <w:tc>
          <w:tcPr>
            <w:tcW w:w="366" w:type="pct"/>
            <w:tcBorders>
              <w:bottom w:val="single" w:color="009EE0" w:sz="2" w:space="0"/>
            </w:tcBorders>
            <w:tcMar>
              <w:top w:w="22" w:type="dxa"/>
              <w:left w:w="28" w:type="dxa"/>
              <w:bottom w:w="22" w:type="dxa"/>
              <w:right w:w="28" w:type="dxa"/>
            </w:tcMar>
          </w:tcPr>
          <w:p w:rsidRPr="006F2FC4" w:rsidR="0084290D" w:rsidP="00EB084F" w:rsidRDefault="00EB084F" w14:paraId="014D5C76" w14:textId="20B5AB2E">
            <w:pPr>
              <w:pStyle w:val="p-table"/>
              <w:jc w:val="right"/>
              <w:rPr>
                <w:color w:val="000000"/>
                <w:sz w:val="13"/>
                <w:szCs w:val="13"/>
              </w:rPr>
            </w:pPr>
            <w:r>
              <w:rPr>
                <w:color w:val="000000"/>
                <w:sz w:val="13"/>
                <w:szCs w:val="13"/>
              </w:rPr>
              <w:t>12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0FE0D517" w14:textId="77777777">
            <w:pPr>
              <w:pStyle w:val="p-table"/>
              <w:jc w:val="right"/>
              <w:rPr>
                <w:color w:val="000000"/>
                <w:sz w:val="13"/>
                <w:szCs w:val="13"/>
              </w:rPr>
            </w:pPr>
            <w:r w:rsidRPr="006F2FC4">
              <w:rPr>
                <w:color w:val="000000"/>
                <w:sz w:val="13"/>
                <w:szCs w:val="13"/>
              </w:rPr>
              <w:t>‒ 14.782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F5B8C01" w14:textId="77777777">
            <w:pPr>
              <w:pStyle w:val="p-table"/>
              <w:jc w:val="right"/>
              <w:rPr>
                <w:color w:val="000000"/>
                <w:sz w:val="13"/>
                <w:szCs w:val="13"/>
              </w:rPr>
            </w:pPr>
            <w:r w:rsidRPr="006F2FC4">
              <w:rPr>
                <w:color w:val="000000"/>
                <w:sz w:val="13"/>
                <w:szCs w:val="13"/>
              </w:rPr>
              <w:t>‒ 15.985</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616CDA1" w14:textId="77777777">
            <w:pPr>
              <w:pStyle w:val="p-table"/>
              <w:jc w:val="right"/>
              <w:rPr>
                <w:color w:val="000000"/>
                <w:sz w:val="13"/>
                <w:szCs w:val="13"/>
              </w:rPr>
            </w:pPr>
            <w:r w:rsidRPr="006F2FC4">
              <w:rPr>
                <w:color w:val="000000"/>
                <w:sz w:val="13"/>
                <w:szCs w:val="13"/>
              </w:rPr>
              <w:t>‒ 10.269</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23DB71C1" w14:textId="77777777">
            <w:pPr>
              <w:pStyle w:val="p-table"/>
              <w:jc w:val="right"/>
              <w:rPr>
                <w:color w:val="000000"/>
                <w:sz w:val="13"/>
                <w:szCs w:val="13"/>
              </w:rPr>
            </w:pPr>
            <w:r w:rsidRPr="006F2FC4">
              <w:rPr>
                <w:color w:val="000000"/>
                <w:sz w:val="13"/>
                <w:szCs w:val="13"/>
              </w:rPr>
              <w:t>‒ 4.487</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4A7D1E8" w14:textId="77777777">
            <w:pPr>
              <w:pStyle w:val="p-table"/>
              <w:jc w:val="right"/>
              <w:rPr>
                <w:color w:val="000000"/>
                <w:sz w:val="13"/>
                <w:szCs w:val="13"/>
              </w:rPr>
            </w:pPr>
            <w:r w:rsidRPr="006F2FC4">
              <w:rPr>
                <w:color w:val="000000"/>
                <w:sz w:val="13"/>
                <w:szCs w:val="13"/>
              </w:rPr>
              <w:t>1.341</w:t>
            </w: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252C6E20" w14:textId="77777777">
            <w:pPr>
              <w:pStyle w:val="p-table"/>
              <w:rPr>
                <w:color w:val="000000"/>
                <w:sz w:val="13"/>
                <w:szCs w:val="13"/>
              </w:rPr>
            </w:pPr>
          </w:p>
        </w:tc>
      </w:tr>
      <w:tr w:rsidR="003B0A61" w:rsidTr="007433BE" w14:paraId="6B57DA94" w14:textId="77777777">
        <w:tc>
          <w:tcPr>
            <w:tcW w:w="1563" w:type="pct"/>
            <w:tcBorders>
              <w:bottom w:val="single" w:color="009EE0" w:sz="2" w:space="0"/>
            </w:tcBorders>
            <w:tcMar>
              <w:top w:w="22" w:type="dxa"/>
              <w:bottom w:w="22" w:type="dxa"/>
              <w:right w:w="28" w:type="dxa"/>
            </w:tcMar>
          </w:tcPr>
          <w:p w:rsidRPr="006F2FC4" w:rsidR="0084290D" w:rsidRDefault="00F264F5" w14:paraId="1B329788" w14:textId="5AE07179">
            <w:pPr>
              <w:pStyle w:val="p-table"/>
              <w:rPr>
                <w:color w:val="000000"/>
                <w:sz w:val="13"/>
                <w:szCs w:val="13"/>
              </w:rPr>
            </w:pPr>
            <w:r w:rsidRPr="006F2FC4">
              <w:rPr>
                <w:color w:val="000000"/>
                <w:sz w:val="13"/>
                <w:szCs w:val="13"/>
              </w:rPr>
              <w:t>4</w:t>
            </w:r>
            <w:r w:rsidRPr="006F2FC4" w:rsidR="00CF5B93">
              <w:rPr>
                <w:color w:val="000000"/>
                <w:sz w:val="13"/>
                <w:szCs w:val="13"/>
              </w:rPr>
              <w:t>) Ontvangen aflossingen</w:t>
            </w:r>
          </w:p>
        </w:tc>
        <w:tc>
          <w:tcPr>
            <w:tcW w:w="366" w:type="pct"/>
            <w:tcBorders>
              <w:bottom w:val="single" w:color="009EE0" w:sz="2" w:space="0"/>
            </w:tcBorders>
            <w:tcMar>
              <w:top w:w="22" w:type="dxa"/>
              <w:left w:w="28" w:type="dxa"/>
              <w:bottom w:w="22" w:type="dxa"/>
              <w:right w:w="28" w:type="dxa"/>
            </w:tcMar>
          </w:tcPr>
          <w:p w:rsidRPr="006F2FC4" w:rsidR="0084290D" w:rsidP="00EB084F" w:rsidRDefault="00EB084F" w14:paraId="7EEBECBB" w14:textId="3EC0E5CC">
            <w:pPr>
              <w:pStyle w:val="p-table"/>
              <w:jc w:val="right"/>
              <w:rPr>
                <w:color w:val="000000"/>
                <w:sz w:val="13"/>
                <w:szCs w:val="13"/>
              </w:rPr>
            </w:pPr>
            <w:r>
              <w:rPr>
                <w:color w:val="000000"/>
                <w:sz w:val="13"/>
                <w:szCs w:val="13"/>
              </w:rPr>
              <w:t>12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BE5C835" w14:textId="77777777">
            <w:pPr>
              <w:pStyle w:val="p-table"/>
              <w:jc w:val="right"/>
              <w:rPr>
                <w:color w:val="000000"/>
                <w:sz w:val="13"/>
                <w:szCs w:val="13"/>
              </w:rPr>
            </w:pPr>
            <w:r w:rsidRPr="006F2FC4">
              <w:rPr>
                <w:color w:val="000000"/>
                <w:sz w:val="13"/>
                <w:szCs w:val="13"/>
              </w:rPr>
              <w:t>4.232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793E5FE8" w14:textId="77777777">
            <w:pPr>
              <w:pStyle w:val="p-table"/>
              <w:jc w:val="right"/>
              <w:rPr>
                <w:color w:val="000000"/>
                <w:sz w:val="13"/>
                <w:szCs w:val="13"/>
              </w:rPr>
            </w:pPr>
            <w:r w:rsidRPr="006F2FC4">
              <w:rPr>
                <w:color w:val="000000"/>
                <w:sz w:val="13"/>
                <w:szCs w:val="13"/>
              </w:rPr>
              <w:t>19.450</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68F2527F" w14:textId="77777777">
            <w:pPr>
              <w:pStyle w:val="p-table"/>
              <w:jc w:val="right"/>
              <w:rPr>
                <w:color w:val="000000"/>
                <w:sz w:val="13"/>
                <w:szCs w:val="13"/>
              </w:rPr>
            </w:pPr>
            <w:r w:rsidRPr="006F2FC4">
              <w:rPr>
                <w:color w:val="000000"/>
                <w:sz w:val="13"/>
                <w:szCs w:val="13"/>
              </w:rPr>
              <w:t>2.399</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3353BEDC" w14:textId="77777777">
            <w:pPr>
              <w:pStyle w:val="p-table"/>
              <w:jc w:val="right"/>
              <w:rPr>
                <w:color w:val="000000"/>
                <w:sz w:val="13"/>
                <w:szCs w:val="13"/>
              </w:rPr>
            </w:pPr>
            <w:r w:rsidRPr="006F2FC4">
              <w:rPr>
                <w:color w:val="000000"/>
                <w:sz w:val="13"/>
                <w:szCs w:val="13"/>
              </w:rPr>
              <w:t>‒ 21.613</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2ECDC6E7" w14:textId="77777777">
            <w:pPr>
              <w:pStyle w:val="p-table"/>
              <w:jc w:val="right"/>
              <w:rPr>
                <w:color w:val="000000"/>
                <w:sz w:val="13"/>
                <w:szCs w:val="13"/>
              </w:rPr>
            </w:pPr>
            <w:r w:rsidRPr="006F2FC4">
              <w:rPr>
                <w:color w:val="000000"/>
                <w:sz w:val="13"/>
                <w:szCs w:val="13"/>
              </w:rPr>
              <w:t>‒ 44.902</w:t>
            </w: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2754629D" w14:textId="77777777">
            <w:pPr>
              <w:pStyle w:val="p-table"/>
              <w:rPr>
                <w:color w:val="000000"/>
                <w:sz w:val="13"/>
                <w:szCs w:val="13"/>
              </w:rPr>
            </w:pPr>
          </w:p>
        </w:tc>
      </w:tr>
      <w:tr w:rsidR="003B0A61" w:rsidTr="007433BE" w14:paraId="2177C5E3" w14:textId="77777777">
        <w:tc>
          <w:tcPr>
            <w:tcW w:w="1563" w:type="pct"/>
            <w:tcBorders>
              <w:bottom w:val="single" w:color="009EE0" w:sz="2" w:space="0"/>
            </w:tcBorders>
            <w:tcMar>
              <w:top w:w="22" w:type="dxa"/>
              <w:bottom w:w="22" w:type="dxa"/>
              <w:right w:w="28" w:type="dxa"/>
            </w:tcMar>
          </w:tcPr>
          <w:p w:rsidRPr="006F2FC4" w:rsidR="006D2CF7" w:rsidP="006D2CF7" w:rsidRDefault="006D2CF7" w14:paraId="24694CCA" w14:textId="6F6E1CE0">
            <w:pPr>
              <w:pStyle w:val="p-table"/>
              <w:rPr>
                <w:color w:val="000000"/>
                <w:sz w:val="13"/>
                <w:szCs w:val="13"/>
              </w:rPr>
            </w:pPr>
            <w:r w:rsidRPr="006F2FC4">
              <w:rPr>
                <w:color w:val="000000"/>
                <w:sz w:val="13"/>
                <w:szCs w:val="13"/>
              </w:rPr>
              <w:t>5) Mutaties in rekening courant en deposito</w:t>
            </w:r>
          </w:p>
        </w:tc>
        <w:tc>
          <w:tcPr>
            <w:tcW w:w="366" w:type="pct"/>
            <w:tcBorders>
              <w:bottom w:val="single" w:color="009EE0" w:sz="2" w:space="0"/>
            </w:tcBorders>
            <w:tcMar>
              <w:top w:w="22" w:type="dxa"/>
              <w:left w:w="28" w:type="dxa"/>
              <w:bottom w:w="22" w:type="dxa"/>
              <w:right w:w="28" w:type="dxa"/>
            </w:tcMar>
          </w:tcPr>
          <w:p w:rsidRPr="006F2FC4" w:rsidR="006D2CF7" w:rsidP="00EB084F" w:rsidRDefault="00EB084F" w14:paraId="76B39FF2" w14:textId="7432F565">
            <w:pPr>
              <w:pStyle w:val="p-table"/>
              <w:jc w:val="right"/>
              <w:rPr>
                <w:color w:val="000000"/>
                <w:sz w:val="13"/>
                <w:szCs w:val="13"/>
              </w:rPr>
            </w:pPr>
            <w:r>
              <w:rPr>
                <w:color w:val="000000"/>
                <w:sz w:val="13"/>
                <w:szCs w:val="13"/>
              </w:rPr>
              <w:t>12</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640BFA74" w14:textId="6E56A91F">
            <w:pPr>
              <w:pStyle w:val="p-table"/>
              <w:jc w:val="right"/>
              <w:rPr>
                <w:color w:val="000000"/>
                <w:sz w:val="13"/>
                <w:szCs w:val="13"/>
              </w:rPr>
            </w:pPr>
            <w:r w:rsidRPr="006F2FC4">
              <w:rPr>
                <w:color w:val="000000"/>
                <w:sz w:val="13"/>
                <w:szCs w:val="13"/>
              </w:rPr>
              <w:t>3.416.965</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3A941194" w14:textId="0DA2EBE6">
            <w:pPr>
              <w:pStyle w:val="p-table"/>
              <w:jc w:val="right"/>
              <w:rPr>
                <w:color w:val="000000"/>
                <w:sz w:val="13"/>
                <w:szCs w:val="13"/>
              </w:rPr>
            </w:pPr>
            <w:r w:rsidRPr="006F2FC4">
              <w:rPr>
                <w:color w:val="000000"/>
                <w:sz w:val="13"/>
                <w:szCs w:val="13"/>
              </w:rPr>
              <w:t>1.111.827</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5D7321A5" w14:textId="3E407DBE">
            <w:pPr>
              <w:pStyle w:val="p-table"/>
              <w:jc w:val="right"/>
              <w:rPr>
                <w:color w:val="000000"/>
                <w:sz w:val="13"/>
                <w:szCs w:val="13"/>
              </w:rPr>
            </w:pPr>
            <w:r w:rsidRPr="006F2FC4">
              <w:rPr>
                <w:color w:val="000000"/>
                <w:sz w:val="13"/>
                <w:szCs w:val="13"/>
              </w:rPr>
              <w:t>2.536.129</w:t>
            </w:r>
          </w:p>
        </w:tc>
        <w:tc>
          <w:tcPr>
            <w:tcW w:w="512" w:type="pct"/>
            <w:tcBorders>
              <w:bottom w:val="single" w:color="009EE0" w:sz="2" w:space="0"/>
            </w:tcBorders>
            <w:tcMar>
              <w:top w:w="22" w:type="dxa"/>
              <w:left w:w="28" w:type="dxa"/>
              <w:bottom w:w="22" w:type="dxa"/>
              <w:right w:w="28" w:type="dxa"/>
            </w:tcMar>
            <w:vAlign w:val="center"/>
          </w:tcPr>
          <w:p w:rsidRPr="006F2FC4" w:rsidR="006D2CF7" w:rsidP="006D2CF7" w:rsidRDefault="006D2CF7" w14:paraId="24DEB0B4" w14:textId="4B24BBCA">
            <w:pPr>
              <w:pStyle w:val="p-table"/>
              <w:jc w:val="right"/>
              <w:rPr>
                <w:color w:val="000000"/>
                <w:sz w:val="13"/>
                <w:szCs w:val="13"/>
              </w:rPr>
            </w:pPr>
            <w:r w:rsidRPr="006F2FC4">
              <w:rPr>
                <w:color w:val="000000"/>
                <w:sz w:val="13"/>
                <w:szCs w:val="13"/>
              </w:rPr>
              <w:t>4.746.586</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0E2DA33D" w14:textId="5B44FF16">
            <w:pPr>
              <w:pStyle w:val="p-table"/>
              <w:jc w:val="right"/>
              <w:rPr>
                <w:color w:val="000000"/>
                <w:sz w:val="13"/>
                <w:szCs w:val="13"/>
              </w:rPr>
            </w:pPr>
            <w:r w:rsidRPr="006F2FC4">
              <w:rPr>
                <w:color w:val="000000"/>
                <w:sz w:val="13"/>
                <w:szCs w:val="13"/>
              </w:rPr>
              <w:t>6.362.700</w:t>
            </w:r>
          </w:p>
        </w:tc>
        <w:tc>
          <w:tcPr>
            <w:tcW w:w="515" w:type="pct"/>
            <w:gridSpan w:val="2"/>
            <w:tcBorders>
              <w:bottom w:val="single" w:color="009EE0" w:sz="2" w:space="0"/>
            </w:tcBorders>
            <w:tcMar>
              <w:top w:w="22" w:type="dxa"/>
              <w:left w:w="28" w:type="dxa"/>
              <w:bottom w:w="22" w:type="dxa"/>
              <w:right w:w="28" w:type="dxa"/>
            </w:tcMar>
          </w:tcPr>
          <w:p w:rsidRPr="006F2FC4" w:rsidR="006D2CF7" w:rsidP="006D2CF7" w:rsidRDefault="006D2CF7" w14:paraId="07DC1755" w14:textId="77777777">
            <w:pPr>
              <w:pStyle w:val="p-table"/>
              <w:rPr>
                <w:color w:val="000000"/>
                <w:sz w:val="13"/>
                <w:szCs w:val="13"/>
              </w:rPr>
            </w:pPr>
          </w:p>
        </w:tc>
      </w:tr>
      <w:tr w:rsidR="003B0A61" w:rsidTr="007433BE" w14:paraId="72FE4092" w14:textId="77777777">
        <w:tc>
          <w:tcPr>
            <w:tcW w:w="1563" w:type="pct"/>
            <w:tcBorders>
              <w:bottom w:val="single" w:color="009EE0" w:sz="2" w:space="0"/>
            </w:tcBorders>
            <w:tcMar>
              <w:top w:w="22" w:type="dxa"/>
              <w:bottom w:w="22" w:type="dxa"/>
              <w:right w:w="28" w:type="dxa"/>
            </w:tcMar>
          </w:tcPr>
          <w:p w:rsidRPr="006F2FC4" w:rsidR="0084290D" w:rsidRDefault="00F264F5" w14:paraId="0AEF5D2D" w14:textId="00FACC82">
            <w:pPr>
              <w:pStyle w:val="p-table"/>
              <w:rPr>
                <w:color w:val="000000"/>
                <w:sz w:val="13"/>
                <w:szCs w:val="13"/>
              </w:rPr>
            </w:pPr>
            <w:r w:rsidRPr="006F2FC4">
              <w:rPr>
                <w:color w:val="000000"/>
                <w:sz w:val="13"/>
                <w:szCs w:val="13"/>
              </w:rPr>
              <w:t>6</w:t>
            </w:r>
            <w:r w:rsidRPr="006F2FC4" w:rsidR="00CF5B93">
              <w:rPr>
                <w:color w:val="000000"/>
                <w:sz w:val="13"/>
                <w:szCs w:val="13"/>
              </w:rPr>
              <w:t>) Overige mutaties &amp; extrapolatie</w:t>
            </w:r>
          </w:p>
        </w:tc>
        <w:tc>
          <w:tcPr>
            <w:tcW w:w="366" w:type="pct"/>
            <w:tcBorders>
              <w:bottom w:val="single" w:color="009EE0" w:sz="2" w:space="0"/>
            </w:tcBorders>
            <w:tcMar>
              <w:top w:w="22" w:type="dxa"/>
              <w:left w:w="28" w:type="dxa"/>
              <w:bottom w:w="22" w:type="dxa"/>
              <w:right w:w="28" w:type="dxa"/>
            </w:tcMar>
            <w:vAlign w:val="center"/>
          </w:tcPr>
          <w:p w:rsidRPr="006F2FC4" w:rsidR="0084290D" w:rsidRDefault="00CF5B93" w14:paraId="1BD6344F" w14:textId="77777777">
            <w:pPr>
              <w:pStyle w:val="p-table"/>
              <w:jc w:val="right"/>
              <w:rPr>
                <w:color w:val="000000"/>
                <w:sz w:val="13"/>
                <w:szCs w:val="13"/>
              </w:rPr>
            </w:pPr>
            <w:r w:rsidRPr="006F2FC4">
              <w:rPr>
                <w:color w:val="000000"/>
                <w:sz w:val="13"/>
                <w:szCs w:val="13"/>
              </w:rPr>
              <w:t>div</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6D2CF7" w14:paraId="03A16D94" w14:textId="30843EB7">
            <w:pPr>
              <w:pStyle w:val="p-table"/>
              <w:jc w:val="right"/>
              <w:rPr>
                <w:color w:val="000000"/>
                <w:sz w:val="13"/>
                <w:szCs w:val="13"/>
              </w:rPr>
            </w:pPr>
            <w:r w:rsidRPr="006F2FC4">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62F5870D" w14:textId="77777777">
            <w:pPr>
              <w:pStyle w:val="p-table"/>
              <w:jc w:val="right"/>
              <w:rPr>
                <w:color w:val="000000"/>
                <w:sz w:val="13"/>
                <w:szCs w:val="13"/>
              </w:rPr>
            </w:pPr>
            <w:r w:rsidRPr="006F2FC4">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004AF816" w14:textId="77777777">
            <w:pPr>
              <w:pStyle w:val="p-table"/>
              <w:jc w:val="right"/>
              <w:rPr>
                <w:color w:val="000000"/>
                <w:sz w:val="13"/>
                <w:szCs w:val="13"/>
              </w:rPr>
            </w:pPr>
            <w:r w:rsidRPr="006F2FC4">
              <w:rPr>
                <w:color w:val="000000"/>
                <w:sz w:val="13"/>
                <w:szCs w:val="13"/>
              </w:rPr>
              <w:t>0</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571C08DB" w14:textId="77777777">
            <w:pPr>
              <w:pStyle w:val="p-table"/>
              <w:jc w:val="right"/>
              <w:rPr>
                <w:color w:val="000000"/>
                <w:sz w:val="13"/>
                <w:szCs w:val="13"/>
              </w:rPr>
            </w:pPr>
            <w:r w:rsidRPr="006F2FC4">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698CA17C" w14:textId="77777777">
            <w:pPr>
              <w:pStyle w:val="p-table"/>
              <w:jc w:val="right"/>
              <w:rPr>
                <w:color w:val="000000"/>
                <w:sz w:val="13"/>
                <w:szCs w:val="13"/>
              </w:rPr>
            </w:pPr>
            <w:r w:rsidRPr="006F2FC4">
              <w:rPr>
                <w:color w:val="000000"/>
                <w:sz w:val="13"/>
                <w:szCs w:val="13"/>
              </w:rPr>
              <w:t>0</w:t>
            </w:r>
          </w:p>
        </w:tc>
        <w:tc>
          <w:tcPr>
            <w:tcW w:w="515" w:type="pct"/>
            <w:gridSpan w:val="2"/>
            <w:tcBorders>
              <w:bottom w:val="single" w:color="009EE0" w:sz="2" w:space="0"/>
            </w:tcBorders>
            <w:tcMar>
              <w:top w:w="22" w:type="dxa"/>
              <w:left w:w="28" w:type="dxa"/>
              <w:bottom w:w="22" w:type="dxa"/>
              <w:right w:w="28" w:type="dxa"/>
            </w:tcMar>
            <w:vAlign w:val="center"/>
          </w:tcPr>
          <w:p w:rsidRPr="006F2FC4" w:rsidR="0084290D" w:rsidRDefault="003B0A61" w14:paraId="531BF7CC" w14:textId="5C66C1C1">
            <w:pPr>
              <w:pStyle w:val="p-table"/>
              <w:jc w:val="right"/>
              <w:rPr>
                <w:color w:val="000000"/>
                <w:sz w:val="13"/>
                <w:szCs w:val="13"/>
              </w:rPr>
            </w:pPr>
            <w:r w:rsidRPr="006F2FC4">
              <w:rPr>
                <w:color w:val="000000"/>
                <w:sz w:val="13"/>
                <w:szCs w:val="13"/>
              </w:rPr>
              <w:t>79.853.953</w:t>
            </w:r>
          </w:p>
        </w:tc>
      </w:tr>
      <w:tr w:rsidR="003B0A61" w:rsidTr="007433BE" w14:paraId="20ABCBEC" w14:textId="77777777">
        <w:tc>
          <w:tcPr>
            <w:tcW w:w="1563" w:type="pct"/>
            <w:tcBorders>
              <w:bottom w:val="single" w:color="009EE0" w:sz="2" w:space="0"/>
            </w:tcBorders>
            <w:tcMar>
              <w:top w:w="22" w:type="dxa"/>
              <w:bottom w:w="22" w:type="dxa"/>
              <w:right w:w="28" w:type="dxa"/>
            </w:tcMar>
          </w:tcPr>
          <w:p w:rsidRPr="006F2FC4" w:rsidR="0084290D" w:rsidRDefault="0084290D" w14:paraId="1F001DB9" w14:textId="77777777">
            <w:pPr>
              <w:pStyle w:val="p-table"/>
              <w:rPr>
                <w:color w:val="000000"/>
                <w:sz w:val="13"/>
                <w:szCs w:val="13"/>
              </w:rPr>
            </w:pPr>
          </w:p>
        </w:tc>
        <w:tc>
          <w:tcPr>
            <w:tcW w:w="366" w:type="pct"/>
            <w:tcBorders>
              <w:bottom w:val="single" w:color="009EE0" w:sz="2" w:space="0"/>
            </w:tcBorders>
            <w:tcMar>
              <w:top w:w="22" w:type="dxa"/>
              <w:left w:w="28" w:type="dxa"/>
              <w:bottom w:w="22" w:type="dxa"/>
              <w:right w:w="28" w:type="dxa"/>
            </w:tcMar>
          </w:tcPr>
          <w:p w:rsidRPr="006F2FC4" w:rsidR="0084290D" w:rsidRDefault="0084290D" w14:paraId="6280FF46"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09CDFBB2"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3E3D9848"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5C07D9F9" w14:textId="77777777">
            <w:pPr>
              <w:pStyle w:val="p-table"/>
              <w:rPr>
                <w:color w:val="000000"/>
                <w:sz w:val="13"/>
                <w:szCs w:val="13"/>
              </w:rPr>
            </w:pPr>
          </w:p>
        </w:tc>
        <w:tc>
          <w:tcPr>
            <w:tcW w:w="512" w:type="pct"/>
            <w:tcBorders>
              <w:bottom w:val="single" w:color="009EE0" w:sz="2" w:space="0"/>
            </w:tcBorders>
            <w:tcMar>
              <w:top w:w="22" w:type="dxa"/>
              <w:left w:w="28" w:type="dxa"/>
              <w:bottom w:w="22" w:type="dxa"/>
              <w:right w:w="28" w:type="dxa"/>
            </w:tcMar>
          </w:tcPr>
          <w:p w:rsidRPr="006F2FC4" w:rsidR="0084290D" w:rsidRDefault="0084290D" w14:paraId="3441FACD"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623F600A" w14:textId="77777777">
            <w:pPr>
              <w:pStyle w:val="p-table"/>
              <w:rPr>
                <w:color w:val="000000"/>
                <w:sz w:val="13"/>
                <w:szCs w:val="13"/>
              </w:rPr>
            </w:pP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34544A1B" w14:textId="77777777">
            <w:pPr>
              <w:pStyle w:val="p-table"/>
              <w:rPr>
                <w:color w:val="000000"/>
                <w:sz w:val="13"/>
                <w:szCs w:val="13"/>
              </w:rPr>
            </w:pPr>
          </w:p>
        </w:tc>
      </w:tr>
      <w:tr w:rsidR="003B0A61" w:rsidTr="007433BE" w14:paraId="59456823" w14:textId="77777777">
        <w:trPr>
          <w:trHeight w:val="58"/>
        </w:trPr>
        <w:tc>
          <w:tcPr>
            <w:tcW w:w="1563" w:type="pct"/>
            <w:tcBorders>
              <w:bottom w:val="single" w:color="009EE0" w:sz="2" w:space="0"/>
            </w:tcBorders>
            <w:tcMar>
              <w:top w:w="22" w:type="dxa"/>
              <w:bottom w:w="22" w:type="dxa"/>
              <w:right w:w="28" w:type="dxa"/>
            </w:tcMar>
          </w:tcPr>
          <w:p w:rsidRPr="006F2FC4" w:rsidR="003B0A61" w:rsidP="003B0A61" w:rsidRDefault="003B0A61" w14:paraId="79BAD59A" w14:textId="77777777">
            <w:pPr>
              <w:pStyle w:val="p-table"/>
              <w:rPr>
                <w:b/>
                <w:bCs/>
                <w:color w:val="000000"/>
                <w:sz w:val="13"/>
                <w:szCs w:val="13"/>
              </w:rPr>
            </w:pPr>
            <w:r w:rsidRPr="006F2FC4">
              <w:rPr>
                <w:b/>
                <w:bCs/>
                <w:color w:val="000000"/>
                <w:sz w:val="13"/>
                <w:szCs w:val="13"/>
              </w:rPr>
              <w:t>Stand 1e suppletoire begroting 2026</w:t>
            </w:r>
          </w:p>
        </w:tc>
        <w:tc>
          <w:tcPr>
            <w:tcW w:w="366" w:type="pct"/>
            <w:tcBorders>
              <w:bottom w:val="single" w:color="009EE0" w:sz="2" w:space="0"/>
            </w:tcBorders>
            <w:tcMar>
              <w:top w:w="22" w:type="dxa"/>
              <w:left w:w="28" w:type="dxa"/>
              <w:bottom w:w="22" w:type="dxa"/>
              <w:right w:w="28" w:type="dxa"/>
            </w:tcMar>
          </w:tcPr>
          <w:p w:rsidRPr="006F2FC4" w:rsidR="003B0A61" w:rsidP="003B0A61" w:rsidRDefault="003B0A61" w14:paraId="0FA16FFB" w14:textId="77777777">
            <w:pPr>
              <w:pStyle w:val="p-table"/>
              <w:rPr>
                <w:b/>
                <w:bCs/>
                <w:color w:val="000000"/>
                <w:sz w:val="13"/>
                <w:szCs w:val="13"/>
              </w:rPr>
            </w:pPr>
          </w:p>
        </w:tc>
        <w:tc>
          <w:tcPr>
            <w:tcW w:w="511" w:type="pct"/>
            <w:tcBorders>
              <w:bottom w:val="single" w:color="009EE0" w:sz="2" w:space="0"/>
            </w:tcBorders>
            <w:tcMar>
              <w:top w:w="22" w:type="dxa"/>
              <w:left w:w="28" w:type="dxa"/>
              <w:bottom w:w="22" w:type="dxa"/>
              <w:right w:w="28" w:type="dxa"/>
            </w:tcMar>
            <w:vAlign w:val="center"/>
          </w:tcPr>
          <w:p w:rsidRPr="006F2FC4" w:rsidR="003B0A61" w:rsidP="003B0A61" w:rsidRDefault="003B0A61" w14:paraId="3F51AD8D" w14:textId="6D23F532">
            <w:pPr>
              <w:pStyle w:val="p-table"/>
              <w:jc w:val="right"/>
              <w:rPr>
                <w:b/>
                <w:bCs/>
                <w:color w:val="000000"/>
                <w:sz w:val="13"/>
                <w:szCs w:val="13"/>
              </w:rPr>
            </w:pPr>
            <w:r w:rsidRPr="006F2FC4">
              <w:rPr>
                <w:b/>
                <w:bCs/>
                <w:color w:val="000000"/>
                <w:sz w:val="13"/>
                <w:szCs w:val="13"/>
              </w:rPr>
              <w:t>94.352.221</w:t>
            </w:r>
          </w:p>
        </w:tc>
        <w:tc>
          <w:tcPr>
            <w:tcW w:w="511" w:type="pct"/>
            <w:tcBorders>
              <w:bottom w:val="single" w:color="009EE0" w:sz="2" w:space="0"/>
            </w:tcBorders>
            <w:tcMar>
              <w:top w:w="22" w:type="dxa"/>
              <w:left w:w="28" w:type="dxa"/>
              <w:bottom w:w="22" w:type="dxa"/>
              <w:right w:w="28" w:type="dxa"/>
            </w:tcMar>
            <w:vAlign w:val="center"/>
          </w:tcPr>
          <w:p w:rsidRPr="006F2FC4" w:rsidR="003B0A61" w:rsidP="003B0A61" w:rsidRDefault="003B0A61" w14:paraId="3B7BCAFF" w14:textId="17826CDD">
            <w:pPr>
              <w:pStyle w:val="p-table"/>
              <w:jc w:val="right"/>
              <w:rPr>
                <w:b/>
                <w:bCs/>
                <w:color w:val="000000"/>
                <w:sz w:val="13"/>
                <w:szCs w:val="13"/>
              </w:rPr>
            </w:pPr>
            <w:r w:rsidRPr="006F2FC4">
              <w:rPr>
                <w:b/>
                <w:bCs/>
                <w:color w:val="000000"/>
                <w:sz w:val="13"/>
                <w:szCs w:val="13"/>
              </w:rPr>
              <w:t>86.973.164</w:t>
            </w:r>
          </w:p>
        </w:tc>
        <w:tc>
          <w:tcPr>
            <w:tcW w:w="511" w:type="pct"/>
            <w:tcBorders>
              <w:bottom w:val="single" w:color="009EE0" w:sz="2" w:space="0"/>
            </w:tcBorders>
            <w:tcMar>
              <w:top w:w="22" w:type="dxa"/>
              <w:left w:w="28" w:type="dxa"/>
              <w:bottom w:w="22" w:type="dxa"/>
              <w:right w:w="28" w:type="dxa"/>
            </w:tcMar>
            <w:vAlign w:val="center"/>
          </w:tcPr>
          <w:p w:rsidRPr="006F2FC4" w:rsidR="003B0A61" w:rsidP="003B0A61" w:rsidRDefault="003B0A61" w14:paraId="17276B23" w14:textId="01970AC5">
            <w:pPr>
              <w:pStyle w:val="p-table"/>
              <w:jc w:val="right"/>
              <w:rPr>
                <w:b/>
                <w:bCs/>
                <w:color w:val="000000"/>
                <w:sz w:val="13"/>
                <w:szCs w:val="13"/>
              </w:rPr>
            </w:pPr>
            <w:r w:rsidRPr="006F2FC4">
              <w:rPr>
                <w:b/>
                <w:bCs/>
                <w:color w:val="000000"/>
                <w:sz w:val="13"/>
                <w:szCs w:val="13"/>
              </w:rPr>
              <w:t>79.914.841</w:t>
            </w:r>
          </w:p>
        </w:tc>
        <w:tc>
          <w:tcPr>
            <w:tcW w:w="512" w:type="pct"/>
            <w:tcBorders>
              <w:bottom w:val="single" w:color="009EE0" w:sz="2" w:space="0"/>
            </w:tcBorders>
            <w:tcMar>
              <w:top w:w="22" w:type="dxa"/>
              <w:left w:w="28" w:type="dxa"/>
              <w:bottom w:w="22" w:type="dxa"/>
              <w:right w:w="28" w:type="dxa"/>
            </w:tcMar>
            <w:vAlign w:val="center"/>
          </w:tcPr>
          <w:p w:rsidRPr="006F2FC4" w:rsidR="003B0A61" w:rsidP="003B0A61" w:rsidRDefault="003B0A61" w14:paraId="5E45D0AA" w14:textId="1A84C8B0">
            <w:pPr>
              <w:pStyle w:val="p-table"/>
              <w:jc w:val="right"/>
              <w:rPr>
                <w:b/>
                <w:bCs/>
                <w:color w:val="000000"/>
                <w:sz w:val="13"/>
                <w:szCs w:val="13"/>
              </w:rPr>
            </w:pPr>
            <w:r w:rsidRPr="006F2FC4">
              <w:rPr>
                <w:b/>
                <w:bCs/>
                <w:color w:val="000000"/>
                <w:sz w:val="13"/>
                <w:szCs w:val="13"/>
              </w:rPr>
              <w:t>81.095.680</w:t>
            </w:r>
          </w:p>
        </w:tc>
        <w:tc>
          <w:tcPr>
            <w:tcW w:w="511" w:type="pct"/>
            <w:tcBorders>
              <w:bottom w:val="single" w:color="009EE0" w:sz="2" w:space="0"/>
            </w:tcBorders>
            <w:tcMar>
              <w:top w:w="22" w:type="dxa"/>
              <w:left w:w="28" w:type="dxa"/>
              <w:bottom w:w="22" w:type="dxa"/>
              <w:right w:w="28" w:type="dxa"/>
            </w:tcMar>
            <w:vAlign w:val="center"/>
          </w:tcPr>
          <w:p w:rsidRPr="006F2FC4" w:rsidR="003B0A61" w:rsidP="003B0A61" w:rsidRDefault="003B0A61" w14:paraId="3762F761" w14:textId="7313C65A">
            <w:pPr>
              <w:pStyle w:val="p-table"/>
              <w:jc w:val="right"/>
              <w:rPr>
                <w:b/>
                <w:bCs/>
                <w:color w:val="000000"/>
                <w:sz w:val="13"/>
                <w:szCs w:val="13"/>
              </w:rPr>
            </w:pPr>
            <w:r w:rsidRPr="006F2FC4">
              <w:rPr>
                <w:b/>
                <w:bCs/>
                <w:color w:val="000000"/>
                <w:sz w:val="13"/>
                <w:szCs w:val="13"/>
              </w:rPr>
              <w:t>83.237.329</w:t>
            </w:r>
          </w:p>
        </w:tc>
        <w:tc>
          <w:tcPr>
            <w:tcW w:w="515" w:type="pct"/>
            <w:gridSpan w:val="2"/>
            <w:tcBorders>
              <w:bottom w:val="single" w:color="009EE0" w:sz="2" w:space="0"/>
            </w:tcBorders>
            <w:tcMar>
              <w:top w:w="22" w:type="dxa"/>
              <w:left w:w="28" w:type="dxa"/>
              <w:bottom w:w="22" w:type="dxa"/>
              <w:right w:w="28" w:type="dxa"/>
            </w:tcMar>
            <w:vAlign w:val="center"/>
          </w:tcPr>
          <w:p w:rsidRPr="006F2FC4" w:rsidR="003B0A61" w:rsidP="003B0A61" w:rsidRDefault="003B0A61" w14:paraId="6AB9141C" w14:textId="58AD5BCC">
            <w:pPr>
              <w:pStyle w:val="p-table"/>
              <w:jc w:val="right"/>
              <w:rPr>
                <w:b/>
                <w:bCs/>
                <w:color w:val="000000"/>
                <w:sz w:val="13"/>
                <w:szCs w:val="13"/>
              </w:rPr>
            </w:pPr>
            <w:r w:rsidRPr="006F2FC4">
              <w:rPr>
                <w:b/>
                <w:bCs/>
                <w:color w:val="000000"/>
                <w:sz w:val="13"/>
                <w:szCs w:val="13"/>
              </w:rPr>
              <w:t>79.853.953</w:t>
            </w:r>
          </w:p>
        </w:tc>
      </w:tr>
    </w:tbl>
    <w:p w:rsidR="0084290D" w:rsidRDefault="0084290D" w14:paraId="56B8EB1E" w14:textId="77777777">
      <w:pPr>
        <w:pStyle w:val="p-marginbottom"/>
      </w:pPr>
    </w:p>
    <w:p w:rsidR="0084290D" w:rsidRDefault="00CF5B93" w14:paraId="0F20C707" w14:textId="77777777">
      <w:pPr>
        <w:pStyle w:val="header-h1"/>
      </w:pPr>
      <w:r>
        <w:t>Toelichting</w:t>
      </w:r>
    </w:p>
    <w:p w:rsidR="0084290D" w:rsidRDefault="0084290D" w14:paraId="778004F2" w14:textId="77777777">
      <w:pPr>
        <w:pStyle w:val="p-marginbottom"/>
      </w:pPr>
    </w:p>
    <w:p w:rsidR="0084290D" w:rsidRDefault="00CF5B93" w14:paraId="054ABAF8" w14:textId="77777777">
      <w:pPr>
        <w:pStyle w:val="header-h2"/>
      </w:pPr>
      <w:r>
        <w:t>1. Uitgifte vaste schuld</w:t>
      </w:r>
    </w:p>
    <w:p w:rsidR="0043364C" w:rsidP="0043364C" w:rsidRDefault="0043364C" w14:paraId="3F2E87FA" w14:textId="1A658C70">
      <w:pPr>
        <w:pStyle w:val="p"/>
      </w:pPr>
      <w:r w:rsidRPr="0043364C">
        <w:t>In het financieringsplan 2026 is opgenomen dat er in 2026 minder vaste schuld wordt uitgegeven dan waarmee rekening werd gehouden in de begroting. Verder wordt het bijgestelde kassaldo vanaf 2027 opgevangen met een wijziging in de uitgifte van vaste schuld. Het bijgestelde kassaldo leidt tot een cumulatieve toename in de periode 2027 tot en met 2030.</w:t>
      </w:r>
    </w:p>
    <w:p w:rsidRPr="0043364C" w:rsidR="0043364C" w:rsidP="0043364C" w:rsidRDefault="00CF5B93" w14:paraId="2B7BBE40" w14:textId="5CEBDC2A">
      <w:pPr>
        <w:pStyle w:val="header-h2"/>
      </w:pPr>
      <w:r>
        <w:t>2.</w:t>
      </w:r>
      <w:r w:rsidRPr="0043364C" w:rsidR="0043364C">
        <w:t>Mutatie vlottende schuld</w:t>
      </w:r>
    </w:p>
    <w:p w:rsidR="0043364C" w:rsidP="0043364C" w:rsidRDefault="0043364C" w14:paraId="453E5C44" w14:textId="77777777">
      <w:pPr>
        <w:pStyle w:val="p"/>
      </w:pPr>
      <w:r w:rsidRPr="0043364C">
        <w:t>In het financieringsplan 2026 is opgenomen dat er in 2026 meer vlottende schuld wordt uitgegeven dan waarmee rekening werd gehouden in de vastgestelde begroting. Verder wordt het bijgestelde kassaldo in het lopende begrotingsjaar opgevangen met een mutatie van de vlottende schuld. Per saldo leidt dit tot een toename van € 28,5 mld. in de mutatie van de vlottende schuld in 2026.</w:t>
      </w:r>
    </w:p>
    <w:p w:rsidR="0084290D" w:rsidRDefault="0043364C" w14:paraId="7A45DA24" w14:textId="4348E560">
      <w:pPr>
        <w:pStyle w:val="header-h2"/>
      </w:pPr>
      <w:r>
        <w:t>3.</w:t>
      </w:r>
      <w:r w:rsidR="00CF5B93">
        <w:t xml:space="preserve"> Rente kasbeheer</w:t>
      </w:r>
    </w:p>
    <w:p w:rsidR="0084290D" w:rsidRDefault="00CF5B93" w14:paraId="64CE95C8" w14:textId="77777777">
      <w:pPr>
        <w:pStyle w:val="p"/>
      </w:pPr>
      <w:r>
        <w:t>Als gevolg van het bijwerken van de realisaties van verstrekte leningen en het bijwerken van de rekenrente zoals geraamd in het CEP is de raming van de rentebaten uit hoofde van het kasbeheer bijgesteld.</w:t>
      </w:r>
    </w:p>
    <w:p w:rsidR="0084290D" w:rsidRDefault="0043364C" w14:paraId="6454F97D" w14:textId="287AFA98">
      <w:pPr>
        <w:pStyle w:val="header-h2"/>
      </w:pPr>
      <w:r>
        <w:t>4</w:t>
      </w:r>
      <w:r w:rsidR="00CF5B93">
        <w:t>. Ontvangen aflossingen</w:t>
      </w:r>
    </w:p>
    <w:p w:rsidR="0084290D" w:rsidRDefault="00CF5B93" w14:paraId="2AF41677" w14:textId="77777777">
      <w:pPr>
        <w:pStyle w:val="p"/>
      </w:pPr>
      <w:r>
        <w:t>Als gevolg van het bijwerken van de realisaties van verstrekte leningen is de raming van de te ontvangen aflossingen bijgesteld. Deze leningen worden binnen het schatkistbankieren verstrekt aan agentschappen en rechtspersonen met een wettelijke taak.</w:t>
      </w:r>
    </w:p>
    <w:p w:rsidR="0084290D" w:rsidP="0043364C" w:rsidRDefault="0043364C" w14:paraId="710E95D7" w14:textId="45C14B5E">
      <w:pPr>
        <w:pStyle w:val="header-h2"/>
      </w:pPr>
      <w:r>
        <w:t>5</w:t>
      </w:r>
      <w:r w:rsidR="00CF5B93">
        <w:t>. Mutaties in rekening courant en deposito</w:t>
      </w:r>
    </w:p>
    <w:p w:rsidR="0084290D" w:rsidP="0043364C" w:rsidRDefault="00CF5B93" w14:paraId="296D0C02" w14:textId="565B7E84">
      <w:pPr>
        <w:pStyle w:val="p"/>
      </w:pPr>
      <w:r>
        <w:t>Uit de actualisatie van de raming van uitgaven en ontvangsten van de sociale fondsen volgt dat deze fondsen naar verwachting structureel meer middelen zullen aanhouden in de schatkist dan waarmee rekening werd gehouden bij de begroting.</w:t>
      </w:r>
    </w:p>
    <w:p w:rsidR="00AE6DE7" w:rsidRDefault="00AE6DE7" w14:paraId="018373D0" w14:textId="77777777">
      <w:pPr>
        <w:rPr>
          <w:b/>
          <w:color w:val="009EE0"/>
          <w:szCs w:val="18"/>
        </w:rPr>
      </w:pPr>
      <w:bookmarkStart w:name="1295152310729513" w:id="4"/>
      <w:r>
        <w:br w:type="page"/>
      </w:r>
    </w:p>
    <w:p w:rsidR="0084290D" w:rsidRDefault="00CF5B93" w14:paraId="577261AC" w14:textId="2BC36196">
      <w:pPr>
        <w:pStyle w:val="section-title-2"/>
      </w:pPr>
      <w:r>
        <w:lastRenderedPageBreak/>
        <w:t>3 Beleidsartikelen Ministerie van Financiën (IXB)</w:t>
      </w:r>
      <w:bookmarkEnd w:id="4"/>
    </w:p>
    <w:p w:rsidR="0084290D" w:rsidRDefault="00CF5B93" w14:paraId="5A19F620" w14:textId="77777777">
      <w:pPr>
        <w:pStyle w:val="section-title-3"/>
      </w:pPr>
      <w:r>
        <w:t>Artikel 1 Belastingen</w:t>
      </w:r>
    </w:p>
    <w:p w:rsidR="0084290D" w:rsidRDefault="00CF5B93" w14:paraId="31040005" w14:textId="77777777">
      <w:pPr>
        <w:pStyle w:val="header-h1"/>
      </w:pPr>
      <w:r>
        <w:t>Budgettaire gevolgen van beleid</w:t>
      </w:r>
    </w:p>
    <w:p w:rsidR="0084290D" w:rsidRDefault="0084290D" w14:paraId="0FC2F555" w14:textId="77777777">
      <w:pPr>
        <w:pStyle w:val="p-marginbottom"/>
      </w:pPr>
    </w:p>
    <w:tbl>
      <w:tblPr>
        <w:tblW w:w="5000" w:type="pct"/>
        <w:tblCellMar>
          <w:left w:w="10" w:type="dxa"/>
          <w:right w:w="10" w:type="dxa"/>
        </w:tblCellMar>
        <w:tblLook w:val="0000" w:firstRow="0" w:lastRow="0" w:firstColumn="0" w:lastColumn="0" w:noHBand="0" w:noVBand="0"/>
      </w:tblPr>
      <w:tblGrid>
        <w:gridCol w:w="1546"/>
        <w:gridCol w:w="821"/>
        <w:gridCol w:w="724"/>
        <w:gridCol w:w="821"/>
        <w:gridCol w:w="822"/>
        <w:gridCol w:w="822"/>
        <w:gridCol w:w="822"/>
        <w:gridCol w:w="822"/>
        <w:gridCol w:w="822"/>
        <w:gridCol w:w="822"/>
        <w:gridCol w:w="822"/>
      </w:tblGrid>
      <w:tr w:rsidR="00AE6DE7" w:rsidTr="007433BE" w14:paraId="00643AA3" w14:textId="77777777">
        <w:trPr>
          <w:tblHeader/>
        </w:trPr>
        <w:tc>
          <w:tcPr>
            <w:tcW w:w="5000" w:type="pct"/>
            <w:gridSpan w:val="11"/>
            <w:tcMar>
              <w:top w:w="22" w:type="dxa"/>
              <w:left w:w="113" w:type="dxa"/>
              <w:bottom w:w="22" w:type="dxa"/>
            </w:tcMar>
          </w:tcPr>
          <w:p w:rsidR="00AE6DE7" w:rsidP="00DC031D" w:rsidRDefault="00AE6DE7" w14:paraId="434D1D27" w14:textId="77777777">
            <w:pPr>
              <w:pStyle w:val="kio2-table-title"/>
            </w:pPr>
            <w:r>
              <w:t>Tabel 6 Budgettaire gevolgen van beleid artikel 1 Belastingen (bedragen x € 1.000)</w:t>
            </w:r>
          </w:p>
        </w:tc>
      </w:tr>
      <w:tr w:rsidR="00AE6DE7" w:rsidTr="007433BE" w14:paraId="570F3AE9" w14:textId="77777777">
        <w:trPr>
          <w:tblHeader/>
        </w:trPr>
        <w:tc>
          <w:tcPr>
            <w:tcW w:w="800" w:type="pct"/>
            <w:tcBorders>
              <w:top w:val="single" w:color="000000" w:sz="2" w:space="0"/>
              <w:bottom w:val="single" w:color="009EE0" w:sz="2" w:space="0"/>
            </w:tcBorders>
            <w:tcMar>
              <w:top w:w="28" w:type="dxa"/>
              <w:bottom w:w="28" w:type="dxa"/>
              <w:right w:w="28" w:type="dxa"/>
            </w:tcMar>
          </w:tcPr>
          <w:p w:rsidRPr="006F2FC4" w:rsidR="00AE6DE7" w:rsidP="00DC031D" w:rsidRDefault="00AE6DE7" w14:paraId="202A2E0C" w14:textId="77777777">
            <w:pPr>
              <w:pStyle w:val="p-table"/>
              <w:rPr>
                <w:color w:val="000000"/>
                <w:sz w:val="13"/>
                <w:szCs w:val="13"/>
              </w:rPr>
            </w:pPr>
            <w:r w:rsidRPr="006F2FC4">
              <w:rPr>
                <w:color w:val="000000"/>
                <w:sz w:val="13"/>
                <w:szCs w:val="13"/>
              </w:rPr>
              <w:t>Omschrijving</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0D3549FF"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50647003" w14:textId="77777777">
            <w:pPr>
              <w:pStyle w:val="p-table"/>
              <w:jc w:val="right"/>
              <w:rPr>
                <w:color w:val="000000"/>
                <w:sz w:val="13"/>
                <w:szCs w:val="13"/>
              </w:rPr>
            </w:pPr>
            <w:r w:rsidRPr="006F2FC4">
              <w:rPr>
                <w:color w:val="000000"/>
                <w:sz w:val="13"/>
                <w:szCs w:val="13"/>
              </w:rPr>
              <w:t>Mutaties via NvW, moties, amendementen en ISB (2)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3829FBA8" w14:textId="77777777">
            <w:pPr>
              <w:pStyle w:val="p-table"/>
              <w:jc w:val="right"/>
              <w:rPr>
                <w:color w:val="000000"/>
                <w:sz w:val="13"/>
                <w:szCs w:val="13"/>
              </w:rPr>
            </w:pPr>
            <w:r w:rsidRPr="006F2FC4">
              <w:rPr>
                <w:color w:val="000000"/>
                <w:sz w:val="13"/>
                <w:szCs w:val="13"/>
              </w:rPr>
              <w:t>Vastgestelde begroting 2026 (3)=(1)+(2)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3DA82A55"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776CD199"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24B1C8CE" w14:textId="77777777">
            <w:pPr>
              <w:pStyle w:val="p-table"/>
              <w:jc w:val="right"/>
              <w:rPr>
                <w:color w:val="000000"/>
                <w:sz w:val="13"/>
                <w:szCs w:val="13"/>
              </w:rPr>
            </w:pPr>
            <w:r w:rsidRPr="006F2FC4">
              <w:rPr>
                <w:color w:val="000000"/>
                <w:sz w:val="13"/>
                <w:szCs w:val="13"/>
              </w:rPr>
              <w:t>Mutatie 2027</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537141CE" w14:textId="77777777">
            <w:pPr>
              <w:pStyle w:val="p-table"/>
              <w:jc w:val="right"/>
              <w:rPr>
                <w:color w:val="000000"/>
                <w:sz w:val="13"/>
                <w:szCs w:val="13"/>
              </w:rPr>
            </w:pPr>
            <w:r w:rsidRPr="006F2FC4">
              <w:rPr>
                <w:color w:val="000000"/>
                <w:sz w:val="13"/>
                <w:szCs w:val="13"/>
              </w:rPr>
              <w:t>Mutatie 2028</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3AF653CD" w14:textId="77777777">
            <w:pPr>
              <w:pStyle w:val="p-table"/>
              <w:jc w:val="right"/>
              <w:rPr>
                <w:color w:val="000000"/>
                <w:sz w:val="13"/>
                <w:szCs w:val="13"/>
              </w:rPr>
            </w:pPr>
            <w:r w:rsidRPr="006F2FC4">
              <w:rPr>
                <w:color w:val="000000"/>
                <w:sz w:val="13"/>
                <w:szCs w:val="13"/>
              </w:rPr>
              <w:t>Mutatie 2029</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16F9C2C1" w14:textId="77777777">
            <w:pPr>
              <w:pStyle w:val="p-table"/>
              <w:jc w:val="right"/>
              <w:rPr>
                <w:color w:val="000000"/>
                <w:sz w:val="13"/>
                <w:szCs w:val="13"/>
              </w:rPr>
            </w:pPr>
            <w:r w:rsidRPr="006F2FC4">
              <w:rPr>
                <w:color w:val="000000"/>
                <w:sz w:val="13"/>
                <w:szCs w:val="13"/>
              </w:rPr>
              <w:t>Mutatie 2030</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06B13371" w14:textId="77777777">
            <w:pPr>
              <w:pStyle w:val="p-table"/>
              <w:jc w:val="right"/>
              <w:rPr>
                <w:color w:val="000000"/>
                <w:sz w:val="13"/>
                <w:szCs w:val="13"/>
              </w:rPr>
            </w:pPr>
            <w:r w:rsidRPr="006F2FC4">
              <w:rPr>
                <w:color w:val="000000"/>
                <w:sz w:val="13"/>
                <w:szCs w:val="13"/>
              </w:rPr>
              <w:t>Mutatie 2031</w:t>
            </w:r>
          </w:p>
        </w:tc>
      </w:tr>
      <w:tr w:rsidR="00AE6DE7" w:rsidTr="007433BE" w14:paraId="6D58325A" w14:textId="77777777">
        <w:tc>
          <w:tcPr>
            <w:tcW w:w="4575" w:type="pct"/>
            <w:gridSpan w:val="10"/>
            <w:tcBorders>
              <w:bottom w:val="single" w:color="009EE0" w:sz="2" w:space="0"/>
            </w:tcBorders>
            <w:tcMar>
              <w:top w:w="22" w:type="dxa"/>
              <w:bottom w:w="22" w:type="dxa"/>
              <w:right w:w="28" w:type="dxa"/>
            </w:tcMar>
          </w:tcPr>
          <w:p w:rsidRPr="006F2FC4" w:rsidR="00AE6DE7" w:rsidP="00DC031D" w:rsidRDefault="00AE6DE7" w14:paraId="7E53D3B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0EDC980" w14:textId="77777777">
            <w:pPr>
              <w:pStyle w:val="p-table"/>
              <w:rPr>
                <w:sz w:val="13"/>
                <w:szCs w:val="13"/>
              </w:rPr>
            </w:pPr>
          </w:p>
        </w:tc>
      </w:tr>
      <w:tr w:rsidR="00AE6DE7" w:rsidTr="007433BE" w14:paraId="0209FD67"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B909477" w14:textId="77777777">
            <w:pPr>
              <w:pStyle w:val="p-table"/>
              <w:rPr>
                <w:sz w:val="13"/>
                <w:szCs w:val="13"/>
              </w:rPr>
            </w:pPr>
            <w:r w:rsidRPr="006F2FC4">
              <w:rPr>
                <w:b/>
                <w:sz w:val="13"/>
                <w:szCs w:val="13"/>
              </w:rPr>
              <w:t>Verplichtingen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49C771E" w14:textId="77777777">
            <w:pPr>
              <w:pStyle w:val="p-table"/>
              <w:jc w:val="right"/>
              <w:rPr>
                <w:sz w:val="13"/>
                <w:szCs w:val="13"/>
              </w:rPr>
            </w:pPr>
            <w:r w:rsidRPr="006F2FC4">
              <w:rPr>
                <w:b/>
                <w:sz w:val="13"/>
                <w:szCs w:val="13"/>
              </w:rPr>
              <w:t>3.867.953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192844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CEA65FA" w14:textId="77777777">
            <w:pPr>
              <w:pStyle w:val="p-table"/>
              <w:jc w:val="right"/>
              <w:rPr>
                <w:sz w:val="13"/>
                <w:szCs w:val="13"/>
              </w:rPr>
            </w:pPr>
            <w:r w:rsidRPr="006F2FC4">
              <w:rPr>
                <w:b/>
                <w:sz w:val="13"/>
                <w:szCs w:val="13"/>
              </w:rPr>
              <w:t>3.867.953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756DFCB" w14:textId="77777777">
            <w:pPr>
              <w:pStyle w:val="p-table"/>
              <w:jc w:val="right"/>
              <w:rPr>
                <w:sz w:val="13"/>
                <w:szCs w:val="13"/>
              </w:rPr>
            </w:pPr>
            <w:r w:rsidRPr="006F2FC4">
              <w:rPr>
                <w:b/>
                <w:sz w:val="13"/>
                <w:szCs w:val="13"/>
              </w:rPr>
              <w:t>252.376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AD43C85" w14:textId="77777777">
            <w:pPr>
              <w:pStyle w:val="p-table"/>
              <w:jc w:val="right"/>
              <w:rPr>
                <w:sz w:val="13"/>
                <w:szCs w:val="13"/>
              </w:rPr>
            </w:pPr>
            <w:r w:rsidRPr="006F2FC4">
              <w:rPr>
                <w:b/>
                <w:sz w:val="13"/>
                <w:szCs w:val="13"/>
              </w:rPr>
              <w:t>4.120.329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22A8FC" w14:textId="77777777">
            <w:pPr>
              <w:pStyle w:val="p-table"/>
              <w:jc w:val="right"/>
              <w:rPr>
                <w:sz w:val="13"/>
                <w:szCs w:val="13"/>
              </w:rPr>
            </w:pPr>
            <w:r w:rsidRPr="006F2FC4">
              <w:rPr>
                <w:b/>
                <w:sz w:val="13"/>
                <w:szCs w:val="13"/>
              </w:rPr>
              <w:t>152.931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B9B053" w14:textId="77777777">
            <w:pPr>
              <w:pStyle w:val="p-table"/>
              <w:jc w:val="right"/>
              <w:rPr>
                <w:sz w:val="13"/>
                <w:szCs w:val="13"/>
              </w:rPr>
            </w:pPr>
            <w:r w:rsidRPr="006F2FC4">
              <w:rPr>
                <w:b/>
                <w:sz w:val="13"/>
                <w:szCs w:val="13"/>
              </w:rPr>
              <w:t>57.888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AE45C1" w14:textId="77777777">
            <w:pPr>
              <w:pStyle w:val="p-table"/>
              <w:jc w:val="right"/>
              <w:rPr>
                <w:sz w:val="13"/>
                <w:szCs w:val="13"/>
              </w:rPr>
            </w:pPr>
            <w:r w:rsidRPr="006F2FC4">
              <w:rPr>
                <w:b/>
                <w:sz w:val="13"/>
                <w:szCs w:val="13"/>
              </w:rPr>
              <w:t>‒ 33.379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1B6E2A5" w14:textId="77777777">
            <w:pPr>
              <w:pStyle w:val="p-table"/>
              <w:jc w:val="right"/>
              <w:rPr>
                <w:sz w:val="13"/>
                <w:szCs w:val="13"/>
              </w:rPr>
            </w:pPr>
            <w:r w:rsidRPr="006F2FC4">
              <w:rPr>
                <w:b/>
                <w:sz w:val="13"/>
                <w:szCs w:val="13"/>
              </w:rPr>
              <w:t>‒ 155.837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0218C23" w14:textId="77777777">
            <w:pPr>
              <w:pStyle w:val="p-table"/>
              <w:jc w:val="right"/>
              <w:rPr>
                <w:sz w:val="13"/>
                <w:szCs w:val="13"/>
              </w:rPr>
            </w:pPr>
            <w:r w:rsidRPr="006F2FC4">
              <w:rPr>
                <w:b/>
                <w:sz w:val="13"/>
                <w:szCs w:val="13"/>
              </w:rPr>
              <w:t>3.365.384</w:t>
            </w:r>
          </w:p>
        </w:tc>
      </w:tr>
      <w:tr w:rsidR="00AE6DE7" w:rsidTr="007433BE" w14:paraId="29D39778" w14:textId="77777777">
        <w:tc>
          <w:tcPr>
            <w:tcW w:w="800" w:type="pct"/>
            <w:tcMar>
              <w:top w:w="22" w:type="dxa"/>
              <w:bottom w:w="22" w:type="dxa"/>
              <w:right w:w="28" w:type="dxa"/>
            </w:tcMar>
          </w:tcPr>
          <w:p w:rsidRPr="006F2FC4" w:rsidR="00AE6DE7" w:rsidP="00DC031D" w:rsidRDefault="00AE6DE7" w14:paraId="544B0500"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5D0BADC3" w14:textId="77777777">
            <w:pPr>
              <w:pStyle w:val="p-table"/>
              <w:rPr>
                <w:sz w:val="13"/>
                <w:szCs w:val="13"/>
              </w:rPr>
            </w:pPr>
          </w:p>
        </w:tc>
        <w:tc>
          <w:tcPr>
            <w:tcW w:w="375" w:type="pct"/>
            <w:tcMar>
              <w:top w:w="22" w:type="dxa"/>
              <w:left w:w="28" w:type="dxa"/>
              <w:bottom w:w="22" w:type="dxa"/>
              <w:right w:w="28" w:type="dxa"/>
            </w:tcMar>
          </w:tcPr>
          <w:p w:rsidRPr="006F2FC4" w:rsidR="00AE6DE7" w:rsidP="00DC031D" w:rsidRDefault="00AE6DE7" w14:paraId="2415FDBD"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7AB404B6"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6725BE24"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2DFC4704"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423D396C"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41D0BD53"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7FFBF1DD"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7F7AADE2"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206DA805" w14:textId="77777777">
            <w:pPr>
              <w:pStyle w:val="p-table"/>
              <w:rPr>
                <w:sz w:val="13"/>
                <w:szCs w:val="13"/>
              </w:rPr>
            </w:pPr>
          </w:p>
        </w:tc>
      </w:tr>
      <w:tr w:rsidR="00AE6DE7" w:rsidTr="007433BE" w14:paraId="33F2B6CC" w14:textId="77777777">
        <w:tc>
          <w:tcPr>
            <w:tcW w:w="800" w:type="pct"/>
            <w:tcBorders>
              <w:bottom w:val="single" w:color="009EE0" w:sz="2" w:space="0"/>
            </w:tcBorders>
            <w:tcMar>
              <w:top w:w="22" w:type="dxa"/>
              <w:bottom w:w="22" w:type="dxa"/>
              <w:right w:w="28" w:type="dxa"/>
            </w:tcMar>
          </w:tcPr>
          <w:p w:rsidRPr="006F2FC4" w:rsidR="00AE6DE7" w:rsidP="00DC031D" w:rsidRDefault="00AE6DE7" w14:paraId="35668D4B" w14:textId="77777777">
            <w:pPr>
              <w:pStyle w:val="p-table"/>
              <w:rPr>
                <w:sz w:val="13"/>
                <w:szCs w:val="13"/>
              </w:rPr>
            </w:pPr>
            <w:r w:rsidRPr="006F2FC4">
              <w:rPr>
                <w:b/>
                <w:sz w:val="13"/>
                <w:szCs w:val="13"/>
              </w:rPr>
              <w:t>Uitgaven (1) + (2)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A4740A7" w14:textId="77777777">
            <w:pPr>
              <w:pStyle w:val="p-table"/>
              <w:jc w:val="right"/>
              <w:rPr>
                <w:sz w:val="13"/>
                <w:szCs w:val="13"/>
              </w:rPr>
            </w:pPr>
            <w:r w:rsidRPr="006F2FC4">
              <w:rPr>
                <w:b/>
                <w:sz w:val="13"/>
                <w:szCs w:val="13"/>
              </w:rPr>
              <w:t>3.884.473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5A88084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FB376AC" w14:textId="77777777">
            <w:pPr>
              <w:pStyle w:val="p-table"/>
              <w:jc w:val="right"/>
              <w:rPr>
                <w:sz w:val="13"/>
                <w:szCs w:val="13"/>
              </w:rPr>
            </w:pPr>
            <w:r w:rsidRPr="006F2FC4">
              <w:rPr>
                <w:b/>
                <w:sz w:val="13"/>
                <w:szCs w:val="13"/>
              </w:rPr>
              <w:t>3.884.473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2DC7243" w14:textId="77777777">
            <w:pPr>
              <w:pStyle w:val="p-table"/>
              <w:jc w:val="right"/>
              <w:rPr>
                <w:sz w:val="13"/>
                <w:szCs w:val="13"/>
              </w:rPr>
            </w:pPr>
            <w:r w:rsidRPr="006F2FC4">
              <w:rPr>
                <w:b/>
                <w:sz w:val="13"/>
                <w:szCs w:val="13"/>
              </w:rPr>
              <w:t>252.376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E183CA6" w14:textId="77777777">
            <w:pPr>
              <w:pStyle w:val="p-table"/>
              <w:jc w:val="right"/>
              <w:rPr>
                <w:sz w:val="13"/>
                <w:szCs w:val="13"/>
              </w:rPr>
            </w:pPr>
            <w:r w:rsidRPr="006F2FC4">
              <w:rPr>
                <w:b/>
                <w:sz w:val="13"/>
                <w:szCs w:val="13"/>
              </w:rPr>
              <w:t>4.136.849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2DB6AA4" w14:textId="77777777">
            <w:pPr>
              <w:pStyle w:val="p-table"/>
              <w:jc w:val="right"/>
              <w:rPr>
                <w:sz w:val="13"/>
                <w:szCs w:val="13"/>
              </w:rPr>
            </w:pPr>
            <w:r w:rsidRPr="006F2FC4">
              <w:rPr>
                <w:b/>
                <w:sz w:val="13"/>
                <w:szCs w:val="13"/>
              </w:rPr>
              <w:t>152.931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6971A93" w14:textId="77777777">
            <w:pPr>
              <w:pStyle w:val="p-table"/>
              <w:jc w:val="right"/>
              <w:rPr>
                <w:sz w:val="13"/>
                <w:szCs w:val="13"/>
              </w:rPr>
            </w:pPr>
            <w:r w:rsidRPr="006F2FC4">
              <w:rPr>
                <w:b/>
                <w:sz w:val="13"/>
                <w:szCs w:val="13"/>
              </w:rPr>
              <w:t>57.888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E36320" w14:textId="77777777">
            <w:pPr>
              <w:pStyle w:val="p-table"/>
              <w:jc w:val="right"/>
              <w:rPr>
                <w:sz w:val="13"/>
                <w:szCs w:val="13"/>
              </w:rPr>
            </w:pPr>
            <w:r w:rsidRPr="006F2FC4">
              <w:rPr>
                <w:b/>
                <w:sz w:val="13"/>
                <w:szCs w:val="13"/>
              </w:rPr>
              <w:t>‒ 33.379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75EA7C8" w14:textId="77777777">
            <w:pPr>
              <w:pStyle w:val="p-table"/>
              <w:jc w:val="right"/>
              <w:rPr>
                <w:sz w:val="13"/>
                <w:szCs w:val="13"/>
              </w:rPr>
            </w:pPr>
            <w:r w:rsidRPr="006F2FC4">
              <w:rPr>
                <w:b/>
                <w:sz w:val="13"/>
                <w:szCs w:val="13"/>
              </w:rPr>
              <w:t>‒ 155.837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5575F5F" w14:textId="77777777">
            <w:pPr>
              <w:pStyle w:val="p-table"/>
              <w:jc w:val="right"/>
              <w:rPr>
                <w:sz w:val="13"/>
                <w:szCs w:val="13"/>
              </w:rPr>
            </w:pPr>
            <w:r w:rsidRPr="006F2FC4">
              <w:rPr>
                <w:b/>
                <w:sz w:val="13"/>
                <w:szCs w:val="13"/>
              </w:rPr>
              <w:t>3.467.659</w:t>
            </w:r>
          </w:p>
        </w:tc>
      </w:tr>
      <w:tr w:rsidR="00AE6DE7" w:rsidTr="007433BE" w14:paraId="64F718C6"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15B908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C4F59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F0DAA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A4162B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73F7B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0F29CF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67C15A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1579FC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99975A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4351C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4A4E522" w14:textId="77777777">
            <w:pPr>
              <w:pStyle w:val="p-table"/>
              <w:rPr>
                <w:sz w:val="13"/>
                <w:szCs w:val="13"/>
              </w:rPr>
            </w:pPr>
          </w:p>
        </w:tc>
      </w:tr>
      <w:tr w:rsidR="00AE6DE7" w:rsidTr="007433BE" w14:paraId="6D1A147E"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67E5272" w14:textId="77777777">
            <w:pPr>
              <w:pStyle w:val="p-table"/>
              <w:rPr>
                <w:sz w:val="13"/>
                <w:szCs w:val="13"/>
              </w:rPr>
            </w:pPr>
            <w:r w:rsidRPr="006F2FC4">
              <w:rPr>
                <w:b/>
                <w:sz w:val="13"/>
                <w:szCs w:val="13"/>
              </w:rPr>
              <w:t>(1) Apparaatsuitgaven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72DDC8B" w14:textId="77777777">
            <w:pPr>
              <w:pStyle w:val="p-table"/>
              <w:jc w:val="right"/>
              <w:rPr>
                <w:sz w:val="13"/>
                <w:szCs w:val="13"/>
              </w:rPr>
            </w:pPr>
            <w:r w:rsidRPr="006F2FC4">
              <w:rPr>
                <w:b/>
                <w:sz w:val="13"/>
                <w:szCs w:val="13"/>
              </w:rPr>
              <w:t>3.641.921</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6572A785"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A919026" w14:textId="77777777">
            <w:pPr>
              <w:pStyle w:val="p-table"/>
              <w:jc w:val="right"/>
              <w:rPr>
                <w:sz w:val="13"/>
                <w:szCs w:val="13"/>
              </w:rPr>
            </w:pPr>
            <w:r w:rsidRPr="006F2FC4">
              <w:rPr>
                <w:b/>
                <w:sz w:val="13"/>
                <w:szCs w:val="13"/>
              </w:rPr>
              <w:t>3.641.921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D540528" w14:textId="77777777">
            <w:pPr>
              <w:pStyle w:val="p-table"/>
              <w:jc w:val="right"/>
              <w:rPr>
                <w:sz w:val="13"/>
                <w:szCs w:val="13"/>
              </w:rPr>
            </w:pPr>
            <w:r w:rsidRPr="006F2FC4">
              <w:rPr>
                <w:b/>
                <w:sz w:val="13"/>
                <w:szCs w:val="13"/>
              </w:rPr>
              <w:t>128.557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B56930A" w14:textId="77777777">
            <w:pPr>
              <w:pStyle w:val="p-table"/>
              <w:jc w:val="right"/>
              <w:rPr>
                <w:sz w:val="13"/>
                <w:szCs w:val="13"/>
              </w:rPr>
            </w:pPr>
            <w:r w:rsidRPr="006F2FC4">
              <w:rPr>
                <w:b/>
                <w:sz w:val="13"/>
                <w:szCs w:val="13"/>
              </w:rPr>
              <w:t>3.770.478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353D9BA" w14:textId="77777777">
            <w:pPr>
              <w:pStyle w:val="p-table"/>
              <w:jc w:val="right"/>
              <w:rPr>
                <w:sz w:val="13"/>
                <w:szCs w:val="13"/>
              </w:rPr>
            </w:pPr>
            <w:r w:rsidRPr="006F2FC4">
              <w:rPr>
                <w:b/>
                <w:sz w:val="13"/>
                <w:szCs w:val="13"/>
              </w:rPr>
              <w:t>31.174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D4680B" w14:textId="77777777">
            <w:pPr>
              <w:pStyle w:val="p-table"/>
              <w:jc w:val="right"/>
              <w:rPr>
                <w:sz w:val="13"/>
                <w:szCs w:val="13"/>
              </w:rPr>
            </w:pPr>
            <w:r w:rsidRPr="006F2FC4">
              <w:rPr>
                <w:b/>
                <w:sz w:val="13"/>
                <w:szCs w:val="13"/>
              </w:rPr>
              <w:t>‒ 69.633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9A86609" w14:textId="77777777">
            <w:pPr>
              <w:pStyle w:val="p-table"/>
              <w:jc w:val="right"/>
              <w:rPr>
                <w:sz w:val="13"/>
                <w:szCs w:val="13"/>
              </w:rPr>
            </w:pPr>
            <w:r w:rsidRPr="006F2FC4">
              <w:rPr>
                <w:b/>
                <w:sz w:val="13"/>
                <w:szCs w:val="13"/>
              </w:rPr>
              <w:t>‒ 167.344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C5F1A4C" w14:textId="77777777">
            <w:pPr>
              <w:pStyle w:val="p-table"/>
              <w:jc w:val="right"/>
              <w:rPr>
                <w:sz w:val="13"/>
                <w:szCs w:val="13"/>
              </w:rPr>
            </w:pPr>
            <w:r w:rsidRPr="006F2FC4">
              <w:rPr>
                <w:b/>
                <w:sz w:val="13"/>
                <w:szCs w:val="13"/>
              </w:rPr>
              <w:t>‒ 290.201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780A3D7" w14:textId="77777777">
            <w:pPr>
              <w:pStyle w:val="p-table"/>
              <w:jc w:val="right"/>
              <w:rPr>
                <w:sz w:val="13"/>
                <w:szCs w:val="13"/>
              </w:rPr>
            </w:pPr>
            <w:r w:rsidRPr="006F2FC4">
              <w:rPr>
                <w:b/>
                <w:sz w:val="13"/>
                <w:szCs w:val="13"/>
              </w:rPr>
              <w:t>3.117.883</w:t>
            </w:r>
          </w:p>
        </w:tc>
      </w:tr>
      <w:tr w:rsidR="00AE6DE7" w:rsidTr="007433BE" w14:paraId="5BB47118"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C91181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556F19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37E2A2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A2327C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1B8E30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CE9EA5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D0F0C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EB24AB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8E9972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458043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A5838D" w14:textId="77777777">
            <w:pPr>
              <w:pStyle w:val="p-table"/>
              <w:rPr>
                <w:sz w:val="13"/>
                <w:szCs w:val="13"/>
              </w:rPr>
            </w:pPr>
          </w:p>
        </w:tc>
      </w:tr>
      <w:tr w:rsidR="00AE6DE7" w:rsidTr="007433BE" w14:paraId="6013A4FF" w14:textId="77777777">
        <w:tc>
          <w:tcPr>
            <w:tcW w:w="800" w:type="pct"/>
            <w:tcBorders>
              <w:bottom w:val="single" w:color="009EE0" w:sz="2" w:space="0"/>
            </w:tcBorders>
            <w:tcMar>
              <w:top w:w="22" w:type="dxa"/>
              <w:bottom w:w="22" w:type="dxa"/>
              <w:right w:w="28" w:type="dxa"/>
            </w:tcMar>
          </w:tcPr>
          <w:p w:rsidRPr="006F2FC4" w:rsidR="00AE6DE7" w:rsidP="00DC031D" w:rsidRDefault="00AE6DE7" w14:paraId="34637A64" w14:textId="77777777">
            <w:pPr>
              <w:pStyle w:val="p-table"/>
              <w:rPr>
                <w:sz w:val="13"/>
                <w:szCs w:val="13"/>
              </w:rPr>
            </w:pPr>
            <w:r w:rsidRPr="006F2FC4">
              <w:rPr>
                <w:b/>
                <w:sz w:val="13"/>
                <w:szCs w:val="13"/>
              </w:rPr>
              <w:t>Personele uitgaven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75B0B8B" w14:textId="77777777">
            <w:pPr>
              <w:pStyle w:val="p-table"/>
              <w:jc w:val="right"/>
              <w:rPr>
                <w:sz w:val="13"/>
                <w:szCs w:val="13"/>
              </w:rPr>
            </w:pPr>
            <w:r w:rsidRPr="006F2FC4">
              <w:rPr>
                <w:b/>
                <w:sz w:val="13"/>
                <w:szCs w:val="13"/>
              </w:rPr>
              <w:t>3.136.108</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AD6BCB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B11D368" w14:textId="77777777">
            <w:pPr>
              <w:pStyle w:val="p-table"/>
              <w:jc w:val="right"/>
              <w:rPr>
                <w:sz w:val="13"/>
                <w:szCs w:val="13"/>
              </w:rPr>
            </w:pPr>
            <w:r w:rsidRPr="006F2FC4">
              <w:rPr>
                <w:b/>
                <w:sz w:val="13"/>
                <w:szCs w:val="13"/>
              </w:rPr>
              <w:t>3.136.108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5E7EEFC" w14:textId="77777777">
            <w:pPr>
              <w:pStyle w:val="p-table"/>
              <w:jc w:val="right"/>
              <w:rPr>
                <w:sz w:val="13"/>
                <w:szCs w:val="13"/>
              </w:rPr>
            </w:pPr>
            <w:r w:rsidRPr="006F2FC4">
              <w:rPr>
                <w:b/>
                <w:sz w:val="13"/>
                <w:szCs w:val="13"/>
              </w:rPr>
              <w:t>85.554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C807D8" w14:textId="77777777">
            <w:pPr>
              <w:pStyle w:val="p-table"/>
              <w:jc w:val="right"/>
              <w:rPr>
                <w:sz w:val="13"/>
                <w:szCs w:val="13"/>
              </w:rPr>
            </w:pPr>
            <w:r w:rsidRPr="006F2FC4">
              <w:rPr>
                <w:b/>
                <w:sz w:val="13"/>
                <w:szCs w:val="13"/>
              </w:rPr>
              <w:t>3.221.662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DE1E28E" w14:textId="77777777">
            <w:pPr>
              <w:pStyle w:val="p-table"/>
              <w:jc w:val="right"/>
              <w:rPr>
                <w:sz w:val="13"/>
                <w:szCs w:val="13"/>
              </w:rPr>
            </w:pPr>
            <w:r w:rsidRPr="006F2FC4">
              <w:rPr>
                <w:b/>
                <w:sz w:val="13"/>
                <w:szCs w:val="13"/>
              </w:rPr>
              <w:t>21.935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BD2971" w14:textId="77777777">
            <w:pPr>
              <w:pStyle w:val="p-table"/>
              <w:jc w:val="right"/>
              <w:rPr>
                <w:sz w:val="13"/>
                <w:szCs w:val="13"/>
              </w:rPr>
            </w:pPr>
            <w:r w:rsidRPr="006F2FC4">
              <w:rPr>
                <w:b/>
                <w:sz w:val="13"/>
                <w:szCs w:val="13"/>
              </w:rPr>
              <w:t>‒ 77.633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CEBB54E" w14:textId="77777777">
            <w:pPr>
              <w:pStyle w:val="p-table"/>
              <w:jc w:val="right"/>
              <w:rPr>
                <w:sz w:val="13"/>
                <w:szCs w:val="13"/>
              </w:rPr>
            </w:pPr>
            <w:r w:rsidRPr="006F2FC4">
              <w:rPr>
                <w:b/>
                <w:sz w:val="13"/>
                <w:szCs w:val="13"/>
              </w:rPr>
              <w:t>‒ 162.669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9768B3" w14:textId="77777777">
            <w:pPr>
              <w:pStyle w:val="p-table"/>
              <w:jc w:val="right"/>
              <w:rPr>
                <w:sz w:val="13"/>
                <w:szCs w:val="13"/>
              </w:rPr>
            </w:pPr>
            <w:r w:rsidRPr="006F2FC4">
              <w:rPr>
                <w:b/>
                <w:sz w:val="13"/>
                <w:szCs w:val="13"/>
              </w:rPr>
              <w:t>‒ 273.088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985C24" w14:textId="77777777">
            <w:pPr>
              <w:pStyle w:val="p-table"/>
              <w:jc w:val="right"/>
              <w:rPr>
                <w:sz w:val="13"/>
                <w:szCs w:val="13"/>
              </w:rPr>
            </w:pPr>
            <w:r w:rsidRPr="006F2FC4">
              <w:rPr>
                <w:b/>
                <w:sz w:val="13"/>
                <w:szCs w:val="13"/>
              </w:rPr>
              <w:t>2.731.056</w:t>
            </w:r>
          </w:p>
        </w:tc>
      </w:tr>
      <w:tr w:rsidR="00AE6DE7" w:rsidTr="007433BE" w14:paraId="560B20EC"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CADB542" w14:textId="77777777">
            <w:pPr>
              <w:pStyle w:val="p-table"/>
              <w:rPr>
                <w:sz w:val="13"/>
                <w:szCs w:val="13"/>
              </w:rPr>
            </w:pPr>
            <w:r w:rsidRPr="006F2FC4">
              <w:rPr>
                <w:sz w:val="13"/>
                <w:szCs w:val="13"/>
              </w:rPr>
              <w:t>Eigen personeel</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F0F9106" w14:textId="77777777">
            <w:pPr>
              <w:pStyle w:val="p-table"/>
              <w:jc w:val="right"/>
              <w:rPr>
                <w:sz w:val="13"/>
                <w:szCs w:val="13"/>
              </w:rPr>
            </w:pPr>
            <w:r w:rsidRPr="006F2FC4">
              <w:rPr>
                <w:sz w:val="13"/>
                <w:szCs w:val="13"/>
              </w:rPr>
              <w:t>2.771.903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33B6A5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96AAF25" w14:textId="77777777">
            <w:pPr>
              <w:pStyle w:val="p-table"/>
              <w:jc w:val="right"/>
              <w:rPr>
                <w:sz w:val="13"/>
                <w:szCs w:val="13"/>
              </w:rPr>
            </w:pPr>
            <w:r w:rsidRPr="006F2FC4">
              <w:rPr>
                <w:sz w:val="13"/>
                <w:szCs w:val="13"/>
              </w:rPr>
              <w:t>2.771.903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CCDF2E3" w14:textId="77777777">
            <w:pPr>
              <w:pStyle w:val="p-table"/>
              <w:jc w:val="right"/>
              <w:rPr>
                <w:sz w:val="13"/>
                <w:szCs w:val="13"/>
              </w:rPr>
            </w:pPr>
            <w:r w:rsidRPr="006F2FC4">
              <w:rPr>
                <w:sz w:val="13"/>
                <w:szCs w:val="13"/>
              </w:rPr>
              <w:t>40.165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3EBBD24" w14:textId="77777777">
            <w:pPr>
              <w:pStyle w:val="p-table"/>
              <w:jc w:val="right"/>
              <w:rPr>
                <w:sz w:val="13"/>
                <w:szCs w:val="13"/>
              </w:rPr>
            </w:pPr>
            <w:r w:rsidRPr="006F2FC4">
              <w:rPr>
                <w:sz w:val="13"/>
                <w:szCs w:val="13"/>
              </w:rPr>
              <w:t>2.812.068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5C3DD47" w14:textId="77777777">
            <w:pPr>
              <w:pStyle w:val="p-table"/>
              <w:jc w:val="right"/>
              <w:rPr>
                <w:sz w:val="13"/>
                <w:szCs w:val="13"/>
              </w:rPr>
            </w:pPr>
            <w:r w:rsidRPr="006F2FC4">
              <w:rPr>
                <w:sz w:val="13"/>
                <w:szCs w:val="13"/>
              </w:rPr>
              <w:t>56.255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60CC668" w14:textId="77777777">
            <w:pPr>
              <w:pStyle w:val="p-table"/>
              <w:jc w:val="right"/>
              <w:rPr>
                <w:sz w:val="13"/>
                <w:szCs w:val="13"/>
              </w:rPr>
            </w:pPr>
            <w:r w:rsidRPr="006F2FC4">
              <w:rPr>
                <w:sz w:val="13"/>
                <w:szCs w:val="13"/>
              </w:rPr>
              <w:t>‒ 23.990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32466EA" w14:textId="77777777">
            <w:pPr>
              <w:pStyle w:val="p-table"/>
              <w:jc w:val="right"/>
              <w:rPr>
                <w:sz w:val="13"/>
                <w:szCs w:val="13"/>
              </w:rPr>
            </w:pPr>
            <w:r w:rsidRPr="006F2FC4">
              <w:rPr>
                <w:sz w:val="13"/>
                <w:szCs w:val="13"/>
              </w:rPr>
              <w:t>‒ 100.161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8CDE65" w14:textId="77777777">
            <w:pPr>
              <w:pStyle w:val="p-table"/>
              <w:jc w:val="right"/>
              <w:rPr>
                <w:sz w:val="13"/>
                <w:szCs w:val="13"/>
              </w:rPr>
            </w:pPr>
            <w:r w:rsidRPr="006F2FC4">
              <w:rPr>
                <w:sz w:val="13"/>
                <w:szCs w:val="13"/>
              </w:rPr>
              <w:t>‒ 199.185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53CBC29" w14:textId="77777777">
            <w:pPr>
              <w:pStyle w:val="p-table"/>
              <w:jc w:val="right"/>
              <w:rPr>
                <w:sz w:val="13"/>
                <w:szCs w:val="13"/>
              </w:rPr>
            </w:pPr>
            <w:r w:rsidRPr="006F2FC4">
              <w:rPr>
                <w:sz w:val="13"/>
                <w:szCs w:val="13"/>
              </w:rPr>
              <w:t>2.494.181</w:t>
            </w:r>
          </w:p>
        </w:tc>
      </w:tr>
      <w:tr w:rsidR="00AE6DE7" w:rsidTr="007433BE" w14:paraId="24BF27B7"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3FAE823" w14:textId="77777777">
            <w:pPr>
              <w:pStyle w:val="p-table"/>
              <w:rPr>
                <w:sz w:val="13"/>
                <w:szCs w:val="13"/>
              </w:rPr>
            </w:pPr>
            <w:r w:rsidRPr="006F2FC4">
              <w:rPr>
                <w:sz w:val="13"/>
                <w:szCs w:val="13"/>
              </w:rPr>
              <w:t>Inhuur externen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BA8377E" w14:textId="77777777">
            <w:pPr>
              <w:pStyle w:val="p-table"/>
              <w:jc w:val="right"/>
              <w:rPr>
                <w:sz w:val="13"/>
                <w:szCs w:val="13"/>
              </w:rPr>
            </w:pPr>
            <w:r w:rsidRPr="006F2FC4">
              <w:rPr>
                <w:sz w:val="13"/>
                <w:szCs w:val="13"/>
              </w:rPr>
              <w:t>323.722</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F65C02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888648" w14:textId="77777777">
            <w:pPr>
              <w:pStyle w:val="p-table"/>
              <w:jc w:val="right"/>
              <w:rPr>
                <w:sz w:val="13"/>
                <w:szCs w:val="13"/>
              </w:rPr>
            </w:pPr>
            <w:r w:rsidRPr="006F2FC4">
              <w:rPr>
                <w:sz w:val="13"/>
                <w:szCs w:val="13"/>
              </w:rPr>
              <w:t>323.722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9945F43" w14:textId="77777777">
            <w:pPr>
              <w:pStyle w:val="p-table"/>
              <w:jc w:val="right"/>
              <w:rPr>
                <w:sz w:val="13"/>
                <w:szCs w:val="13"/>
              </w:rPr>
            </w:pPr>
            <w:r w:rsidRPr="006F2FC4">
              <w:rPr>
                <w:sz w:val="13"/>
                <w:szCs w:val="13"/>
              </w:rPr>
              <w:t>51.889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C173E6C" w14:textId="77777777">
            <w:pPr>
              <w:pStyle w:val="p-table"/>
              <w:jc w:val="right"/>
              <w:rPr>
                <w:sz w:val="13"/>
                <w:szCs w:val="13"/>
              </w:rPr>
            </w:pPr>
            <w:r w:rsidRPr="006F2FC4">
              <w:rPr>
                <w:sz w:val="13"/>
                <w:szCs w:val="13"/>
              </w:rPr>
              <w:t>375.611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2C267BC" w14:textId="77777777">
            <w:pPr>
              <w:pStyle w:val="p-table"/>
              <w:jc w:val="right"/>
              <w:rPr>
                <w:sz w:val="13"/>
                <w:szCs w:val="13"/>
              </w:rPr>
            </w:pPr>
            <w:r w:rsidRPr="006F2FC4">
              <w:rPr>
                <w:sz w:val="13"/>
                <w:szCs w:val="13"/>
              </w:rPr>
              <w:t>‒ 30.845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128179" w14:textId="77777777">
            <w:pPr>
              <w:pStyle w:val="p-table"/>
              <w:jc w:val="right"/>
              <w:rPr>
                <w:sz w:val="13"/>
                <w:szCs w:val="13"/>
              </w:rPr>
            </w:pPr>
            <w:r w:rsidRPr="006F2FC4">
              <w:rPr>
                <w:sz w:val="13"/>
                <w:szCs w:val="13"/>
              </w:rPr>
              <w:t>‒ 53.478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BFDC131" w14:textId="77777777">
            <w:pPr>
              <w:pStyle w:val="p-table"/>
              <w:jc w:val="right"/>
              <w:rPr>
                <w:sz w:val="13"/>
                <w:szCs w:val="13"/>
              </w:rPr>
            </w:pPr>
            <w:r w:rsidRPr="006F2FC4">
              <w:rPr>
                <w:sz w:val="13"/>
                <w:szCs w:val="13"/>
              </w:rPr>
              <w:t>‒ 61.469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E96485" w14:textId="77777777">
            <w:pPr>
              <w:pStyle w:val="p-table"/>
              <w:jc w:val="right"/>
              <w:rPr>
                <w:sz w:val="13"/>
                <w:szCs w:val="13"/>
              </w:rPr>
            </w:pPr>
            <w:r w:rsidRPr="006F2FC4">
              <w:rPr>
                <w:sz w:val="13"/>
                <w:szCs w:val="13"/>
              </w:rPr>
              <w:t>‒ 72.538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4C2157E" w14:textId="77777777">
            <w:pPr>
              <w:pStyle w:val="p-table"/>
              <w:jc w:val="right"/>
              <w:rPr>
                <w:sz w:val="13"/>
                <w:szCs w:val="13"/>
              </w:rPr>
            </w:pPr>
            <w:r w:rsidRPr="006F2FC4">
              <w:rPr>
                <w:sz w:val="13"/>
                <w:szCs w:val="13"/>
              </w:rPr>
              <w:t>229.337</w:t>
            </w:r>
          </w:p>
        </w:tc>
      </w:tr>
      <w:tr w:rsidR="00AE6DE7" w:rsidTr="007433BE" w14:paraId="074409EB"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4636003" w14:textId="77777777">
            <w:pPr>
              <w:pStyle w:val="p-table"/>
              <w:rPr>
                <w:sz w:val="13"/>
                <w:szCs w:val="13"/>
              </w:rPr>
            </w:pPr>
            <w:r w:rsidRPr="006F2FC4">
              <w:rPr>
                <w:sz w:val="13"/>
                <w:szCs w:val="13"/>
              </w:rPr>
              <w:t>Overig personeel</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3672657" w14:textId="77777777">
            <w:pPr>
              <w:pStyle w:val="p-table"/>
              <w:jc w:val="right"/>
              <w:rPr>
                <w:sz w:val="13"/>
                <w:szCs w:val="13"/>
              </w:rPr>
            </w:pPr>
            <w:r w:rsidRPr="006F2FC4">
              <w:rPr>
                <w:sz w:val="13"/>
                <w:szCs w:val="13"/>
              </w:rPr>
              <w:t>40.483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736838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160235C" w14:textId="77777777">
            <w:pPr>
              <w:pStyle w:val="p-table"/>
              <w:jc w:val="right"/>
              <w:rPr>
                <w:sz w:val="13"/>
                <w:szCs w:val="13"/>
              </w:rPr>
            </w:pPr>
            <w:r w:rsidRPr="006F2FC4">
              <w:rPr>
                <w:sz w:val="13"/>
                <w:szCs w:val="13"/>
              </w:rPr>
              <w:t>40.483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397A69" w14:textId="40A0C8E3">
            <w:pPr>
              <w:pStyle w:val="p-table"/>
              <w:jc w:val="right"/>
              <w:rPr>
                <w:sz w:val="13"/>
                <w:szCs w:val="13"/>
              </w:rPr>
            </w:pPr>
            <w:r w:rsidRPr="006F2FC4">
              <w:rPr>
                <w:sz w:val="13"/>
                <w:szCs w:val="13"/>
              </w:rPr>
              <w:t>‒ 6</w:t>
            </w:r>
            <w:r w:rsidR="006F377F">
              <w:rPr>
                <w:sz w:val="13"/>
                <w:szCs w:val="13"/>
              </w:rPr>
              <w:t>.</w:t>
            </w:r>
            <w:r w:rsidRPr="006F2FC4">
              <w:rPr>
                <w:sz w:val="13"/>
                <w:szCs w:val="13"/>
              </w:rPr>
              <w:t>500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819B689" w14:textId="77777777">
            <w:pPr>
              <w:pStyle w:val="p-table"/>
              <w:jc w:val="right"/>
              <w:rPr>
                <w:sz w:val="13"/>
                <w:szCs w:val="13"/>
              </w:rPr>
            </w:pPr>
            <w:r w:rsidRPr="006F2FC4">
              <w:rPr>
                <w:sz w:val="13"/>
                <w:szCs w:val="13"/>
              </w:rPr>
              <w:t>33.983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7C5593" w14:textId="73478241">
            <w:pPr>
              <w:pStyle w:val="p-table"/>
              <w:jc w:val="right"/>
              <w:rPr>
                <w:sz w:val="13"/>
                <w:szCs w:val="13"/>
              </w:rPr>
            </w:pPr>
            <w:r w:rsidRPr="006F2FC4">
              <w:rPr>
                <w:sz w:val="13"/>
                <w:szCs w:val="13"/>
              </w:rPr>
              <w:t>‒ 3</w:t>
            </w:r>
            <w:r w:rsidR="006F377F">
              <w:rPr>
                <w:sz w:val="13"/>
                <w:szCs w:val="13"/>
              </w:rPr>
              <w:t>.</w:t>
            </w:r>
            <w:r w:rsidRPr="006F2FC4">
              <w:rPr>
                <w:sz w:val="13"/>
                <w:szCs w:val="13"/>
              </w:rPr>
              <w:t>475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5EBBDE6" w14:textId="77777777">
            <w:pPr>
              <w:pStyle w:val="p-table"/>
              <w:jc w:val="right"/>
              <w:rPr>
                <w:sz w:val="13"/>
                <w:szCs w:val="13"/>
              </w:rPr>
            </w:pPr>
            <w:r w:rsidRPr="006F2FC4">
              <w:rPr>
                <w:sz w:val="13"/>
                <w:szCs w:val="13"/>
              </w:rPr>
              <w:t>‒ 165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FE0DDB2" w14:textId="195CF6FE">
            <w:pPr>
              <w:pStyle w:val="p-table"/>
              <w:jc w:val="right"/>
              <w:rPr>
                <w:sz w:val="13"/>
                <w:szCs w:val="13"/>
              </w:rPr>
            </w:pPr>
            <w:r w:rsidRPr="006F2FC4">
              <w:rPr>
                <w:sz w:val="13"/>
                <w:szCs w:val="13"/>
              </w:rPr>
              <w:t>‒ 1</w:t>
            </w:r>
            <w:r w:rsidR="006F377F">
              <w:rPr>
                <w:sz w:val="13"/>
                <w:szCs w:val="13"/>
              </w:rPr>
              <w:t>.</w:t>
            </w:r>
            <w:r w:rsidRPr="006F2FC4">
              <w:rPr>
                <w:sz w:val="13"/>
                <w:szCs w:val="13"/>
              </w:rPr>
              <w:t>039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A5D7E5" w14:textId="1E7C4006">
            <w:pPr>
              <w:pStyle w:val="p-table"/>
              <w:jc w:val="right"/>
              <w:rPr>
                <w:sz w:val="13"/>
                <w:szCs w:val="13"/>
              </w:rPr>
            </w:pPr>
            <w:r w:rsidRPr="006F2FC4">
              <w:rPr>
                <w:sz w:val="13"/>
                <w:szCs w:val="13"/>
              </w:rPr>
              <w:t>‒ 1</w:t>
            </w:r>
            <w:r w:rsidR="006F377F">
              <w:rPr>
                <w:sz w:val="13"/>
                <w:szCs w:val="13"/>
              </w:rPr>
              <w:t>.</w:t>
            </w:r>
            <w:r w:rsidRPr="006F2FC4">
              <w:rPr>
                <w:sz w:val="13"/>
                <w:szCs w:val="13"/>
              </w:rPr>
              <w:t>365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5584B0C" w14:textId="77777777">
            <w:pPr>
              <w:pStyle w:val="p-table"/>
              <w:jc w:val="right"/>
              <w:rPr>
                <w:sz w:val="13"/>
                <w:szCs w:val="13"/>
              </w:rPr>
            </w:pPr>
            <w:r w:rsidRPr="006F2FC4">
              <w:rPr>
                <w:sz w:val="13"/>
                <w:szCs w:val="13"/>
              </w:rPr>
              <w:t>7.538</w:t>
            </w:r>
          </w:p>
        </w:tc>
      </w:tr>
      <w:tr w:rsidR="00AE6DE7" w:rsidTr="007433BE" w14:paraId="62288BC4"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83D27D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D2DD75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2AB10F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7B62D2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2EEA96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8E4A5E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6BDB3E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6ABCA6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781E78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9C12C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788B22F" w14:textId="77777777">
            <w:pPr>
              <w:pStyle w:val="p-table"/>
              <w:rPr>
                <w:sz w:val="13"/>
                <w:szCs w:val="13"/>
              </w:rPr>
            </w:pPr>
          </w:p>
        </w:tc>
      </w:tr>
      <w:tr w:rsidR="00AE6DE7" w:rsidTr="007433BE" w14:paraId="58232804" w14:textId="77777777">
        <w:tc>
          <w:tcPr>
            <w:tcW w:w="800" w:type="pct"/>
            <w:tcBorders>
              <w:bottom w:val="single" w:color="009EE0" w:sz="2" w:space="0"/>
            </w:tcBorders>
            <w:tcMar>
              <w:top w:w="22" w:type="dxa"/>
              <w:bottom w:w="22" w:type="dxa"/>
              <w:right w:w="28" w:type="dxa"/>
            </w:tcMar>
          </w:tcPr>
          <w:p w:rsidRPr="006F2FC4" w:rsidR="00AE6DE7" w:rsidP="00DC031D" w:rsidRDefault="00AE6DE7" w14:paraId="4886BE1C" w14:textId="77777777">
            <w:pPr>
              <w:pStyle w:val="p-table"/>
              <w:rPr>
                <w:sz w:val="13"/>
                <w:szCs w:val="13"/>
              </w:rPr>
            </w:pPr>
            <w:r w:rsidRPr="006F2FC4">
              <w:rPr>
                <w:b/>
                <w:sz w:val="13"/>
                <w:szCs w:val="13"/>
              </w:rPr>
              <w:t>Materiële uitgaven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4382531" w14:textId="77777777">
            <w:pPr>
              <w:pStyle w:val="p-table"/>
              <w:jc w:val="right"/>
              <w:rPr>
                <w:sz w:val="13"/>
                <w:szCs w:val="13"/>
              </w:rPr>
            </w:pPr>
            <w:r w:rsidRPr="006F2FC4">
              <w:rPr>
                <w:b/>
                <w:sz w:val="13"/>
                <w:szCs w:val="13"/>
              </w:rPr>
              <w:t>505.813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8F7ADA8"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CDCC64" w14:textId="77777777">
            <w:pPr>
              <w:pStyle w:val="p-table"/>
              <w:jc w:val="right"/>
              <w:rPr>
                <w:sz w:val="13"/>
                <w:szCs w:val="13"/>
              </w:rPr>
            </w:pPr>
            <w:r w:rsidRPr="006F2FC4">
              <w:rPr>
                <w:b/>
                <w:sz w:val="13"/>
                <w:szCs w:val="13"/>
              </w:rPr>
              <w:t>505.813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226E14F" w14:textId="77777777">
            <w:pPr>
              <w:pStyle w:val="p-table"/>
              <w:jc w:val="right"/>
              <w:rPr>
                <w:sz w:val="13"/>
                <w:szCs w:val="13"/>
              </w:rPr>
            </w:pPr>
            <w:r w:rsidRPr="006F2FC4">
              <w:rPr>
                <w:b/>
                <w:sz w:val="13"/>
                <w:szCs w:val="13"/>
              </w:rPr>
              <w:t>43.003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89E6A65" w14:textId="77777777">
            <w:pPr>
              <w:pStyle w:val="p-table"/>
              <w:jc w:val="right"/>
              <w:rPr>
                <w:sz w:val="13"/>
                <w:szCs w:val="13"/>
              </w:rPr>
            </w:pPr>
            <w:r w:rsidRPr="006F2FC4">
              <w:rPr>
                <w:b/>
                <w:sz w:val="13"/>
                <w:szCs w:val="13"/>
              </w:rPr>
              <w:t>548.816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645E3D" w14:textId="77777777">
            <w:pPr>
              <w:pStyle w:val="p-table"/>
              <w:jc w:val="right"/>
              <w:rPr>
                <w:sz w:val="13"/>
                <w:szCs w:val="13"/>
              </w:rPr>
            </w:pPr>
            <w:r w:rsidRPr="006F2FC4">
              <w:rPr>
                <w:b/>
                <w:sz w:val="13"/>
                <w:szCs w:val="13"/>
              </w:rPr>
              <w:t>9.239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58010D1" w14:textId="77777777">
            <w:pPr>
              <w:pStyle w:val="p-table"/>
              <w:jc w:val="right"/>
              <w:rPr>
                <w:sz w:val="13"/>
                <w:szCs w:val="13"/>
              </w:rPr>
            </w:pPr>
            <w:r w:rsidRPr="006F2FC4">
              <w:rPr>
                <w:b/>
                <w:sz w:val="13"/>
                <w:szCs w:val="13"/>
              </w:rPr>
              <w:t>8.000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1206C7" w14:textId="77777777">
            <w:pPr>
              <w:pStyle w:val="p-table"/>
              <w:jc w:val="right"/>
              <w:rPr>
                <w:sz w:val="13"/>
                <w:szCs w:val="13"/>
              </w:rPr>
            </w:pPr>
            <w:r w:rsidRPr="006F2FC4">
              <w:rPr>
                <w:b/>
                <w:sz w:val="13"/>
                <w:szCs w:val="13"/>
              </w:rPr>
              <w:t>‒ 4.675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79AED04" w14:textId="77777777">
            <w:pPr>
              <w:pStyle w:val="p-table"/>
              <w:jc w:val="right"/>
              <w:rPr>
                <w:sz w:val="13"/>
                <w:szCs w:val="13"/>
              </w:rPr>
            </w:pPr>
            <w:r w:rsidRPr="006F2FC4">
              <w:rPr>
                <w:b/>
                <w:sz w:val="13"/>
                <w:szCs w:val="13"/>
              </w:rPr>
              <w:t>‒ 17.113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D837B70" w14:textId="77777777">
            <w:pPr>
              <w:pStyle w:val="p-table"/>
              <w:jc w:val="right"/>
              <w:rPr>
                <w:sz w:val="13"/>
                <w:szCs w:val="13"/>
              </w:rPr>
            </w:pPr>
            <w:r w:rsidRPr="006F2FC4">
              <w:rPr>
                <w:b/>
                <w:sz w:val="13"/>
                <w:szCs w:val="13"/>
              </w:rPr>
              <w:t>386.827</w:t>
            </w:r>
          </w:p>
        </w:tc>
      </w:tr>
      <w:tr w:rsidR="00AE6DE7" w:rsidTr="007433BE" w14:paraId="29E21CB0"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7C3015C" w14:textId="77777777">
            <w:pPr>
              <w:pStyle w:val="p-table"/>
              <w:rPr>
                <w:sz w:val="13"/>
                <w:szCs w:val="13"/>
              </w:rPr>
            </w:pPr>
            <w:r w:rsidRPr="006F2FC4">
              <w:rPr>
                <w:sz w:val="13"/>
                <w:szCs w:val="13"/>
              </w:rPr>
              <w:t>ICT</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F181371" w14:textId="77777777">
            <w:pPr>
              <w:pStyle w:val="p-table"/>
              <w:jc w:val="right"/>
              <w:rPr>
                <w:sz w:val="13"/>
                <w:szCs w:val="13"/>
              </w:rPr>
            </w:pPr>
            <w:r w:rsidRPr="006F2FC4">
              <w:rPr>
                <w:sz w:val="13"/>
                <w:szCs w:val="13"/>
              </w:rPr>
              <w:t>39.560</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9AEBAE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451CA4" w14:textId="77777777">
            <w:pPr>
              <w:pStyle w:val="p-table"/>
              <w:jc w:val="right"/>
              <w:rPr>
                <w:sz w:val="13"/>
                <w:szCs w:val="13"/>
              </w:rPr>
            </w:pPr>
            <w:r w:rsidRPr="006F2FC4">
              <w:rPr>
                <w:sz w:val="13"/>
                <w:szCs w:val="13"/>
              </w:rPr>
              <w:t>39.560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968888E" w14:textId="77777777">
            <w:pPr>
              <w:pStyle w:val="p-table"/>
              <w:jc w:val="right"/>
              <w:rPr>
                <w:sz w:val="13"/>
                <w:szCs w:val="13"/>
              </w:rPr>
            </w:pPr>
            <w:r w:rsidRPr="006F2FC4">
              <w:rPr>
                <w:sz w:val="13"/>
                <w:szCs w:val="13"/>
              </w:rPr>
              <w:t>2.143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4BACA4" w14:textId="77777777">
            <w:pPr>
              <w:pStyle w:val="p-table"/>
              <w:jc w:val="right"/>
              <w:rPr>
                <w:sz w:val="13"/>
                <w:szCs w:val="13"/>
              </w:rPr>
            </w:pPr>
            <w:r w:rsidRPr="006F2FC4">
              <w:rPr>
                <w:sz w:val="13"/>
                <w:szCs w:val="13"/>
              </w:rPr>
              <w:t>41.703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42AEF7C" w14:textId="77777777">
            <w:pPr>
              <w:pStyle w:val="p-table"/>
              <w:jc w:val="right"/>
              <w:rPr>
                <w:sz w:val="13"/>
                <w:szCs w:val="13"/>
              </w:rPr>
            </w:pPr>
            <w:r w:rsidRPr="006F2FC4">
              <w:rPr>
                <w:sz w:val="13"/>
                <w:szCs w:val="13"/>
              </w:rPr>
              <w:t>‒ 191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E325512" w14:textId="77777777">
            <w:pPr>
              <w:pStyle w:val="p-table"/>
              <w:jc w:val="right"/>
              <w:rPr>
                <w:sz w:val="13"/>
                <w:szCs w:val="13"/>
              </w:rPr>
            </w:pPr>
            <w:r w:rsidRPr="006F2FC4">
              <w:rPr>
                <w:sz w:val="13"/>
                <w:szCs w:val="13"/>
              </w:rPr>
              <w:t>‒ 359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BF6521A" w14:textId="77777777">
            <w:pPr>
              <w:pStyle w:val="p-table"/>
              <w:jc w:val="right"/>
              <w:rPr>
                <w:sz w:val="13"/>
                <w:szCs w:val="13"/>
              </w:rPr>
            </w:pPr>
            <w:r w:rsidRPr="006F2FC4">
              <w:rPr>
                <w:sz w:val="13"/>
                <w:szCs w:val="13"/>
              </w:rPr>
              <w:t>‒ 1.174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3B8A2FD" w14:textId="77777777">
            <w:pPr>
              <w:pStyle w:val="p-table"/>
              <w:jc w:val="right"/>
              <w:rPr>
                <w:sz w:val="13"/>
                <w:szCs w:val="13"/>
              </w:rPr>
            </w:pPr>
            <w:r w:rsidRPr="006F2FC4">
              <w:rPr>
                <w:sz w:val="13"/>
                <w:szCs w:val="13"/>
              </w:rPr>
              <w:t>‒ 2.308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D517AD6" w14:textId="77777777">
            <w:pPr>
              <w:pStyle w:val="p-table"/>
              <w:jc w:val="right"/>
              <w:rPr>
                <w:sz w:val="13"/>
                <w:szCs w:val="13"/>
              </w:rPr>
            </w:pPr>
            <w:r w:rsidRPr="006F2FC4">
              <w:rPr>
                <w:sz w:val="13"/>
                <w:szCs w:val="13"/>
              </w:rPr>
              <w:t>28.599</w:t>
            </w:r>
          </w:p>
        </w:tc>
      </w:tr>
      <w:tr w:rsidR="00AE6DE7" w:rsidTr="007433BE" w14:paraId="1E56CF11"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2736793" w14:textId="77777777">
            <w:pPr>
              <w:pStyle w:val="p-table"/>
              <w:rPr>
                <w:sz w:val="13"/>
                <w:szCs w:val="13"/>
              </w:rPr>
            </w:pPr>
            <w:r w:rsidRPr="006F2FC4">
              <w:rPr>
                <w:sz w:val="13"/>
                <w:szCs w:val="13"/>
              </w:rPr>
              <w:t>Bijdrage aan SSO's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05951DD" w14:textId="77777777">
            <w:pPr>
              <w:pStyle w:val="p-table"/>
              <w:jc w:val="right"/>
              <w:rPr>
                <w:sz w:val="13"/>
                <w:szCs w:val="13"/>
              </w:rPr>
            </w:pPr>
            <w:r w:rsidRPr="006F2FC4">
              <w:rPr>
                <w:sz w:val="13"/>
                <w:szCs w:val="13"/>
              </w:rPr>
              <w:t>336.920</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DA64E7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01E355A" w14:textId="77777777">
            <w:pPr>
              <w:pStyle w:val="p-table"/>
              <w:jc w:val="right"/>
              <w:rPr>
                <w:sz w:val="13"/>
                <w:szCs w:val="13"/>
              </w:rPr>
            </w:pPr>
            <w:r w:rsidRPr="006F2FC4">
              <w:rPr>
                <w:sz w:val="13"/>
                <w:szCs w:val="13"/>
              </w:rPr>
              <w:t>336.920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1F1B667" w14:textId="77777777">
            <w:pPr>
              <w:pStyle w:val="p-table"/>
              <w:jc w:val="right"/>
              <w:rPr>
                <w:sz w:val="13"/>
                <w:szCs w:val="13"/>
              </w:rPr>
            </w:pPr>
            <w:r w:rsidRPr="006F2FC4">
              <w:rPr>
                <w:sz w:val="13"/>
                <w:szCs w:val="13"/>
              </w:rPr>
              <w:t>37.867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EF7F3C" w14:textId="77777777">
            <w:pPr>
              <w:pStyle w:val="p-table"/>
              <w:jc w:val="right"/>
              <w:rPr>
                <w:sz w:val="13"/>
                <w:szCs w:val="13"/>
              </w:rPr>
            </w:pPr>
            <w:r w:rsidRPr="006F2FC4">
              <w:rPr>
                <w:sz w:val="13"/>
                <w:szCs w:val="13"/>
              </w:rPr>
              <w:t>374.787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EF0F744" w14:textId="77777777">
            <w:pPr>
              <w:pStyle w:val="p-table"/>
              <w:jc w:val="right"/>
              <w:rPr>
                <w:sz w:val="13"/>
                <w:szCs w:val="13"/>
              </w:rPr>
            </w:pPr>
            <w:r w:rsidRPr="006F2FC4">
              <w:rPr>
                <w:sz w:val="13"/>
                <w:szCs w:val="13"/>
              </w:rPr>
              <w:t>22.146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D4AB6B5" w14:textId="77777777">
            <w:pPr>
              <w:pStyle w:val="p-table"/>
              <w:jc w:val="right"/>
              <w:rPr>
                <w:sz w:val="13"/>
                <w:szCs w:val="13"/>
              </w:rPr>
            </w:pPr>
            <w:r w:rsidRPr="006F2FC4">
              <w:rPr>
                <w:sz w:val="13"/>
                <w:szCs w:val="13"/>
              </w:rPr>
              <w:t>23.796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5010C5" w14:textId="77777777">
            <w:pPr>
              <w:pStyle w:val="p-table"/>
              <w:jc w:val="right"/>
              <w:rPr>
                <w:sz w:val="13"/>
                <w:szCs w:val="13"/>
              </w:rPr>
            </w:pPr>
            <w:r w:rsidRPr="006F2FC4">
              <w:rPr>
                <w:sz w:val="13"/>
                <w:szCs w:val="13"/>
              </w:rPr>
              <w:t>11.696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8A05FA8" w14:textId="77777777">
            <w:pPr>
              <w:pStyle w:val="p-table"/>
              <w:jc w:val="right"/>
              <w:rPr>
                <w:sz w:val="13"/>
                <w:szCs w:val="13"/>
              </w:rPr>
            </w:pPr>
            <w:r w:rsidRPr="006F2FC4">
              <w:rPr>
                <w:sz w:val="13"/>
                <w:szCs w:val="13"/>
              </w:rPr>
              <w:t>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82A73E" w14:textId="77777777">
            <w:pPr>
              <w:pStyle w:val="p-table"/>
              <w:jc w:val="right"/>
              <w:rPr>
                <w:sz w:val="13"/>
                <w:szCs w:val="13"/>
              </w:rPr>
            </w:pPr>
            <w:r w:rsidRPr="006F2FC4">
              <w:rPr>
                <w:sz w:val="13"/>
                <w:szCs w:val="13"/>
              </w:rPr>
              <w:t>268.405</w:t>
            </w:r>
          </w:p>
        </w:tc>
      </w:tr>
      <w:tr w:rsidR="00AE6DE7" w:rsidTr="007433BE" w14:paraId="403CA0D8"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35274FA" w14:textId="77777777">
            <w:pPr>
              <w:pStyle w:val="p-table"/>
              <w:rPr>
                <w:sz w:val="13"/>
                <w:szCs w:val="13"/>
              </w:rPr>
            </w:pPr>
            <w:r w:rsidRPr="006F2FC4">
              <w:rPr>
                <w:sz w:val="13"/>
                <w:szCs w:val="13"/>
              </w:rPr>
              <w:t>Overig materieel</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D5E5E56" w14:textId="77777777">
            <w:pPr>
              <w:pStyle w:val="p-table"/>
              <w:jc w:val="right"/>
              <w:rPr>
                <w:sz w:val="13"/>
                <w:szCs w:val="13"/>
              </w:rPr>
            </w:pPr>
            <w:r w:rsidRPr="006F2FC4">
              <w:rPr>
                <w:sz w:val="13"/>
                <w:szCs w:val="13"/>
              </w:rPr>
              <w:t>129.333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855AF9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A3EBE27" w14:textId="77777777">
            <w:pPr>
              <w:pStyle w:val="p-table"/>
              <w:jc w:val="right"/>
              <w:rPr>
                <w:sz w:val="13"/>
                <w:szCs w:val="13"/>
              </w:rPr>
            </w:pPr>
            <w:r w:rsidRPr="006F2FC4">
              <w:rPr>
                <w:sz w:val="13"/>
                <w:szCs w:val="13"/>
              </w:rPr>
              <w:t>129.333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411A6ED" w14:textId="77777777">
            <w:pPr>
              <w:pStyle w:val="p-table"/>
              <w:jc w:val="right"/>
              <w:rPr>
                <w:sz w:val="13"/>
                <w:szCs w:val="13"/>
              </w:rPr>
            </w:pPr>
            <w:r w:rsidRPr="006F2FC4">
              <w:rPr>
                <w:sz w:val="13"/>
                <w:szCs w:val="13"/>
              </w:rPr>
              <w:t>2.993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43D93E2" w14:textId="77777777">
            <w:pPr>
              <w:pStyle w:val="p-table"/>
              <w:jc w:val="right"/>
              <w:rPr>
                <w:sz w:val="13"/>
                <w:szCs w:val="13"/>
              </w:rPr>
            </w:pPr>
            <w:r w:rsidRPr="006F2FC4">
              <w:rPr>
                <w:sz w:val="13"/>
                <w:szCs w:val="13"/>
              </w:rPr>
              <w:t>132.326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5F315F" w14:textId="77777777">
            <w:pPr>
              <w:pStyle w:val="p-table"/>
              <w:jc w:val="right"/>
              <w:rPr>
                <w:sz w:val="13"/>
                <w:szCs w:val="13"/>
              </w:rPr>
            </w:pPr>
            <w:r w:rsidRPr="006F2FC4">
              <w:rPr>
                <w:sz w:val="13"/>
                <w:szCs w:val="13"/>
              </w:rPr>
              <w:t>‒ 12.716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3F5F569" w14:textId="77777777">
            <w:pPr>
              <w:pStyle w:val="p-table"/>
              <w:jc w:val="right"/>
              <w:rPr>
                <w:sz w:val="13"/>
                <w:szCs w:val="13"/>
              </w:rPr>
            </w:pPr>
            <w:r w:rsidRPr="006F2FC4">
              <w:rPr>
                <w:sz w:val="13"/>
                <w:szCs w:val="13"/>
              </w:rPr>
              <w:t>‒ 15.437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DD48632" w14:textId="77777777">
            <w:pPr>
              <w:pStyle w:val="p-table"/>
              <w:jc w:val="right"/>
              <w:rPr>
                <w:sz w:val="13"/>
                <w:szCs w:val="13"/>
              </w:rPr>
            </w:pPr>
            <w:r w:rsidRPr="006F2FC4">
              <w:rPr>
                <w:sz w:val="13"/>
                <w:szCs w:val="13"/>
              </w:rPr>
              <w:t>‒ 15.197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2D3030" w14:textId="77777777">
            <w:pPr>
              <w:pStyle w:val="p-table"/>
              <w:jc w:val="right"/>
              <w:rPr>
                <w:sz w:val="13"/>
                <w:szCs w:val="13"/>
              </w:rPr>
            </w:pPr>
            <w:r w:rsidRPr="006F2FC4">
              <w:rPr>
                <w:sz w:val="13"/>
                <w:szCs w:val="13"/>
              </w:rPr>
              <w:t>‒ 14.812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9E7D60" w14:textId="77777777">
            <w:pPr>
              <w:pStyle w:val="p-table"/>
              <w:jc w:val="right"/>
              <w:rPr>
                <w:sz w:val="13"/>
                <w:szCs w:val="13"/>
              </w:rPr>
            </w:pPr>
            <w:r w:rsidRPr="006F2FC4">
              <w:rPr>
                <w:sz w:val="13"/>
                <w:szCs w:val="13"/>
              </w:rPr>
              <w:t>89.823</w:t>
            </w:r>
          </w:p>
        </w:tc>
      </w:tr>
      <w:tr w:rsidR="00AE6DE7" w:rsidTr="007433BE" w14:paraId="738E7700"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0F3578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272E1A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4C4812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40D8B1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69EC68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321D1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192566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60A0BA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A6DFC4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8741E3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9B8D9F5" w14:textId="77777777">
            <w:pPr>
              <w:pStyle w:val="p-table"/>
              <w:rPr>
                <w:sz w:val="13"/>
                <w:szCs w:val="13"/>
              </w:rPr>
            </w:pPr>
          </w:p>
        </w:tc>
      </w:tr>
      <w:tr w:rsidR="00AE6DE7" w:rsidTr="007433BE" w14:paraId="6868F6C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3B782387" w14:textId="77777777">
            <w:pPr>
              <w:pStyle w:val="p-table"/>
              <w:rPr>
                <w:sz w:val="13"/>
                <w:szCs w:val="13"/>
              </w:rPr>
            </w:pPr>
            <w:r w:rsidRPr="006F2FC4">
              <w:rPr>
                <w:b/>
                <w:sz w:val="13"/>
                <w:szCs w:val="13"/>
              </w:rPr>
              <w:t>(2) Programma-uitgaven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AF7B482" w14:textId="77777777">
            <w:pPr>
              <w:pStyle w:val="p-table"/>
              <w:jc w:val="right"/>
              <w:rPr>
                <w:sz w:val="13"/>
                <w:szCs w:val="13"/>
              </w:rPr>
            </w:pPr>
            <w:r w:rsidRPr="006F2FC4">
              <w:rPr>
                <w:b/>
                <w:sz w:val="13"/>
                <w:szCs w:val="13"/>
              </w:rPr>
              <w:t>242.552</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5BD4971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5B66D70" w14:textId="77777777">
            <w:pPr>
              <w:pStyle w:val="p-table"/>
              <w:jc w:val="right"/>
              <w:rPr>
                <w:sz w:val="13"/>
                <w:szCs w:val="13"/>
              </w:rPr>
            </w:pPr>
            <w:r w:rsidRPr="006F2FC4">
              <w:rPr>
                <w:b/>
                <w:sz w:val="13"/>
                <w:szCs w:val="13"/>
              </w:rPr>
              <w:t>242.552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29107C0" w14:textId="77777777">
            <w:pPr>
              <w:pStyle w:val="p-table"/>
              <w:jc w:val="right"/>
              <w:rPr>
                <w:sz w:val="13"/>
                <w:szCs w:val="13"/>
              </w:rPr>
            </w:pPr>
            <w:r w:rsidRPr="006F2FC4">
              <w:rPr>
                <w:b/>
                <w:sz w:val="13"/>
                <w:szCs w:val="13"/>
              </w:rPr>
              <w:t>123.819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0E33514" w14:textId="77777777">
            <w:pPr>
              <w:pStyle w:val="p-table"/>
              <w:jc w:val="right"/>
              <w:rPr>
                <w:sz w:val="13"/>
                <w:szCs w:val="13"/>
              </w:rPr>
            </w:pPr>
            <w:r w:rsidRPr="006F2FC4">
              <w:rPr>
                <w:b/>
                <w:sz w:val="13"/>
                <w:szCs w:val="13"/>
              </w:rPr>
              <w:t>366.371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78226C" w14:textId="77777777">
            <w:pPr>
              <w:pStyle w:val="p-table"/>
              <w:jc w:val="right"/>
              <w:rPr>
                <w:sz w:val="13"/>
                <w:szCs w:val="13"/>
              </w:rPr>
            </w:pPr>
            <w:r w:rsidRPr="006F2FC4">
              <w:rPr>
                <w:b/>
                <w:sz w:val="13"/>
                <w:szCs w:val="13"/>
              </w:rPr>
              <w:t>121.757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6CD6121" w14:textId="77777777">
            <w:pPr>
              <w:pStyle w:val="p-table"/>
              <w:jc w:val="right"/>
              <w:rPr>
                <w:sz w:val="13"/>
                <w:szCs w:val="13"/>
              </w:rPr>
            </w:pPr>
            <w:r w:rsidRPr="006F2FC4">
              <w:rPr>
                <w:b/>
                <w:sz w:val="13"/>
                <w:szCs w:val="13"/>
              </w:rPr>
              <w:t>127.521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013E4EF" w14:textId="77777777">
            <w:pPr>
              <w:pStyle w:val="p-table"/>
              <w:jc w:val="right"/>
              <w:rPr>
                <w:sz w:val="13"/>
                <w:szCs w:val="13"/>
              </w:rPr>
            </w:pPr>
            <w:r w:rsidRPr="006F2FC4">
              <w:rPr>
                <w:b/>
                <w:sz w:val="13"/>
                <w:szCs w:val="13"/>
              </w:rPr>
              <w:t>133.965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429CA2" w14:textId="77777777">
            <w:pPr>
              <w:pStyle w:val="p-table"/>
              <w:jc w:val="right"/>
              <w:rPr>
                <w:sz w:val="13"/>
                <w:szCs w:val="13"/>
              </w:rPr>
            </w:pPr>
            <w:r w:rsidRPr="006F2FC4">
              <w:rPr>
                <w:b/>
                <w:sz w:val="13"/>
                <w:szCs w:val="13"/>
              </w:rPr>
              <w:t>134.364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47FDDB2" w14:textId="77777777">
            <w:pPr>
              <w:pStyle w:val="p-table"/>
              <w:jc w:val="right"/>
              <w:rPr>
                <w:sz w:val="13"/>
                <w:szCs w:val="13"/>
              </w:rPr>
            </w:pPr>
            <w:r w:rsidRPr="006F2FC4">
              <w:rPr>
                <w:b/>
                <w:sz w:val="13"/>
                <w:szCs w:val="13"/>
              </w:rPr>
              <w:t>349.776</w:t>
            </w:r>
          </w:p>
        </w:tc>
      </w:tr>
      <w:tr w:rsidR="00AE6DE7" w:rsidTr="007433BE" w14:paraId="4D2E6B52"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DCF95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FB454B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423A54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687C39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16695C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78CAFA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B3CB5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319330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8C679C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13B1EB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4160E46" w14:textId="77777777">
            <w:pPr>
              <w:pStyle w:val="p-table"/>
              <w:rPr>
                <w:sz w:val="13"/>
                <w:szCs w:val="13"/>
              </w:rPr>
            </w:pPr>
          </w:p>
        </w:tc>
      </w:tr>
      <w:tr w:rsidR="00AE6DE7" w:rsidTr="007433BE" w14:paraId="44AF4B6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8D8051B" w14:textId="77777777">
            <w:pPr>
              <w:pStyle w:val="p-table"/>
              <w:rPr>
                <w:sz w:val="13"/>
                <w:szCs w:val="13"/>
              </w:rPr>
            </w:pPr>
            <w:r w:rsidRPr="006F2FC4">
              <w:rPr>
                <w:b/>
                <w:sz w:val="13"/>
                <w:szCs w:val="13"/>
              </w:rPr>
              <w:t>Garanties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4887E4" w14:textId="77777777">
            <w:pPr>
              <w:pStyle w:val="p-table"/>
              <w:jc w:val="right"/>
              <w:rPr>
                <w:sz w:val="13"/>
                <w:szCs w:val="13"/>
              </w:rPr>
            </w:pPr>
            <w:r w:rsidRPr="006F2FC4">
              <w:rPr>
                <w:b/>
                <w:sz w:val="13"/>
                <w:szCs w:val="13"/>
              </w:rPr>
              <w:t>181</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139220A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7FC676F" w14:textId="77777777">
            <w:pPr>
              <w:pStyle w:val="p-table"/>
              <w:jc w:val="right"/>
              <w:rPr>
                <w:sz w:val="13"/>
                <w:szCs w:val="13"/>
              </w:rPr>
            </w:pPr>
            <w:r w:rsidRPr="006F2FC4">
              <w:rPr>
                <w:b/>
                <w:sz w:val="13"/>
                <w:szCs w:val="13"/>
              </w:rPr>
              <w:t>181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18FE51"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EE13FF8" w14:textId="77777777">
            <w:pPr>
              <w:pStyle w:val="p-table"/>
              <w:jc w:val="right"/>
              <w:rPr>
                <w:sz w:val="13"/>
                <w:szCs w:val="13"/>
              </w:rPr>
            </w:pPr>
            <w:r w:rsidRPr="006F2FC4">
              <w:rPr>
                <w:b/>
                <w:sz w:val="13"/>
                <w:szCs w:val="13"/>
              </w:rPr>
              <w:t>181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25FDF1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2FD5E1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0EE30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F2790FB"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F1C214" w14:textId="77777777">
            <w:pPr>
              <w:pStyle w:val="p-table"/>
              <w:jc w:val="right"/>
              <w:rPr>
                <w:sz w:val="13"/>
                <w:szCs w:val="13"/>
              </w:rPr>
            </w:pPr>
            <w:r w:rsidRPr="006F2FC4">
              <w:rPr>
                <w:b/>
                <w:sz w:val="13"/>
                <w:szCs w:val="13"/>
              </w:rPr>
              <w:t>181</w:t>
            </w:r>
          </w:p>
        </w:tc>
      </w:tr>
      <w:tr w:rsidR="00AE6DE7" w:rsidTr="007433BE" w14:paraId="5044228F"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3EBF1CE" w14:textId="77777777">
            <w:pPr>
              <w:pStyle w:val="p-table"/>
              <w:rPr>
                <w:sz w:val="13"/>
                <w:szCs w:val="13"/>
              </w:rPr>
            </w:pPr>
            <w:r w:rsidRPr="006F2FC4">
              <w:rPr>
                <w:sz w:val="13"/>
                <w:szCs w:val="13"/>
              </w:rPr>
              <w:t>Garantie procesrisico's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A82155" w14:textId="77777777">
            <w:pPr>
              <w:pStyle w:val="p-table"/>
              <w:jc w:val="right"/>
              <w:rPr>
                <w:sz w:val="13"/>
                <w:szCs w:val="13"/>
              </w:rPr>
            </w:pPr>
            <w:r w:rsidRPr="006F2FC4">
              <w:rPr>
                <w:sz w:val="13"/>
                <w:szCs w:val="13"/>
              </w:rPr>
              <w:t>181</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1613AE3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C105DBD" w14:textId="77777777">
            <w:pPr>
              <w:pStyle w:val="p-table"/>
              <w:jc w:val="right"/>
              <w:rPr>
                <w:sz w:val="13"/>
                <w:szCs w:val="13"/>
              </w:rPr>
            </w:pPr>
            <w:r w:rsidRPr="006F2FC4">
              <w:rPr>
                <w:sz w:val="13"/>
                <w:szCs w:val="13"/>
              </w:rPr>
              <w:t>181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E8CDA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025C5FA" w14:textId="77777777">
            <w:pPr>
              <w:pStyle w:val="p-table"/>
              <w:jc w:val="right"/>
              <w:rPr>
                <w:sz w:val="13"/>
                <w:szCs w:val="13"/>
              </w:rPr>
            </w:pPr>
            <w:r w:rsidRPr="006F2FC4">
              <w:rPr>
                <w:sz w:val="13"/>
                <w:szCs w:val="13"/>
              </w:rPr>
              <w:t>181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428C0B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751AF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988E1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C8EB9D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7CC951" w14:textId="77777777">
            <w:pPr>
              <w:pStyle w:val="p-table"/>
              <w:jc w:val="right"/>
              <w:rPr>
                <w:sz w:val="13"/>
                <w:szCs w:val="13"/>
              </w:rPr>
            </w:pPr>
            <w:r w:rsidRPr="006F2FC4">
              <w:rPr>
                <w:sz w:val="13"/>
                <w:szCs w:val="13"/>
              </w:rPr>
              <w:t>181</w:t>
            </w:r>
          </w:p>
        </w:tc>
      </w:tr>
      <w:tr w:rsidR="00AE6DE7" w:rsidTr="007433BE" w14:paraId="0C49E5C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0EEA4A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E2ECF2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4CD6E5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80E1C3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05EA2A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92038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19E5AB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30ADDF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2F160F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12275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20BDDD4" w14:textId="77777777">
            <w:pPr>
              <w:pStyle w:val="p-table"/>
              <w:rPr>
                <w:sz w:val="13"/>
                <w:szCs w:val="13"/>
              </w:rPr>
            </w:pPr>
          </w:p>
        </w:tc>
      </w:tr>
      <w:tr w:rsidR="00AE6DE7" w:rsidTr="007433BE" w14:paraId="0B4FE3C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A0011DB" w14:textId="77777777">
            <w:pPr>
              <w:pStyle w:val="p-table"/>
              <w:rPr>
                <w:sz w:val="13"/>
                <w:szCs w:val="13"/>
              </w:rPr>
            </w:pPr>
            <w:r w:rsidRPr="006F2FC4">
              <w:rPr>
                <w:b/>
                <w:sz w:val="13"/>
                <w:szCs w:val="13"/>
              </w:rPr>
              <w:t>Bijdrage aan ZBO's/RWT's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FB9B1E3" w14:textId="77777777">
            <w:pPr>
              <w:pStyle w:val="p-table"/>
              <w:jc w:val="right"/>
              <w:rPr>
                <w:sz w:val="13"/>
                <w:szCs w:val="13"/>
              </w:rPr>
            </w:pPr>
            <w:r w:rsidRPr="006F2FC4">
              <w:rPr>
                <w:b/>
                <w:sz w:val="13"/>
                <w:szCs w:val="13"/>
              </w:rPr>
              <w:t>15.477</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51EA153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C3C2729" w14:textId="77777777">
            <w:pPr>
              <w:pStyle w:val="p-table"/>
              <w:jc w:val="right"/>
              <w:rPr>
                <w:sz w:val="13"/>
                <w:szCs w:val="13"/>
              </w:rPr>
            </w:pPr>
            <w:r w:rsidRPr="006F2FC4">
              <w:rPr>
                <w:b/>
                <w:sz w:val="13"/>
                <w:szCs w:val="13"/>
              </w:rPr>
              <w:t>15.477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AB71D5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EE984E" w14:textId="77777777">
            <w:pPr>
              <w:pStyle w:val="p-table"/>
              <w:jc w:val="right"/>
              <w:rPr>
                <w:sz w:val="13"/>
                <w:szCs w:val="13"/>
              </w:rPr>
            </w:pPr>
            <w:r w:rsidRPr="006F2FC4">
              <w:rPr>
                <w:b/>
                <w:sz w:val="13"/>
                <w:szCs w:val="13"/>
              </w:rPr>
              <w:t>15.477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555DD85" w14:textId="77777777">
            <w:pPr>
              <w:pStyle w:val="p-table"/>
              <w:jc w:val="right"/>
              <w:rPr>
                <w:sz w:val="13"/>
                <w:szCs w:val="13"/>
              </w:rPr>
            </w:pPr>
            <w:r w:rsidRPr="006F2FC4">
              <w:rPr>
                <w:b/>
                <w:sz w:val="13"/>
                <w:szCs w:val="13"/>
              </w:rPr>
              <w:t>‒ 83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A203AD0" w14:textId="77777777">
            <w:pPr>
              <w:pStyle w:val="p-table"/>
              <w:jc w:val="right"/>
              <w:rPr>
                <w:sz w:val="13"/>
                <w:szCs w:val="13"/>
              </w:rPr>
            </w:pPr>
            <w:r w:rsidRPr="006F2FC4">
              <w:rPr>
                <w:b/>
                <w:sz w:val="13"/>
                <w:szCs w:val="13"/>
              </w:rPr>
              <w:t>‒ 153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17D3560" w14:textId="77777777">
            <w:pPr>
              <w:pStyle w:val="p-table"/>
              <w:jc w:val="right"/>
              <w:rPr>
                <w:sz w:val="13"/>
                <w:szCs w:val="13"/>
              </w:rPr>
            </w:pPr>
            <w:r w:rsidRPr="006F2FC4">
              <w:rPr>
                <w:b/>
                <w:sz w:val="13"/>
                <w:szCs w:val="13"/>
              </w:rPr>
              <w:t>‒ 499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B75686E" w14:textId="77777777">
            <w:pPr>
              <w:pStyle w:val="p-table"/>
              <w:jc w:val="right"/>
              <w:rPr>
                <w:sz w:val="13"/>
                <w:szCs w:val="13"/>
              </w:rPr>
            </w:pPr>
            <w:r w:rsidRPr="006F2FC4">
              <w:rPr>
                <w:b/>
                <w:sz w:val="13"/>
                <w:szCs w:val="13"/>
              </w:rPr>
              <w:t>‒ 979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344BE1" w14:textId="77777777">
            <w:pPr>
              <w:pStyle w:val="p-table"/>
              <w:jc w:val="right"/>
              <w:rPr>
                <w:sz w:val="13"/>
                <w:szCs w:val="13"/>
              </w:rPr>
            </w:pPr>
            <w:r w:rsidRPr="006F2FC4">
              <w:rPr>
                <w:b/>
                <w:sz w:val="13"/>
                <w:szCs w:val="13"/>
              </w:rPr>
              <w:t>13.020</w:t>
            </w:r>
          </w:p>
        </w:tc>
      </w:tr>
      <w:tr w:rsidR="00AE6DE7" w:rsidTr="007433BE" w14:paraId="7A48C0F1"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2E16E55" w14:textId="77777777">
            <w:pPr>
              <w:pStyle w:val="p-table"/>
              <w:rPr>
                <w:sz w:val="13"/>
                <w:szCs w:val="13"/>
              </w:rPr>
            </w:pPr>
            <w:r w:rsidRPr="006F2FC4">
              <w:rPr>
                <w:sz w:val="13"/>
                <w:szCs w:val="13"/>
              </w:rPr>
              <w:t>Waarderingskamer</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527916" w14:textId="77777777">
            <w:pPr>
              <w:pStyle w:val="p-table"/>
              <w:jc w:val="right"/>
              <w:rPr>
                <w:sz w:val="13"/>
                <w:szCs w:val="13"/>
              </w:rPr>
            </w:pPr>
            <w:r w:rsidRPr="006F2FC4">
              <w:rPr>
                <w:sz w:val="13"/>
                <w:szCs w:val="13"/>
              </w:rPr>
              <w:t>2.489</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FFC226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6C081FD" w14:textId="77777777">
            <w:pPr>
              <w:pStyle w:val="p-table"/>
              <w:jc w:val="right"/>
              <w:rPr>
                <w:sz w:val="13"/>
                <w:szCs w:val="13"/>
              </w:rPr>
            </w:pPr>
            <w:r w:rsidRPr="006F2FC4">
              <w:rPr>
                <w:sz w:val="13"/>
                <w:szCs w:val="13"/>
              </w:rPr>
              <w:t>2.489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247A61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1BACE3E" w14:textId="77777777">
            <w:pPr>
              <w:pStyle w:val="p-table"/>
              <w:jc w:val="right"/>
              <w:rPr>
                <w:sz w:val="13"/>
                <w:szCs w:val="13"/>
              </w:rPr>
            </w:pPr>
            <w:r w:rsidRPr="006F2FC4">
              <w:rPr>
                <w:sz w:val="13"/>
                <w:szCs w:val="13"/>
              </w:rPr>
              <w:t>2.489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86E1DC" w14:textId="77777777">
            <w:pPr>
              <w:pStyle w:val="p-table"/>
              <w:jc w:val="right"/>
              <w:rPr>
                <w:sz w:val="13"/>
                <w:szCs w:val="13"/>
              </w:rPr>
            </w:pPr>
            <w:r w:rsidRPr="006F2FC4">
              <w:rPr>
                <w:sz w:val="13"/>
                <w:szCs w:val="13"/>
              </w:rPr>
              <w:t>‒ 14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F939DC0" w14:textId="77777777">
            <w:pPr>
              <w:pStyle w:val="p-table"/>
              <w:jc w:val="right"/>
              <w:rPr>
                <w:sz w:val="13"/>
                <w:szCs w:val="13"/>
              </w:rPr>
            </w:pPr>
            <w:r w:rsidRPr="006F2FC4">
              <w:rPr>
                <w:sz w:val="13"/>
                <w:szCs w:val="13"/>
              </w:rPr>
              <w:t>‒ 29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179DA6" w14:textId="77777777">
            <w:pPr>
              <w:pStyle w:val="p-table"/>
              <w:jc w:val="right"/>
              <w:rPr>
                <w:sz w:val="13"/>
                <w:szCs w:val="13"/>
              </w:rPr>
            </w:pPr>
            <w:r w:rsidRPr="006F2FC4">
              <w:rPr>
                <w:sz w:val="13"/>
                <w:szCs w:val="13"/>
              </w:rPr>
              <w:t>‒ 94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E07CD69" w14:textId="77777777">
            <w:pPr>
              <w:pStyle w:val="p-table"/>
              <w:jc w:val="right"/>
              <w:rPr>
                <w:sz w:val="13"/>
                <w:szCs w:val="13"/>
              </w:rPr>
            </w:pPr>
            <w:r w:rsidRPr="006F2FC4">
              <w:rPr>
                <w:sz w:val="13"/>
                <w:szCs w:val="13"/>
              </w:rPr>
              <w:t>‒ 185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C600266" w14:textId="77777777">
            <w:pPr>
              <w:pStyle w:val="p-table"/>
              <w:jc w:val="right"/>
              <w:rPr>
                <w:sz w:val="13"/>
                <w:szCs w:val="13"/>
              </w:rPr>
            </w:pPr>
            <w:r w:rsidRPr="006F2FC4">
              <w:rPr>
                <w:sz w:val="13"/>
                <w:szCs w:val="13"/>
              </w:rPr>
              <w:t>2304</w:t>
            </w:r>
          </w:p>
        </w:tc>
      </w:tr>
      <w:tr w:rsidR="00AE6DE7" w:rsidTr="007433BE" w14:paraId="4983B3F6"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41EDF1A" w14:textId="77777777">
            <w:pPr>
              <w:pStyle w:val="p-table"/>
              <w:rPr>
                <w:sz w:val="13"/>
                <w:szCs w:val="13"/>
              </w:rPr>
            </w:pPr>
            <w:r w:rsidRPr="006F2FC4">
              <w:rPr>
                <w:sz w:val="13"/>
                <w:szCs w:val="13"/>
              </w:rPr>
              <w:t>Kadaster</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F61C488" w14:textId="77777777">
            <w:pPr>
              <w:pStyle w:val="p-table"/>
              <w:jc w:val="right"/>
              <w:rPr>
                <w:sz w:val="13"/>
                <w:szCs w:val="13"/>
              </w:rPr>
            </w:pPr>
            <w:r w:rsidRPr="006F2FC4">
              <w:rPr>
                <w:sz w:val="13"/>
                <w:szCs w:val="13"/>
              </w:rPr>
              <w:t>2.933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4BD785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3BD65EA" w14:textId="77777777">
            <w:pPr>
              <w:pStyle w:val="p-table"/>
              <w:jc w:val="right"/>
              <w:rPr>
                <w:sz w:val="13"/>
                <w:szCs w:val="13"/>
              </w:rPr>
            </w:pPr>
            <w:r w:rsidRPr="006F2FC4">
              <w:rPr>
                <w:sz w:val="13"/>
                <w:szCs w:val="13"/>
              </w:rPr>
              <w:t>2.933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3FB751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C8885E" w14:textId="77777777">
            <w:pPr>
              <w:pStyle w:val="p-table"/>
              <w:jc w:val="right"/>
              <w:rPr>
                <w:sz w:val="13"/>
                <w:szCs w:val="13"/>
              </w:rPr>
            </w:pPr>
            <w:r w:rsidRPr="006F2FC4">
              <w:rPr>
                <w:sz w:val="13"/>
                <w:szCs w:val="13"/>
              </w:rPr>
              <w:t>2.933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82445C7" w14:textId="77777777">
            <w:pPr>
              <w:pStyle w:val="p-table"/>
              <w:jc w:val="right"/>
              <w:rPr>
                <w:sz w:val="13"/>
                <w:szCs w:val="13"/>
              </w:rPr>
            </w:pPr>
            <w:r w:rsidRPr="006F2FC4">
              <w:rPr>
                <w:sz w:val="13"/>
                <w:szCs w:val="13"/>
              </w:rPr>
              <w:t>‒ 12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295D602" w14:textId="77777777">
            <w:pPr>
              <w:pStyle w:val="p-table"/>
              <w:jc w:val="right"/>
              <w:rPr>
                <w:sz w:val="13"/>
                <w:szCs w:val="13"/>
              </w:rPr>
            </w:pPr>
            <w:r w:rsidRPr="006F2FC4">
              <w:rPr>
                <w:sz w:val="13"/>
                <w:szCs w:val="13"/>
              </w:rPr>
              <w:t>‒ 24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3FE816" w14:textId="77777777">
            <w:pPr>
              <w:pStyle w:val="p-table"/>
              <w:jc w:val="right"/>
              <w:rPr>
                <w:sz w:val="13"/>
                <w:szCs w:val="13"/>
              </w:rPr>
            </w:pPr>
            <w:r w:rsidRPr="006F2FC4">
              <w:rPr>
                <w:sz w:val="13"/>
                <w:szCs w:val="13"/>
              </w:rPr>
              <w:t>‒ 79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3B77A46" w14:textId="77777777">
            <w:pPr>
              <w:pStyle w:val="p-table"/>
              <w:jc w:val="right"/>
              <w:rPr>
                <w:sz w:val="13"/>
                <w:szCs w:val="13"/>
              </w:rPr>
            </w:pPr>
            <w:r w:rsidRPr="006F2FC4">
              <w:rPr>
                <w:sz w:val="13"/>
                <w:szCs w:val="13"/>
              </w:rPr>
              <w:t>‒ 154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DA8095" w14:textId="77777777">
            <w:pPr>
              <w:pStyle w:val="p-table"/>
              <w:jc w:val="right"/>
              <w:rPr>
                <w:sz w:val="13"/>
                <w:szCs w:val="13"/>
              </w:rPr>
            </w:pPr>
            <w:r w:rsidRPr="006F2FC4">
              <w:rPr>
                <w:sz w:val="13"/>
                <w:szCs w:val="13"/>
              </w:rPr>
              <w:t>2779</w:t>
            </w:r>
          </w:p>
        </w:tc>
      </w:tr>
      <w:tr w:rsidR="00AE6DE7" w:rsidTr="007433BE" w14:paraId="7D8BB9A1"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C9BCA6B" w14:textId="77777777">
            <w:pPr>
              <w:pStyle w:val="p-table"/>
              <w:rPr>
                <w:sz w:val="13"/>
                <w:szCs w:val="13"/>
              </w:rPr>
            </w:pPr>
            <w:r w:rsidRPr="006F2FC4">
              <w:rPr>
                <w:sz w:val="13"/>
                <w:szCs w:val="13"/>
              </w:rPr>
              <w:t>Kamer van Koophandel</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FB153D8" w14:textId="77777777">
            <w:pPr>
              <w:pStyle w:val="p-table"/>
              <w:jc w:val="right"/>
              <w:rPr>
                <w:sz w:val="13"/>
                <w:szCs w:val="13"/>
              </w:rPr>
            </w:pPr>
            <w:r w:rsidRPr="006F2FC4">
              <w:rPr>
                <w:sz w:val="13"/>
                <w:szCs w:val="13"/>
              </w:rPr>
              <w:t>341</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30EA71A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D176BB0" w14:textId="77777777">
            <w:pPr>
              <w:pStyle w:val="p-table"/>
              <w:jc w:val="right"/>
              <w:rPr>
                <w:sz w:val="13"/>
                <w:szCs w:val="13"/>
              </w:rPr>
            </w:pPr>
            <w:r w:rsidRPr="006F2FC4">
              <w:rPr>
                <w:sz w:val="13"/>
                <w:szCs w:val="13"/>
              </w:rPr>
              <w:t>341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8B0C1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F5C91D2" w14:textId="77777777">
            <w:pPr>
              <w:pStyle w:val="p-table"/>
              <w:jc w:val="right"/>
              <w:rPr>
                <w:sz w:val="13"/>
                <w:szCs w:val="13"/>
              </w:rPr>
            </w:pPr>
            <w:r w:rsidRPr="006F2FC4">
              <w:rPr>
                <w:sz w:val="13"/>
                <w:szCs w:val="13"/>
              </w:rPr>
              <w:t>341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D5304AD" w14:textId="77777777">
            <w:pPr>
              <w:pStyle w:val="p-table"/>
              <w:jc w:val="right"/>
              <w:rPr>
                <w:sz w:val="13"/>
                <w:szCs w:val="13"/>
              </w:rPr>
            </w:pPr>
            <w:r w:rsidRPr="006F2FC4">
              <w:rPr>
                <w:sz w:val="13"/>
                <w:szCs w:val="13"/>
              </w:rPr>
              <w:t>‒ 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E71D17" w14:textId="77777777">
            <w:pPr>
              <w:pStyle w:val="p-table"/>
              <w:jc w:val="right"/>
              <w:rPr>
                <w:sz w:val="13"/>
                <w:szCs w:val="13"/>
              </w:rPr>
            </w:pPr>
            <w:r w:rsidRPr="006F2FC4">
              <w:rPr>
                <w:sz w:val="13"/>
                <w:szCs w:val="13"/>
              </w:rPr>
              <w:t>‒ 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153D6B2" w14:textId="77777777">
            <w:pPr>
              <w:pStyle w:val="p-table"/>
              <w:jc w:val="right"/>
              <w:rPr>
                <w:sz w:val="13"/>
                <w:szCs w:val="13"/>
              </w:rPr>
            </w:pPr>
            <w:r w:rsidRPr="006F2FC4">
              <w:rPr>
                <w:sz w:val="13"/>
                <w:szCs w:val="13"/>
              </w:rPr>
              <w:t>‒ 13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8602E40" w14:textId="77777777">
            <w:pPr>
              <w:pStyle w:val="p-table"/>
              <w:jc w:val="right"/>
              <w:rPr>
                <w:sz w:val="13"/>
                <w:szCs w:val="13"/>
              </w:rPr>
            </w:pPr>
            <w:r w:rsidRPr="006F2FC4">
              <w:rPr>
                <w:sz w:val="13"/>
                <w:szCs w:val="13"/>
              </w:rPr>
              <w:t>‒ 25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CDB20F1" w14:textId="77777777">
            <w:pPr>
              <w:pStyle w:val="p-table"/>
              <w:jc w:val="right"/>
              <w:rPr>
                <w:sz w:val="13"/>
                <w:szCs w:val="13"/>
              </w:rPr>
            </w:pPr>
            <w:r w:rsidRPr="006F2FC4">
              <w:rPr>
                <w:sz w:val="13"/>
                <w:szCs w:val="13"/>
              </w:rPr>
              <w:t>316</w:t>
            </w:r>
          </w:p>
        </w:tc>
      </w:tr>
      <w:tr w:rsidR="00AE6DE7" w:rsidTr="007433BE" w14:paraId="1BBB1CA9"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45D4DE5" w14:textId="77777777">
            <w:pPr>
              <w:pStyle w:val="p-table"/>
              <w:rPr>
                <w:sz w:val="13"/>
                <w:szCs w:val="13"/>
              </w:rPr>
            </w:pPr>
            <w:r w:rsidRPr="006F2FC4">
              <w:rPr>
                <w:sz w:val="13"/>
                <w:szCs w:val="13"/>
              </w:rPr>
              <w:t>Overige bijdrage ZBO's/RWT's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A824680" w14:textId="77777777">
            <w:pPr>
              <w:pStyle w:val="p-table"/>
              <w:jc w:val="right"/>
              <w:rPr>
                <w:sz w:val="13"/>
                <w:szCs w:val="13"/>
              </w:rPr>
            </w:pPr>
            <w:r w:rsidRPr="006F2FC4">
              <w:rPr>
                <w:sz w:val="13"/>
                <w:szCs w:val="13"/>
              </w:rPr>
              <w:t>9.714</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32D75D2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B1DE4BC" w14:textId="77777777">
            <w:pPr>
              <w:pStyle w:val="p-table"/>
              <w:jc w:val="right"/>
              <w:rPr>
                <w:sz w:val="13"/>
                <w:szCs w:val="13"/>
              </w:rPr>
            </w:pPr>
            <w:r w:rsidRPr="006F2FC4">
              <w:rPr>
                <w:sz w:val="13"/>
                <w:szCs w:val="13"/>
              </w:rPr>
              <w:t>9.714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4DCB6E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2623F2B" w14:textId="77777777">
            <w:pPr>
              <w:pStyle w:val="p-table"/>
              <w:jc w:val="right"/>
              <w:rPr>
                <w:sz w:val="13"/>
                <w:szCs w:val="13"/>
              </w:rPr>
            </w:pPr>
            <w:r w:rsidRPr="006F2FC4">
              <w:rPr>
                <w:sz w:val="13"/>
                <w:szCs w:val="13"/>
              </w:rPr>
              <w:t>9.714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E1E40BE"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A6970F" w14:textId="77777777">
            <w:pPr>
              <w:pStyle w:val="p-table"/>
              <w:jc w:val="right"/>
              <w:rPr>
                <w:sz w:val="13"/>
                <w:szCs w:val="13"/>
              </w:rPr>
            </w:pPr>
            <w:r w:rsidRPr="006F2FC4">
              <w:rPr>
                <w:sz w:val="13"/>
                <w:szCs w:val="13"/>
              </w:rPr>
              <w:t>‒ 96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FDF2B6" w14:textId="77777777">
            <w:pPr>
              <w:pStyle w:val="p-table"/>
              <w:jc w:val="right"/>
              <w:rPr>
                <w:sz w:val="13"/>
                <w:szCs w:val="13"/>
              </w:rPr>
            </w:pPr>
            <w:r w:rsidRPr="006F2FC4">
              <w:rPr>
                <w:sz w:val="13"/>
                <w:szCs w:val="13"/>
              </w:rPr>
              <w:t>‒ 313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7552F46" w14:textId="77777777">
            <w:pPr>
              <w:pStyle w:val="p-table"/>
              <w:jc w:val="right"/>
              <w:rPr>
                <w:sz w:val="13"/>
                <w:szCs w:val="13"/>
              </w:rPr>
            </w:pPr>
            <w:r w:rsidRPr="006F2FC4">
              <w:rPr>
                <w:sz w:val="13"/>
                <w:szCs w:val="13"/>
              </w:rPr>
              <w:t>‒ 615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034D58" w14:textId="77777777">
            <w:pPr>
              <w:pStyle w:val="p-table"/>
              <w:jc w:val="right"/>
              <w:rPr>
                <w:sz w:val="13"/>
                <w:szCs w:val="13"/>
              </w:rPr>
            </w:pPr>
            <w:r w:rsidRPr="006F2FC4">
              <w:rPr>
                <w:sz w:val="13"/>
                <w:szCs w:val="13"/>
              </w:rPr>
              <w:t>7.621</w:t>
            </w:r>
          </w:p>
        </w:tc>
      </w:tr>
      <w:tr w:rsidR="00AE6DE7" w:rsidTr="007433BE" w14:paraId="305BA7DC"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447444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1248A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17B17B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A4AE0D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59F711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C25DE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B99BCB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3E88E3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BA5C65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1B73EC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DEFB766" w14:textId="77777777">
            <w:pPr>
              <w:pStyle w:val="p-table"/>
              <w:rPr>
                <w:sz w:val="13"/>
                <w:szCs w:val="13"/>
              </w:rPr>
            </w:pPr>
          </w:p>
        </w:tc>
      </w:tr>
      <w:tr w:rsidR="00AE6DE7" w:rsidTr="007433BE" w14:paraId="3FB4D1C8" w14:textId="77777777">
        <w:tc>
          <w:tcPr>
            <w:tcW w:w="800" w:type="pct"/>
            <w:tcBorders>
              <w:bottom w:val="single" w:color="009EE0" w:sz="2" w:space="0"/>
            </w:tcBorders>
            <w:tcMar>
              <w:top w:w="22" w:type="dxa"/>
              <w:bottom w:w="22" w:type="dxa"/>
              <w:right w:w="28" w:type="dxa"/>
            </w:tcMar>
          </w:tcPr>
          <w:p w:rsidRPr="006F2FC4" w:rsidR="00AE6DE7" w:rsidP="00DC031D" w:rsidRDefault="00AE6DE7" w14:paraId="47437AAA" w14:textId="77777777">
            <w:pPr>
              <w:pStyle w:val="p-table"/>
              <w:rPr>
                <w:sz w:val="13"/>
                <w:szCs w:val="13"/>
              </w:rPr>
            </w:pPr>
            <w:r w:rsidRPr="006F2FC4">
              <w:rPr>
                <w:b/>
                <w:sz w:val="13"/>
                <w:szCs w:val="13"/>
              </w:rPr>
              <w:t>Bijdrage aan (inter-)nationale organisaties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2C59A23" w14:textId="77777777">
            <w:pPr>
              <w:pStyle w:val="p-table"/>
              <w:jc w:val="right"/>
              <w:rPr>
                <w:sz w:val="13"/>
                <w:szCs w:val="13"/>
              </w:rPr>
            </w:pPr>
            <w:r w:rsidRPr="006F2FC4">
              <w:rPr>
                <w:b/>
                <w:sz w:val="13"/>
                <w:szCs w:val="13"/>
              </w:rPr>
              <w:t>3.387</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1B6E40A"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573DBD" w14:textId="77777777">
            <w:pPr>
              <w:pStyle w:val="p-table"/>
              <w:jc w:val="right"/>
              <w:rPr>
                <w:sz w:val="13"/>
                <w:szCs w:val="13"/>
              </w:rPr>
            </w:pPr>
            <w:r w:rsidRPr="006F2FC4">
              <w:rPr>
                <w:b/>
                <w:sz w:val="13"/>
                <w:szCs w:val="13"/>
              </w:rPr>
              <w:t>3.387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DE827A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E45B052" w14:textId="77777777">
            <w:pPr>
              <w:pStyle w:val="p-table"/>
              <w:jc w:val="right"/>
              <w:rPr>
                <w:sz w:val="13"/>
                <w:szCs w:val="13"/>
              </w:rPr>
            </w:pPr>
            <w:r w:rsidRPr="006F2FC4">
              <w:rPr>
                <w:b/>
                <w:sz w:val="13"/>
                <w:szCs w:val="13"/>
              </w:rPr>
              <w:t>3.387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8A097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98EAB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729227"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B5DCA2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821B1F4" w14:textId="77777777">
            <w:pPr>
              <w:pStyle w:val="p-table"/>
              <w:jc w:val="right"/>
              <w:rPr>
                <w:sz w:val="13"/>
                <w:szCs w:val="13"/>
              </w:rPr>
            </w:pPr>
            <w:r w:rsidRPr="006F2FC4">
              <w:rPr>
                <w:b/>
                <w:sz w:val="13"/>
                <w:szCs w:val="13"/>
              </w:rPr>
              <w:t>3.387</w:t>
            </w:r>
          </w:p>
        </w:tc>
      </w:tr>
      <w:tr w:rsidR="00AE6DE7" w:rsidTr="007433BE" w14:paraId="07B74C2E"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6E0AE1D" w14:textId="77777777">
            <w:pPr>
              <w:pStyle w:val="p-table"/>
              <w:rPr>
                <w:sz w:val="13"/>
                <w:szCs w:val="13"/>
              </w:rPr>
            </w:pPr>
            <w:r w:rsidRPr="006F2FC4">
              <w:rPr>
                <w:sz w:val="13"/>
                <w:szCs w:val="13"/>
              </w:rPr>
              <w:t>Internationale Douaneraad</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4845AD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49CB3F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AB0820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07990C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B3DF4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89C7D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5C35DA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2ED1A3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12EF6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A76B981" w14:textId="77777777">
            <w:pPr>
              <w:pStyle w:val="p-table"/>
              <w:jc w:val="right"/>
              <w:rPr>
                <w:sz w:val="13"/>
                <w:szCs w:val="13"/>
              </w:rPr>
            </w:pPr>
            <w:r w:rsidRPr="006F2FC4">
              <w:rPr>
                <w:sz w:val="13"/>
                <w:szCs w:val="13"/>
              </w:rPr>
              <w:t>0</w:t>
            </w:r>
          </w:p>
        </w:tc>
      </w:tr>
      <w:tr w:rsidR="00AE6DE7" w:rsidTr="007433BE" w14:paraId="3247A298"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DF22AAC" w14:textId="77777777">
            <w:pPr>
              <w:pStyle w:val="p-table"/>
              <w:rPr>
                <w:sz w:val="13"/>
                <w:szCs w:val="13"/>
              </w:rPr>
            </w:pPr>
            <w:r w:rsidRPr="006F2FC4">
              <w:rPr>
                <w:sz w:val="13"/>
                <w:szCs w:val="13"/>
              </w:rPr>
              <w:t>Bijdrage overige (inter)nationale organisaties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E5BD788" w14:textId="77777777">
            <w:pPr>
              <w:pStyle w:val="p-table"/>
              <w:jc w:val="right"/>
              <w:rPr>
                <w:sz w:val="13"/>
                <w:szCs w:val="13"/>
              </w:rPr>
            </w:pPr>
            <w:r w:rsidRPr="006F2FC4">
              <w:rPr>
                <w:sz w:val="13"/>
                <w:szCs w:val="13"/>
              </w:rPr>
              <w:t>3.387</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54686E7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561F6F0" w14:textId="77777777">
            <w:pPr>
              <w:pStyle w:val="p-table"/>
              <w:jc w:val="right"/>
              <w:rPr>
                <w:sz w:val="13"/>
                <w:szCs w:val="13"/>
              </w:rPr>
            </w:pPr>
            <w:r w:rsidRPr="006F2FC4">
              <w:rPr>
                <w:sz w:val="13"/>
                <w:szCs w:val="13"/>
              </w:rPr>
              <w:t>3.387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A4B21C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5B281C" w14:textId="77777777">
            <w:pPr>
              <w:pStyle w:val="p-table"/>
              <w:jc w:val="right"/>
              <w:rPr>
                <w:sz w:val="13"/>
                <w:szCs w:val="13"/>
              </w:rPr>
            </w:pPr>
            <w:r w:rsidRPr="006F2FC4">
              <w:rPr>
                <w:sz w:val="13"/>
                <w:szCs w:val="13"/>
              </w:rPr>
              <w:t>3.387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1E6DB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5642AD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ECC9C1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A8D600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CAA7496" w14:textId="77777777">
            <w:pPr>
              <w:pStyle w:val="p-table"/>
              <w:jc w:val="right"/>
              <w:rPr>
                <w:sz w:val="13"/>
                <w:szCs w:val="13"/>
              </w:rPr>
            </w:pPr>
            <w:r w:rsidRPr="006F2FC4">
              <w:rPr>
                <w:sz w:val="13"/>
                <w:szCs w:val="13"/>
              </w:rPr>
              <w:t>3.387</w:t>
            </w:r>
          </w:p>
        </w:tc>
      </w:tr>
      <w:tr w:rsidR="00AE6DE7" w:rsidTr="007433BE" w14:paraId="409D1B77"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1355DB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757F2D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40B198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8DE970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E54924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D7B8F9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8418F9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2E82F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163729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3090B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52D297A" w14:textId="77777777">
            <w:pPr>
              <w:pStyle w:val="p-table"/>
              <w:rPr>
                <w:sz w:val="13"/>
                <w:szCs w:val="13"/>
              </w:rPr>
            </w:pPr>
          </w:p>
        </w:tc>
      </w:tr>
      <w:tr w:rsidR="00AE6DE7" w:rsidTr="007433BE" w14:paraId="611BA9EE"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6337E84" w14:textId="77777777">
            <w:pPr>
              <w:pStyle w:val="p-table"/>
              <w:rPr>
                <w:sz w:val="13"/>
                <w:szCs w:val="13"/>
              </w:rPr>
            </w:pPr>
            <w:r w:rsidRPr="006F2FC4">
              <w:rPr>
                <w:b/>
                <w:sz w:val="13"/>
                <w:szCs w:val="13"/>
              </w:rPr>
              <w:t>Opdrachten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089896F" w14:textId="77777777">
            <w:pPr>
              <w:pStyle w:val="p-table"/>
              <w:jc w:val="right"/>
              <w:rPr>
                <w:sz w:val="13"/>
                <w:szCs w:val="13"/>
              </w:rPr>
            </w:pPr>
            <w:r w:rsidRPr="006F2FC4">
              <w:rPr>
                <w:b/>
                <w:sz w:val="13"/>
                <w:szCs w:val="13"/>
              </w:rPr>
              <w:t>448.612</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176A4E5A"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4CA32B" w14:textId="77777777">
            <w:pPr>
              <w:pStyle w:val="p-table"/>
              <w:jc w:val="right"/>
              <w:rPr>
                <w:sz w:val="13"/>
                <w:szCs w:val="13"/>
              </w:rPr>
            </w:pPr>
            <w:r w:rsidRPr="006F2FC4">
              <w:rPr>
                <w:b/>
                <w:sz w:val="13"/>
                <w:szCs w:val="13"/>
              </w:rPr>
              <w:t>448.612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B1C859B" w14:textId="77777777">
            <w:pPr>
              <w:pStyle w:val="p-table"/>
              <w:jc w:val="right"/>
              <w:rPr>
                <w:sz w:val="13"/>
                <w:szCs w:val="13"/>
              </w:rPr>
            </w:pPr>
            <w:r w:rsidRPr="006F2FC4">
              <w:rPr>
                <w:b/>
                <w:sz w:val="13"/>
                <w:szCs w:val="13"/>
              </w:rPr>
              <w:t>77.389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3E751C" w14:textId="77777777">
            <w:pPr>
              <w:pStyle w:val="p-table"/>
              <w:jc w:val="right"/>
              <w:rPr>
                <w:sz w:val="13"/>
                <w:szCs w:val="13"/>
              </w:rPr>
            </w:pPr>
            <w:r w:rsidRPr="006F2FC4">
              <w:rPr>
                <w:b/>
                <w:sz w:val="13"/>
                <w:szCs w:val="13"/>
              </w:rPr>
              <w:t>526.001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1F78EE" w14:textId="77777777">
            <w:pPr>
              <w:pStyle w:val="p-table"/>
              <w:jc w:val="right"/>
              <w:rPr>
                <w:sz w:val="13"/>
                <w:szCs w:val="13"/>
              </w:rPr>
            </w:pPr>
            <w:r w:rsidRPr="006F2FC4">
              <w:rPr>
                <w:b/>
                <w:sz w:val="13"/>
                <w:szCs w:val="13"/>
              </w:rPr>
              <w:t>75.000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6F206C" w14:textId="77777777">
            <w:pPr>
              <w:pStyle w:val="p-table"/>
              <w:jc w:val="right"/>
              <w:rPr>
                <w:sz w:val="13"/>
                <w:szCs w:val="13"/>
              </w:rPr>
            </w:pPr>
            <w:r w:rsidRPr="006F2FC4">
              <w:rPr>
                <w:b/>
                <w:sz w:val="13"/>
                <w:szCs w:val="13"/>
              </w:rPr>
              <w:t>80.000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3BA088" w14:textId="77777777">
            <w:pPr>
              <w:pStyle w:val="p-table"/>
              <w:jc w:val="right"/>
              <w:rPr>
                <w:sz w:val="13"/>
                <w:szCs w:val="13"/>
              </w:rPr>
            </w:pPr>
            <w:r w:rsidRPr="006F2FC4">
              <w:rPr>
                <w:b/>
                <w:sz w:val="13"/>
                <w:szCs w:val="13"/>
              </w:rPr>
              <w:t>85.000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98A5E50" w14:textId="77777777">
            <w:pPr>
              <w:pStyle w:val="p-table"/>
              <w:jc w:val="right"/>
              <w:rPr>
                <w:sz w:val="13"/>
                <w:szCs w:val="13"/>
              </w:rPr>
            </w:pPr>
            <w:r w:rsidRPr="006F2FC4">
              <w:rPr>
                <w:b/>
                <w:sz w:val="13"/>
                <w:szCs w:val="13"/>
              </w:rPr>
              <w:t>85.000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C512C41" w14:textId="77777777">
            <w:pPr>
              <w:pStyle w:val="p-table"/>
              <w:jc w:val="right"/>
              <w:rPr>
                <w:sz w:val="13"/>
                <w:szCs w:val="13"/>
              </w:rPr>
            </w:pPr>
            <w:r w:rsidRPr="006F2FC4">
              <w:rPr>
                <w:b/>
                <w:sz w:val="13"/>
                <w:szCs w:val="13"/>
              </w:rPr>
              <w:t>467.771</w:t>
            </w:r>
          </w:p>
        </w:tc>
      </w:tr>
      <w:tr w:rsidR="00AE6DE7" w:rsidTr="007433BE" w14:paraId="4D68DDCA"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D52F403" w14:textId="77777777">
            <w:pPr>
              <w:pStyle w:val="p-table"/>
              <w:rPr>
                <w:sz w:val="13"/>
                <w:szCs w:val="13"/>
              </w:rPr>
            </w:pPr>
            <w:r w:rsidRPr="006F2FC4">
              <w:rPr>
                <w:sz w:val="13"/>
                <w:szCs w:val="13"/>
              </w:rPr>
              <w:t>ICT opdrachten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2680E26" w14:textId="77777777">
            <w:pPr>
              <w:pStyle w:val="p-table"/>
              <w:jc w:val="right"/>
              <w:rPr>
                <w:sz w:val="13"/>
                <w:szCs w:val="13"/>
              </w:rPr>
            </w:pPr>
            <w:r w:rsidRPr="006F2FC4">
              <w:rPr>
                <w:sz w:val="13"/>
                <w:szCs w:val="13"/>
              </w:rPr>
              <w:t>379.162</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1CF3B9C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2A9F0B" w14:textId="77777777">
            <w:pPr>
              <w:pStyle w:val="p-table"/>
              <w:jc w:val="right"/>
              <w:rPr>
                <w:sz w:val="13"/>
                <w:szCs w:val="13"/>
              </w:rPr>
            </w:pPr>
            <w:r w:rsidRPr="006F2FC4">
              <w:rPr>
                <w:sz w:val="13"/>
                <w:szCs w:val="13"/>
              </w:rPr>
              <w:t>379.162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7245916" w14:textId="77777777">
            <w:pPr>
              <w:pStyle w:val="p-table"/>
              <w:jc w:val="right"/>
              <w:rPr>
                <w:sz w:val="13"/>
                <w:szCs w:val="13"/>
              </w:rPr>
            </w:pPr>
            <w:r w:rsidRPr="006F2FC4">
              <w:rPr>
                <w:sz w:val="13"/>
                <w:szCs w:val="13"/>
              </w:rPr>
              <w:t>65.159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87A9701" w14:textId="77777777">
            <w:pPr>
              <w:pStyle w:val="p-table"/>
              <w:jc w:val="right"/>
              <w:rPr>
                <w:sz w:val="13"/>
                <w:szCs w:val="13"/>
              </w:rPr>
            </w:pPr>
            <w:r w:rsidRPr="006F2FC4">
              <w:rPr>
                <w:sz w:val="13"/>
                <w:szCs w:val="13"/>
              </w:rPr>
              <w:t>444.321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1FFDE80" w14:textId="77777777">
            <w:pPr>
              <w:pStyle w:val="p-table"/>
              <w:jc w:val="right"/>
              <w:rPr>
                <w:sz w:val="13"/>
                <w:szCs w:val="13"/>
              </w:rPr>
            </w:pPr>
            <w:r w:rsidRPr="006F2FC4">
              <w:rPr>
                <w:sz w:val="13"/>
                <w:szCs w:val="13"/>
              </w:rPr>
              <w:t>75.000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007A5DF" w14:textId="77777777">
            <w:pPr>
              <w:pStyle w:val="p-table"/>
              <w:jc w:val="right"/>
              <w:rPr>
                <w:sz w:val="13"/>
                <w:szCs w:val="13"/>
              </w:rPr>
            </w:pPr>
            <w:r w:rsidRPr="006F2FC4">
              <w:rPr>
                <w:sz w:val="13"/>
                <w:szCs w:val="13"/>
              </w:rPr>
              <w:t>80.000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0733FE3" w14:textId="77777777">
            <w:pPr>
              <w:pStyle w:val="p-table"/>
              <w:jc w:val="right"/>
              <w:rPr>
                <w:sz w:val="13"/>
                <w:szCs w:val="13"/>
              </w:rPr>
            </w:pPr>
            <w:r w:rsidRPr="006F2FC4">
              <w:rPr>
                <w:sz w:val="13"/>
                <w:szCs w:val="13"/>
              </w:rPr>
              <w:t>85.000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66EC9E" w14:textId="77777777">
            <w:pPr>
              <w:pStyle w:val="p-table"/>
              <w:jc w:val="right"/>
              <w:rPr>
                <w:sz w:val="13"/>
                <w:szCs w:val="13"/>
              </w:rPr>
            </w:pPr>
            <w:r w:rsidRPr="006F2FC4">
              <w:rPr>
                <w:sz w:val="13"/>
                <w:szCs w:val="13"/>
              </w:rPr>
              <w:t>85.000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7901455" w14:textId="77777777">
            <w:pPr>
              <w:pStyle w:val="p-table"/>
              <w:jc w:val="right"/>
              <w:rPr>
                <w:sz w:val="13"/>
                <w:szCs w:val="13"/>
              </w:rPr>
            </w:pPr>
            <w:r w:rsidRPr="006F2FC4">
              <w:rPr>
                <w:sz w:val="13"/>
                <w:szCs w:val="13"/>
              </w:rPr>
              <w:t>394.336</w:t>
            </w:r>
          </w:p>
        </w:tc>
      </w:tr>
      <w:tr w:rsidR="00AE6DE7" w:rsidTr="007433BE" w14:paraId="57CBEA52" w14:textId="77777777">
        <w:tc>
          <w:tcPr>
            <w:tcW w:w="800" w:type="pct"/>
            <w:tcBorders>
              <w:bottom w:val="single" w:color="009EE0" w:sz="2" w:space="0"/>
            </w:tcBorders>
            <w:tcMar>
              <w:top w:w="22" w:type="dxa"/>
              <w:bottom w:w="22" w:type="dxa"/>
              <w:right w:w="28" w:type="dxa"/>
            </w:tcMar>
          </w:tcPr>
          <w:p w:rsidRPr="006F2FC4" w:rsidR="00AE6DE7" w:rsidP="00DC031D" w:rsidRDefault="00AE6DE7" w14:paraId="4B117136" w14:textId="77777777">
            <w:pPr>
              <w:pStyle w:val="p-table"/>
              <w:rPr>
                <w:sz w:val="13"/>
                <w:szCs w:val="13"/>
              </w:rPr>
            </w:pPr>
            <w:r w:rsidRPr="006F2FC4">
              <w:rPr>
                <w:sz w:val="13"/>
                <w:szCs w:val="13"/>
              </w:rPr>
              <w:t>Overige opdrachten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73114DB" w14:textId="77777777">
            <w:pPr>
              <w:pStyle w:val="p-table"/>
              <w:jc w:val="right"/>
              <w:rPr>
                <w:sz w:val="13"/>
                <w:szCs w:val="13"/>
              </w:rPr>
            </w:pPr>
            <w:r w:rsidRPr="006F2FC4">
              <w:rPr>
                <w:sz w:val="13"/>
                <w:szCs w:val="13"/>
              </w:rPr>
              <w:t>69.450</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30FA198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5B16520" w14:textId="77777777">
            <w:pPr>
              <w:pStyle w:val="p-table"/>
              <w:jc w:val="right"/>
              <w:rPr>
                <w:sz w:val="13"/>
                <w:szCs w:val="13"/>
              </w:rPr>
            </w:pPr>
            <w:r w:rsidRPr="006F2FC4">
              <w:rPr>
                <w:sz w:val="13"/>
                <w:szCs w:val="13"/>
              </w:rPr>
              <w:t>69.450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1812863" w14:textId="77777777">
            <w:pPr>
              <w:pStyle w:val="p-table"/>
              <w:jc w:val="right"/>
              <w:rPr>
                <w:sz w:val="13"/>
                <w:szCs w:val="13"/>
              </w:rPr>
            </w:pPr>
            <w:r w:rsidRPr="006F2FC4">
              <w:rPr>
                <w:sz w:val="13"/>
                <w:szCs w:val="13"/>
              </w:rPr>
              <w:t>12.230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2F71470" w14:textId="77777777">
            <w:pPr>
              <w:pStyle w:val="p-table"/>
              <w:jc w:val="right"/>
              <w:rPr>
                <w:sz w:val="13"/>
                <w:szCs w:val="13"/>
              </w:rPr>
            </w:pPr>
            <w:r w:rsidRPr="006F2FC4">
              <w:rPr>
                <w:sz w:val="13"/>
                <w:szCs w:val="13"/>
              </w:rPr>
              <w:t>81.680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BD7E88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50142B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C682F4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3EAB2B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D74DAE" w14:textId="77777777">
            <w:pPr>
              <w:pStyle w:val="p-table"/>
              <w:jc w:val="right"/>
              <w:rPr>
                <w:sz w:val="13"/>
                <w:szCs w:val="13"/>
              </w:rPr>
            </w:pPr>
            <w:r w:rsidRPr="006F2FC4">
              <w:rPr>
                <w:sz w:val="13"/>
                <w:szCs w:val="13"/>
              </w:rPr>
              <w:t>73.435</w:t>
            </w:r>
          </w:p>
        </w:tc>
      </w:tr>
      <w:tr w:rsidR="00AE6DE7" w:rsidTr="007433BE" w14:paraId="1EE10577" w14:textId="77777777">
        <w:tc>
          <w:tcPr>
            <w:tcW w:w="800" w:type="pct"/>
            <w:tcBorders>
              <w:bottom w:val="single" w:color="009EE0" w:sz="2" w:space="0"/>
            </w:tcBorders>
            <w:tcMar>
              <w:top w:w="22" w:type="dxa"/>
              <w:bottom w:w="22" w:type="dxa"/>
              <w:right w:w="28" w:type="dxa"/>
            </w:tcMar>
          </w:tcPr>
          <w:p w:rsidRPr="006F2FC4" w:rsidR="00AE6DE7" w:rsidP="00DC031D" w:rsidRDefault="00AE6DE7" w14:paraId="44E92B0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2459D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4D97BD6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14A4E5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AAC60B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206D85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BA5901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95951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84E81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7C9CE8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049550" w14:textId="77777777">
            <w:pPr>
              <w:pStyle w:val="p-table"/>
              <w:rPr>
                <w:sz w:val="13"/>
                <w:szCs w:val="13"/>
              </w:rPr>
            </w:pPr>
          </w:p>
        </w:tc>
      </w:tr>
      <w:tr w:rsidR="00AE6DE7" w:rsidTr="007433BE" w14:paraId="09E76F3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399B732F" w14:textId="77777777">
            <w:pPr>
              <w:pStyle w:val="p-table"/>
              <w:rPr>
                <w:sz w:val="13"/>
                <w:szCs w:val="13"/>
              </w:rPr>
            </w:pPr>
            <w:r w:rsidRPr="006F2FC4">
              <w:rPr>
                <w:b/>
                <w:sz w:val="13"/>
                <w:szCs w:val="13"/>
              </w:rPr>
              <w:t>Bijdrage aan agentschappen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B9E9A75" w14:textId="77777777">
            <w:pPr>
              <w:pStyle w:val="p-table"/>
              <w:jc w:val="right"/>
              <w:rPr>
                <w:sz w:val="13"/>
                <w:szCs w:val="13"/>
              </w:rPr>
            </w:pPr>
            <w:r w:rsidRPr="006F2FC4">
              <w:rPr>
                <w:b/>
                <w:sz w:val="13"/>
                <w:szCs w:val="13"/>
              </w:rPr>
              <w:t>12.877</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E983FD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1D4E914" w14:textId="77777777">
            <w:pPr>
              <w:pStyle w:val="p-table"/>
              <w:jc w:val="right"/>
              <w:rPr>
                <w:sz w:val="13"/>
                <w:szCs w:val="13"/>
              </w:rPr>
            </w:pPr>
            <w:r w:rsidRPr="006F2FC4">
              <w:rPr>
                <w:b/>
                <w:sz w:val="13"/>
                <w:szCs w:val="13"/>
              </w:rPr>
              <w:t>12.877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FFE67EC" w14:textId="77777777">
            <w:pPr>
              <w:pStyle w:val="p-table"/>
              <w:jc w:val="right"/>
              <w:rPr>
                <w:sz w:val="13"/>
                <w:szCs w:val="13"/>
              </w:rPr>
            </w:pPr>
            <w:r w:rsidRPr="006F2FC4">
              <w:rPr>
                <w:b/>
                <w:sz w:val="13"/>
                <w:szCs w:val="13"/>
              </w:rPr>
              <w:t>‒ 2.500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E5C9C2" w14:textId="77777777">
            <w:pPr>
              <w:pStyle w:val="p-table"/>
              <w:jc w:val="right"/>
              <w:rPr>
                <w:sz w:val="13"/>
                <w:szCs w:val="13"/>
              </w:rPr>
            </w:pPr>
            <w:r w:rsidRPr="006F2FC4">
              <w:rPr>
                <w:b/>
                <w:sz w:val="13"/>
                <w:szCs w:val="13"/>
              </w:rPr>
              <w:t>10.377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37A0F96" w14:textId="77777777">
            <w:pPr>
              <w:pStyle w:val="p-table"/>
              <w:jc w:val="right"/>
              <w:rPr>
                <w:sz w:val="13"/>
                <w:szCs w:val="13"/>
              </w:rPr>
            </w:pPr>
            <w:r w:rsidRPr="006F2FC4">
              <w:rPr>
                <w:b/>
                <w:sz w:val="13"/>
                <w:szCs w:val="13"/>
              </w:rPr>
              <w:t>‒ 3.074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CB4CDDA" w14:textId="77777777">
            <w:pPr>
              <w:pStyle w:val="p-table"/>
              <w:jc w:val="right"/>
              <w:rPr>
                <w:sz w:val="13"/>
                <w:szCs w:val="13"/>
              </w:rPr>
            </w:pPr>
            <w:r w:rsidRPr="006F2FC4">
              <w:rPr>
                <w:b/>
                <w:sz w:val="13"/>
                <w:szCs w:val="13"/>
              </w:rPr>
              <w:t>‒ 3.150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49EE4D" w14:textId="77777777">
            <w:pPr>
              <w:pStyle w:val="p-table"/>
              <w:jc w:val="right"/>
              <w:rPr>
                <w:sz w:val="13"/>
                <w:szCs w:val="13"/>
              </w:rPr>
            </w:pPr>
            <w:r w:rsidRPr="006F2FC4">
              <w:rPr>
                <w:b/>
                <w:sz w:val="13"/>
                <w:szCs w:val="13"/>
              </w:rPr>
              <w:t>‒ 2.989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247CC1A" w14:textId="77777777">
            <w:pPr>
              <w:pStyle w:val="p-table"/>
              <w:jc w:val="right"/>
              <w:rPr>
                <w:sz w:val="13"/>
                <w:szCs w:val="13"/>
              </w:rPr>
            </w:pPr>
            <w:r w:rsidRPr="006F2FC4">
              <w:rPr>
                <w:b/>
                <w:sz w:val="13"/>
                <w:szCs w:val="13"/>
              </w:rPr>
              <w:t>‒ 3.461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6DC9E7" w14:textId="77777777">
            <w:pPr>
              <w:pStyle w:val="p-table"/>
              <w:jc w:val="right"/>
              <w:rPr>
                <w:sz w:val="13"/>
                <w:szCs w:val="13"/>
              </w:rPr>
            </w:pPr>
            <w:r w:rsidRPr="006F2FC4">
              <w:rPr>
                <w:b/>
                <w:sz w:val="13"/>
                <w:szCs w:val="13"/>
              </w:rPr>
              <w:t>9.416</w:t>
            </w:r>
          </w:p>
        </w:tc>
      </w:tr>
    </w:tbl>
    <w:p w:rsidR="001A41B9" w:rsidRDefault="001A41B9" w14:paraId="6523C0D8" w14:textId="77777777">
      <w:r>
        <w:br w:type="page"/>
      </w:r>
    </w:p>
    <w:tbl>
      <w:tblPr>
        <w:tblW w:w="5000" w:type="pct"/>
        <w:tblCellMar>
          <w:left w:w="10" w:type="dxa"/>
          <w:right w:w="10" w:type="dxa"/>
        </w:tblCellMar>
        <w:tblLook w:val="0000" w:firstRow="0" w:lastRow="0" w:firstColumn="0" w:lastColumn="0" w:noHBand="0" w:noVBand="0"/>
      </w:tblPr>
      <w:tblGrid>
        <w:gridCol w:w="1546"/>
        <w:gridCol w:w="821"/>
        <w:gridCol w:w="724"/>
        <w:gridCol w:w="821"/>
        <w:gridCol w:w="822"/>
        <w:gridCol w:w="822"/>
        <w:gridCol w:w="822"/>
        <w:gridCol w:w="822"/>
        <w:gridCol w:w="822"/>
        <w:gridCol w:w="822"/>
        <w:gridCol w:w="822"/>
      </w:tblGrid>
      <w:tr w:rsidR="001A41B9" w:rsidTr="007433BE" w14:paraId="1F79415F" w14:textId="77777777">
        <w:tc>
          <w:tcPr>
            <w:tcW w:w="800" w:type="pct"/>
            <w:tcBorders>
              <w:top w:val="single" w:color="auto" w:sz="4" w:space="0"/>
              <w:bottom w:val="single" w:color="009EE0" w:sz="2" w:space="0"/>
            </w:tcBorders>
            <w:tcMar>
              <w:top w:w="22" w:type="dxa"/>
              <w:bottom w:w="22" w:type="dxa"/>
              <w:right w:w="28" w:type="dxa"/>
            </w:tcMar>
          </w:tcPr>
          <w:p w:rsidRPr="006F2FC4" w:rsidR="001A41B9" w:rsidP="001A41B9" w:rsidRDefault="001A41B9" w14:paraId="1E0FC1FE" w14:textId="73368A35">
            <w:pPr>
              <w:pStyle w:val="p-table"/>
              <w:rPr>
                <w:sz w:val="13"/>
                <w:szCs w:val="13"/>
              </w:rPr>
            </w:pPr>
            <w:r w:rsidRPr="001A41B9">
              <w:rPr>
                <w:sz w:val="13"/>
                <w:szCs w:val="13"/>
              </w:rPr>
              <w:lastRenderedPageBreak/>
              <w:t>Omschrijving</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5D9200E4" w14:textId="0E61182E">
            <w:pPr>
              <w:pStyle w:val="p-table"/>
              <w:jc w:val="right"/>
              <w:rPr>
                <w:sz w:val="13"/>
                <w:szCs w:val="13"/>
              </w:rPr>
            </w:pPr>
            <w:r w:rsidRPr="001A41B9">
              <w:rPr>
                <w:sz w:val="13"/>
                <w:szCs w:val="13"/>
              </w:rPr>
              <w:t>Ontwerpbegroting 2026 (1)</w:t>
            </w:r>
          </w:p>
        </w:tc>
        <w:tc>
          <w:tcPr>
            <w:tcW w:w="37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45391FF1" w14:textId="3DE9592E">
            <w:pPr>
              <w:pStyle w:val="p-table"/>
              <w:jc w:val="right"/>
              <w:rPr>
                <w:sz w:val="13"/>
                <w:szCs w:val="13"/>
              </w:rPr>
            </w:pPr>
            <w:r w:rsidRPr="001A41B9">
              <w:rPr>
                <w:sz w:val="13"/>
                <w:szCs w:val="13"/>
              </w:rPr>
              <w:t>Mutaties via NvW, moties, amendementen en ISB (2)</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3B8B36B8" w14:textId="3C0F0397">
            <w:pPr>
              <w:pStyle w:val="p-table"/>
              <w:jc w:val="right"/>
              <w:rPr>
                <w:sz w:val="13"/>
                <w:szCs w:val="13"/>
              </w:rPr>
            </w:pPr>
            <w:r w:rsidRPr="001A41B9">
              <w:rPr>
                <w:sz w:val="13"/>
                <w:szCs w:val="13"/>
              </w:rPr>
              <w:t>Vastgestelde begroting 2026 (3)=(1)+(2)</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66BF0656" w14:textId="27099571">
            <w:pPr>
              <w:pStyle w:val="p-table"/>
              <w:jc w:val="right"/>
              <w:rPr>
                <w:sz w:val="13"/>
                <w:szCs w:val="13"/>
              </w:rPr>
            </w:pPr>
            <w:r w:rsidRPr="001A41B9">
              <w:rPr>
                <w:sz w:val="13"/>
                <w:szCs w:val="13"/>
              </w:rPr>
              <w:t>Mutaties 1e suppletoire begroting (4)</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4962F4BF" w14:textId="35B6E4DF">
            <w:pPr>
              <w:pStyle w:val="p-table"/>
              <w:jc w:val="right"/>
              <w:rPr>
                <w:sz w:val="13"/>
                <w:szCs w:val="13"/>
              </w:rPr>
            </w:pPr>
            <w:r w:rsidRPr="001A41B9">
              <w:rPr>
                <w:sz w:val="13"/>
                <w:szCs w:val="13"/>
              </w:rPr>
              <w:t>Stand 1e suppletoire begroting (5)=(3)+(4)</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7454259D" w14:textId="44770A2A">
            <w:pPr>
              <w:pStyle w:val="p-table"/>
              <w:jc w:val="right"/>
              <w:rPr>
                <w:sz w:val="13"/>
                <w:szCs w:val="13"/>
              </w:rPr>
            </w:pPr>
            <w:r w:rsidRPr="001A41B9">
              <w:rPr>
                <w:sz w:val="13"/>
                <w:szCs w:val="13"/>
              </w:rPr>
              <w:t>Mutatie 2027</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5B33FD42" w14:textId="25CDCE38">
            <w:pPr>
              <w:pStyle w:val="p-table"/>
              <w:jc w:val="right"/>
              <w:rPr>
                <w:sz w:val="13"/>
                <w:szCs w:val="13"/>
              </w:rPr>
            </w:pPr>
            <w:r w:rsidRPr="001A41B9">
              <w:rPr>
                <w:sz w:val="13"/>
                <w:szCs w:val="13"/>
              </w:rPr>
              <w:t>Mutatie 2028</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7487A550" w14:textId="636CEF77">
            <w:pPr>
              <w:pStyle w:val="p-table"/>
              <w:jc w:val="right"/>
              <w:rPr>
                <w:sz w:val="13"/>
                <w:szCs w:val="13"/>
              </w:rPr>
            </w:pPr>
            <w:r w:rsidRPr="001A41B9">
              <w:rPr>
                <w:sz w:val="13"/>
                <w:szCs w:val="13"/>
              </w:rPr>
              <w:t>Mutatie 2029</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12DDF430" w14:textId="652BA01D">
            <w:pPr>
              <w:pStyle w:val="p-table"/>
              <w:jc w:val="right"/>
              <w:rPr>
                <w:sz w:val="13"/>
                <w:szCs w:val="13"/>
              </w:rPr>
            </w:pPr>
            <w:r w:rsidRPr="001A41B9">
              <w:rPr>
                <w:sz w:val="13"/>
                <w:szCs w:val="13"/>
              </w:rPr>
              <w:t>Mutatie 2030</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67ED8E4E" w14:textId="55AA6A5A">
            <w:pPr>
              <w:pStyle w:val="p-table"/>
              <w:jc w:val="right"/>
              <w:rPr>
                <w:sz w:val="13"/>
                <w:szCs w:val="13"/>
              </w:rPr>
            </w:pPr>
            <w:r w:rsidRPr="001A41B9">
              <w:rPr>
                <w:sz w:val="13"/>
                <w:szCs w:val="13"/>
              </w:rPr>
              <w:t>Mutatie 2031</w:t>
            </w:r>
          </w:p>
        </w:tc>
      </w:tr>
      <w:tr w:rsidR="001A41B9" w:rsidTr="007433BE" w14:paraId="34DACAC0"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EA1A78F" w14:textId="212A0C3A">
            <w:pPr>
              <w:pStyle w:val="p-table"/>
              <w:rPr>
                <w:sz w:val="13"/>
                <w:szCs w:val="13"/>
              </w:rPr>
            </w:pPr>
            <w:r w:rsidRPr="006F2FC4">
              <w:rPr>
                <w:sz w:val="13"/>
                <w:szCs w:val="13"/>
              </w:rPr>
              <w:t xml:space="preserve">Bijdrage </w:t>
            </w:r>
            <w:proofErr w:type="spellStart"/>
            <w:r w:rsidRPr="006F2FC4">
              <w:rPr>
                <w:sz w:val="13"/>
                <w:szCs w:val="13"/>
              </w:rPr>
              <w:t>Logius</w:t>
            </w:r>
            <w:proofErr w:type="spellEnd"/>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AA5DCFB" w14:textId="77777777">
            <w:pPr>
              <w:pStyle w:val="p-table"/>
              <w:jc w:val="right"/>
              <w:rPr>
                <w:sz w:val="13"/>
                <w:szCs w:val="13"/>
              </w:rPr>
            </w:pPr>
            <w:r w:rsidRPr="006F2FC4">
              <w:rPr>
                <w:sz w:val="13"/>
                <w:szCs w:val="13"/>
              </w:rPr>
              <w:t>7.275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81B86A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30AF14B" w14:textId="77777777">
            <w:pPr>
              <w:pStyle w:val="p-table"/>
              <w:jc w:val="right"/>
              <w:rPr>
                <w:sz w:val="13"/>
                <w:szCs w:val="13"/>
              </w:rPr>
            </w:pPr>
            <w:r w:rsidRPr="006F2FC4">
              <w:rPr>
                <w:sz w:val="13"/>
                <w:szCs w:val="13"/>
              </w:rPr>
              <w:t>7.275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5D79EB0" w14:textId="77777777">
            <w:pPr>
              <w:pStyle w:val="p-table"/>
              <w:jc w:val="right"/>
              <w:rPr>
                <w:sz w:val="13"/>
                <w:szCs w:val="13"/>
              </w:rPr>
            </w:pPr>
            <w:r w:rsidRPr="006F2FC4">
              <w:rPr>
                <w:sz w:val="13"/>
                <w:szCs w:val="13"/>
              </w:rPr>
              <w:t>‒ 5.500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BEFBAFA" w14:textId="77777777">
            <w:pPr>
              <w:pStyle w:val="p-table"/>
              <w:jc w:val="right"/>
              <w:rPr>
                <w:sz w:val="13"/>
                <w:szCs w:val="13"/>
              </w:rPr>
            </w:pPr>
            <w:r w:rsidRPr="006F2FC4">
              <w:rPr>
                <w:sz w:val="13"/>
                <w:szCs w:val="13"/>
              </w:rPr>
              <w:t>1.775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6E4D805" w14:textId="77777777">
            <w:pPr>
              <w:pStyle w:val="p-table"/>
              <w:jc w:val="right"/>
              <w:rPr>
                <w:sz w:val="13"/>
                <w:szCs w:val="13"/>
              </w:rPr>
            </w:pPr>
            <w:r w:rsidRPr="006F2FC4">
              <w:rPr>
                <w:sz w:val="13"/>
                <w:szCs w:val="13"/>
              </w:rPr>
              <w:t>‒ 6.042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440116F" w14:textId="77777777">
            <w:pPr>
              <w:pStyle w:val="p-table"/>
              <w:jc w:val="right"/>
              <w:rPr>
                <w:sz w:val="13"/>
                <w:szCs w:val="13"/>
              </w:rPr>
            </w:pPr>
            <w:r w:rsidRPr="006F2FC4">
              <w:rPr>
                <w:sz w:val="13"/>
                <w:szCs w:val="13"/>
              </w:rPr>
              <w:t>‒ 6.085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8E98C17" w14:textId="77777777">
            <w:pPr>
              <w:pStyle w:val="p-table"/>
              <w:jc w:val="right"/>
              <w:rPr>
                <w:sz w:val="13"/>
                <w:szCs w:val="13"/>
              </w:rPr>
            </w:pPr>
            <w:r w:rsidRPr="006F2FC4">
              <w:rPr>
                <w:sz w:val="13"/>
                <w:szCs w:val="13"/>
              </w:rPr>
              <w:t>‒ 5.776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2B0341C" w14:textId="77777777">
            <w:pPr>
              <w:pStyle w:val="p-table"/>
              <w:jc w:val="right"/>
              <w:rPr>
                <w:sz w:val="13"/>
                <w:szCs w:val="13"/>
              </w:rPr>
            </w:pPr>
            <w:r w:rsidRPr="006F2FC4">
              <w:rPr>
                <w:sz w:val="13"/>
                <w:szCs w:val="13"/>
              </w:rPr>
              <w:t>‒ 6.043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CCBE345" w14:textId="77777777">
            <w:pPr>
              <w:pStyle w:val="p-table"/>
              <w:jc w:val="right"/>
              <w:rPr>
                <w:sz w:val="13"/>
                <w:szCs w:val="13"/>
              </w:rPr>
            </w:pPr>
            <w:r w:rsidRPr="006F2FC4">
              <w:rPr>
                <w:sz w:val="13"/>
                <w:szCs w:val="13"/>
              </w:rPr>
              <w:t>1.232</w:t>
            </w:r>
          </w:p>
        </w:tc>
      </w:tr>
      <w:tr w:rsidR="001A41B9" w:rsidTr="007433BE" w14:paraId="557D997F" w14:textId="77777777">
        <w:tc>
          <w:tcPr>
            <w:tcW w:w="800" w:type="pct"/>
            <w:tcBorders>
              <w:bottom w:val="single" w:color="009EE0" w:sz="2" w:space="0"/>
            </w:tcBorders>
            <w:tcMar>
              <w:top w:w="22" w:type="dxa"/>
              <w:bottom w:w="22" w:type="dxa"/>
              <w:right w:w="28" w:type="dxa"/>
            </w:tcMar>
          </w:tcPr>
          <w:p w:rsidRPr="006F2FC4" w:rsidR="001A41B9" w:rsidP="001A41B9" w:rsidRDefault="001A41B9" w14:paraId="48A0E4D1" w14:textId="77777777">
            <w:pPr>
              <w:pStyle w:val="p-table"/>
              <w:rPr>
                <w:sz w:val="13"/>
                <w:szCs w:val="13"/>
              </w:rPr>
            </w:pPr>
            <w:r w:rsidRPr="006F2FC4">
              <w:rPr>
                <w:sz w:val="13"/>
                <w:szCs w:val="13"/>
              </w:rPr>
              <w:t>Bijdrage overige agentschappen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F770130" w14:textId="77777777">
            <w:pPr>
              <w:pStyle w:val="p-table"/>
              <w:jc w:val="right"/>
              <w:rPr>
                <w:sz w:val="13"/>
                <w:szCs w:val="13"/>
              </w:rPr>
            </w:pPr>
            <w:r w:rsidRPr="006F2FC4">
              <w:rPr>
                <w:sz w:val="13"/>
                <w:szCs w:val="13"/>
              </w:rPr>
              <w:t>5.602</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375716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B8CEDAF" w14:textId="77777777">
            <w:pPr>
              <w:pStyle w:val="p-table"/>
              <w:jc w:val="right"/>
              <w:rPr>
                <w:sz w:val="13"/>
                <w:szCs w:val="13"/>
              </w:rPr>
            </w:pPr>
            <w:r w:rsidRPr="006F2FC4">
              <w:rPr>
                <w:sz w:val="13"/>
                <w:szCs w:val="13"/>
              </w:rPr>
              <w:t>5.602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874E47" w14:textId="77777777">
            <w:pPr>
              <w:pStyle w:val="p-table"/>
              <w:jc w:val="right"/>
              <w:rPr>
                <w:sz w:val="13"/>
                <w:szCs w:val="13"/>
              </w:rPr>
            </w:pPr>
            <w:r w:rsidRPr="006F2FC4">
              <w:rPr>
                <w:sz w:val="13"/>
                <w:szCs w:val="13"/>
              </w:rPr>
              <w:t>3.000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9D2F5CD" w14:textId="77777777">
            <w:pPr>
              <w:pStyle w:val="p-table"/>
              <w:jc w:val="right"/>
              <w:rPr>
                <w:sz w:val="13"/>
                <w:szCs w:val="13"/>
              </w:rPr>
            </w:pPr>
            <w:r w:rsidRPr="006F2FC4">
              <w:rPr>
                <w:sz w:val="13"/>
                <w:szCs w:val="13"/>
              </w:rPr>
              <w:t>8.602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D2C848E" w14:textId="77777777">
            <w:pPr>
              <w:pStyle w:val="p-table"/>
              <w:jc w:val="right"/>
              <w:rPr>
                <w:sz w:val="13"/>
                <w:szCs w:val="13"/>
              </w:rPr>
            </w:pPr>
            <w:r w:rsidRPr="006F2FC4">
              <w:rPr>
                <w:sz w:val="13"/>
                <w:szCs w:val="13"/>
              </w:rPr>
              <w:t>2.968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FE5EF36" w14:textId="77777777">
            <w:pPr>
              <w:pStyle w:val="p-table"/>
              <w:jc w:val="right"/>
              <w:rPr>
                <w:sz w:val="13"/>
                <w:szCs w:val="13"/>
              </w:rPr>
            </w:pPr>
            <w:r w:rsidRPr="006F2FC4">
              <w:rPr>
                <w:sz w:val="13"/>
                <w:szCs w:val="13"/>
              </w:rPr>
              <w:t>2.935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316CA3A" w14:textId="77777777">
            <w:pPr>
              <w:pStyle w:val="p-table"/>
              <w:jc w:val="right"/>
              <w:rPr>
                <w:sz w:val="13"/>
                <w:szCs w:val="13"/>
              </w:rPr>
            </w:pPr>
            <w:r w:rsidRPr="006F2FC4">
              <w:rPr>
                <w:sz w:val="13"/>
                <w:szCs w:val="13"/>
              </w:rPr>
              <w:t>2.787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C58E437" w14:textId="77777777">
            <w:pPr>
              <w:pStyle w:val="p-table"/>
              <w:jc w:val="right"/>
              <w:rPr>
                <w:sz w:val="13"/>
                <w:szCs w:val="13"/>
              </w:rPr>
            </w:pPr>
            <w:r w:rsidRPr="006F2FC4">
              <w:rPr>
                <w:sz w:val="13"/>
                <w:szCs w:val="13"/>
              </w:rPr>
              <w:t>2.582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9380751" w14:textId="77777777">
            <w:pPr>
              <w:pStyle w:val="p-table"/>
              <w:jc w:val="right"/>
              <w:rPr>
                <w:sz w:val="13"/>
                <w:szCs w:val="13"/>
              </w:rPr>
            </w:pPr>
            <w:r w:rsidRPr="006F2FC4">
              <w:rPr>
                <w:sz w:val="13"/>
                <w:szCs w:val="13"/>
              </w:rPr>
              <w:t>8.184</w:t>
            </w:r>
          </w:p>
        </w:tc>
      </w:tr>
      <w:tr w:rsidR="001A41B9" w:rsidTr="007433BE" w14:paraId="65F4002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4E768CA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4FDE11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0AB2139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CA5691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0BD287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3C53A6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05EB34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C114CB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EB7F33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1FAB2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990E027" w14:textId="77777777">
            <w:pPr>
              <w:pStyle w:val="p-table"/>
              <w:rPr>
                <w:sz w:val="13"/>
                <w:szCs w:val="13"/>
              </w:rPr>
            </w:pPr>
          </w:p>
        </w:tc>
      </w:tr>
      <w:tr w:rsidR="001A41B9" w:rsidTr="007433BE" w14:paraId="74BBA18A"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CB7872D" w14:textId="77777777">
            <w:pPr>
              <w:pStyle w:val="p-table"/>
              <w:rPr>
                <w:sz w:val="13"/>
                <w:szCs w:val="13"/>
              </w:rPr>
            </w:pPr>
            <w:r w:rsidRPr="006F2FC4">
              <w:rPr>
                <w:b/>
                <w:sz w:val="13"/>
                <w:szCs w:val="13"/>
              </w:rPr>
              <w:t>(Schade)vergoeding</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7C9B878" w14:textId="77777777">
            <w:pPr>
              <w:pStyle w:val="p-table"/>
              <w:jc w:val="right"/>
              <w:rPr>
                <w:sz w:val="13"/>
                <w:szCs w:val="13"/>
              </w:rPr>
            </w:pPr>
            <w:r w:rsidRPr="006F2FC4">
              <w:rPr>
                <w:b/>
                <w:sz w:val="13"/>
                <w:szCs w:val="13"/>
              </w:rPr>
              <w:t>15.950</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0B69561"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78D9682" w14:textId="77777777">
            <w:pPr>
              <w:pStyle w:val="p-table"/>
              <w:jc w:val="right"/>
              <w:rPr>
                <w:sz w:val="13"/>
                <w:szCs w:val="13"/>
              </w:rPr>
            </w:pPr>
            <w:r w:rsidRPr="006F2FC4">
              <w:rPr>
                <w:b/>
                <w:sz w:val="13"/>
                <w:szCs w:val="13"/>
              </w:rPr>
              <w:t>15.950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DD3E51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509C5AD" w14:textId="77777777">
            <w:pPr>
              <w:pStyle w:val="p-table"/>
              <w:jc w:val="right"/>
              <w:rPr>
                <w:sz w:val="13"/>
                <w:szCs w:val="13"/>
              </w:rPr>
            </w:pPr>
            <w:r w:rsidRPr="006F2FC4">
              <w:rPr>
                <w:b/>
                <w:sz w:val="13"/>
                <w:szCs w:val="13"/>
              </w:rPr>
              <w:t>15.950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2F181F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61303B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283804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9DC8E4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D4B81B4" w14:textId="77777777">
            <w:pPr>
              <w:pStyle w:val="p-table"/>
              <w:jc w:val="right"/>
              <w:rPr>
                <w:sz w:val="13"/>
                <w:szCs w:val="13"/>
              </w:rPr>
            </w:pPr>
            <w:r w:rsidRPr="006F2FC4">
              <w:rPr>
                <w:b/>
                <w:sz w:val="13"/>
                <w:szCs w:val="13"/>
              </w:rPr>
              <w:t>5.950</w:t>
            </w:r>
          </w:p>
        </w:tc>
      </w:tr>
      <w:tr w:rsidR="001A41B9" w:rsidTr="007433BE" w14:paraId="6F7CCCFE"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D313274" w14:textId="77777777">
            <w:pPr>
              <w:pStyle w:val="p-table"/>
              <w:rPr>
                <w:sz w:val="13"/>
                <w:szCs w:val="13"/>
              </w:rPr>
            </w:pPr>
            <w:r w:rsidRPr="006F2FC4">
              <w:rPr>
                <w:sz w:val="13"/>
                <w:szCs w:val="13"/>
              </w:rPr>
              <w:t>(Schade)vergoedingen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36967C7" w14:textId="77777777">
            <w:pPr>
              <w:pStyle w:val="p-table"/>
              <w:jc w:val="right"/>
              <w:rPr>
                <w:sz w:val="13"/>
                <w:szCs w:val="13"/>
              </w:rPr>
            </w:pPr>
            <w:r w:rsidRPr="006F2FC4">
              <w:rPr>
                <w:sz w:val="13"/>
                <w:szCs w:val="13"/>
              </w:rPr>
              <w:t>12.558</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DBF1CC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7BEDB52" w14:textId="77777777">
            <w:pPr>
              <w:pStyle w:val="p-table"/>
              <w:jc w:val="right"/>
              <w:rPr>
                <w:sz w:val="13"/>
                <w:szCs w:val="13"/>
              </w:rPr>
            </w:pPr>
            <w:r w:rsidRPr="006F2FC4">
              <w:rPr>
                <w:sz w:val="13"/>
                <w:szCs w:val="13"/>
              </w:rPr>
              <w:t>12.558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FF0D65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55CBE78" w14:textId="77777777">
            <w:pPr>
              <w:pStyle w:val="p-table"/>
              <w:jc w:val="right"/>
              <w:rPr>
                <w:sz w:val="13"/>
                <w:szCs w:val="13"/>
              </w:rPr>
            </w:pPr>
            <w:r w:rsidRPr="006F2FC4">
              <w:rPr>
                <w:sz w:val="13"/>
                <w:szCs w:val="13"/>
              </w:rPr>
              <w:t>12.558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203F82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D52F19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20BF5E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E5254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4D44C37" w14:textId="77777777">
            <w:pPr>
              <w:pStyle w:val="p-table"/>
              <w:jc w:val="right"/>
              <w:rPr>
                <w:sz w:val="13"/>
                <w:szCs w:val="13"/>
              </w:rPr>
            </w:pPr>
            <w:r w:rsidRPr="006F2FC4">
              <w:rPr>
                <w:sz w:val="13"/>
                <w:szCs w:val="13"/>
              </w:rPr>
              <w:t>2.558</w:t>
            </w:r>
          </w:p>
        </w:tc>
      </w:tr>
      <w:tr w:rsidR="001A41B9" w:rsidTr="007433BE" w14:paraId="17DBE28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1D12582" w14:textId="77777777">
            <w:pPr>
              <w:pStyle w:val="p-table"/>
              <w:rPr>
                <w:sz w:val="13"/>
                <w:szCs w:val="13"/>
              </w:rPr>
            </w:pPr>
            <w:r w:rsidRPr="006F2FC4">
              <w:rPr>
                <w:sz w:val="13"/>
                <w:szCs w:val="13"/>
              </w:rPr>
              <w:t>Vergoeding proceskosten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F98C22B" w14:textId="77777777">
            <w:pPr>
              <w:pStyle w:val="p-table"/>
              <w:jc w:val="right"/>
              <w:rPr>
                <w:sz w:val="13"/>
                <w:szCs w:val="13"/>
              </w:rPr>
            </w:pPr>
            <w:r w:rsidRPr="006F2FC4">
              <w:rPr>
                <w:sz w:val="13"/>
                <w:szCs w:val="13"/>
              </w:rPr>
              <w:t>3.392</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525DD29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4641B0E" w14:textId="77777777">
            <w:pPr>
              <w:pStyle w:val="p-table"/>
              <w:jc w:val="right"/>
              <w:rPr>
                <w:sz w:val="13"/>
                <w:szCs w:val="13"/>
              </w:rPr>
            </w:pPr>
            <w:r w:rsidRPr="006F2FC4">
              <w:rPr>
                <w:sz w:val="13"/>
                <w:szCs w:val="13"/>
              </w:rPr>
              <w:t>3.392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6ED72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A3FEE53" w14:textId="77777777">
            <w:pPr>
              <w:pStyle w:val="p-table"/>
              <w:jc w:val="right"/>
              <w:rPr>
                <w:sz w:val="13"/>
                <w:szCs w:val="13"/>
              </w:rPr>
            </w:pPr>
            <w:r w:rsidRPr="006F2FC4">
              <w:rPr>
                <w:sz w:val="13"/>
                <w:szCs w:val="13"/>
              </w:rPr>
              <w:t>3.392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1A697C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F18AA6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04DB20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FB32EA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1279EB" w14:textId="77777777">
            <w:pPr>
              <w:pStyle w:val="p-table"/>
              <w:jc w:val="right"/>
              <w:rPr>
                <w:sz w:val="13"/>
                <w:szCs w:val="13"/>
              </w:rPr>
            </w:pPr>
            <w:r w:rsidRPr="006F2FC4">
              <w:rPr>
                <w:sz w:val="13"/>
                <w:szCs w:val="13"/>
              </w:rPr>
              <w:t>3.392</w:t>
            </w:r>
          </w:p>
        </w:tc>
      </w:tr>
      <w:tr w:rsidR="001A41B9" w:rsidTr="007433BE" w14:paraId="6E59698B" w14:textId="77777777">
        <w:tc>
          <w:tcPr>
            <w:tcW w:w="800" w:type="pct"/>
            <w:tcBorders>
              <w:bottom w:val="single" w:color="009EE0" w:sz="2" w:space="0"/>
            </w:tcBorders>
            <w:tcMar>
              <w:top w:w="22" w:type="dxa"/>
              <w:bottom w:w="22" w:type="dxa"/>
              <w:right w:w="28" w:type="dxa"/>
            </w:tcMar>
          </w:tcPr>
          <w:p w:rsidRPr="006F2FC4" w:rsidR="001A41B9" w:rsidP="001A41B9" w:rsidRDefault="001A41B9" w14:paraId="698ED4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788675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6F06A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024A7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92CF58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CD43A0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4C1D27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AB2F49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E5F3AC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5D9A3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FF1E7E1" w14:textId="77777777">
            <w:pPr>
              <w:pStyle w:val="p-table"/>
              <w:rPr>
                <w:sz w:val="13"/>
                <w:szCs w:val="13"/>
              </w:rPr>
            </w:pPr>
          </w:p>
        </w:tc>
      </w:tr>
      <w:tr w:rsidR="001A41B9" w:rsidTr="007433BE" w14:paraId="108819B5" w14:textId="77777777">
        <w:tc>
          <w:tcPr>
            <w:tcW w:w="800" w:type="pct"/>
            <w:tcBorders>
              <w:bottom w:val="single" w:color="009EE0" w:sz="2" w:space="0"/>
            </w:tcBorders>
            <w:tcMar>
              <w:top w:w="22" w:type="dxa"/>
              <w:bottom w:w="22" w:type="dxa"/>
              <w:right w:w="28" w:type="dxa"/>
            </w:tcMar>
          </w:tcPr>
          <w:p w:rsidRPr="006F2FC4" w:rsidR="001A41B9" w:rsidP="001A41B9" w:rsidRDefault="001A41B9" w14:paraId="7732EC48" w14:textId="77777777">
            <w:pPr>
              <w:pStyle w:val="p-table"/>
              <w:rPr>
                <w:sz w:val="13"/>
                <w:szCs w:val="13"/>
              </w:rPr>
            </w:pPr>
            <w:r w:rsidRPr="006F2FC4">
              <w:rPr>
                <w:b/>
                <w:sz w:val="13"/>
                <w:szCs w:val="13"/>
              </w:rPr>
              <w:t>Rente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9F90D8" w14:textId="77777777">
            <w:pPr>
              <w:pStyle w:val="p-table"/>
              <w:jc w:val="right"/>
              <w:rPr>
                <w:sz w:val="13"/>
                <w:szCs w:val="13"/>
              </w:rPr>
            </w:pPr>
            <w:r w:rsidRPr="006F2FC4">
              <w:rPr>
                <w:b/>
                <w:sz w:val="13"/>
                <w:szCs w:val="13"/>
              </w:rPr>
              <w:t>232.275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F84B71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16FBFBF" w14:textId="77777777">
            <w:pPr>
              <w:pStyle w:val="p-table"/>
              <w:jc w:val="right"/>
              <w:rPr>
                <w:sz w:val="13"/>
                <w:szCs w:val="13"/>
              </w:rPr>
            </w:pPr>
            <w:r w:rsidRPr="006F2FC4">
              <w:rPr>
                <w:b/>
                <w:sz w:val="13"/>
                <w:szCs w:val="13"/>
              </w:rPr>
              <w:t>232.275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71BE18C" w14:textId="77777777">
            <w:pPr>
              <w:pStyle w:val="p-table"/>
              <w:jc w:val="right"/>
              <w:rPr>
                <w:sz w:val="13"/>
                <w:szCs w:val="13"/>
              </w:rPr>
            </w:pPr>
            <w:r w:rsidRPr="006F2FC4">
              <w:rPr>
                <w:b/>
                <w:sz w:val="13"/>
                <w:szCs w:val="13"/>
              </w:rPr>
              <w:t>48.930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3A88590" w14:textId="77777777">
            <w:pPr>
              <w:pStyle w:val="p-table"/>
              <w:jc w:val="right"/>
              <w:rPr>
                <w:sz w:val="13"/>
                <w:szCs w:val="13"/>
              </w:rPr>
            </w:pPr>
            <w:r w:rsidRPr="006F2FC4">
              <w:rPr>
                <w:b/>
                <w:sz w:val="13"/>
                <w:szCs w:val="13"/>
              </w:rPr>
              <w:t>281.205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318A6A7" w14:textId="77777777">
            <w:pPr>
              <w:pStyle w:val="p-table"/>
              <w:jc w:val="right"/>
              <w:rPr>
                <w:sz w:val="13"/>
                <w:szCs w:val="13"/>
              </w:rPr>
            </w:pPr>
            <w:r w:rsidRPr="006F2FC4">
              <w:rPr>
                <w:b/>
                <w:sz w:val="13"/>
                <w:szCs w:val="13"/>
              </w:rPr>
              <w:t>49.914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3BE1721" w14:textId="77777777">
            <w:pPr>
              <w:pStyle w:val="p-table"/>
              <w:jc w:val="right"/>
              <w:rPr>
                <w:sz w:val="13"/>
                <w:szCs w:val="13"/>
              </w:rPr>
            </w:pPr>
            <w:r w:rsidRPr="006F2FC4">
              <w:rPr>
                <w:b/>
                <w:sz w:val="13"/>
                <w:szCs w:val="13"/>
              </w:rPr>
              <w:t>50.824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E8A2B40" w14:textId="77777777">
            <w:pPr>
              <w:pStyle w:val="p-table"/>
              <w:jc w:val="right"/>
              <w:rPr>
                <w:sz w:val="13"/>
                <w:szCs w:val="13"/>
              </w:rPr>
            </w:pPr>
            <w:r w:rsidRPr="006F2FC4">
              <w:rPr>
                <w:b/>
                <w:sz w:val="13"/>
                <w:szCs w:val="13"/>
              </w:rPr>
              <w:t>52.453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5A9FD0F" w14:textId="77777777">
            <w:pPr>
              <w:pStyle w:val="p-table"/>
              <w:jc w:val="right"/>
              <w:rPr>
                <w:sz w:val="13"/>
                <w:szCs w:val="13"/>
              </w:rPr>
            </w:pPr>
            <w:r w:rsidRPr="006F2FC4">
              <w:rPr>
                <w:b/>
                <w:sz w:val="13"/>
                <w:szCs w:val="13"/>
              </w:rPr>
              <w:t>53.804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55DF4E0" w14:textId="77777777">
            <w:pPr>
              <w:pStyle w:val="p-table"/>
              <w:jc w:val="right"/>
              <w:rPr>
                <w:sz w:val="13"/>
                <w:szCs w:val="13"/>
              </w:rPr>
            </w:pPr>
            <w:r w:rsidRPr="006F2FC4">
              <w:rPr>
                <w:b/>
                <w:sz w:val="13"/>
                <w:szCs w:val="13"/>
              </w:rPr>
              <w:t>202.460</w:t>
            </w:r>
          </w:p>
        </w:tc>
      </w:tr>
      <w:tr w:rsidR="001A41B9" w:rsidTr="007433BE" w14:paraId="0F195A01"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04EF08C" w14:textId="77777777">
            <w:pPr>
              <w:pStyle w:val="p-table"/>
              <w:rPr>
                <w:sz w:val="13"/>
                <w:szCs w:val="13"/>
              </w:rPr>
            </w:pPr>
            <w:r w:rsidRPr="006F2FC4">
              <w:rPr>
                <w:sz w:val="13"/>
                <w:szCs w:val="13"/>
              </w:rPr>
              <w:t>Belasting- en invorderingsrente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F6F02BF" w14:textId="77777777">
            <w:pPr>
              <w:pStyle w:val="p-table"/>
              <w:jc w:val="right"/>
              <w:rPr>
                <w:sz w:val="13"/>
                <w:szCs w:val="13"/>
              </w:rPr>
            </w:pPr>
            <w:r w:rsidRPr="006F2FC4">
              <w:rPr>
                <w:sz w:val="13"/>
                <w:szCs w:val="13"/>
              </w:rPr>
              <w:t>232.275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0C95C0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7DDA343" w14:textId="77777777">
            <w:pPr>
              <w:pStyle w:val="p-table"/>
              <w:jc w:val="right"/>
              <w:rPr>
                <w:sz w:val="13"/>
                <w:szCs w:val="13"/>
              </w:rPr>
            </w:pPr>
            <w:r w:rsidRPr="006F2FC4">
              <w:rPr>
                <w:sz w:val="13"/>
                <w:szCs w:val="13"/>
              </w:rPr>
              <w:t>232.275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CCD05D2" w14:textId="77777777">
            <w:pPr>
              <w:pStyle w:val="p-table"/>
              <w:jc w:val="right"/>
              <w:rPr>
                <w:sz w:val="13"/>
                <w:szCs w:val="13"/>
              </w:rPr>
            </w:pPr>
            <w:r w:rsidRPr="006F2FC4">
              <w:rPr>
                <w:sz w:val="13"/>
                <w:szCs w:val="13"/>
              </w:rPr>
              <w:t>48.930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0654A3D" w14:textId="77777777">
            <w:pPr>
              <w:pStyle w:val="p-table"/>
              <w:jc w:val="right"/>
              <w:rPr>
                <w:sz w:val="13"/>
                <w:szCs w:val="13"/>
              </w:rPr>
            </w:pPr>
            <w:r w:rsidRPr="006F2FC4">
              <w:rPr>
                <w:sz w:val="13"/>
                <w:szCs w:val="13"/>
              </w:rPr>
              <w:t>281.205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8DDF73B" w14:textId="77777777">
            <w:pPr>
              <w:pStyle w:val="p-table"/>
              <w:jc w:val="right"/>
              <w:rPr>
                <w:sz w:val="13"/>
                <w:szCs w:val="13"/>
              </w:rPr>
            </w:pPr>
            <w:r w:rsidRPr="006F2FC4">
              <w:rPr>
                <w:sz w:val="13"/>
                <w:szCs w:val="13"/>
              </w:rPr>
              <w:t>49.914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624994" w14:textId="77777777">
            <w:pPr>
              <w:pStyle w:val="p-table"/>
              <w:jc w:val="right"/>
              <w:rPr>
                <w:sz w:val="13"/>
                <w:szCs w:val="13"/>
              </w:rPr>
            </w:pPr>
            <w:r w:rsidRPr="006F2FC4">
              <w:rPr>
                <w:sz w:val="13"/>
                <w:szCs w:val="13"/>
              </w:rPr>
              <w:t>50.824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3ADA6FA" w14:textId="77777777">
            <w:pPr>
              <w:pStyle w:val="p-table"/>
              <w:jc w:val="right"/>
              <w:rPr>
                <w:sz w:val="13"/>
                <w:szCs w:val="13"/>
              </w:rPr>
            </w:pPr>
            <w:r w:rsidRPr="006F2FC4">
              <w:rPr>
                <w:sz w:val="13"/>
                <w:szCs w:val="13"/>
              </w:rPr>
              <w:t>52.453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7EBBA76" w14:textId="77777777">
            <w:pPr>
              <w:pStyle w:val="p-table"/>
              <w:jc w:val="right"/>
              <w:rPr>
                <w:sz w:val="13"/>
                <w:szCs w:val="13"/>
              </w:rPr>
            </w:pPr>
            <w:r w:rsidRPr="006F2FC4">
              <w:rPr>
                <w:sz w:val="13"/>
                <w:szCs w:val="13"/>
              </w:rPr>
              <w:t>53.804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95CFB16" w14:textId="77777777">
            <w:pPr>
              <w:pStyle w:val="p-table"/>
              <w:jc w:val="right"/>
              <w:rPr>
                <w:sz w:val="13"/>
                <w:szCs w:val="13"/>
              </w:rPr>
            </w:pPr>
            <w:r w:rsidRPr="006F2FC4">
              <w:rPr>
                <w:sz w:val="13"/>
                <w:szCs w:val="13"/>
              </w:rPr>
              <w:t>202.460</w:t>
            </w:r>
          </w:p>
        </w:tc>
      </w:tr>
      <w:tr w:rsidR="001A41B9" w:rsidTr="007433BE" w14:paraId="528F467B"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A9E982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13EF39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712E9C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B9E50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371F2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57A2BC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AEE597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4EA305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4CA5A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27D19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45B0303" w14:textId="77777777">
            <w:pPr>
              <w:pStyle w:val="p-table"/>
              <w:rPr>
                <w:sz w:val="13"/>
                <w:szCs w:val="13"/>
              </w:rPr>
            </w:pPr>
          </w:p>
        </w:tc>
      </w:tr>
      <w:tr w:rsidR="001A41B9" w:rsidTr="007433BE" w14:paraId="1F4748C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D8FC5F5" w14:textId="77777777">
            <w:pPr>
              <w:pStyle w:val="p-table"/>
              <w:rPr>
                <w:sz w:val="13"/>
                <w:szCs w:val="13"/>
              </w:rPr>
            </w:pPr>
            <w:r w:rsidRPr="006F2FC4">
              <w:rPr>
                <w:b/>
                <w:sz w:val="13"/>
                <w:szCs w:val="13"/>
              </w:rPr>
              <w:t>Bijdrage aan (andere) begrotingshoofdstukken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FAA29B5" w14:textId="77777777">
            <w:pPr>
              <w:pStyle w:val="p-table"/>
              <w:jc w:val="right"/>
              <w:rPr>
                <w:sz w:val="13"/>
                <w:szCs w:val="13"/>
              </w:rPr>
            </w:pPr>
            <w:r w:rsidRPr="006F2FC4">
              <w:rPr>
                <w:b/>
                <w:sz w:val="13"/>
                <w:szCs w:val="13"/>
              </w:rPr>
              <w:t>‒ 486.207</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E0EFF8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06F0610" w14:textId="77777777">
            <w:pPr>
              <w:pStyle w:val="p-table"/>
              <w:jc w:val="right"/>
              <w:rPr>
                <w:sz w:val="13"/>
                <w:szCs w:val="13"/>
              </w:rPr>
            </w:pPr>
            <w:r w:rsidRPr="006F2FC4">
              <w:rPr>
                <w:b/>
                <w:sz w:val="13"/>
                <w:szCs w:val="13"/>
              </w:rPr>
              <w:t>‒ 486.207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E486A0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B19778C" w14:textId="77777777">
            <w:pPr>
              <w:pStyle w:val="p-table"/>
              <w:jc w:val="right"/>
              <w:rPr>
                <w:sz w:val="13"/>
                <w:szCs w:val="13"/>
              </w:rPr>
            </w:pPr>
            <w:r w:rsidRPr="006F2FC4">
              <w:rPr>
                <w:b/>
                <w:sz w:val="13"/>
                <w:szCs w:val="13"/>
              </w:rPr>
              <w:t>‒ 486.207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B0C153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997CE2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FCBA35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245911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1DC6624" w14:textId="77777777">
            <w:pPr>
              <w:pStyle w:val="p-table"/>
              <w:jc w:val="right"/>
              <w:rPr>
                <w:sz w:val="13"/>
                <w:szCs w:val="13"/>
              </w:rPr>
            </w:pPr>
            <w:r w:rsidRPr="006F2FC4">
              <w:rPr>
                <w:b/>
                <w:sz w:val="13"/>
                <w:szCs w:val="13"/>
              </w:rPr>
              <w:t>‒ 352.409</w:t>
            </w:r>
          </w:p>
        </w:tc>
      </w:tr>
      <w:tr w:rsidR="001A41B9" w:rsidTr="007433BE" w14:paraId="169FDCD9"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CC08C29" w14:textId="77777777">
            <w:pPr>
              <w:pStyle w:val="p-table"/>
              <w:rPr>
                <w:sz w:val="13"/>
                <w:szCs w:val="13"/>
              </w:rPr>
            </w:pPr>
            <w:r w:rsidRPr="006F2FC4">
              <w:rPr>
                <w:sz w:val="13"/>
                <w:szCs w:val="13"/>
              </w:rPr>
              <w:t>Toerekening uitgaven aan Douane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1CDB066" w14:textId="77777777">
            <w:pPr>
              <w:pStyle w:val="p-table"/>
              <w:jc w:val="right"/>
              <w:rPr>
                <w:sz w:val="13"/>
                <w:szCs w:val="13"/>
              </w:rPr>
            </w:pPr>
            <w:r w:rsidRPr="006F2FC4">
              <w:rPr>
                <w:sz w:val="13"/>
                <w:szCs w:val="13"/>
              </w:rPr>
              <w:t>‒ 229.108</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5AF5190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7CE6243" w14:textId="77777777">
            <w:pPr>
              <w:pStyle w:val="p-table"/>
              <w:jc w:val="right"/>
              <w:rPr>
                <w:sz w:val="13"/>
                <w:szCs w:val="13"/>
              </w:rPr>
            </w:pPr>
            <w:r w:rsidRPr="006F2FC4">
              <w:rPr>
                <w:sz w:val="13"/>
                <w:szCs w:val="13"/>
              </w:rPr>
              <w:t>‒ 229.108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39C5EB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0EA32B2" w14:textId="77777777">
            <w:pPr>
              <w:pStyle w:val="p-table"/>
              <w:jc w:val="right"/>
              <w:rPr>
                <w:sz w:val="13"/>
                <w:szCs w:val="13"/>
              </w:rPr>
            </w:pPr>
            <w:r w:rsidRPr="006F2FC4">
              <w:rPr>
                <w:sz w:val="13"/>
                <w:szCs w:val="13"/>
              </w:rPr>
              <w:t>‒ 229.108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3A7DAE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9860D6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BD5D2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9AB32C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7C7CA13" w14:textId="77777777">
            <w:pPr>
              <w:pStyle w:val="p-table"/>
              <w:jc w:val="right"/>
              <w:rPr>
                <w:sz w:val="13"/>
                <w:szCs w:val="13"/>
              </w:rPr>
            </w:pPr>
            <w:r w:rsidRPr="006F2FC4">
              <w:rPr>
                <w:sz w:val="13"/>
                <w:szCs w:val="13"/>
              </w:rPr>
              <w:t>‒ 141.618</w:t>
            </w:r>
          </w:p>
        </w:tc>
      </w:tr>
      <w:tr w:rsidR="001A41B9" w:rsidTr="007433BE" w14:paraId="76B0D14A"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DE82F2D" w14:textId="77777777">
            <w:pPr>
              <w:pStyle w:val="p-table"/>
              <w:rPr>
                <w:sz w:val="13"/>
                <w:szCs w:val="13"/>
              </w:rPr>
            </w:pPr>
            <w:r w:rsidRPr="006F2FC4">
              <w:rPr>
                <w:sz w:val="13"/>
                <w:szCs w:val="13"/>
              </w:rPr>
              <w:t>Toerekening uitgaven aan Toeslagen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F66899F" w14:textId="77777777">
            <w:pPr>
              <w:pStyle w:val="p-table"/>
              <w:jc w:val="right"/>
              <w:rPr>
                <w:sz w:val="13"/>
                <w:szCs w:val="13"/>
              </w:rPr>
            </w:pPr>
            <w:r w:rsidRPr="006F2FC4">
              <w:rPr>
                <w:sz w:val="13"/>
                <w:szCs w:val="13"/>
              </w:rPr>
              <w:t>‒ 257.099</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BBA5C0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6A168B" w14:textId="77777777">
            <w:pPr>
              <w:pStyle w:val="p-table"/>
              <w:jc w:val="right"/>
              <w:rPr>
                <w:sz w:val="13"/>
                <w:szCs w:val="13"/>
              </w:rPr>
            </w:pPr>
            <w:r w:rsidRPr="006F2FC4">
              <w:rPr>
                <w:sz w:val="13"/>
                <w:szCs w:val="13"/>
              </w:rPr>
              <w:t>‒ 257.099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BEFB8B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68D7B92" w14:textId="77777777">
            <w:pPr>
              <w:pStyle w:val="p-table"/>
              <w:jc w:val="right"/>
              <w:rPr>
                <w:sz w:val="13"/>
                <w:szCs w:val="13"/>
              </w:rPr>
            </w:pPr>
            <w:r w:rsidRPr="006F2FC4">
              <w:rPr>
                <w:sz w:val="13"/>
                <w:szCs w:val="13"/>
              </w:rPr>
              <w:t>‒ 257.099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CCA9A5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3907AE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8C72A8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BB79C1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DECF647" w14:textId="77777777">
            <w:pPr>
              <w:pStyle w:val="p-table"/>
              <w:jc w:val="right"/>
              <w:rPr>
                <w:sz w:val="13"/>
                <w:szCs w:val="13"/>
              </w:rPr>
            </w:pPr>
            <w:r w:rsidRPr="006F2FC4">
              <w:rPr>
                <w:sz w:val="13"/>
                <w:szCs w:val="13"/>
              </w:rPr>
              <w:t>‒ 210.791</w:t>
            </w:r>
          </w:p>
        </w:tc>
      </w:tr>
      <w:tr w:rsidR="001A41B9" w:rsidTr="007433BE" w14:paraId="46CC56EF" w14:textId="77777777">
        <w:tc>
          <w:tcPr>
            <w:tcW w:w="800" w:type="pct"/>
            <w:tcMar>
              <w:top w:w="22" w:type="dxa"/>
              <w:bottom w:w="22" w:type="dxa"/>
              <w:right w:w="28" w:type="dxa"/>
            </w:tcMar>
          </w:tcPr>
          <w:p w:rsidRPr="006F2FC4" w:rsidR="001A41B9" w:rsidP="001A41B9" w:rsidRDefault="001A41B9" w14:paraId="7859F95E"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2EC08429" w14:textId="77777777">
            <w:pPr>
              <w:pStyle w:val="p-table"/>
              <w:rPr>
                <w:sz w:val="13"/>
                <w:szCs w:val="13"/>
              </w:rPr>
            </w:pPr>
          </w:p>
        </w:tc>
        <w:tc>
          <w:tcPr>
            <w:tcW w:w="375" w:type="pct"/>
            <w:tcMar>
              <w:top w:w="22" w:type="dxa"/>
              <w:left w:w="28" w:type="dxa"/>
              <w:bottom w:w="22" w:type="dxa"/>
              <w:right w:w="28" w:type="dxa"/>
            </w:tcMar>
          </w:tcPr>
          <w:p w:rsidRPr="006F2FC4" w:rsidR="001A41B9" w:rsidP="001A41B9" w:rsidRDefault="001A41B9" w14:paraId="2A9AD9DC"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11A492E8"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71A49AC8"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52D2D5F4"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7D66CFAC"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6C39F81C"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06F0497B"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4B3F982C"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61BDBB6E" w14:textId="77777777">
            <w:pPr>
              <w:pStyle w:val="p-table"/>
              <w:rPr>
                <w:sz w:val="13"/>
                <w:szCs w:val="13"/>
              </w:rPr>
            </w:pPr>
          </w:p>
        </w:tc>
      </w:tr>
      <w:tr w:rsidR="001A41B9" w:rsidTr="007433BE" w14:paraId="4F78439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82FDED9" w14:textId="77777777">
            <w:pPr>
              <w:pStyle w:val="p-table"/>
              <w:rPr>
                <w:sz w:val="13"/>
                <w:szCs w:val="13"/>
              </w:rPr>
            </w:pPr>
            <w:r w:rsidRPr="006F2FC4">
              <w:rPr>
                <w:b/>
                <w:sz w:val="13"/>
                <w:szCs w:val="13"/>
              </w:rPr>
              <w:t>Ontvangsten (3) + (4)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F85045F" w14:textId="77777777">
            <w:pPr>
              <w:pStyle w:val="p-table"/>
              <w:jc w:val="right"/>
              <w:rPr>
                <w:sz w:val="13"/>
                <w:szCs w:val="13"/>
              </w:rPr>
            </w:pPr>
            <w:r w:rsidRPr="006F2FC4">
              <w:rPr>
                <w:b/>
                <w:sz w:val="13"/>
                <w:szCs w:val="13"/>
              </w:rPr>
              <w:t>226.564.695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D058CAD"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F28C5C" w14:textId="77777777">
            <w:pPr>
              <w:pStyle w:val="p-table"/>
              <w:jc w:val="right"/>
              <w:rPr>
                <w:sz w:val="13"/>
                <w:szCs w:val="13"/>
              </w:rPr>
            </w:pPr>
            <w:r w:rsidRPr="006F2FC4">
              <w:rPr>
                <w:b/>
                <w:sz w:val="13"/>
                <w:szCs w:val="13"/>
              </w:rPr>
              <w:t>226.564.695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BFF7226" w14:textId="77777777">
            <w:pPr>
              <w:pStyle w:val="p-table"/>
              <w:jc w:val="right"/>
              <w:rPr>
                <w:sz w:val="13"/>
                <w:szCs w:val="13"/>
              </w:rPr>
            </w:pPr>
            <w:r w:rsidRPr="006F2FC4">
              <w:rPr>
                <w:b/>
                <w:sz w:val="13"/>
                <w:szCs w:val="13"/>
              </w:rPr>
              <w:t>‒ 2.328.622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1CAF5A6" w14:textId="77777777">
            <w:pPr>
              <w:pStyle w:val="p-table"/>
              <w:jc w:val="right"/>
              <w:rPr>
                <w:sz w:val="13"/>
                <w:szCs w:val="13"/>
              </w:rPr>
            </w:pPr>
            <w:r w:rsidRPr="006F2FC4">
              <w:rPr>
                <w:b/>
                <w:sz w:val="13"/>
                <w:szCs w:val="13"/>
              </w:rPr>
              <w:t>224.236.073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23E8C9D" w14:textId="77777777">
            <w:pPr>
              <w:pStyle w:val="p-table"/>
              <w:jc w:val="right"/>
              <w:rPr>
                <w:sz w:val="13"/>
                <w:szCs w:val="13"/>
              </w:rPr>
            </w:pPr>
            <w:r w:rsidRPr="006F2FC4">
              <w:rPr>
                <w:b/>
                <w:sz w:val="13"/>
                <w:szCs w:val="13"/>
              </w:rPr>
              <w:t>7.037.786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4A53C6E" w14:textId="77777777">
            <w:pPr>
              <w:pStyle w:val="p-table"/>
              <w:jc w:val="right"/>
              <w:rPr>
                <w:sz w:val="13"/>
                <w:szCs w:val="13"/>
              </w:rPr>
            </w:pPr>
            <w:r w:rsidRPr="006F2FC4">
              <w:rPr>
                <w:b/>
                <w:sz w:val="13"/>
                <w:szCs w:val="13"/>
              </w:rPr>
              <w:t>11.684.872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20C06D4" w14:textId="77777777">
            <w:pPr>
              <w:pStyle w:val="p-table"/>
              <w:jc w:val="right"/>
              <w:rPr>
                <w:sz w:val="13"/>
                <w:szCs w:val="13"/>
              </w:rPr>
            </w:pPr>
            <w:r w:rsidRPr="006F2FC4">
              <w:rPr>
                <w:b/>
                <w:sz w:val="13"/>
                <w:szCs w:val="13"/>
              </w:rPr>
              <w:t>15.681.018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26EB5B4" w14:textId="77777777">
            <w:pPr>
              <w:pStyle w:val="p-table"/>
              <w:jc w:val="right"/>
              <w:rPr>
                <w:sz w:val="13"/>
                <w:szCs w:val="13"/>
              </w:rPr>
            </w:pPr>
            <w:r w:rsidRPr="006F2FC4">
              <w:rPr>
                <w:b/>
                <w:sz w:val="13"/>
                <w:szCs w:val="13"/>
              </w:rPr>
              <w:t>16.379.380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C3D8732" w14:textId="77777777">
            <w:pPr>
              <w:pStyle w:val="p-table"/>
              <w:jc w:val="right"/>
              <w:rPr>
                <w:sz w:val="13"/>
                <w:szCs w:val="13"/>
              </w:rPr>
            </w:pPr>
            <w:r w:rsidRPr="006F2FC4">
              <w:rPr>
                <w:b/>
                <w:sz w:val="13"/>
                <w:szCs w:val="13"/>
              </w:rPr>
              <w:t>305.382.777</w:t>
            </w:r>
          </w:p>
        </w:tc>
      </w:tr>
      <w:tr w:rsidR="001A41B9" w:rsidTr="007433BE" w14:paraId="53D68B84"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3C6853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1F1B57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0CBADA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0D209E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4D2EE2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B067AE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2A6912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B1AF10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39CDF3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42D67F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CF9BD0E" w14:textId="77777777">
            <w:pPr>
              <w:pStyle w:val="p-table"/>
              <w:rPr>
                <w:sz w:val="13"/>
                <w:szCs w:val="13"/>
              </w:rPr>
            </w:pPr>
          </w:p>
        </w:tc>
      </w:tr>
      <w:tr w:rsidR="001A41B9" w:rsidTr="007433BE" w14:paraId="5871F743" w14:textId="77777777">
        <w:tc>
          <w:tcPr>
            <w:tcW w:w="800" w:type="pct"/>
            <w:tcBorders>
              <w:bottom w:val="single" w:color="009EE0" w:sz="2" w:space="0"/>
            </w:tcBorders>
            <w:tcMar>
              <w:top w:w="22" w:type="dxa"/>
              <w:bottom w:w="22" w:type="dxa"/>
              <w:right w:w="28" w:type="dxa"/>
            </w:tcMar>
          </w:tcPr>
          <w:p w:rsidRPr="006F2FC4" w:rsidR="001A41B9" w:rsidP="001A41B9" w:rsidRDefault="001A41B9" w14:paraId="68B32117" w14:textId="77777777">
            <w:pPr>
              <w:pStyle w:val="p-table"/>
              <w:rPr>
                <w:sz w:val="13"/>
                <w:szCs w:val="13"/>
              </w:rPr>
            </w:pPr>
            <w:r w:rsidRPr="006F2FC4">
              <w:rPr>
                <w:b/>
                <w:sz w:val="13"/>
                <w:szCs w:val="13"/>
              </w:rPr>
              <w:t>Programma-ontvangsten (3)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B095CE7" w14:textId="77777777">
            <w:pPr>
              <w:pStyle w:val="p-table"/>
              <w:jc w:val="right"/>
              <w:rPr>
                <w:sz w:val="13"/>
                <w:szCs w:val="13"/>
              </w:rPr>
            </w:pPr>
            <w:r w:rsidRPr="006F2FC4">
              <w:rPr>
                <w:b/>
                <w:sz w:val="13"/>
                <w:szCs w:val="13"/>
              </w:rPr>
              <w:t>226.441.017</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13DD2D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BCDB860" w14:textId="77777777">
            <w:pPr>
              <w:pStyle w:val="p-table"/>
              <w:jc w:val="right"/>
              <w:rPr>
                <w:sz w:val="13"/>
                <w:szCs w:val="13"/>
              </w:rPr>
            </w:pPr>
            <w:r w:rsidRPr="006F2FC4">
              <w:rPr>
                <w:b/>
                <w:sz w:val="13"/>
                <w:szCs w:val="13"/>
              </w:rPr>
              <w:t>226.441.017</w:t>
            </w:r>
          </w:p>
        </w:tc>
        <w:tc>
          <w:tcPr>
            <w:tcW w:w="425" w:type="pct"/>
            <w:tcBorders>
              <w:bottom w:val="single" w:color="009EE0" w:sz="2" w:space="0"/>
            </w:tcBorders>
            <w:tcMar>
              <w:top w:w="22" w:type="dxa"/>
              <w:left w:w="28" w:type="dxa"/>
              <w:bottom w:w="22" w:type="dxa"/>
              <w:right w:w="28" w:type="dxa"/>
            </w:tcMar>
            <w:vAlign w:val="bottom"/>
          </w:tcPr>
          <w:p w:rsidRPr="006F2FC4" w:rsidR="001A41B9" w:rsidP="001A41B9" w:rsidRDefault="001A41B9" w14:paraId="4E271EE7" w14:textId="77777777">
            <w:pPr>
              <w:pStyle w:val="p-table"/>
              <w:jc w:val="right"/>
              <w:rPr>
                <w:sz w:val="13"/>
                <w:szCs w:val="13"/>
              </w:rPr>
            </w:pPr>
            <w:r w:rsidRPr="006F2FC4">
              <w:rPr>
                <w:b/>
                <w:sz w:val="13"/>
                <w:szCs w:val="13"/>
              </w:rPr>
              <w:t>‒ 2.345.142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DD970A3" w14:textId="77777777">
            <w:pPr>
              <w:pStyle w:val="p-table"/>
              <w:jc w:val="right"/>
              <w:rPr>
                <w:sz w:val="13"/>
                <w:szCs w:val="13"/>
              </w:rPr>
            </w:pPr>
            <w:r w:rsidRPr="006F2FC4">
              <w:rPr>
                <w:b/>
                <w:sz w:val="13"/>
                <w:szCs w:val="13"/>
              </w:rPr>
              <w:t>224.095.875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9C30C8F" w14:textId="77777777">
            <w:pPr>
              <w:pStyle w:val="p-table"/>
              <w:jc w:val="right"/>
              <w:rPr>
                <w:sz w:val="13"/>
                <w:szCs w:val="13"/>
              </w:rPr>
            </w:pPr>
            <w:r w:rsidRPr="006F2FC4">
              <w:rPr>
                <w:b/>
                <w:sz w:val="13"/>
                <w:szCs w:val="13"/>
              </w:rPr>
              <w:t>7.038.358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AC5A0A4" w14:textId="77777777">
            <w:pPr>
              <w:pStyle w:val="p-table"/>
              <w:jc w:val="right"/>
              <w:rPr>
                <w:sz w:val="13"/>
                <w:szCs w:val="13"/>
              </w:rPr>
            </w:pPr>
            <w:r w:rsidRPr="006F2FC4">
              <w:rPr>
                <w:b/>
                <w:sz w:val="13"/>
                <w:szCs w:val="13"/>
              </w:rPr>
              <w:t>11.685.928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AB0937C" w14:textId="77777777">
            <w:pPr>
              <w:pStyle w:val="p-table"/>
              <w:jc w:val="right"/>
              <w:rPr>
                <w:sz w:val="13"/>
                <w:szCs w:val="13"/>
              </w:rPr>
            </w:pPr>
            <w:r w:rsidRPr="006F2FC4">
              <w:rPr>
                <w:b/>
                <w:sz w:val="13"/>
                <w:szCs w:val="13"/>
              </w:rPr>
              <w:t>15.684.205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316E911" w14:textId="77777777">
            <w:pPr>
              <w:pStyle w:val="p-table"/>
              <w:jc w:val="right"/>
              <w:rPr>
                <w:sz w:val="13"/>
                <w:szCs w:val="13"/>
              </w:rPr>
            </w:pPr>
            <w:r w:rsidRPr="006F2FC4">
              <w:rPr>
                <w:b/>
                <w:sz w:val="13"/>
                <w:szCs w:val="13"/>
              </w:rPr>
              <w:t>16.385.642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0F81607" w14:textId="77777777">
            <w:pPr>
              <w:pStyle w:val="p-table"/>
              <w:jc w:val="right"/>
              <w:rPr>
                <w:sz w:val="13"/>
                <w:szCs w:val="13"/>
              </w:rPr>
            </w:pPr>
            <w:r w:rsidRPr="006F2FC4">
              <w:rPr>
                <w:b/>
                <w:sz w:val="13"/>
                <w:szCs w:val="13"/>
              </w:rPr>
              <w:t>305.305.169</w:t>
            </w:r>
          </w:p>
        </w:tc>
      </w:tr>
      <w:tr w:rsidR="001A41B9" w:rsidTr="007433BE" w14:paraId="3D74490E"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727B4A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94B744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EB8349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BC731B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3CA382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D91CB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730601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5E24B1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568505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DDE9A9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FDD0777" w14:textId="77777777">
            <w:pPr>
              <w:pStyle w:val="p-table"/>
              <w:rPr>
                <w:sz w:val="13"/>
                <w:szCs w:val="13"/>
              </w:rPr>
            </w:pPr>
          </w:p>
        </w:tc>
      </w:tr>
      <w:tr w:rsidR="001A41B9" w:rsidTr="007433BE" w14:paraId="3BDD6D53" w14:textId="77777777">
        <w:tc>
          <w:tcPr>
            <w:tcW w:w="800" w:type="pct"/>
            <w:tcBorders>
              <w:bottom w:val="single" w:color="009EE0" w:sz="2" w:space="0"/>
            </w:tcBorders>
            <w:tcMar>
              <w:top w:w="22" w:type="dxa"/>
              <w:bottom w:w="22" w:type="dxa"/>
              <w:right w:w="28" w:type="dxa"/>
            </w:tcMar>
          </w:tcPr>
          <w:p w:rsidRPr="006F2FC4" w:rsidR="001A41B9" w:rsidP="001A41B9" w:rsidRDefault="001A41B9" w14:paraId="31237C59" w14:textId="77777777">
            <w:pPr>
              <w:pStyle w:val="p-table"/>
              <w:rPr>
                <w:sz w:val="13"/>
                <w:szCs w:val="13"/>
              </w:rPr>
            </w:pPr>
            <w:r w:rsidRPr="006F2FC4">
              <w:rPr>
                <w:sz w:val="13"/>
                <w:szCs w:val="13"/>
              </w:rPr>
              <w:t>waarvan: Belastingontvangsten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9662924" w14:textId="77777777">
            <w:pPr>
              <w:pStyle w:val="p-table"/>
              <w:jc w:val="right"/>
              <w:rPr>
                <w:sz w:val="13"/>
                <w:szCs w:val="13"/>
              </w:rPr>
            </w:pPr>
            <w:r w:rsidRPr="006F2FC4">
              <w:rPr>
                <w:sz w:val="13"/>
                <w:szCs w:val="13"/>
              </w:rPr>
              <w:t>224.959.865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F45168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87D3731" w14:textId="77777777">
            <w:pPr>
              <w:pStyle w:val="p-table"/>
              <w:jc w:val="right"/>
              <w:rPr>
                <w:sz w:val="13"/>
                <w:szCs w:val="13"/>
              </w:rPr>
            </w:pPr>
            <w:r w:rsidRPr="006F2FC4">
              <w:rPr>
                <w:sz w:val="13"/>
                <w:szCs w:val="13"/>
              </w:rPr>
              <w:t>224.959.865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6BB34F5" w14:textId="77777777">
            <w:pPr>
              <w:pStyle w:val="p-table"/>
              <w:jc w:val="right"/>
              <w:rPr>
                <w:sz w:val="13"/>
                <w:szCs w:val="13"/>
              </w:rPr>
            </w:pPr>
            <w:r w:rsidRPr="006F2FC4">
              <w:rPr>
                <w:sz w:val="13"/>
                <w:szCs w:val="13"/>
              </w:rPr>
              <w:t>‒ 2.380.785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6EB72E5" w14:textId="77777777">
            <w:pPr>
              <w:pStyle w:val="p-table"/>
              <w:jc w:val="right"/>
              <w:rPr>
                <w:sz w:val="13"/>
                <w:szCs w:val="13"/>
              </w:rPr>
            </w:pPr>
            <w:r w:rsidRPr="006F2FC4">
              <w:rPr>
                <w:sz w:val="13"/>
                <w:szCs w:val="13"/>
              </w:rPr>
              <w:t>222.579.080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1A39781" w14:textId="77777777">
            <w:pPr>
              <w:pStyle w:val="p-table"/>
              <w:jc w:val="right"/>
              <w:rPr>
                <w:sz w:val="13"/>
                <w:szCs w:val="13"/>
              </w:rPr>
            </w:pPr>
            <w:r w:rsidRPr="006F2FC4">
              <w:rPr>
                <w:sz w:val="13"/>
                <w:szCs w:val="13"/>
              </w:rPr>
              <w:t>6.892.621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BF80150" w14:textId="77777777">
            <w:pPr>
              <w:pStyle w:val="p-table"/>
              <w:jc w:val="right"/>
              <w:rPr>
                <w:sz w:val="13"/>
                <w:szCs w:val="13"/>
              </w:rPr>
            </w:pPr>
            <w:r w:rsidRPr="006F2FC4">
              <w:rPr>
                <w:sz w:val="13"/>
                <w:szCs w:val="13"/>
              </w:rPr>
              <w:t>11.539.024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4571E8C" w14:textId="77777777">
            <w:pPr>
              <w:pStyle w:val="p-table"/>
              <w:jc w:val="right"/>
              <w:rPr>
                <w:sz w:val="13"/>
                <w:szCs w:val="13"/>
              </w:rPr>
            </w:pPr>
            <w:r w:rsidRPr="006F2FC4">
              <w:rPr>
                <w:sz w:val="13"/>
                <w:szCs w:val="13"/>
              </w:rPr>
              <w:t>15.535.159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D3BBB72" w14:textId="77777777">
            <w:pPr>
              <w:pStyle w:val="p-table"/>
              <w:jc w:val="right"/>
              <w:rPr>
                <w:sz w:val="13"/>
                <w:szCs w:val="13"/>
              </w:rPr>
            </w:pPr>
            <w:r w:rsidRPr="006F2FC4">
              <w:rPr>
                <w:sz w:val="13"/>
                <w:szCs w:val="13"/>
              </w:rPr>
              <w:t>16.235.028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792F568" w14:textId="77777777">
            <w:pPr>
              <w:pStyle w:val="p-table"/>
              <w:jc w:val="right"/>
              <w:rPr>
                <w:sz w:val="13"/>
                <w:szCs w:val="13"/>
              </w:rPr>
            </w:pPr>
            <w:r w:rsidRPr="006F2FC4">
              <w:rPr>
                <w:sz w:val="13"/>
                <w:szCs w:val="13"/>
              </w:rPr>
              <w:t>303.721.137</w:t>
            </w:r>
          </w:p>
        </w:tc>
      </w:tr>
      <w:tr w:rsidR="001A41B9" w:rsidTr="007433BE" w14:paraId="51783A0B" w14:textId="77777777">
        <w:tc>
          <w:tcPr>
            <w:tcW w:w="800" w:type="pct"/>
            <w:tcBorders>
              <w:bottom w:val="single" w:color="009EE0" w:sz="2" w:space="0"/>
            </w:tcBorders>
            <w:tcMar>
              <w:top w:w="22" w:type="dxa"/>
              <w:bottom w:w="22" w:type="dxa"/>
              <w:right w:w="28" w:type="dxa"/>
            </w:tcMar>
          </w:tcPr>
          <w:p w:rsidRPr="006F2FC4" w:rsidR="001A41B9" w:rsidP="001A41B9" w:rsidRDefault="001A41B9" w14:paraId="38B7DB2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05E298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76BDDC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028354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1908AB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126182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D792DD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CE0684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0C27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55D86F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00F9948" w14:textId="77777777">
            <w:pPr>
              <w:pStyle w:val="p-table"/>
              <w:rPr>
                <w:sz w:val="13"/>
                <w:szCs w:val="13"/>
              </w:rPr>
            </w:pPr>
          </w:p>
        </w:tc>
      </w:tr>
      <w:tr w:rsidR="001A41B9" w:rsidTr="007433BE" w14:paraId="516A0168"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C579E80" w14:textId="77777777">
            <w:pPr>
              <w:pStyle w:val="p-table"/>
              <w:rPr>
                <w:sz w:val="13"/>
                <w:szCs w:val="13"/>
              </w:rPr>
            </w:pPr>
            <w:r w:rsidRPr="006F2FC4">
              <w:rPr>
                <w:b/>
                <w:sz w:val="13"/>
                <w:szCs w:val="13"/>
              </w:rPr>
              <w:t>Bekostiging</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685A90" w14:textId="77777777">
            <w:pPr>
              <w:pStyle w:val="p-table"/>
              <w:jc w:val="right"/>
              <w:rPr>
                <w:sz w:val="13"/>
                <w:szCs w:val="13"/>
              </w:rPr>
            </w:pPr>
            <w:r w:rsidRPr="006F2FC4">
              <w:rPr>
                <w:b/>
                <w:sz w:val="13"/>
                <w:szCs w:val="13"/>
              </w:rPr>
              <w:t>230.864</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666F36B"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95370C" w14:textId="77777777">
            <w:pPr>
              <w:pStyle w:val="p-table"/>
              <w:jc w:val="right"/>
              <w:rPr>
                <w:sz w:val="13"/>
                <w:szCs w:val="13"/>
              </w:rPr>
            </w:pPr>
            <w:r w:rsidRPr="006F2FC4">
              <w:rPr>
                <w:b/>
                <w:sz w:val="13"/>
                <w:szCs w:val="13"/>
              </w:rPr>
              <w:t>230.864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56DA5D9"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A802B2E" w14:textId="77777777">
            <w:pPr>
              <w:pStyle w:val="p-table"/>
              <w:jc w:val="right"/>
              <w:rPr>
                <w:sz w:val="13"/>
                <w:szCs w:val="13"/>
              </w:rPr>
            </w:pPr>
            <w:r w:rsidRPr="006F2FC4">
              <w:rPr>
                <w:b/>
                <w:sz w:val="13"/>
                <w:szCs w:val="13"/>
              </w:rPr>
              <w:t>247.263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2056A24"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4C5A62B"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D849737"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2A9F06B"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C793819" w14:textId="77777777">
            <w:pPr>
              <w:pStyle w:val="p-table"/>
              <w:jc w:val="right"/>
              <w:rPr>
                <w:sz w:val="13"/>
                <w:szCs w:val="13"/>
              </w:rPr>
            </w:pPr>
            <w:r w:rsidRPr="006F2FC4">
              <w:rPr>
                <w:b/>
                <w:sz w:val="13"/>
                <w:szCs w:val="13"/>
              </w:rPr>
              <w:t>247.263</w:t>
            </w:r>
          </w:p>
        </w:tc>
      </w:tr>
      <w:tr w:rsidR="001A41B9" w:rsidTr="007433BE" w14:paraId="08D1481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6AC4C307" w14:textId="77777777">
            <w:pPr>
              <w:pStyle w:val="p-table"/>
              <w:rPr>
                <w:sz w:val="13"/>
                <w:szCs w:val="13"/>
              </w:rPr>
            </w:pPr>
            <w:r w:rsidRPr="006F2FC4">
              <w:rPr>
                <w:sz w:val="13"/>
                <w:szCs w:val="13"/>
              </w:rPr>
              <w:t>Doorbelasten kosten vervolging</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97AD1FD" w14:textId="77777777">
            <w:pPr>
              <w:pStyle w:val="p-table"/>
              <w:jc w:val="right"/>
              <w:rPr>
                <w:sz w:val="13"/>
                <w:szCs w:val="13"/>
              </w:rPr>
            </w:pPr>
            <w:r w:rsidRPr="006F2FC4">
              <w:rPr>
                <w:sz w:val="13"/>
                <w:szCs w:val="13"/>
              </w:rPr>
              <w:t>230.864</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7D6A6B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0C658C1" w14:textId="77777777">
            <w:pPr>
              <w:pStyle w:val="p-table"/>
              <w:jc w:val="right"/>
              <w:rPr>
                <w:sz w:val="13"/>
                <w:szCs w:val="13"/>
              </w:rPr>
            </w:pPr>
            <w:r w:rsidRPr="006F2FC4">
              <w:rPr>
                <w:sz w:val="13"/>
                <w:szCs w:val="13"/>
              </w:rPr>
              <w:t>230.864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447A646"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BC2B42D" w14:textId="77777777">
            <w:pPr>
              <w:pStyle w:val="p-table"/>
              <w:jc w:val="right"/>
              <w:rPr>
                <w:sz w:val="13"/>
                <w:szCs w:val="13"/>
              </w:rPr>
            </w:pPr>
            <w:r w:rsidRPr="006F2FC4">
              <w:rPr>
                <w:sz w:val="13"/>
                <w:szCs w:val="13"/>
              </w:rPr>
              <w:t>247.263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872026"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5E9511C"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2D96A07"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9C553A0"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2260D1A" w14:textId="77777777">
            <w:pPr>
              <w:pStyle w:val="p-table"/>
              <w:jc w:val="right"/>
              <w:rPr>
                <w:sz w:val="13"/>
                <w:szCs w:val="13"/>
              </w:rPr>
            </w:pPr>
            <w:r w:rsidRPr="006F2FC4">
              <w:rPr>
                <w:sz w:val="13"/>
                <w:szCs w:val="13"/>
              </w:rPr>
              <w:t>247.263</w:t>
            </w:r>
          </w:p>
        </w:tc>
      </w:tr>
      <w:tr w:rsidR="001A41B9" w:rsidTr="007433BE" w14:paraId="2A874744"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FC80D5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B5027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32D46E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B070A4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8221C5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FA5E13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9BDC9E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0F6A0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0854BB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4B6B61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074C3C5" w14:textId="77777777">
            <w:pPr>
              <w:pStyle w:val="p-table"/>
              <w:rPr>
                <w:sz w:val="13"/>
                <w:szCs w:val="13"/>
              </w:rPr>
            </w:pPr>
          </w:p>
        </w:tc>
      </w:tr>
      <w:tr w:rsidR="001A41B9" w:rsidTr="007433BE" w14:paraId="548158A0"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2C5C85B" w14:textId="77777777">
            <w:pPr>
              <w:pStyle w:val="p-table"/>
              <w:rPr>
                <w:sz w:val="13"/>
                <w:szCs w:val="13"/>
              </w:rPr>
            </w:pPr>
            <w:r w:rsidRPr="006F2FC4">
              <w:rPr>
                <w:b/>
                <w:sz w:val="13"/>
                <w:szCs w:val="13"/>
              </w:rPr>
              <w:t>Rente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A41DEF" w14:textId="77777777">
            <w:pPr>
              <w:pStyle w:val="p-table"/>
              <w:jc w:val="right"/>
              <w:rPr>
                <w:sz w:val="13"/>
                <w:szCs w:val="13"/>
              </w:rPr>
            </w:pPr>
            <w:r w:rsidRPr="006F2FC4">
              <w:rPr>
                <w:b/>
                <w:sz w:val="13"/>
                <w:szCs w:val="13"/>
              </w:rPr>
              <w:t>996.647</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B1D094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3F8DBA1" w14:textId="77777777">
            <w:pPr>
              <w:pStyle w:val="p-table"/>
              <w:jc w:val="right"/>
              <w:rPr>
                <w:sz w:val="13"/>
                <w:szCs w:val="13"/>
              </w:rPr>
            </w:pPr>
            <w:r w:rsidRPr="006F2FC4">
              <w:rPr>
                <w:b/>
                <w:sz w:val="13"/>
                <w:szCs w:val="13"/>
              </w:rPr>
              <w:t>996.647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D0E813D" w14:textId="77777777">
            <w:pPr>
              <w:pStyle w:val="p-table"/>
              <w:jc w:val="right"/>
              <w:rPr>
                <w:sz w:val="13"/>
                <w:szCs w:val="13"/>
              </w:rPr>
            </w:pPr>
            <w:r w:rsidRPr="006F2FC4">
              <w:rPr>
                <w:b/>
                <w:sz w:val="13"/>
                <w:szCs w:val="13"/>
              </w:rPr>
              <w:t>‒ 32.986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080BB29" w14:textId="77777777">
            <w:pPr>
              <w:pStyle w:val="p-table"/>
              <w:jc w:val="right"/>
              <w:rPr>
                <w:sz w:val="13"/>
                <w:szCs w:val="13"/>
              </w:rPr>
            </w:pPr>
            <w:r w:rsidRPr="006F2FC4">
              <w:rPr>
                <w:b/>
                <w:sz w:val="13"/>
                <w:szCs w:val="13"/>
              </w:rPr>
              <w:t>963.661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598B7A2" w14:textId="77777777">
            <w:pPr>
              <w:pStyle w:val="p-table"/>
              <w:jc w:val="right"/>
              <w:rPr>
                <w:sz w:val="13"/>
                <w:szCs w:val="13"/>
              </w:rPr>
            </w:pPr>
            <w:r w:rsidRPr="006F2FC4">
              <w:rPr>
                <w:b/>
                <w:sz w:val="13"/>
                <w:szCs w:val="13"/>
              </w:rPr>
              <w:t>89.338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EC9B458" w14:textId="77777777">
            <w:pPr>
              <w:pStyle w:val="p-table"/>
              <w:jc w:val="right"/>
              <w:rPr>
                <w:sz w:val="13"/>
                <w:szCs w:val="13"/>
              </w:rPr>
            </w:pPr>
            <w:r w:rsidRPr="006F2FC4">
              <w:rPr>
                <w:b/>
                <w:sz w:val="13"/>
                <w:szCs w:val="13"/>
              </w:rPr>
              <w:t>90.505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B1867E4" w14:textId="77777777">
            <w:pPr>
              <w:pStyle w:val="p-table"/>
              <w:jc w:val="right"/>
              <w:rPr>
                <w:sz w:val="13"/>
                <w:szCs w:val="13"/>
              </w:rPr>
            </w:pPr>
            <w:r w:rsidRPr="006F2FC4">
              <w:rPr>
                <w:b/>
                <w:sz w:val="13"/>
                <w:szCs w:val="13"/>
              </w:rPr>
              <w:t>92.647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2565A17" w14:textId="77777777">
            <w:pPr>
              <w:pStyle w:val="p-table"/>
              <w:jc w:val="right"/>
              <w:rPr>
                <w:sz w:val="13"/>
                <w:szCs w:val="13"/>
              </w:rPr>
            </w:pPr>
            <w:r w:rsidRPr="006F2FC4">
              <w:rPr>
                <w:b/>
                <w:sz w:val="13"/>
                <w:szCs w:val="13"/>
              </w:rPr>
              <w:t>94.215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5CAEA0B" w14:textId="77777777">
            <w:pPr>
              <w:pStyle w:val="p-table"/>
              <w:jc w:val="right"/>
              <w:rPr>
                <w:sz w:val="13"/>
                <w:szCs w:val="13"/>
              </w:rPr>
            </w:pPr>
            <w:r w:rsidRPr="006F2FC4">
              <w:rPr>
                <w:b/>
                <w:sz w:val="13"/>
                <w:szCs w:val="13"/>
              </w:rPr>
              <w:t>1.058.128</w:t>
            </w:r>
          </w:p>
        </w:tc>
      </w:tr>
      <w:tr w:rsidR="001A41B9" w:rsidTr="007433BE" w14:paraId="3DA3D211"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131C78C" w14:textId="77777777">
            <w:pPr>
              <w:pStyle w:val="p-table"/>
              <w:rPr>
                <w:sz w:val="13"/>
                <w:szCs w:val="13"/>
              </w:rPr>
            </w:pPr>
            <w:r w:rsidRPr="006F2FC4">
              <w:rPr>
                <w:sz w:val="13"/>
                <w:szCs w:val="13"/>
              </w:rPr>
              <w:t>Belasting- en invorderingsrente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DC0FC08" w14:textId="77777777">
            <w:pPr>
              <w:pStyle w:val="p-table"/>
              <w:jc w:val="right"/>
              <w:rPr>
                <w:sz w:val="13"/>
                <w:szCs w:val="13"/>
              </w:rPr>
            </w:pPr>
            <w:r w:rsidRPr="006F2FC4">
              <w:rPr>
                <w:sz w:val="13"/>
                <w:szCs w:val="13"/>
              </w:rPr>
              <w:t>996.647</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F91A54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17DBF00" w14:textId="77777777">
            <w:pPr>
              <w:pStyle w:val="p-table"/>
              <w:jc w:val="right"/>
              <w:rPr>
                <w:sz w:val="13"/>
                <w:szCs w:val="13"/>
              </w:rPr>
            </w:pPr>
            <w:r w:rsidRPr="006F2FC4">
              <w:rPr>
                <w:sz w:val="13"/>
                <w:szCs w:val="13"/>
              </w:rPr>
              <w:t>996.647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0153DAA" w14:textId="77777777">
            <w:pPr>
              <w:pStyle w:val="p-table"/>
              <w:jc w:val="right"/>
              <w:rPr>
                <w:sz w:val="13"/>
                <w:szCs w:val="13"/>
              </w:rPr>
            </w:pPr>
            <w:r w:rsidRPr="006F2FC4">
              <w:rPr>
                <w:sz w:val="13"/>
                <w:szCs w:val="13"/>
              </w:rPr>
              <w:t>‒ 32.986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9EB745C" w14:textId="77777777">
            <w:pPr>
              <w:pStyle w:val="p-table"/>
              <w:jc w:val="right"/>
              <w:rPr>
                <w:sz w:val="13"/>
                <w:szCs w:val="13"/>
              </w:rPr>
            </w:pPr>
            <w:r w:rsidRPr="006F2FC4">
              <w:rPr>
                <w:sz w:val="13"/>
                <w:szCs w:val="13"/>
              </w:rPr>
              <w:t>963.661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8DB997B" w14:textId="77777777">
            <w:pPr>
              <w:pStyle w:val="p-table"/>
              <w:jc w:val="right"/>
              <w:rPr>
                <w:sz w:val="13"/>
                <w:szCs w:val="13"/>
              </w:rPr>
            </w:pPr>
            <w:r w:rsidRPr="006F2FC4">
              <w:rPr>
                <w:sz w:val="13"/>
                <w:szCs w:val="13"/>
              </w:rPr>
              <w:t>89.338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B9BD609" w14:textId="77777777">
            <w:pPr>
              <w:pStyle w:val="p-table"/>
              <w:jc w:val="right"/>
              <w:rPr>
                <w:sz w:val="13"/>
                <w:szCs w:val="13"/>
              </w:rPr>
            </w:pPr>
            <w:r w:rsidRPr="006F2FC4">
              <w:rPr>
                <w:sz w:val="13"/>
                <w:szCs w:val="13"/>
              </w:rPr>
              <w:t>90.505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46EBC48" w14:textId="77777777">
            <w:pPr>
              <w:pStyle w:val="p-table"/>
              <w:jc w:val="right"/>
              <w:rPr>
                <w:sz w:val="13"/>
                <w:szCs w:val="13"/>
              </w:rPr>
            </w:pPr>
            <w:r w:rsidRPr="006F2FC4">
              <w:rPr>
                <w:sz w:val="13"/>
                <w:szCs w:val="13"/>
              </w:rPr>
              <w:t>92.647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73A0C04" w14:textId="77777777">
            <w:pPr>
              <w:pStyle w:val="p-table"/>
              <w:jc w:val="right"/>
              <w:rPr>
                <w:sz w:val="13"/>
                <w:szCs w:val="13"/>
              </w:rPr>
            </w:pPr>
            <w:r w:rsidRPr="006F2FC4">
              <w:rPr>
                <w:sz w:val="13"/>
                <w:szCs w:val="13"/>
              </w:rPr>
              <w:t>94.215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EBEB03" w14:textId="77777777">
            <w:pPr>
              <w:pStyle w:val="p-table"/>
              <w:jc w:val="right"/>
              <w:rPr>
                <w:sz w:val="13"/>
                <w:szCs w:val="13"/>
              </w:rPr>
            </w:pPr>
            <w:r w:rsidRPr="006F2FC4">
              <w:rPr>
                <w:sz w:val="13"/>
                <w:szCs w:val="13"/>
              </w:rPr>
              <w:t>1.058.128</w:t>
            </w:r>
          </w:p>
        </w:tc>
      </w:tr>
      <w:tr w:rsidR="001A41B9" w:rsidTr="007433BE" w14:paraId="5D34B345"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0BEB94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D7CB1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5496FE7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ACA4D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D3BEFB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F68411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D968BC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37D9C3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4DE25E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95FB19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72C653D" w14:textId="77777777">
            <w:pPr>
              <w:pStyle w:val="p-table"/>
              <w:rPr>
                <w:sz w:val="13"/>
                <w:szCs w:val="13"/>
              </w:rPr>
            </w:pPr>
          </w:p>
        </w:tc>
      </w:tr>
      <w:tr w:rsidR="001A41B9" w:rsidTr="007433BE" w14:paraId="02917EBB" w14:textId="77777777">
        <w:tc>
          <w:tcPr>
            <w:tcW w:w="800" w:type="pct"/>
            <w:tcBorders>
              <w:bottom w:val="single" w:color="009EE0" w:sz="2" w:space="0"/>
            </w:tcBorders>
            <w:tcMar>
              <w:top w:w="22" w:type="dxa"/>
              <w:bottom w:w="22" w:type="dxa"/>
              <w:right w:w="28" w:type="dxa"/>
            </w:tcMar>
          </w:tcPr>
          <w:p w:rsidRPr="006F2FC4" w:rsidR="001A41B9" w:rsidP="001A41B9" w:rsidRDefault="001A41B9" w14:paraId="49CE3D4D" w14:textId="77777777">
            <w:pPr>
              <w:pStyle w:val="p-table"/>
              <w:rPr>
                <w:sz w:val="13"/>
                <w:szCs w:val="13"/>
              </w:rPr>
            </w:pPr>
            <w:r w:rsidRPr="006F2FC4">
              <w:rPr>
                <w:b/>
                <w:sz w:val="13"/>
                <w:szCs w:val="13"/>
              </w:rPr>
              <w:t>Boetes en schikkingen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81287A5" w14:textId="77777777">
            <w:pPr>
              <w:pStyle w:val="p-table"/>
              <w:jc w:val="right"/>
              <w:rPr>
                <w:sz w:val="13"/>
                <w:szCs w:val="13"/>
              </w:rPr>
            </w:pPr>
            <w:r w:rsidRPr="006F2FC4">
              <w:rPr>
                <w:b/>
                <w:sz w:val="13"/>
                <w:szCs w:val="13"/>
              </w:rPr>
              <w:t>253.641</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49EA8228"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49021BB" w14:textId="77777777">
            <w:pPr>
              <w:pStyle w:val="p-table"/>
              <w:jc w:val="right"/>
              <w:rPr>
                <w:sz w:val="13"/>
                <w:szCs w:val="13"/>
              </w:rPr>
            </w:pPr>
            <w:r w:rsidRPr="006F2FC4">
              <w:rPr>
                <w:b/>
                <w:sz w:val="13"/>
                <w:szCs w:val="13"/>
              </w:rPr>
              <w:t>253.641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6ADDAB" w14:textId="77777777">
            <w:pPr>
              <w:pStyle w:val="p-table"/>
              <w:jc w:val="right"/>
              <w:rPr>
                <w:sz w:val="13"/>
                <w:szCs w:val="13"/>
              </w:rPr>
            </w:pPr>
            <w:r w:rsidRPr="006F2FC4">
              <w:rPr>
                <w:b/>
                <w:sz w:val="13"/>
                <w:szCs w:val="13"/>
              </w:rPr>
              <w:t>52.230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C6E80C" w14:textId="77777777">
            <w:pPr>
              <w:pStyle w:val="p-table"/>
              <w:jc w:val="right"/>
              <w:rPr>
                <w:sz w:val="13"/>
                <w:szCs w:val="13"/>
              </w:rPr>
            </w:pPr>
            <w:r w:rsidRPr="006F2FC4">
              <w:rPr>
                <w:b/>
                <w:sz w:val="13"/>
                <w:szCs w:val="13"/>
              </w:rPr>
              <w:t>305.871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C10905" w14:textId="77777777">
            <w:pPr>
              <w:pStyle w:val="p-table"/>
              <w:jc w:val="right"/>
              <w:rPr>
                <w:sz w:val="13"/>
                <w:szCs w:val="13"/>
              </w:rPr>
            </w:pPr>
            <w:r w:rsidRPr="006F2FC4">
              <w:rPr>
                <w:b/>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383FDE7" w14:textId="77777777">
            <w:pPr>
              <w:pStyle w:val="p-table"/>
              <w:jc w:val="right"/>
              <w:rPr>
                <w:sz w:val="13"/>
                <w:szCs w:val="13"/>
              </w:rPr>
            </w:pPr>
            <w:r w:rsidRPr="006F2FC4">
              <w:rPr>
                <w:b/>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9B04EC6" w14:textId="77777777">
            <w:pPr>
              <w:pStyle w:val="p-table"/>
              <w:jc w:val="right"/>
              <w:rPr>
                <w:sz w:val="13"/>
                <w:szCs w:val="13"/>
              </w:rPr>
            </w:pPr>
            <w:r w:rsidRPr="006F2FC4">
              <w:rPr>
                <w:b/>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BCAE330" w14:textId="77777777">
            <w:pPr>
              <w:pStyle w:val="p-table"/>
              <w:jc w:val="right"/>
              <w:rPr>
                <w:sz w:val="13"/>
                <w:szCs w:val="13"/>
              </w:rPr>
            </w:pPr>
            <w:r w:rsidRPr="006F2FC4">
              <w:rPr>
                <w:b/>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17A796F" w14:textId="77777777">
            <w:pPr>
              <w:pStyle w:val="p-table"/>
              <w:jc w:val="right"/>
              <w:rPr>
                <w:sz w:val="13"/>
                <w:szCs w:val="13"/>
              </w:rPr>
            </w:pPr>
            <w:r w:rsidRPr="006F2FC4">
              <w:rPr>
                <w:b/>
                <w:sz w:val="13"/>
                <w:szCs w:val="13"/>
              </w:rPr>
              <w:t>278.641</w:t>
            </w:r>
          </w:p>
        </w:tc>
      </w:tr>
      <w:tr w:rsidR="001A41B9" w:rsidTr="007433BE" w14:paraId="33390BE9"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2B77286" w14:textId="77777777">
            <w:pPr>
              <w:pStyle w:val="p-table"/>
              <w:rPr>
                <w:sz w:val="13"/>
                <w:szCs w:val="13"/>
              </w:rPr>
            </w:pPr>
            <w:r w:rsidRPr="006F2FC4">
              <w:rPr>
                <w:sz w:val="13"/>
                <w:szCs w:val="13"/>
              </w:rPr>
              <w:t>Ontvangsten boetes en schikkingen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2B1470F" w14:textId="77777777">
            <w:pPr>
              <w:pStyle w:val="p-table"/>
              <w:jc w:val="right"/>
              <w:rPr>
                <w:sz w:val="13"/>
                <w:szCs w:val="13"/>
              </w:rPr>
            </w:pPr>
            <w:r w:rsidRPr="006F2FC4">
              <w:rPr>
                <w:sz w:val="13"/>
                <w:szCs w:val="13"/>
              </w:rPr>
              <w:t>253.641</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6000D2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B045613" w14:textId="77777777">
            <w:pPr>
              <w:pStyle w:val="p-table"/>
              <w:jc w:val="right"/>
              <w:rPr>
                <w:sz w:val="13"/>
                <w:szCs w:val="13"/>
              </w:rPr>
            </w:pPr>
            <w:r w:rsidRPr="006F2FC4">
              <w:rPr>
                <w:sz w:val="13"/>
                <w:szCs w:val="13"/>
              </w:rPr>
              <w:t>253.641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066DB64" w14:textId="77777777">
            <w:pPr>
              <w:pStyle w:val="p-table"/>
              <w:jc w:val="right"/>
              <w:rPr>
                <w:sz w:val="13"/>
                <w:szCs w:val="13"/>
              </w:rPr>
            </w:pPr>
            <w:r w:rsidRPr="006F2FC4">
              <w:rPr>
                <w:sz w:val="13"/>
                <w:szCs w:val="13"/>
              </w:rPr>
              <w:t>52.230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4FB3F8D" w14:textId="77777777">
            <w:pPr>
              <w:pStyle w:val="p-table"/>
              <w:jc w:val="right"/>
              <w:rPr>
                <w:sz w:val="13"/>
                <w:szCs w:val="13"/>
              </w:rPr>
            </w:pPr>
            <w:r w:rsidRPr="006F2FC4">
              <w:rPr>
                <w:sz w:val="13"/>
                <w:szCs w:val="13"/>
              </w:rPr>
              <w:t>305.871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5C1F537" w14:textId="77777777">
            <w:pPr>
              <w:pStyle w:val="p-table"/>
              <w:jc w:val="right"/>
              <w:rPr>
                <w:sz w:val="13"/>
                <w:szCs w:val="13"/>
              </w:rPr>
            </w:pPr>
            <w:r w:rsidRPr="006F2FC4">
              <w:rPr>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CE91586" w14:textId="77777777">
            <w:pPr>
              <w:pStyle w:val="p-table"/>
              <w:jc w:val="right"/>
              <w:rPr>
                <w:sz w:val="13"/>
                <w:szCs w:val="13"/>
              </w:rPr>
            </w:pPr>
            <w:r w:rsidRPr="006F2FC4">
              <w:rPr>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4EB87A6" w14:textId="77777777">
            <w:pPr>
              <w:pStyle w:val="p-table"/>
              <w:jc w:val="right"/>
              <w:rPr>
                <w:sz w:val="13"/>
                <w:szCs w:val="13"/>
              </w:rPr>
            </w:pPr>
            <w:r w:rsidRPr="006F2FC4">
              <w:rPr>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ABFE091" w14:textId="77777777">
            <w:pPr>
              <w:pStyle w:val="p-table"/>
              <w:jc w:val="right"/>
              <w:rPr>
                <w:sz w:val="13"/>
                <w:szCs w:val="13"/>
              </w:rPr>
            </w:pPr>
            <w:r w:rsidRPr="006F2FC4">
              <w:rPr>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E16FEC7" w14:textId="77777777">
            <w:pPr>
              <w:pStyle w:val="p-table"/>
              <w:jc w:val="right"/>
              <w:rPr>
                <w:sz w:val="13"/>
                <w:szCs w:val="13"/>
              </w:rPr>
            </w:pPr>
            <w:r w:rsidRPr="006F2FC4">
              <w:rPr>
                <w:sz w:val="13"/>
                <w:szCs w:val="13"/>
              </w:rPr>
              <w:t>278.641</w:t>
            </w:r>
          </w:p>
        </w:tc>
      </w:tr>
      <w:tr w:rsidR="001A41B9" w:rsidTr="007433BE" w14:paraId="2A4679EE"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E8AA78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4A0DF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C064C0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89F116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96AFE6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8AD629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EAB4FA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D1AD67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9A25A3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46ABDC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E003D8F" w14:textId="77777777">
            <w:pPr>
              <w:pStyle w:val="p-table"/>
              <w:rPr>
                <w:sz w:val="13"/>
                <w:szCs w:val="13"/>
              </w:rPr>
            </w:pPr>
          </w:p>
        </w:tc>
      </w:tr>
      <w:tr w:rsidR="001A41B9" w:rsidTr="007433BE" w14:paraId="56BFBB63" w14:textId="77777777">
        <w:tc>
          <w:tcPr>
            <w:tcW w:w="800" w:type="pct"/>
            <w:tcBorders>
              <w:bottom w:val="single" w:color="009EE0" w:sz="2" w:space="0"/>
            </w:tcBorders>
            <w:tcMar>
              <w:top w:w="22" w:type="dxa"/>
              <w:bottom w:w="22" w:type="dxa"/>
              <w:right w:w="28" w:type="dxa"/>
            </w:tcMar>
          </w:tcPr>
          <w:p w:rsidRPr="006F2FC4" w:rsidR="001A41B9" w:rsidP="001A41B9" w:rsidRDefault="001A41B9" w14:paraId="6CC07746" w14:textId="77777777">
            <w:pPr>
              <w:pStyle w:val="p-table"/>
              <w:rPr>
                <w:sz w:val="13"/>
                <w:szCs w:val="13"/>
              </w:rPr>
            </w:pPr>
            <w:r w:rsidRPr="006F2FC4">
              <w:rPr>
                <w:b/>
                <w:sz w:val="13"/>
                <w:szCs w:val="13"/>
              </w:rPr>
              <w:t>Apparaatsontvangsten (4)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EACB423" w14:textId="77777777">
            <w:pPr>
              <w:pStyle w:val="p-table"/>
              <w:jc w:val="right"/>
              <w:rPr>
                <w:sz w:val="13"/>
                <w:szCs w:val="13"/>
              </w:rPr>
            </w:pPr>
            <w:r w:rsidRPr="006F2FC4">
              <w:rPr>
                <w:b/>
                <w:sz w:val="13"/>
                <w:szCs w:val="13"/>
              </w:rPr>
              <w:t>123.678</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287785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2212C81" w14:textId="77777777">
            <w:pPr>
              <w:pStyle w:val="p-table"/>
              <w:jc w:val="right"/>
              <w:rPr>
                <w:sz w:val="13"/>
                <w:szCs w:val="13"/>
              </w:rPr>
            </w:pPr>
            <w:r w:rsidRPr="006F2FC4">
              <w:rPr>
                <w:b/>
                <w:sz w:val="13"/>
                <w:szCs w:val="13"/>
              </w:rPr>
              <w:t>123.678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DB5047E" w14:textId="77777777">
            <w:pPr>
              <w:pStyle w:val="p-table"/>
              <w:jc w:val="right"/>
              <w:rPr>
                <w:sz w:val="13"/>
                <w:szCs w:val="13"/>
              </w:rPr>
            </w:pPr>
            <w:r w:rsidRPr="006F2FC4">
              <w:rPr>
                <w:b/>
                <w:sz w:val="13"/>
                <w:szCs w:val="13"/>
              </w:rPr>
              <w:t>16.520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47A0F05" w14:textId="77777777">
            <w:pPr>
              <w:pStyle w:val="p-table"/>
              <w:jc w:val="right"/>
              <w:rPr>
                <w:sz w:val="13"/>
                <w:szCs w:val="13"/>
              </w:rPr>
            </w:pPr>
            <w:r w:rsidRPr="006F2FC4">
              <w:rPr>
                <w:b/>
                <w:sz w:val="13"/>
                <w:szCs w:val="13"/>
              </w:rPr>
              <w:t>140.198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99F03F7" w14:textId="77777777">
            <w:pPr>
              <w:pStyle w:val="p-table"/>
              <w:jc w:val="right"/>
              <w:rPr>
                <w:sz w:val="13"/>
                <w:szCs w:val="13"/>
              </w:rPr>
            </w:pPr>
            <w:r w:rsidRPr="006F2FC4">
              <w:rPr>
                <w:b/>
                <w:sz w:val="13"/>
                <w:szCs w:val="13"/>
              </w:rPr>
              <w:t>‒ 572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467E9B5" w14:textId="77777777">
            <w:pPr>
              <w:pStyle w:val="p-table"/>
              <w:jc w:val="right"/>
              <w:rPr>
                <w:sz w:val="13"/>
                <w:szCs w:val="13"/>
              </w:rPr>
            </w:pPr>
            <w:r w:rsidRPr="006F2FC4">
              <w:rPr>
                <w:b/>
                <w:sz w:val="13"/>
                <w:szCs w:val="13"/>
              </w:rPr>
              <w:t>‒ 1.056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17D8977" w14:textId="77777777">
            <w:pPr>
              <w:pStyle w:val="p-table"/>
              <w:jc w:val="right"/>
              <w:rPr>
                <w:sz w:val="13"/>
                <w:szCs w:val="13"/>
              </w:rPr>
            </w:pPr>
            <w:r w:rsidRPr="006F2FC4">
              <w:rPr>
                <w:b/>
                <w:sz w:val="13"/>
                <w:szCs w:val="13"/>
              </w:rPr>
              <w:t>‒ 3.187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0F635C" w14:textId="77777777">
            <w:pPr>
              <w:pStyle w:val="p-table"/>
              <w:jc w:val="right"/>
              <w:rPr>
                <w:sz w:val="13"/>
                <w:szCs w:val="13"/>
              </w:rPr>
            </w:pPr>
            <w:r w:rsidRPr="006F2FC4">
              <w:rPr>
                <w:b/>
                <w:sz w:val="13"/>
                <w:szCs w:val="13"/>
              </w:rPr>
              <w:t>‒ 6.262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163A50D" w14:textId="77777777">
            <w:pPr>
              <w:pStyle w:val="p-table"/>
              <w:jc w:val="right"/>
              <w:rPr>
                <w:sz w:val="13"/>
                <w:szCs w:val="13"/>
              </w:rPr>
            </w:pPr>
            <w:r w:rsidRPr="006F2FC4">
              <w:rPr>
                <w:b/>
                <w:sz w:val="13"/>
                <w:szCs w:val="13"/>
              </w:rPr>
              <w:t>77.608</w:t>
            </w:r>
          </w:p>
        </w:tc>
      </w:tr>
    </w:tbl>
    <w:p w:rsidR="00AE6DE7" w:rsidRDefault="00AE6DE7" w14:paraId="61F65CA5" w14:textId="77777777">
      <w:pPr>
        <w:pStyle w:val="p-marginbottom"/>
      </w:pP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568F0356" w14:textId="77777777">
        <w:trPr>
          <w:tblHeader/>
        </w:trPr>
        <w:tc>
          <w:tcPr>
            <w:tcW w:w="5000" w:type="pct"/>
            <w:gridSpan w:val="11"/>
            <w:tcMar>
              <w:top w:w="22" w:type="dxa"/>
              <w:left w:w="113" w:type="dxa"/>
              <w:bottom w:w="22" w:type="dxa"/>
            </w:tcMar>
          </w:tcPr>
          <w:p w:rsidR="0084290D" w:rsidRDefault="00CF5B93" w14:paraId="454A82F6" w14:textId="77777777">
            <w:pPr>
              <w:pStyle w:val="kio2-table-title"/>
            </w:pPr>
            <w:r>
              <w:t>Tabel 7 Uitsplitsing verplichtingen (bedragen € 1.000)</w:t>
            </w:r>
          </w:p>
        </w:tc>
      </w:tr>
      <w:tr w:rsidR="0084290D" w:rsidTr="007433BE" w14:paraId="5ECBFF43" w14:textId="77777777">
        <w:trPr>
          <w:tblHeader/>
        </w:trPr>
        <w:tc>
          <w:tcPr>
            <w:tcW w:w="1250" w:type="pct"/>
            <w:tcBorders>
              <w:top w:val="single" w:color="000000" w:sz="2" w:space="0"/>
              <w:bottom w:val="single" w:color="009EE0" w:sz="2" w:space="0"/>
            </w:tcBorders>
            <w:tcMar>
              <w:top w:w="28" w:type="dxa"/>
              <w:bottom w:w="28" w:type="dxa"/>
              <w:right w:w="28" w:type="dxa"/>
            </w:tcMar>
          </w:tcPr>
          <w:p w:rsidRPr="006F2FC4" w:rsidR="0084290D" w:rsidRDefault="00CF5B93" w14:paraId="477FF0A1" w14:textId="77777777">
            <w:pPr>
              <w:pStyle w:val="p-table"/>
              <w:rPr>
                <w:color w:val="000000"/>
                <w:sz w:val="13"/>
                <w:szCs w:val="13"/>
              </w:rPr>
            </w:pPr>
            <w:r w:rsidRPr="006F2FC4">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23F2A08"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C3C2AB5" w14:textId="77777777">
            <w:pPr>
              <w:pStyle w:val="p-table"/>
              <w:jc w:val="right"/>
              <w:rPr>
                <w:color w:val="000000"/>
                <w:sz w:val="13"/>
                <w:szCs w:val="13"/>
              </w:rPr>
            </w:pPr>
            <w:r w:rsidRPr="006F2FC4">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B3F2544" w14:textId="77777777">
            <w:pPr>
              <w:pStyle w:val="p-table"/>
              <w:jc w:val="right"/>
              <w:rPr>
                <w:color w:val="000000"/>
                <w:sz w:val="13"/>
                <w:szCs w:val="13"/>
              </w:rPr>
            </w:pPr>
            <w:r w:rsidRPr="006F2FC4">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0856E6E"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9EA4BCD"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C6AC926"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7B369D5"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8EFDE9B"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53BAC10"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D44ADCA" w14:textId="77777777">
            <w:pPr>
              <w:pStyle w:val="p-table"/>
              <w:jc w:val="right"/>
              <w:rPr>
                <w:color w:val="000000"/>
                <w:sz w:val="13"/>
                <w:szCs w:val="13"/>
              </w:rPr>
            </w:pPr>
            <w:r w:rsidRPr="006F2FC4">
              <w:rPr>
                <w:color w:val="000000"/>
                <w:sz w:val="13"/>
                <w:szCs w:val="13"/>
              </w:rPr>
              <w:t>Mutatie 2031</w:t>
            </w:r>
          </w:p>
        </w:tc>
      </w:tr>
      <w:tr w:rsidR="0084290D" w:rsidTr="007433BE" w14:paraId="61F260B9" w14:textId="77777777">
        <w:tc>
          <w:tcPr>
            <w:tcW w:w="1250" w:type="pct"/>
            <w:tcBorders>
              <w:bottom w:val="single" w:color="009EE0" w:sz="2" w:space="0"/>
            </w:tcBorders>
            <w:tcMar>
              <w:top w:w="22" w:type="dxa"/>
              <w:bottom w:w="22" w:type="dxa"/>
              <w:right w:w="28" w:type="dxa"/>
            </w:tcMar>
          </w:tcPr>
          <w:p w:rsidRPr="006F2FC4" w:rsidR="0084290D" w:rsidRDefault="00CF5B93" w14:paraId="530CA839" w14:textId="77777777">
            <w:pPr>
              <w:pStyle w:val="p-table"/>
              <w:rPr>
                <w:sz w:val="13"/>
                <w:szCs w:val="13"/>
              </w:rPr>
            </w:pPr>
            <w:r w:rsidRPr="006F2FC4">
              <w:rPr>
                <w:b/>
                <w:sz w:val="13"/>
                <w:szCs w:val="13"/>
              </w:rPr>
              <w:t>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9E685A" w14:textId="77777777">
            <w:pPr>
              <w:pStyle w:val="p-table"/>
              <w:jc w:val="right"/>
              <w:rPr>
                <w:sz w:val="13"/>
                <w:szCs w:val="13"/>
              </w:rPr>
            </w:pPr>
            <w:r w:rsidRPr="006F2FC4">
              <w:rPr>
                <w:b/>
                <w:sz w:val="13"/>
                <w:szCs w:val="13"/>
              </w:rPr>
              <w:t>3.867.953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160FC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67F8EC" w14:textId="77777777">
            <w:pPr>
              <w:pStyle w:val="p-table"/>
              <w:jc w:val="right"/>
              <w:rPr>
                <w:sz w:val="13"/>
                <w:szCs w:val="13"/>
              </w:rPr>
            </w:pPr>
            <w:r w:rsidRPr="006F2FC4">
              <w:rPr>
                <w:b/>
                <w:sz w:val="13"/>
                <w:szCs w:val="13"/>
              </w:rPr>
              <w:t>3.867.953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C52EFC" w14:textId="77777777">
            <w:pPr>
              <w:pStyle w:val="p-table"/>
              <w:jc w:val="right"/>
              <w:rPr>
                <w:sz w:val="13"/>
                <w:szCs w:val="13"/>
              </w:rPr>
            </w:pPr>
            <w:r w:rsidRPr="006F2FC4">
              <w:rPr>
                <w:b/>
                <w:sz w:val="13"/>
                <w:szCs w:val="13"/>
              </w:rPr>
              <w:t>252.376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A83B54" w14:textId="77777777">
            <w:pPr>
              <w:pStyle w:val="p-table"/>
              <w:jc w:val="right"/>
              <w:rPr>
                <w:sz w:val="13"/>
                <w:szCs w:val="13"/>
              </w:rPr>
            </w:pPr>
            <w:r w:rsidRPr="006F2FC4">
              <w:rPr>
                <w:b/>
                <w:sz w:val="13"/>
                <w:szCs w:val="13"/>
              </w:rPr>
              <w:t>4.120.329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2F8E187" w14:textId="77777777">
            <w:pPr>
              <w:pStyle w:val="p-table"/>
              <w:jc w:val="right"/>
              <w:rPr>
                <w:sz w:val="13"/>
                <w:szCs w:val="13"/>
              </w:rPr>
            </w:pPr>
            <w:r w:rsidRPr="006F2FC4">
              <w:rPr>
                <w:b/>
                <w:sz w:val="13"/>
                <w:szCs w:val="13"/>
              </w:rPr>
              <w:t>152.931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F0D3FC" w14:textId="77777777">
            <w:pPr>
              <w:pStyle w:val="p-table"/>
              <w:jc w:val="right"/>
              <w:rPr>
                <w:sz w:val="13"/>
                <w:szCs w:val="13"/>
              </w:rPr>
            </w:pPr>
            <w:r w:rsidRPr="006F2FC4">
              <w:rPr>
                <w:b/>
                <w:sz w:val="13"/>
                <w:szCs w:val="13"/>
              </w:rPr>
              <w:t>57.888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011927" w14:textId="77777777">
            <w:pPr>
              <w:pStyle w:val="p-table"/>
              <w:jc w:val="right"/>
              <w:rPr>
                <w:sz w:val="13"/>
                <w:szCs w:val="13"/>
              </w:rPr>
            </w:pPr>
            <w:r w:rsidRPr="006F2FC4">
              <w:rPr>
                <w:b/>
                <w:sz w:val="13"/>
                <w:szCs w:val="13"/>
              </w:rPr>
              <w:t>‒ 33.379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2EC642" w14:textId="77777777">
            <w:pPr>
              <w:pStyle w:val="p-table"/>
              <w:jc w:val="right"/>
              <w:rPr>
                <w:sz w:val="13"/>
                <w:szCs w:val="13"/>
              </w:rPr>
            </w:pPr>
            <w:r w:rsidRPr="006F2FC4">
              <w:rPr>
                <w:b/>
                <w:sz w:val="13"/>
                <w:szCs w:val="13"/>
              </w:rPr>
              <w:t>‒ 155.837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78B631" w14:textId="77777777">
            <w:pPr>
              <w:pStyle w:val="p-table"/>
              <w:jc w:val="right"/>
              <w:rPr>
                <w:sz w:val="13"/>
                <w:szCs w:val="13"/>
              </w:rPr>
            </w:pPr>
            <w:r w:rsidRPr="006F2FC4">
              <w:rPr>
                <w:b/>
                <w:sz w:val="13"/>
                <w:szCs w:val="13"/>
              </w:rPr>
              <w:t>3.365.384</w:t>
            </w:r>
          </w:p>
        </w:tc>
      </w:tr>
      <w:tr w:rsidR="0084290D" w:rsidTr="007433BE" w14:paraId="1009B522" w14:textId="77777777">
        <w:tc>
          <w:tcPr>
            <w:tcW w:w="1250" w:type="pct"/>
            <w:tcBorders>
              <w:bottom w:val="single" w:color="009EE0" w:sz="2" w:space="0"/>
            </w:tcBorders>
            <w:tcMar>
              <w:top w:w="22" w:type="dxa"/>
              <w:bottom w:w="22" w:type="dxa"/>
              <w:right w:w="28" w:type="dxa"/>
            </w:tcMar>
          </w:tcPr>
          <w:p w:rsidRPr="006F2FC4" w:rsidR="0084290D" w:rsidRDefault="00CF5B93" w14:paraId="2A757AD7" w14:textId="77777777">
            <w:pPr>
              <w:pStyle w:val="p-table"/>
              <w:rPr>
                <w:sz w:val="13"/>
                <w:szCs w:val="13"/>
              </w:rPr>
            </w:pPr>
            <w:r w:rsidRPr="006F2FC4">
              <w:rPr>
                <w:i/>
                <w:sz w:val="13"/>
                <w:szCs w:val="13"/>
              </w:rPr>
              <w:t>waarvan</w:t>
            </w:r>
            <w:r w:rsidRPr="006F2FC4">
              <w:rPr>
                <w:sz w:val="13"/>
                <w:szCs w:val="13"/>
              </w:rPr>
              <w:t xml:space="preserve"> garantieverplichtingen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F65794"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8AC1E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63E7000"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45B6D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8DDF47"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BB64B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1268C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C49F3D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C1CEB6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C80B0C2" w14:textId="77777777">
            <w:pPr>
              <w:pStyle w:val="p-table"/>
              <w:jc w:val="right"/>
              <w:rPr>
                <w:sz w:val="13"/>
                <w:szCs w:val="13"/>
              </w:rPr>
            </w:pPr>
            <w:r w:rsidRPr="006F2FC4">
              <w:rPr>
                <w:sz w:val="13"/>
                <w:szCs w:val="13"/>
              </w:rPr>
              <w:t>336</w:t>
            </w:r>
          </w:p>
        </w:tc>
      </w:tr>
      <w:tr w:rsidR="0084290D" w:rsidTr="007433BE" w14:paraId="4915C21D" w14:textId="77777777">
        <w:tc>
          <w:tcPr>
            <w:tcW w:w="1250" w:type="pct"/>
            <w:tcBorders>
              <w:bottom w:val="single" w:color="009EE0" w:sz="2" w:space="0"/>
            </w:tcBorders>
            <w:tcMar>
              <w:top w:w="22" w:type="dxa"/>
              <w:bottom w:w="22" w:type="dxa"/>
              <w:right w:w="28" w:type="dxa"/>
            </w:tcMar>
          </w:tcPr>
          <w:p w:rsidRPr="006F2FC4" w:rsidR="0084290D" w:rsidRDefault="00CF5B93" w14:paraId="5F7684BC" w14:textId="77777777">
            <w:pPr>
              <w:pStyle w:val="p-table"/>
              <w:rPr>
                <w:sz w:val="13"/>
                <w:szCs w:val="13"/>
              </w:rPr>
            </w:pPr>
            <w:r w:rsidRPr="006F2FC4">
              <w:rPr>
                <w:sz w:val="13"/>
                <w:szCs w:val="13"/>
              </w:rPr>
              <w:t>Garantie procesrisico's</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CF00A7"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58F72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0DC5D7"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6BB7E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7BD9D6"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60BF5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98080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77BAB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43216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3665D4A" w14:textId="77777777">
            <w:pPr>
              <w:pStyle w:val="p-table"/>
              <w:jc w:val="right"/>
              <w:rPr>
                <w:sz w:val="13"/>
                <w:szCs w:val="13"/>
              </w:rPr>
            </w:pPr>
            <w:r w:rsidRPr="006F2FC4">
              <w:rPr>
                <w:sz w:val="13"/>
                <w:szCs w:val="13"/>
              </w:rPr>
              <w:t>336</w:t>
            </w:r>
          </w:p>
        </w:tc>
      </w:tr>
      <w:tr w:rsidR="0084290D" w:rsidTr="007433BE" w14:paraId="47BF5226" w14:textId="77777777">
        <w:tc>
          <w:tcPr>
            <w:tcW w:w="1250" w:type="pct"/>
            <w:tcBorders>
              <w:bottom w:val="single" w:color="009EE0" w:sz="2" w:space="0"/>
            </w:tcBorders>
            <w:tcMar>
              <w:top w:w="22" w:type="dxa"/>
              <w:bottom w:w="22" w:type="dxa"/>
              <w:right w:w="28" w:type="dxa"/>
            </w:tcMar>
          </w:tcPr>
          <w:p w:rsidRPr="006F2FC4" w:rsidR="0084290D" w:rsidRDefault="00CF5B93" w14:paraId="62C4B164"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D647E2" w14:textId="77777777">
            <w:pPr>
              <w:pStyle w:val="p-table"/>
              <w:jc w:val="right"/>
              <w:rPr>
                <w:sz w:val="13"/>
                <w:szCs w:val="13"/>
              </w:rPr>
            </w:pPr>
            <w:r w:rsidRPr="006F2FC4">
              <w:rPr>
                <w:sz w:val="13"/>
                <w:szCs w:val="13"/>
              </w:rPr>
              <w:t>3.867.617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907AE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C8970F" w14:textId="77777777">
            <w:pPr>
              <w:pStyle w:val="p-table"/>
              <w:jc w:val="right"/>
              <w:rPr>
                <w:sz w:val="13"/>
                <w:szCs w:val="13"/>
              </w:rPr>
            </w:pPr>
            <w:r w:rsidRPr="006F2FC4">
              <w:rPr>
                <w:sz w:val="13"/>
                <w:szCs w:val="13"/>
              </w:rPr>
              <w:t>3.867.617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5C5806DE" w14:textId="77777777">
            <w:pPr>
              <w:pStyle w:val="p-table"/>
              <w:jc w:val="right"/>
              <w:rPr>
                <w:sz w:val="13"/>
                <w:szCs w:val="13"/>
              </w:rPr>
            </w:pPr>
            <w:r w:rsidRPr="006F2FC4">
              <w:rPr>
                <w:sz w:val="13"/>
                <w:szCs w:val="13"/>
              </w:rPr>
              <w:t>252.376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0C6C7C" w14:textId="77777777">
            <w:pPr>
              <w:pStyle w:val="p-table"/>
              <w:jc w:val="right"/>
              <w:rPr>
                <w:sz w:val="13"/>
                <w:szCs w:val="13"/>
              </w:rPr>
            </w:pPr>
            <w:r w:rsidRPr="006F2FC4">
              <w:rPr>
                <w:sz w:val="13"/>
                <w:szCs w:val="13"/>
              </w:rPr>
              <w:t>4.119.993</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AA91DC" w14:textId="77777777">
            <w:pPr>
              <w:pStyle w:val="p-table"/>
              <w:jc w:val="right"/>
              <w:rPr>
                <w:sz w:val="13"/>
                <w:szCs w:val="13"/>
              </w:rPr>
            </w:pPr>
            <w:r w:rsidRPr="006F2FC4">
              <w:rPr>
                <w:sz w:val="13"/>
                <w:szCs w:val="13"/>
              </w:rPr>
              <w:t>152.931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AA8354" w14:textId="77777777">
            <w:pPr>
              <w:pStyle w:val="p-table"/>
              <w:jc w:val="right"/>
              <w:rPr>
                <w:sz w:val="13"/>
                <w:szCs w:val="13"/>
              </w:rPr>
            </w:pPr>
            <w:r w:rsidRPr="006F2FC4">
              <w:rPr>
                <w:sz w:val="13"/>
                <w:szCs w:val="13"/>
              </w:rPr>
              <w:t>57.888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7D289F" w14:textId="77777777">
            <w:pPr>
              <w:pStyle w:val="p-table"/>
              <w:jc w:val="right"/>
              <w:rPr>
                <w:sz w:val="13"/>
                <w:szCs w:val="13"/>
              </w:rPr>
            </w:pPr>
            <w:r w:rsidRPr="006F2FC4">
              <w:rPr>
                <w:sz w:val="13"/>
                <w:szCs w:val="13"/>
              </w:rPr>
              <w:t>‒ 33.379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8C464F" w14:textId="77777777">
            <w:pPr>
              <w:pStyle w:val="p-table"/>
              <w:jc w:val="right"/>
              <w:rPr>
                <w:sz w:val="13"/>
                <w:szCs w:val="13"/>
              </w:rPr>
            </w:pPr>
            <w:r w:rsidRPr="006F2FC4">
              <w:rPr>
                <w:sz w:val="13"/>
                <w:szCs w:val="13"/>
              </w:rPr>
              <w:t>‒ 155.837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7229ED" w14:textId="77777777">
            <w:pPr>
              <w:pStyle w:val="p-table"/>
              <w:jc w:val="right"/>
              <w:rPr>
                <w:sz w:val="13"/>
                <w:szCs w:val="13"/>
              </w:rPr>
            </w:pPr>
            <w:r w:rsidRPr="006F2FC4">
              <w:rPr>
                <w:sz w:val="13"/>
                <w:szCs w:val="13"/>
              </w:rPr>
              <w:t>3.365.048</w:t>
            </w:r>
          </w:p>
        </w:tc>
      </w:tr>
    </w:tbl>
    <w:p w:rsidR="0084290D" w:rsidRDefault="0084290D" w14:paraId="11BF489C"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3288A373" w14:textId="77777777">
        <w:trPr>
          <w:tblHeader/>
        </w:trPr>
        <w:tc>
          <w:tcPr>
            <w:tcW w:w="5508" w:type="dxa"/>
            <w:gridSpan w:val="2"/>
            <w:tcMar>
              <w:top w:w="22" w:type="dxa"/>
              <w:left w:w="113" w:type="dxa"/>
              <w:bottom w:w="22" w:type="dxa"/>
            </w:tcMar>
          </w:tcPr>
          <w:p w:rsidR="0084290D" w:rsidRDefault="00CF5B93" w14:paraId="7251431D" w14:textId="77777777">
            <w:pPr>
              <w:pStyle w:val="kio2-table-title"/>
            </w:pPr>
            <w:r>
              <w:t>Tabel 8 Geschatte budgetflexibiliteit</w:t>
            </w:r>
            <w:r>
              <w:rPr>
                <w:vertAlign w:val="superscript"/>
              </w:rPr>
              <w:t>1</w:t>
            </w:r>
          </w:p>
        </w:tc>
      </w:tr>
      <w:tr w:rsidR="0084290D" w14:paraId="224E5AEE" w14:textId="77777777">
        <w:trPr>
          <w:tblHeader/>
        </w:trPr>
        <w:tc>
          <w:tcPr>
            <w:tcW w:w="2754" w:type="dxa"/>
            <w:tcBorders>
              <w:top w:val="single" w:color="000000" w:sz="2" w:space="0"/>
              <w:bottom w:val="single" w:color="009EE0" w:sz="2" w:space="0"/>
            </w:tcBorders>
            <w:tcMar>
              <w:top w:w="28" w:type="dxa"/>
              <w:bottom w:w="28" w:type="dxa"/>
              <w:right w:w="28" w:type="dxa"/>
            </w:tcMar>
          </w:tcPr>
          <w:p w:rsidRPr="006F2FC4" w:rsidR="0084290D" w:rsidRDefault="0084290D" w14:paraId="3EF34C9E"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16CF1B13" w14:textId="77777777">
            <w:pPr>
              <w:pStyle w:val="p-table"/>
              <w:jc w:val="right"/>
              <w:rPr>
                <w:color w:val="000000"/>
                <w:sz w:val="13"/>
                <w:szCs w:val="13"/>
              </w:rPr>
            </w:pPr>
            <w:r w:rsidRPr="006F2FC4">
              <w:rPr>
                <w:color w:val="000000"/>
                <w:sz w:val="13"/>
                <w:szCs w:val="13"/>
              </w:rPr>
              <w:t>2026</w:t>
            </w:r>
          </w:p>
        </w:tc>
      </w:tr>
      <w:tr w:rsidR="0084290D" w14:paraId="0241EB48" w14:textId="77777777">
        <w:tc>
          <w:tcPr>
            <w:tcW w:w="2754" w:type="dxa"/>
            <w:tcBorders>
              <w:bottom w:val="single" w:color="009EE0" w:sz="2" w:space="0"/>
            </w:tcBorders>
            <w:tcMar>
              <w:top w:w="22" w:type="dxa"/>
              <w:bottom w:w="22" w:type="dxa"/>
              <w:right w:w="28" w:type="dxa"/>
            </w:tcMar>
          </w:tcPr>
          <w:p w:rsidRPr="006F2FC4" w:rsidR="0084290D" w:rsidRDefault="00CF5B93" w14:paraId="33032AB0" w14:textId="77777777">
            <w:pPr>
              <w:pStyle w:val="p-table"/>
              <w:rPr>
                <w:sz w:val="13"/>
                <w:szCs w:val="13"/>
              </w:rPr>
            </w:pPr>
            <w:r w:rsidRPr="006F2FC4">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B896DB1" w14:textId="77777777">
            <w:pPr>
              <w:pStyle w:val="p-table"/>
              <w:jc w:val="right"/>
              <w:rPr>
                <w:sz w:val="13"/>
                <w:szCs w:val="13"/>
              </w:rPr>
            </w:pPr>
            <w:r w:rsidRPr="006F2FC4">
              <w:rPr>
                <w:sz w:val="13"/>
                <w:szCs w:val="13"/>
              </w:rPr>
              <w:t>45,8%</w:t>
            </w:r>
          </w:p>
        </w:tc>
      </w:tr>
      <w:tr w:rsidR="0084290D" w14:paraId="12A15ACC" w14:textId="77777777">
        <w:tc>
          <w:tcPr>
            <w:tcW w:w="2754" w:type="dxa"/>
            <w:tcBorders>
              <w:bottom w:val="single" w:color="009EE0" w:sz="2" w:space="0"/>
            </w:tcBorders>
            <w:tcMar>
              <w:top w:w="22" w:type="dxa"/>
              <w:bottom w:w="22" w:type="dxa"/>
              <w:right w:w="28" w:type="dxa"/>
            </w:tcMar>
          </w:tcPr>
          <w:p w:rsidRPr="006F2FC4" w:rsidR="0084290D" w:rsidRDefault="00CF5B93" w14:paraId="35EBE3AD" w14:textId="77777777">
            <w:pPr>
              <w:pStyle w:val="p-table"/>
              <w:rPr>
                <w:sz w:val="13"/>
                <w:szCs w:val="13"/>
              </w:rPr>
            </w:pPr>
            <w:r w:rsidRPr="006F2FC4">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358A385F" w14:textId="77777777">
            <w:pPr>
              <w:pStyle w:val="p-table"/>
              <w:jc w:val="right"/>
              <w:rPr>
                <w:sz w:val="13"/>
                <w:szCs w:val="13"/>
              </w:rPr>
            </w:pPr>
            <w:r w:rsidRPr="006F2FC4">
              <w:rPr>
                <w:sz w:val="13"/>
                <w:szCs w:val="13"/>
              </w:rPr>
              <w:t>3,4%</w:t>
            </w:r>
          </w:p>
        </w:tc>
      </w:tr>
      <w:tr w:rsidR="0084290D" w14:paraId="20EAEE70" w14:textId="77777777">
        <w:tc>
          <w:tcPr>
            <w:tcW w:w="2754" w:type="dxa"/>
            <w:tcBorders>
              <w:bottom w:val="single" w:color="009EE0" w:sz="2" w:space="0"/>
            </w:tcBorders>
            <w:tcMar>
              <w:top w:w="22" w:type="dxa"/>
              <w:bottom w:w="22" w:type="dxa"/>
              <w:right w:w="28" w:type="dxa"/>
            </w:tcMar>
          </w:tcPr>
          <w:p w:rsidRPr="006F2FC4" w:rsidR="0084290D" w:rsidRDefault="00CF5B93" w14:paraId="5325061F" w14:textId="77777777">
            <w:pPr>
              <w:pStyle w:val="p-table"/>
              <w:rPr>
                <w:sz w:val="13"/>
                <w:szCs w:val="13"/>
              </w:rPr>
            </w:pPr>
            <w:r w:rsidRPr="006F2FC4">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6F2FC4" w:rsidR="0084290D" w:rsidRDefault="00CF5B93" w14:paraId="4E68AE13" w14:textId="77777777">
            <w:pPr>
              <w:pStyle w:val="p-table"/>
              <w:jc w:val="right"/>
              <w:rPr>
                <w:sz w:val="13"/>
                <w:szCs w:val="13"/>
              </w:rPr>
            </w:pPr>
            <w:r w:rsidRPr="006F2FC4">
              <w:rPr>
                <w:sz w:val="13"/>
                <w:szCs w:val="13"/>
              </w:rPr>
              <w:t>50,8%</w:t>
            </w:r>
          </w:p>
        </w:tc>
      </w:tr>
      <w:tr w:rsidR="0084290D" w14:paraId="37DA06CC" w14:textId="77777777">
        <w:tc>
          <w:tcPr>
            <w:tcW w:w="2754" w:type="dxa"/>
            <w:tcBorders>
              <w:bottom w:val="single" w:color="009EE0" w:sz="2" w:space="0"/>
            </w:tcBorders>
            <w:tcMar>
              <w:top w:w="22" w:type="dxa"/>
              <w:bottom w:w="22" w:type="dxa"/>
              <w:right w:w="28" w:type="dxa"/>
            </w:tcMar>
          </w:tcPr>
          <w:p w:rsidRPr="006F2FC4" w:rsidR="0084290D" w:rsidRDefault="00CF5B93" w14:paraId="6FCA08DD"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34C2FFBF" w14:textId="77777777">
            <w:pPr>
              <w:pStyle w:val="p-table"/>
              <w:jc w:val="right"/>
              <w:rPr>
                <w:sz w:val="13"/>
                <w:szCs w:val="13"/>
              </w:rPr>
            </w:pPr>
            <w:r w:rsidRPr="006F2FC4">
              <w:rPr>
                <w:sz w:val="13"/>
                <w:szCs w:val="13"/>
              </w:rPr>
              <w:t>0,0%</w:t>
            </w:r>
          </w:p>
        </w:tc>
      </w:tr>
    </w:tbl>
    <w:p w:rsidR="0084290D" w:rsidRDefault="00CF5B93" w14:paraId="424393BB" w14:textId="77777777">
      <w:pPr>
        <w:pStyle w:val="p-footnote"/>
        <w:numPr>
          <w:ilvl w:val="0"/>
          <w:numId w:val="7"/>
        </w:numPr>
      </w:pPr>
      <w:r>
        <w:t>De berekende budgetflexibiliteit heeft alleen betrekking op de programma-uitgaven</w:t>
      </w:r>
    </w:p>
    <w:p w:rsidR="0084290D" w:rsidRDefault="0084290D" w14:paraId="35873BAF" w14:textId="77777777">
      <w:pPr>
        <w:pStyle w:val="p-marginbottom"/>
      </w:pPr>
    </w:p>
    <w:p w:rsidR="009665F5" w:rsidRDefault="009665F5" w14:paraId="3298C130" w14:textId="77777777">
      <w:pPr>
        <w:rPr>
          <w:b/>
          <w:sz w:val="17"/>
        </w:rPr>
      </w:pPr>
      <w:r>
        <w:br w:type="page"/>
      </w:r>
    </w:p>
    <w:p w:rsidR="0084290D" w:rsidRDefault="00CF5B93" w14:paraId="20097EBE" w14:textId="369CA5FE">
      <w:pPr>
        <w:pStyle w:val="header-h1"/>
      </w:pPr>
      <w:r>
        <w:lastRenderedPageBreak/>
        <w:t>Toelichting</w:t>
      </w:r>
    </w:p>
    <w:p w:rsidR="0084290D" w:rsidRDefault="0084290D" w14:paraId="27501485" w14:textId="77777777">
      <w:pPr>
        <w:pStyle w:val="p-marginbottom"/>
      </w:pPr>
    </w:p>
    <w:p w:rsidR="0084290D" w:rsidRDefault="00CF5B93" w14:paraId="462FEF75" w14:textId="77777777">
      <w:pPr>
        <w:pStyle w:val="header-h1"/>
      </w:pPr>
      <w:r>
        <w:t>Budgetflexibiliteit</w:t>
      </w:r>
    </w:p>
    <w:p w:rsidR="0084290D" w:rsidRDefault="00CF5B93" w14:paraId="38023DBC" w14:textId="77777777">
      <w:pPr>
        <w:pStyle w:val="p"/>
      </w:pPr>
      <w:r>
        <w:t>In 2026 is 45,8% van de programma-uitgaven van de Belastingdienst juridisch verplicht, 3,4% bestuurlijk gebonden en 50,8% beleidsmatig gereserveerd. Juridisch verplichte uitgaven, zijn uitgaven die in 2026 reeds gerealiseerd zijn. Daarnaast gaat het over uitgaven onder de rubriek «Rente», bijvoorbeeld door de Algemene wet inzake rijksbelastingen (</w:t>
      </w:r>
      <w:proofErr w:type="spellStart"/>
      <w:r>
        <w:t>Awr</w:t>
      </w:r>
      <w:proofErr w:type="spellEnd"/>
      <w:r>
        <w:t>) en de Invorderingswet 1990. Programma-uitgaven voor «Bijdragen aan ZBO's/RWT's», «Bijdragen aan (inter)nationale organisaties» en «Bijdragen aan agentschappen» zijn volledig bestuurlijk gebonden, tenzij ze al juridisch verplicht zijn door contracten. De bijdrage aan de Waarderingskamer is bestuurlijk gebonden op basis van de Wet WOZ. Voor het Kadaster en de Kamer van Koophandel bestaan samenwerkingsovereenkomsten voor gegevensuitwisseling met de Belastingdienst. Bij agentschappen en internationale organisaties zijn afspraken gemaakt over bijdragen en dienstverlening, waardoor deze uitgaven ook bestuurlijk gebonden zijn.</w:t>
      </w:r>
    </w:p>
    <w:p w:rsidR="0084290D" w:rsidRDefault="00CF5B93" w14:paraId="49073428" w14:textId="77777777">
      <w:pPr>
        <w:pStyle w:val="p"/>
      </w:pPr>
      <w:r>
        <w:t>De overige programma-uitgaven betreffen hoofdzakelijk «Opdrachten», die deels juridisch verplicht zijn bij vaststelling van de begroting, zoals contracten voor ICT, licenties, onderhoud en papieren dienstverlening. Over het algemeen zijn niet-juridisch verplichte uitgaven noodzakelijk voor een goede uitvoering van de primaire taken van de Belastingdienst.</w:t>
      </w:r>
    </w:p>
    <w:p w:rsidR="0084290D" w:rsidRDefault="00CF5B93" w14:paraId="3468BAB9" w14:textId="77777777">
      <w:pPr>
        <w:pStyle w:val="header-h1"/>
      </w:pPr>
      <w:r>
        <w:t>Verplichtingen en Uitgaven</w:t>
      </w:r>
    </w:p>
    <w:p w:rsidR="0084290D" w:rsidRDefault="0084290D" w14:paraId="30D01D08" w14:textId="77777777">
      <w:pPr>
        <w:pStyle w:val="p-marginbottom"/>
      </w:pPr>
    </w:p>
    <w:p w:rsidR="0084290D" w:rsidRDefault="00CF5B93" w14:paraId="3AF67CDF" w14:textId="77777777">
      <w:pPr>
        <w:pStyle w:val="header-h2"/>
      </w:pPr>
      <w:r>
        <w:t>Personele uitgaven</w:t>
      </w:r>
    </w:p>
    <w:p w:rsidR="0084290D" w:rsidRDefault="00CF5B93" w14:paraId="1D213CFF" w14:textId="77777777">
      <w:pPr>
        <w:pStyle w:val="p"/>
      </w:pPr>
      <w:r>
        <w:t>Het coalitieakkoord (CA) «Aan de slag» van het kabinet-Jetten bevat een taakstelling op de apparaatsuitgaven van de Rijksoverheid, zowel voor de kerndepartementen als voor de uitvoeringsorganisaties. Deze bestaat uit een efficiencytaakstelling (maatregel 61 uit het CA) en een taakstelling gericht op de vernieuwing van de rijksdienst en het versterken van een slagvaardige overheid (maatregel 62 uit het CA). In deze 1e suppletoire begroting wordt de taakstelling voor het ministerie van Financiën naar rato verdeeld over de verschillende dienstonderdelen. Voor de personele uitgaven van de Belastingdienst zijn in dit kader de volgende bedragen verwerkt: € 17,7 mln. in 2027, € 35,4 mln. in 2028, € 115,1 mln. in 2029 en € 224,5 mln. in 2030 en verder.</w:t>
      </w:r>
    </w:p>
    <w:p w:rsidR="0084290D" w:rsidRDefault="00CF5B93" w14:paraId="1F2DCF24" w14:textId="77777777">
      <w:pPr>
        <w:pStyle w:val="p"/>
      </w:pPr>
      <w:r>
        <w:t>Binnen de Belastingdienst vindt een herschikking van het eigen personeel plaats. Door de succesvolle werving van eigen medewerkers in de afgelopen jaren, waaronder het in vaste dienst nemen van veel ICT’ers en uitzendkrachten die werkzaam waren bij de inning, is de behoefte aan externe inhuur sterk verminderd. Budgettair betekent dit vanaf 2027 een ophoging van het budget voor eigen personeel en een verlaging van het budget op externe inhuur van € 33,5 mln., oplopend naar € 50 mln. in 2028 en latere jaren.</w:t>
      </w:r>
    </w:p>
    <w:p w:rsidR="0084290D" w:rsidRDefault="00CF5B93" w14:paraId="3B705D03" w14:textId="77777777">
      <w:pPr>
        <w:pStyle w:val="p"/>
      </w:pPr>
      <w:r>
        <w:t>Voor de uitvoering van specifieke projecten ontvangt de Belastingdienst in 2026 van Toeslagen Herstel € 47,9 mln., waarvan € 33,4 mln. voor uitvoeringskosten. Daarnaast ontvangt de Belastingdienst middelen vanuit de Aanvullende Post voor de uitvoering van het rechtsherstel Box 3. Dit betreft € 11 mln. in 2026 en € 70 mln. in 2027. Tevens wordt er in 2026 via de eindejaarsmarge een bedrag van € 11 mln. beschikbaar gesteld voor werkzaamheden op het gebied van herstel Box 3.</w:t>
      </w:r>
    </w:p>
    <w:p w:rsidR="0084290D" w:rsidRDefault="00CF5B93" w14:paraId="60AD1A20" w14:textId="77777777">
      <w:pPr>
        <w:pStyle w:val="header-h2"/>
      </w:pPr>
      <w:r>
        <w:t>Materiële uitgaven</w:t>
      </w:r>
    </w:p>
    <w:p w:rsidR="0084290D" w:rsidRDefault="00CF5B93" w14:paraId="6BD015E3" w14:textId="77777777">
      <w:pPr>
        <w:pStyle w:val="p"/>
      </w:pPr>
      <w:r>
        <w:t>Het budget voor materiële uitgaven van de Belastingdienst is in het kader van de taakstelling uit het coalitieakkoord «Aan de Slag» verlaagd. In deze 1e suppletoire begroting zijn hiervoor de volgende bedragen verwerkt: € 0,9 mln. in 2027, € 1,8 mln. in 2028, € 14 mln. in 2029 en € 27 mln. in 2030 en verder.</w:t>
      </w:r>
    </w:p>
    <w:p w:rsidR="009665F5" w:rsidRDefault="009665F5" w14:paraId="6A14E179" w14:textId="77777777">
      <w:pPr>
        <w:rPr>
          <w:sz w:val="17"/>
        </w:rPr>
      </w:pPr>
      <w:r>
        <w:br w:type="page"/>
      </w:r>
    </w:p>
    <w:p w:rsidR="0084290D" w:rsidRDefault="00CF5B93" w14:paraId="28E4A49F" w14:textId="293825F5">
      <w:pPr>
        <w:pStyle w:val="p"/>
      </w:pPr>
      <w:r>
        <w:lastRenderedPageBreak/>
        <w:t>De huisvestingsbudgetten worden vanaf 2026 structureel met € 16,4 mln. verhoogd, vanwege de stijgende tarieven van het Rijksvastgoedbedrijf (RVB). Daarnaast worden in 2026 de uitgaven voor de inzet van ketenpartners bij de uitvoering van UHT (Uitvoeringsorganisatie Herstel Toeslagen) vergoed. Dit betreft een herijking van de overhead en bedraagt € 18,7 mln.</w:t>
      </w:r>
    </w:p>
    <w:p w:rsidR="0084290D" w:rsidRDefault="00CF5B93" w14:paraId="668C24AD" w14:textId="1152B79D">
      <w:pPr>
        <w:pStyle w:val="p"/>
      </w:pPr>
      <w:r>
        <w:t>Verder is de structurele bijdrage van Dienst Toeslagen ten behoeve van overheaduitgaven voor het personeel bij de Belastingdienst herijkt. Hieruit is gebleken dat de structurele bijdrage €</w:t>
      </w:r>
      <w:r w:rsidR="001A41B9">
        <w:t xml:space="preserve"> </w:t>
      </w:r>
      <w:r>
        <w:t>15 mln. te hoog is, en is daarom dit budget naar Dienst Toeslagen overgeboekt.</w:t>
      </w:r>
    </w:p>
    <w:p w:rsidR="0084290D" w:rsidRDefault="00CF5B93" w14:paraId="2967F48A" w14:textId="77777777">
      <w:pPr>
        <w:pStyle w:val="p"/>
      </w:pPr>
      <w:r>
        <w:t>Voor de uitvoering van specifieke projecten ontvangt de Belastingdienst in 2026 van Toeslagen Herstel € 47,9 mln., waarvan € 11,7 mln. voor overheadkosten.</w:t>
      </w:r>
    </w:p>
    <w:p w:rsidR="0084290D" w:rsidRDefault="00CF5B93" w14:paraId="141D16FF" w14:textId="77777777">
      <w:pPr>
        <w:pStyle w:val="header-h2"/>
      </w:pPr>
      <w:r>
        <w:t>Opdrachten</w:t>
      </w:r>
    </w:p>
    <w:p w:rsidR="0084290D" w:rsidRDefault="00CF5B93" w14:paraId="3B07E557" w14:textId="77777777">
      <w:pPr>
        <w:pStyle w:val="p"/>
      </w:pPr>
      <w:r>
        <w:t>De Belastingdienst kent stijgende ICT-uitgaven. Oorzaken hiervoor zijn hoge prijsstijgingen voor soft- en hardware en de groeiende vraag naar uitbreiding van het ICT-landschap. Om dit tekort structureel op te lossen, wordt het ICT-budget met ingang van 2026 met € 40 mln. verhoogd. Daarnaast heeft er binnen de Belastingdienst een herschikking van budgetten plaatsgevonden. Dit levert een aanvulling op van € 35 mln. in 2027, € 40 mln. in 2028 en € 45 mln. in de daaropvolgende jaren.</w:t>
      </w:r>
    </w:p>
    <w:p w:rsidR="0084290D" w:rsidRDefault="00CF5B93" w14:paraId="38F616FE" w14:textId="77777777">
      <w:pPr>
        <w:pStyle w:val="p"/>
      </w:pPr>
      <w:r>
        <w:t>De tarieven van PostNL zijn het afgelopen jaar met 52% toegenomen. Om deze kostenstijging gedeeltelijk te compenseren, heeft de Belastingdienst het initiatief ‘Keuze Digitaal’ gestart, met als doel het postvolume te verminderen. Voor de resterende kostenstijging wordt het budget Overige opdrachten met € 24 mln. in 2026 verhoogd.</w:t>
      </w:r>
    </w:p>
    <w:p w:rsidR="0084290D" w:rsidRDefault="00CF5B93" w14:paraId="53DCE6B0" w14:textId="77777777">
      <w:pPr>
        <w:pStyle w:val="header-h2"/>
      </w:pPr>
      <w:r>
        <w:t>Rente</w:t>
      </w:r>
    </w:p>
    <w:p w:rsidR="0084290D" w:rsidRDefault="00CF5B93" w14:paraId="5C8AD4AA" w14:textId="77777777">
      <w:pPr>
        <w:pStyle w:val="p"/>
      </w:pPr>
      <w:r>
        <w:t>De uitgavenraming van de belasting- en invorderingsrente wordt geactualiseerd naar aanleiding van de nieuwe raming van de korte rente uit het Centraal Economisch Plan (CEP) van het Centraal Planbureau (CPB) en de realisatiecijfers uit 2025.</w:t>
      </w:r>
    </w:p>
    <w:p w:rsidR="0084290D" w:rsidRDefault="00CF5B93" w14:paraId="550D58B8" w14:textId="77777777">
      <w:pPr>
        <w:pStyle w:val="header-h1"/>
      </w:pPr>
      <w:r>
        <w:t>Ontvangsten</w:t>
      </w:r>
    </w:p>
    <w:p w:rsidR="0084290D" w:rsidRDefault="0084290D" w14:paraId="7C117850" w14:textId="77777777">
      <w:pPr>
        <w:pStyle w:val="p-marginbottom"/>
      </w:pPr>
    </w:p>
    <w:p w:rsidR="0084290D" w:rsidRDefault="00CF5B93" w14:paraId="45417D5D" w14:textId="77777777">
      <w:pPr>
        <w:pStyle w:val="header-h2"/>
      </w:pPr>
      <w:r>
        <w:t>Bekostiging</w:t>
      </w:r>
    </w:p>
    <w:p w:rsidR="0084290D" w:rsidRDefault="00CF5B93" w14:paraId="7C732CA0" w14:textId="77777777">
      <w:pPr>
        <w:pStyle w:val="p"/>
      </w:pPr>
      <w:r>
        <w:t>De ontvangstenraming van doorbelasten kosten vervolging (aanmaningen, dwangbevelen etc.) is bijgesteld naar aanleiding van de hogere realisaties in 2025 en indexatie van de Kostenwet invordering rijksbelastingen. Dit leidt structureel tot hogere verwachte ontvangsten.</w:t>
      </w:r>
    </w:p>
    <w:p w:rsidR="0084290D" w:rsidRDefault="00CF5B93" w14:paraId="69840024" w14:textId="77777777">
      <w:pPr>
        <w:pStyle w:val="header-h2"/>
      </w:pPr>
      <w:r>
        <w:t>Rente</w:t>
      </w:r>
    </w:p>
    <w:p w:rsidR="0084290D" w:rsidRDefault="00CF5B93" w14:paraId="08065566" w14:textId="77777777">
      <w:pPr>
        <w:pStyle w:val="p"/>
      </w:pPr>
      <w:r>
        <w:t>De ontvangstenraming van de belasting- en invorderingsrente wordt geactualiseerd naar aanleiding van de nieuwe raming van de korte rente uit het CEP van het CPB en de realisatiecijfers uit 2025, die ruim € 200 mln. hoger waren dan geraamd. Daarnaast heeft de Hoge Raad op 16 januari 2026 geoordeeld dat het verhoogde percentage belastingrente voor de vennootschapsbelasting en enige andere middelen, in strijd is met algemene rechtsbeginselen en heeft de bepaling waarmee het verhoogde percentage wordt geregeld onverbindend verklaard. Dit leidt ertoe dat deze belastingrente wordt verlaagd naar het reguliere belastingrentepercentage. Dit leidt in 2026 tot € 264 mln. lagere ontvangsten en € 145 mln. lagere ontvangsten in latere jaren.</w:t>
      </w:r>
    </w:p>
    <w:p w:rsidR="0084290D" w:rsidRDefault="00CF5B93" w14:paraId="7606E83E" w14:textId="77777777">
      <w:pPr>
        <w:pStyle w:val="header-h2"/>
      </w:pPr>
      <w:r>
        <w:t>Boetes en schikkingen</w:t>
      </w:r>
    </w:p>
    <w:p w:rsidR="0084290D" w:rsidRDefault="00CF5B93" w14:paraId="02088997" w14:textId="77777777">
      <w:pPr>
        <w:pStyle w:val="p"/>
      </w:pPr>
      <w:r>
        <w:t>De raming van de ontvangsten uit bestuurlijke boeten wordt verhoogd naar aanleiding van de hogere realisaties van het afgelopen jaar en de indexatie van het Besluit Bestuurlijke Boeten Belastingdienst.</w:t>
      </w:r>
    </w:p>
    <w:p w:rsidR="009665F5" w:rsidRDefault="009665F5" w14:paraId="2404C6B4" w14:textId="77777777">
      <w:pPr>
        <w:rPr>
          <w:i/>
          <w:sz w:val="17"/>
        </w:rPr>
      </w:pPr>
      <w:r>
        <w:br w:type="page"/>
      </w:r>
    </w:p>
    <w:p w:rsidR="0084290D" w:rsidRDefault="00CF5B93" w14:paraId="1C930B19" w14:textId="3E1AC503">
      <w:pPr>
        <w:pStyle w:val="header-h2"/>
      </w:pPr>
      <w:r>
        <w:lastRenderedPageBreak/>
        <w:t>Apparaatsontvangsten</w:t>
      </w:r>
    </w:p>
    <w:p w:rsidR="0084290D" w:rsidRDefault="00CF5B93" w14:paraId="501D7C20" w14:textId="77777777">
      <w:pPr>
        <w:pStyle w:val="p"/>
      </w:pPr>
      <w:r>
        <w:t>Het dienstonderdeel Organisatie &amp; Personeel voert werkzaamheden uit voor Binnenwerk (ministerie van BZK) in het kader van het invullen van de quotumdoelstelling voor Medewerkers Banenafspraak (MBA). Daarnaast verzorgt de Belastingdienst ICT-dienstverlening voor andere overheidsorganisaties. In totaal ontvangt de Belastingdienst hiervoor een vergoeding van € 10,3 mln.</w:t>
      </w:r>
    </w:p>
    <w:p w:rsidR="0084290D" w:rsidRDefault="00CF5B93" w14:paraId="162FB164" w14:textId="77777777">
      <w:pPr>
        <w:pStyle w:val="header-h2"/>
      </w:pPr>
      <w:r>
        <w:t>Belastingontvangsten</w:t>
      </w:r>
    </w:p>
    <w:p w:rsidR="0084290D" w:rsidRDefault="00CF5B93" w14:paraId="3EB51408" w14:textId="21FF30D8">
      <w:pPr>
        <w:pStyle w:val="p"/>
      </w:pPr>
      <w:r>
        <w:t xml:space="preserve">In de Voorjaarsnota 2026 worden de mutaties van de belastingontvangsten toegelicht in hoofdstuk </w:t>
      </w:r>
      <w:r w:rsidR="00D97FAD">
        <w:t>6</w:t>
      </w:r>
      <w:r>
        <w:t xml:space="preserve"> Inkomsten en uitgesplitst in bijlage </w:t>
      </w:r>
      <w:r w:rsidR="00D97FAD">
        <w:t>5</w:t>
      </w:r>
      <w:r>
        <w:t> Belasting- en premieontvangsten. De aansluiting met de Voorjaarsnota en de bedragen in de begrotingstoelichting (artikel 1 Belastingen, tabel budgettaire gevolgen van beleid) ziet er als volgt uit:</w:t>
      </w:r>
    </w:p>
    <w:tbl>
      <w:tblPr>
        <w:tblW w:w="5000" w:type="pct"/>
        <w:tblCellMar>
          <w:left w:w="10" w:type="dxa"/>
          <w:right w:w="10" w:type="dxa"/>
        </w:tblCellMar>
        <w:tblLook w:val="0000" w:firstRow="0" w:lastRow="0" w:firstColumn="0" w:lastColumn="0" w:noHBand="0" w:noVBand="0"/>
      </w:tblPr>
      <w:tblGrid>
        <w:gridCol w:w="2982"/>
        <w:gridCol w:w="1413"/>
        <w:gridCol w:w="1028"/>
        <w:gridCol w:w="1413"/>
        <w:gridCol w:w="1413"/>
        <w:gridCol w:w="1417"/>
      </w:tblGrid>
      <w:tr w:rsidR="0084290D" w:rsidTr="007433BE" w14:paraId="5D895AB8" w14:textId="77777777">
        <w:trPr>
          <w:tblHeader/>
        </w:trPr>
        <w:tc>
          <w:tcPr>
            <w:tcW w:w="5000" w:type="pct"/>
            <w:gridSpan w:val="6"/>
            <w:tcMar>
              <w:top w:w="22" w:type="dxa"/>
              <w:left w:w="113" w:type="dxa"/>
              <w:bottom w:w="22" w:type="dxa"/>
            </w:tcMar>
          </w:tcPr>
          <w:p w:rsidR="0084290D" w:rsidRDefault="00CF5B93" w14:paraId="43CE546B" w14:textId="77777777">
            <w:pPr>
              <w:pStyle w:val="kio2-table-title"/>
            </w:pPr>
            <w:r>
              <w:t>Tabel 9 Belastingontvangsten (bedragen x € 1.000)</w:t>
            </w:r>
          </w:p>
        </w:tc>
      </w:tr>
      <w:tr w:rsidR="0084290D" w:rsidTr="007433BE" w14:paraId="0E08D837" w14:textId="77777777">
        <w:trPr>
          <w:tblHeader/>
        </w:trPr>
        <w:tc>
          <w:tcPr>
            <w:tcW w:w="1542" w:type="pct"/>
            <w:tcBorders>
              <w:top w:val="single" w:color="000000" w:sz="2" w:space="0"/>
              <w:bottom w:val="single" w:color="009EE0" w:sz="2" w:space="0"/>
            </w:tcBorders>
            <w:tcMar>
              <w:top w:w="28" w:type="dxa"/>
              <w:bottom w:w="28" w:type="dxa"/>
              <w:right w:w="28" w:type="dxa"/>
            </w:tcMar>
          </w:tcPr>
          <w:p w:rsidRPr="006F2FC4" w:rsidR="0084290D" w:rsidRDefault="0084290D" w14:paraId="796A3A7A" w14:textId="77777777">
            <w:pPr>
              <w:pStyle w:val="p-table"/>
              <w:rPr>
                <w:color w:val="000000"/>
                <w:sz w:val="13"/>
                <w:szCs w:val="13"/>
              </w:rPr>
            </w:pPr>
          </w:p>
        </w:tc>
        <w:tc>
          <w:tcPr>
            <w:tcW w:w="73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B526143" w14:textId="77777777">
            <w:pPr>
              <w:pStyle w:val="p-table"/>
              <w:jc w:val="right"/>
              <w:rPr>
                <w:color w:val="000000"/>
                <w:sz w:val="13"/>
                <w:szCs w:val="13"/>
              </w:rPr>
            </w:pPr>
            <w:r w:rsidRPr="006F2FC4">
              <w:rPr>
                <w:color w:val="000000"/>
                <w:sz w:val="13"/>
                <w:szCs w:val="13"/>
              </w:rPr>
              <w:t>Ontwerpbegroting 2026</w:t>
            </w:r>
          </w:p>
        </w:tc>
        <w:tc>
          <w:tcPr>
            <w:tcW w:w="53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26A4CCA" w14:textId="77777777">
            <w:pPr>
              <w:pStyle w:val="p-table"/>
              <w:jc w:val="right"/>
              <w:rPr>
                <w:color w:val="000000"/>
                <w:sz w:val="13"/>
                <w:szCs w:val="13"/>
              </w:rPr>
            </w:pPr>
            <w:r w:rsidRPr="006F2FC4">
              <w:rPr>
                <w:color w:val="000000"/>
                <w:sz w:val="13"/>
                <w:szCs w:val="13"/>
              </w:rPr>
              <w:t>ISB's</w:t>
            </w:r>
          </w:p>
        </w:tc>
        <w:tc>
          <w:tcPr>
            <w:tcW w:w="73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310A830" w14:textId="77777777">
            <w:pPr>
              <w:pStyle w:val="p-table"/>
              <w:jc w:val="right"/>
              <w:rPr>
                <w:color w:val="000000"/>
                <w:sz w:val="13"/>
                <w:szCs w:val="13"/>
              </w:rPr>
            </w:pPr>
            <w:r w:rsidRPr="006F2FC4">
              <w:rPr>
                <w:color w:val="000000"/>
                <w:sz w:val="13"/>
                <w:szCs w:val="13"/>
              </w:rPr>
              <w:t>Vastgestelde begroting 2026 na ISB's (1)</w:t>
            </w:r>
          </w:p>
        </w:tc>
        <w:tc>
          <w:tcPr>
            <w:tcW w:w="73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1112C3B" w14:textId="77777777">
            <w:pPr>
              <w:pStyle w:val="p-table"/>
              <w:jc w:val="right"/>
              <w:rPr>
                <w:color w:val="000000"/>
                <w:sz w:val="13"/>
                <w:szCs w:val="13"/>
              </w:rPr>
            </w:pPr>
            <w:r w:rsidRPr="006F2FC4">
              <w:rPr>
                <w:color w:val="000000"/>
                <w:sz w:val="13"/>
                <w:szCs w:val="13"/>
              </w:rPr>
              <w:t>Mutatie 1</w:t>
            </w:r>
            <w:r w:rsidRPr="006F2FC4">
              <w:rPr>
                <w:color w:val="000000"/>
                <w:sz w:val="13"/>
                <w:szCs w:val="13"/>
                <w:vertAlign w:val="superscript"/>
              </w:rPr>
              <w:t>e</w:t>
            </w:r>
            <w:r w:rsidRPr="006F2FC4">
              <w:rPr>
                <w:color w:val="000000"/>
                <w:sz w:val="13"/>
                <w:szCs w:val="13"/>
              </w:rPr>
              <w:t xml:space="preserve"> suppletoire begroting (2)</w:t>
            </w:r>
          </w:p>
        </w:tc>
        <w:tc>
          <w:tcPr>
            <w:tcW w:w="73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ADA9166"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2026 (3) = (1+2)</w:t>
            </w:r>
          </w:p>
        </w:tc>
      </w:tr>
      <w:tr w:rsidR="0084290D" w:rsidTr="007433BE" w14:paraId="678F58F3" w14:textId="77777777">
        <w:tc>
          <w:tcPr>
            <w:tcW w:w="1542" w:type="pct"/>
            <w:tcMar>
              <w:top w:w="22" w:type="dxa"/>
              <w:bottom w:w="22" w:type="dxa"/>
              <w:right w:w="28" w:type="dxa"/>
            </w:tcMar>
            <w:vAlign w:val="center"/>
          </w:tcPr>
          <w:p w:rsidRPr="006F2FC4" w:rsidR="0084290D" w:rsidRDefault="00CF5B93" w14:paraId="045B6783" w14:textId="77777777">
            <w:pPr>
              <w:pStyle w:val="p-table"/>
              <w:rPr>
                <w:sz w:val="13"/>
                <w:szCs w:val="13"/>
              </w:rPr>
            </w:pPr>
            <w:r w:rsidRPr="006F2FC4">
              <w:rPr>
                <w:sz w:val="13"/>
                <w:szCs w:val="13"/>
              </w:rPr>
              <w:t>Totaal belastingontvangsten</w:t>
            </w:r>
          </w:p>
        </w:tc>
        <w:tc>
          <w:tcPr>
            <w:tcW w:w="731" w:type="pct"/>
            <w:tcMar>
              <w:top w:w="22" w:type="dxa"/>
              <w:left w:w="28" w:type="dxa"/>
              <w:bottom w:w="22" w:type="dxa"/>
              <w:right w:w="28" w:type="dxa"/>
            </w:tcMar>
            <w:vAlign w:val="center"/>
          </w:tcPr>
          <w:p w:rsidRPr="006F2FC4" w:rsidR="0084290D" w:rsidRDefault="00CF5B93" w14:paraId="419EC28A" w14:textId="77777777">
            <w:pPr>
              <w:pStyle w:val="p-table"/>
              <w:jc w:val="right"/>
              <w:rPr>
                <w:sz w:val="13"/>
                <w:szCs w:val="13"/>
              </w:rPr>
            </w:pPr>
            <w:r w:rsidRPr="006F2FC4">
              <w:rPr>
                <w:sz w:val="13"/>
                <w:szCs w:val="13"/>
              </w:rPr>
              <w:t>299.235.281</w:t>
            </w:r>
          </w:p>
        </w:tc>
        <w:tc>
          <w:tcPr>
            <w:tcW w:w="532" w:type="pct"/>
            <w:tcMar>
              <w:top w:w="22" w:type="dxa"/>
              <w:left w:w="28" w:type="dxa"/>
              <w:bottom w:w="22" w:type="dxa"/>
              <w:right w:w="28" w:type="dxa"/>
            </w:tcMar>
            <w:vAlign w:val="center"/>
          </w:tcPr>
          <w:p w:rsidRPr="006F2FC4" w:rsidR="0084290D" w:rsidRDefault="00CF5B93" w14:paraId="0299F995"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68088D9C" w14:textId="77777777">
            <w:pPr>
              <w:pStyle w:val="p-table"/>
              <w:jc w:val="right"/>
              <w:rPr>
                <w:sz w:val="13"/>
                <w:szCs w:val="13"/>
              </w:rPr>
            </w:pPr>
            <w:r w:rsidRPr="006F2FC4">
              <w:rPr>
                <w:sz w:val="13"/>
                <w:szCs w:val="13"/>
              </w:rPr>
              <w:t>299.235.281</w:t>
            </w:r>
          </w:p>
        </w:tc>
        <w:tc>
          <w:tcPr>
            <w:tcW w:w="731" w:type="pct"/>
            <w:tcMar>
              <w:top w:w="22" w:type="dxa"/>
              <w:left w:w="28" w:type="dxa"/>
              <w:bottom w:w="22" w:type="dxa"/>
              <w:right w:w="28" w:type="dxa"/>
            </w:tcMar>
            <w:vAlign w:val="center"/>
          </w:tcPr>
          <w:p w:rsidRPr="006F2FC4" w:rsidR="0084290D" w:rsidRDefault="00CF5B93" w14:paraId="2B2D9AA1" w14:textId="77777777">
            <w:pPr>
              <w:pStyle w:val="p-table"/>
              <w:jc w:val="right"/>
              <w:rPr>
                <w:sz w:val="13"/>
                <w:szCs w:val="13"/>
              </w:rPr>
            </w:pPr>
            <w:r w:rsidRPr="006F2FC4">
              <w:rPr>
                <w:sz w:val="13"/>
                <w:szCs w:val="13"/>
              </w:rPr>
              <w:t>‒ 847.658</w:t>
            </w:r>
          </w:p>
        </w:tc>
        <w:tc>
          <w:tcPr>
            <w:tcW w:w="731" w:type="pct"/>
            <w:tcMar>
              <w:top w:w="22" w:type="dxa"/>
              <w:left w:w="28" w:type="dxa"/>
              <w:bottom w:w="22" w:type="dxa"/>
              <w:right w:w="28" w:type="dxa"/>
            </w:tcMar>
            <w:vAlign w:val="center"/>
          </w:tcPr>
          <w:p w:rsidRPr="006F2FC4" w:rsidR="0084290D" w:rsidRDefault="00CF5B93" w14:paraId="0F91CDC3" w14:textId="77777777">
            <w:pPr>
              <w:pStyle w:val="p-table"/>
              <w:jc w:val="right"/>
              <w:rPr>
                <w:sz w:val="13"/>
                <w:szCs w:val="13"/>
              </w:rPr>
            </w:pPr>
            <w:r w:rsidRPr="006F2FC4">
              <w:rPr>
                <w:sz w:val="13"/>
                <w:szCs w:val="13"/>
              </w:rPr>
              <w:t>298.387.623</w:t>
            </w:r>
          </w:p>
        </w:tc>
      </w:tr>
      <w:tr w:rsidR="0084290D" w:rsidTr="007433BE" w14:paraId="139F35D5" w14:textId="77777777">
        <w:tc>
          <w:tcPr>
            <w:tcW w:w="1542" w:type="pct"/>
            <w:tcMar>
              <w:top w:w="22" w:type="dxa"/>
              <w:bottom w:w="22" w:type="dxa"/>
              <w:right w:w="28" w:type="dxa"/>
            </w:tcMar>
            <w:vAlign w:val="center"/>
          </w:tcPr>
          <w:p w:rsidRPr="006F2FC4" w:rsidR="0084290D" w:rsidRDefault="00CF5B93" w14:paraId="01545B71" w14:textId="77777777">
            <w:pPr>
              <w:pStyle w:val="p-table"/>
              <w:rPr>
                <w:sz w:val="13"/>
                <w:szCs w:val="13"/>
              </w:rPr>
            </w:pPr>
            <w:r w:rsidRPr="006F2FC4">
              <w:rPr>
                <w:sz w:val="13"/>
                <w:szCs w:val="13"/>
              </w:rPr>
              <w:t>– /– Afdracht Gemeentefonds</w:t>
            </w:r>
          </w:p>
        </w:tc>
        <w:tc>
          <w:tcPr>
            <w:tcW w:w="731" w:type="pct"/>
            <w:tcMar>
              <w:top w:w="22" w:type="dxa"/>
              <w:left w:w="28" w:type="dxa"/>
              <w:bottom w:w="22" w:type="dxa"/>
              <w:right w:w="28" w:type="dxa"/>
            </w:tcMar>
            <w:vAlign w:val="center"/>
          </w:tcPr>
          <w:p w:rsidRPr="006F2FC4" w:rsidR="0084290D" w:rsidRDefault="00CF5B93" w14:paraId="1C44A684" w14:textId="77777777">
            <w:pPr>
              <w:pStyle w:val="p-table"/>
              <w:jc w:val="right"/>
              <w:rPr>
                <w:sz w:val="13"/>
                <w:szCs w:val="13"/>
              </w:rPr>
            </w:pPr>
            <w:r w:rsidRPr="006F2FC4">
              <w:rPr>
                <w:sz w:val="13"/>
                <w:szCs w:val="13"/>
              </w:rPr>
              <w:t>47.525.903</w:t>
            </w:r>
          </w:p>
        </w:tc>
        <w:tc>
          <w:tcPr>
            <w:tcW w:w="532" w:type="pct"/>
            <w:tcMar>
              <w:top w:w="22" w:type="dxa"/>
              <w:left w:w="28" w:type="dxa"/>
              <w:bottom w:w="22" w:type="dxa"/>
              <w:right w:w="28" w:type="dxa"/>
            </w:tcMar>
            <w:vAlign w:val="center"/>
          </w:tcPr>
          <w:p w:rsidRPr="006F2FC4" w:rsidR="0084290D" w:rsidRDefault="00CF5B93" w14:paraId="10B4CCBB"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031ED873" w14:textId="77777777">
            <w:pPr>
              <w:pStyle w:val="p-table"/>
              <w:jc w:val="right"/>
              <w:rPr>
                <w:sz w:val="13"/>
                <w:szCs w:val="13"/>
              </w:rPr>
            </w:pPr>
            <w:r w:rsidRPr="006F2FC4">
              <w:rPr>
                <w:sz w:val="13"/>
                <w:szCs w:val="13"/>
              </w:rPr>
              <w:t>47.525.903</w:t>
            </w:r>
          </w:p>
        </w:tc>
        <w:tc>
          <w:tcPr>
            <w:tcW w:w="731" w:type="pct"/>
            <w:tcMar>
              <w:top w:w="22" w:type="dxa"/>
              <w:left w:w="28" w:type="dxa"/>
              <w:bottom w:w="22" w:type="dxa"/>
              <w:right w:w="28" w:type="dxa"/>
            </w:tcMar>
            <w:vAlign w:val="center"/>
          </w:tcPr>
          <w:p w:rsidRPr="006F2FC4" w:rsidR="0084290D" w:rsidRDefault="00CF5B93" w14:paraId="51625994" w14:textId="77777777">
            <w:pPr>
              <w:pStyle w:val="p-table"/>
              <w:jc w:val="right"/>
              <w:rPr>
                <w:sz w:val="13"/>
                <w:szCs w:val="13"/>
              </w:rPr>
            </w:pPr>
            <w:r w:rsidRPr="006F2FC4">
              <w:rPr>
                <w:sz w:val="13"/>
                <w:szCs w:val="13"/>
              </w:rPr>
              <w:t>430.024</w:t>
            </w:r>
          </w:p>
        </w:tc>
        <w:tc>
          <w:tcPr>
            <w:tcW w:w="731" w:type="pct"/>
            <w:tcMar>
              <w:top w:w="22" w:type="dxa"/>
              <w:left w:w="28" w:type="dxa"/>
              <w:bottom w:w="22" w:type="dxa"/>
              <w:right w:w="28" w:type="dxa"/>
            </w:tcMar>
            <w:vAlign w:val="center"/>
          </w:tcPr>
          <w:p w:rsidRPr="006F2FC4" w:rsidR="0084290D" w:rsidRDefault="00CF5B93" w14:paraId="451361E4" w14:textId="77777777">
            <w:pPr>
              <w:pStyle w:val="p-table"/>
              <w:jc w:val="right"/>
              <w:rPr>
                <w:sz w:val="13"/>
                <w:szCs w:val="13"/>
              </w:rPr>
            </w:pPr>
            <w:r w:rsidRPr="006F2FC4">
              <w:rPr>
                <w:sz w:val="13"/>
                <w:szCs w:val="13"/>
              </w:rPr>
              <w:t>47.955.927</w:t>
            </w:r>
          </w:p>
        </w:tc>
      </w:tr>
      <w:tr w:rsidR="0084290D" w:rsidTr="007433BE" w14:paraId="00179B96" w14:textId="77777777">
        <w:tc>
          <w:tcPr>
            <w:tcW w:w="1542" w:type="pct"/>
            <w:tcMar>
              <w:top w:w="22" w:type="dxa"/>
              <w:bottom w:w="22" w:type="dxa"/>
              <w:right w:w="28" w:type="dxa"/>
            </w:tcMar>
            <w:vAlign w:val="center"/>
          </w:tcPr>
          <w:p w:rsidRPr="006F2FC4" w:rsidR="0084290D" w:rsidRDefault="00CF5B93" w14:paraId="5DE0E33A" w14:textId="77777777">
            <w:pPr>
              <w:pStyle w:val="p-table"/>
              <w:rPr>
                <w:sz w:val="13"/>
                <w:szCs w:val="13"/>
              </w:rPr>
            </w:pPr>
            <w:r w:rsidRPr="006F2FC4">
              <w:rPr>
                <w:sz w:val="13"/>
                <w:szCs w:val="13"/>
              </w:rPr>
              <w:t>– /– Afdracht Provinciefonds</w:t>
            </w:r>
          </w:p>
        </w:tc>
        <w:tc>
          <w:tcPr>
            <w:tcW w:w="731" w:type="pct"/>
            <w:tcMar>
              <w:top w:w="22" w:type="dxa"/>
              <w:left w:w="28" w:type="dxa"/>
              <w:bottom w:w="22" w:type="dxa"/>
              <w:right w:w="28" w:type="dxa"/>
            </w:tcMar>
            <w:vAlign w:val="center"/>
          </w:tcPr>
          <w:p w:rsidRPr="006F2FC4" w:rsidR="0084290D" w:rsidRDefault="00CF5B93" w14:paraId="177A006A" w14:textId="77777777">
            <w:pPr>
              <w:pStyle w:val="p-table"/>
              <w:jc w:val="right"/>
              <w:rPr>
                <w:sz w:val="13"/>
                <w:szCs w:val="13"/>
              </w:rPr>
            </w:pPr>
            <w:r w:rsidRPr="006F2FC4">
              <w:rPr>
                <w:sz w:val="13"/>
                <w:szCs w:val="13"/>
              </w:rPr>
              <w:t>3.696.842</w:t>
            </w:r>
          </w:p>
        </w:tc>
        <w:tc>
          <w:tcPr>
            <w:tcW w:w="532" w:type="pct"/>
            <w:tcMar>
              <w:top w:w="22" w:type="dxa"/>
              <w:left w:w="28" w:type="dxa"/>
              <w:bottom w:w="22" w:type="dxa"/>
              <w:right w:w="28" w:type="dxa"/>
            </w:tcMar>
            <w:vAlign w:val="center"/>
          </w:tcPr>
          <w:p w:rsidRPr="006F2FC4" w:rsidR="0084290D" w:rsidRDefault="00CF5B93" w14:paraId="3E6E9BE7"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345FCC01" w14:textId="77777777">
            <w:pPr>
              <w:pStyle w:val="p-table"/>
              <w:jc w:val="right"/>
              <w:rPr>
                <w:sz w:val="13"/>
                <w:szCs w:val="13"/>
              </w:rPr>
            </w:pPr>
            <w:r w:rsidRPr="006F2FC4">
              <w:rPr>
                <w:sz w:val="13"/>
                <w:szCs w:val="13"/>
              </w:rPr>
              <w:t>3.696.842</w:t>
            </w:r>
          </w:p>
        </w:tc>
        <w:tc>
          <w:tcPr>
            <w:tcW w:w="731" w:type="pct"/>
            <w:tcMar>
              <w:top w:w="22" w:type="dxa"/>
              <w:left w:w="28" w:type="dxa"/>
              <w:bottom w:w="22" w:type="dxa"/>
              <w:right w:w="28" w:type="dxa"/>
            </w:tcMar>
            <w:vAlign w:val="center"/>
          </w:tcPr>
          <w:p w:rsidRPr="006F2FC4" w:rsidR="0084290D" w:rsidRDefault="00CF5B93" w14:paraId="5A220918" w14:textId="77777777">
            <w:pPr>
              <w:pStyle w:val="p-table"/>
              <w:jc w:val="right"/>
              <w:rPr>
                <w:sz w:val="13"/>
                <w:szCs w:val="13"/>
              </w:rPr>
            </w:pPr>
            <w:r w:rsidRPr="006F2FC4">
              <w:rPr>
                <w:sz w:val="13"/>
                <w:szCs w:val="13"/>
              </w:rPr>
              <w:t>273.350</w:t>
            </w:r>
          </w:p>
        </w:tc>
        <w:tc>
          <w:tcPr>
            <w:tcW w:w="731" w:type="pct"/>
            <w:tcMar>
              <w:top w:w="22" w:type="dxa"/>
              <w:left w:w="28" w:type="dxa"/>
              <w:bottom w:w="22" w:type="dxa"/>
              <w:right w:w="28" w:type="dxa"/>
            </w:tcMar>
            <w:vAlign w:val="center"/>
          </w:tcPr>
          <w:p w:rsidRPr="006F2FC4" w:rsidR="0084290D" w:rsidRDefault="00CF5B93" w14:paraId="66C3C98A" w14:textId="77777777">
            <w:pPr>
              <w:pStyle w:val="p-table"/>
              <w:jc w:val="right"/>
              <w:rPr>
                <w:sz w:val="13"/>
                <w:szCs w:val="13"/>
              </w:rPr>
            </w:pPr>
            <w:r w:rsidRPr="006F2FC4">
              <w:rPr>
                <w:sz w:val="13"/>
                <w:szCs w:val="13"/>
              </w:rPr>
              <w:t>3.970.192</w:t>
            </w:r>
          </w:p>
        </w:tc>
      </w:tr>
      <w:tr w:rsidR="0084290D" w:rsidTr="007433BE" w14:paraId="612969FE" w14:textId="77777777">
        <w:tc>
          <w:tcPr>
            <w:tcW w:w="1542" w:type="pct"/>
            <w:tcMar>
              <w:top w:w="22" w:type="dxa"/>
              <w:bottom w:w="22" w:type="dxa"/>
              <w:right w:w="28" w:type="dxa"/>
            </w:tcMar>
            <w:vAlign w:val="center"/>
          </w:tcPr>
          <w:p w:rsidRPr="006F2FC4" w:rsidR="0084290D" w:rsidRDefault="00CF5B93" w14:paraId="24B884EA" w14:textId="77777777">
            <w:pPr>
              <w:pStyle w:val="p-table"/>
              <w:rPr>
                <w:sz w:val="13"/>
                <w:szCs w:val="13"/>
              </w:rPr>
            </w:pPr>
            <w:r w:rsidRPr="006F2FC4">
              <w:rPr>
                <w:sz w:val="13"/>
                <w:szCs w:val="13"/>
              </w:rPr>
              <w:t>– /– Afdracht BES-fonds</w:t>
            </w:r>
          </w:p>
        </w:tc>
        <w:tc>
          <w:tcPr>
            <w:tcW w:w="731" w:type="pct"/>
            <w:tcMar>
              <w:top w:w="22" w:type="dxa"/>
              <w:left w:w="28" w:type="dxa"/>
              <w:bottom w:w="22" w:type="dxa"/>
              <w:right w:w="28" w:type="dxa"/>
            </w:tcMar>
            <w:vAlign w:val="center"/>
          </w:tcPr>
          <w:p w:rsidRPr="006F2FC4" w:rsidR="0084290D" w:rsidRDefault="00CF5B93" w14:paraId="55CFBA0F" w14:textId="77777777">
            <w:pPr>
              <w:pStyle w:val="p-table"/>
              <w:jc w:val="right"/>
              <w:rPr>
                <w:sz w:val="13"/>
                <w:szCs w:val="13"/>
              </w:rPr>
            </w:pPr>
            <w:r w:rsidRPr="006F2FC4">
              <w:rPr>
                <w:sz w:val="13"/>
                <w:szCs w:val="13"/>
              </w:rPr>
              <w:t>95.808</w:t>
            </w:r>
          </w:p>
        </w:tc>
        <w:tc>
          <w:tcPr>
            <w:tcW w:w="532" w:type="pct"/>
            <w:tcMar>
              <w:top w:w="22" w:type="dxa"/>
              <w:left w:w="28" w:type="dxa"/>
              <w:bottom w:w="22" w:type="dxa"/>
              <w:right w:w="28" w:type="dxa"/>
            </w:tcMar>
            <w:vAlign w:val="center"/>
          </w:tcPr>
          <w:p w:rsidRPr="006F2FC4" w:rsidR="0084290D" w:rsidRDefault="00CF5B93" w14:paraId="1D21A9A4"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2F75CA67" w14:textId="77777777">
            <w:pPr>
              <w:pStyle w:val="p-table"/>
              <w:jc w:val="right"/>
              <w:rPr>
                <w:sz w:val="13"/>
                <w:szCs w:val="13"/>
              </w:rPr>
            </w:pPr>
            <w:r w:rsidRPr="006F2FC4">
              <w:rPr>
                <w:sz w:val="13"/>
                <w:szCs w:val="13"/>
              </w:rPr>
              <w:t>95.808</w:t>
            </w:r>
          </w:p>
        </w:tc>
        <w:tc>
          <w:tcPr>
            <w:tcW w:w="731" w:type="pct"/>
            <w:tcMar>
              <w:top w:w="22" w:type="dxa"/>
              <w:left w:w="28" w:type="dxa"/>
              <w:bottom w:w="22" w:type="dxa"/>
              <w:right w:w="28" w:type="dxa"/>
            </w:tcMar>
            <w:vAlign w:val="center"/>
          </w:tcPr>
          <w:p w:rsidRPr="006F2FC4" w:rsidR="0084290D" w:rsidRDefault="00CF5B93" w14:paraId="54E29261" w14:textId="77777777">
            <w:pPr>
              <w:pStyle w:val="p-table"/>
              <w:jc w:val="right"/>
              <w:rPr>
                <w:sz w:val="13"/>
                <w:szCs w:val="13"/>
              </w:rPr>
            </w:pPr>
            <w:r w:rsidRPr="006F2FC4">
              <w:rPr>
                <w:sz w:val="13"/>
                <w:szCs w:val="13"/>
              </w:rPr>
              <w:t>‒ 1.163</w:t>
            </w:r>
          </w:p>
        </w:tc>
        <w:tc>
          <w:tcPr>
            <w:tcW w:w="731" w:type="pct"/>
            <w:tcMar>
              <w:top w:w="22" w:type="dxa"/>
              <w:left w:w="28" w:type="dxa"/>
              <w:bottom w:w="22" w:type="dxa"/>
              <w:right w:w="28" w:type="dxa"/>
            </w:tcMar>
            <w:vAlign w:val="center"/>
          </w:tcPr>
          <w:p w:rsidRPr="006F2FC4" w:rsidR="0084290D" w:rsidRDefault="00CF5B93" w14:paraId="13167F96" w14:textId="77777777">
            <w:pPr>
              <w:pStyle w:val="p-table"/>
              <w:jc w:val="right"/>
              <w:rPr>
                <w:sz w:val="13"/>
                <w:szCs w:val="13"/>
              </w:rPr>
            </w:pPr>
            <w:r w:rsidRPr="006F2FC4">
              <w:rPr>
                <w:sz w:val="13"/>
                <w:szCs w:val="13"/>
              </w:rPr>
              <w:t>94.645</w:t>
            </w:r>
          </w:p>
        </w:tc>
      </w:tr>
      <w:tr w:rsidR="0084290D" w:rsidTr="007433BE" w14:paraId="34C3F611" w14:textId="77777777">
        <w:tc>
          <w:tcPr>
            <w:tcW w:w="1542" w:type="pct"/>
            <w:tcMar>
              <w:top w:w="22" w:type="dxa"/>
              <w:bottom w:w="22" w:type="dxa"/>
              <w:right w:w="28" w:type="dxa"/>
            </w:tcMar>
            <w:vAlign w:val="center"/>
          </w:tcPr>
          <w:p w:rsidRPr="006F2FC4" w:rsidR="0084290D" w:rsidRDefault="00CF5B93" w14:paraId="0CD42093" w14:textId="77777777">
            <w:pPr>
              <w:pStyle w:val="p-table"/>
              <w:rPr>
                <w:sz w:val="13"/>
                <w:szCs w:val="13"/>
              </w:rPr>
            </w:pPr>
            <w:r w:rsidRPr="006F2FC4">
              <w:rPr>
                <w:sz w:val="13"/>
                <w:szCs w:val="13"/>
              </w:rPr>
              <w:t>– /– Belastingontvangsten artikel 6 Btw-compensatiefonds</w:t>
            </w:r>
          </w:p>
        </w:tc>
        <w:tc>
          <w:tcPr>
            <w:tcW w:w="731" w:type="pct"/>
            <w:tcMar>
              <w:top w:w="22" w:type="dxa"/>
              <w:left w:w="28" w:type="dxa"/>
              <w:bottom w:w="22" w:type="dxa"/>
              <w:right w:w="28" w:type="dxa"/>
            </w:tcMar>
            <w:vAlign w:val="center"/>
          </w:tcPr>
          <w:p w:rsidRPr="006F2FC4" w:rsidR="0084290D" w:rsidRDefault="00CF5B93" w14:paraId="40F25F13" w14:textId="77777777">
            <w:pPr>
              <w:pStyle w:val="p-table"/>
              <w:jc w:val="right"/>
              <w:rPr>
                <w:sz w:val="13"/>
                <w:szCs w:val="13"/>
              </w:rPr>
            </w:pPr>
            <w:r w:rsidRPr="006F2FC4">
              <w:rPr>
                <w:sz w:val="13"/>
                <w:szCs w:val="13"/>
              </w:rPr>
              <w:t>4.481.648</w:t>
            </w:r>
          </w:p>
        </w:tc>
        <w:tc>
          <w:tcPr>
            <w:tcW w:w="532" w:type="pct"/>
            <w:tcMar>
              <w:top w:w="22" w:type="dxa"/>
              <w:left w:w="28" w:type="dxa"/>
              <w:bottom w:w="22" w:type="dxa"/>
              <w:right w:w="28" w:type="dxa"/>
            </w:tcMar>
            <w:vAlign w:val="center"/>
          </w:tcPr>
          <w:p w:rsidRPr="006F2FC4" w:rsidR="0084290D" w:rsidRDefault="00CF5B93" w14:paraId="2D36342B"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137C2E6A" w14:textId="77777777">
            <w:pPr>
              <w:pStyle w:val="p-table"/>
              <w:jc w:val="right"/>
              <w:rPr>
                <w:sz w:val="13"/>
                <w:szCs w:val="13"/>
              </w:rPr>
            </w:pPr>
            <w:r w:rsidRPr="006F2FC4">
              <w:rPr>
                <w:sz w:val="13"/>
                <w:szCs w:val="13"/>
              </w:rPr>
              <w:t>4.481.648</w:t>
            </w:r>
          </w:p>
        </w:tc>
        <w:tc>
          <w:tcPr>
            <w:tcW w:w="731" w:type="pct"/>
            <w:tcMar>
              <w:top w:w="22" w:type="dxa"/>
              <w:left w:w="28" w:type="dxa"/>
              <w:bottom w:w="22" w:type="dxa"/>
              <w:right w:w="28" w:type="dxa"/>
            </w:tcMar>
            <w:vAlign w:val="center"/>
          </w:tcPr>
          <w:p w:rsidRPr="006F2FC4" w:rsidR="0084290D" w:rsidRDefault="00CF5B93" w14:paraId="1E0D555A" w14:textId="77777777">
            <w:pPr>
              <w:pStyle w:val="p-table"/>
              <w:jc w:val="right"/>
              <w:rPr>
                <w:sz w:val="13"/>
                <w:szCs w:val="13"/>
              </w:rPr>
            </w:pPr>
            <w:r w:rsidRPr="006F2FC4">
              <w:rPr>
                <w:sz w:val="13"/>
                <w:szCs w:val="13"/>
              </w:rPr>
              <w:t>10.795</w:t>
            </w:r>
          </w:p>
        </w:tc>
        <w:tc>
          <w:tcPr>
            <w:tcW w:w="731" w:type="pct"/>
            <w:tcMar>
              <w:top w:w="22" w:type="dxa"/>
              <w:left w:w="28" w:type="dxa"/>
              <w:bottom w:w="22" w:type="dxa"/>
              <w:right w:w="28" w:type="dxa"/>
            </w:tcMar>
            <w:vAlign w:val="center"/>
          </w:tcPr>
          <w:p w:rsidRPr="006F2FC4" w:rsidR="0084290D" w:rsidRDefault="00CF5B93" w14:paraId="0090240F" w14:textId="77777777">
            <w:pPr>
              <w:pStyle w:val="p-table"/>
              <w:jc w:val="right"/>
              <w:rPr>
                <w:sz w:val="13"/>
                <w:szCs w:val="13"/>
              </w:rPr>
            </w:pPr>
            <w:r w:rsidRPr="006F2FC4">
              <w:rPr>
                <w:sz w:val="13"/>
                <w:szCs w:val="13"/>
              </w:rPr>
              <w:t>4.492.443</w:t>
            </w:r>
          </w:p>
        </w:tc>
      </w:tr>
      <w:tr w:rsidR="0084290D" w:rsidTr="007433BE" w14:paraId="732AE270" w14:textId="77777777">
        <w:tc>
          <w:tcPr>
            <w:tcW w:w="1542" w:type="pct"/>
            <w:tcMar>
              <w:top w:w="22" w:type="dxa"/>
              <w:bottom w:w="22" w:type="dxa"/>
              <w:right w:w="28" w:type="dxa"/>
            </w:tcMar>
            <w:vAlign w:val="center"/>
          </w:tcPr>
          <w:p w:rsidRPr="006F2FC4" w:rsidR="0084290D" w:rsidRDefault="00CF5B93" w14:paraId="5CC3C0DE" w14:textId="77777777">
            <w:pPr>
              <w:pStyle w:val="p-table"/>
              <w:rPr>
                <w:sz w:val="13"/>
                <w:szCs w:val="13"/>
              </w:rPr>
            </w:pPr>
            <w:r w:rsidRPr="006F2FC4">
              <w:rPr>
                <w:sz w:val="13"/>
                <w:szCs w:val="13"/>
              </w:rPr>
              <w:t>– /– Belastingontvangsten artikel 9 Douane</w:t>
            </w:r>
          </w:p>
        </w:tc>
        <w:tc>
          <w:tcPr>
            <w:tcW w:w="731" w:type="pct"/>
            <w:tcMar>
              <w:top w:w="22" w:type="dxa"/>
              <w:left w:w="28" w:type="dxa"/>
              <w:bottom w:w="22" w:type="dxa"/>
              <w:right w:w="28" w:type="dxa"/>
            </w:tcMar>
            <w:vAlign w:val="center"/>
          </w:tcPr>
          <w:p w:rsidRPr="006F2FC4" w:rsidR="0084290D" w:rsidRDefault="00CF5B93" w14:paraId="5CCAF00F" w14:textId="77777777">
            <w:pPr>
              <w:pStyle w:val="p-table"/>
              <w:jc w:val="right"/>
              <w:rPr>
                <w:sz w:val="13"/>
                <w:szCs w:val="13"/>
              </w:rPr>
            </w:pPr>
            <w:r w:rsidRPr="006F2FC4">
              <w:rPr>
                <w:sz w:val="13"/>
                <w:szCs w:val="13"/>
              </w:rPr>
              <w:t>18.475.215</w:t>
            </w:r>
          </w:p>
        </w:tc>
        <w:tc>
          <w:tcPr>
            <w:tcW w:w="532" w:type="pct"/>
            <w:tcMar>
              <w:top w:w="22" w:type="dxa"/>
              <w:left w:w="28" w:type="dxa"/>
              <w:bottom w:w="22" w:type="dxa"/>
              <w:right w:w="28" w:type="dxa"/>
            </w:tcMar>
            <w:vAlign w:val="center"/>
          </w:tcPr>
          <w:p w:rsidRPr="006F2FC4" w:rsidR="0084290D" w:rsidRDefault="00CF5B93" w14:paraId="706844B7"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6B211571" w14:textId="77777777">
            <w:pPr>
              <w:pStyle w:val="p-table"/>
              <w:jc w:val="right"/>
              <w:rPr>
                <w:sz w:val="13"/>
                <w:szCs w:val="13"/>
              </w:rPr>
            </w:pPr>
            <w:r w:rsidRPr="006F2FC4">
              <w:rPr>
                <w:sz w:val="13"/>
                <w:szCs w:val="13"/>
              </w:rPr>
              <w:t>18.475.215</w:t>
            </w:r>
          </w:p>
        </w:tc>
        <w:tc>
          <w:tcPr>
            <w:tcW w:w="731" w:type="pct"/>
            <w:tcMar>
              <w:top w:w="22" w:type="dxa"/>
              <w:left w:w="28" w:type="dxa"/>
              <w:bottom w:w="22" w:type="dxa"/>
              <w:right w:w="28" w:type="dxa"/>
            </w:tcMar>
            <w:vAlign w:val="center"/>
          </w:tcPr>
          <w:p w:rsidRPr="006F2FC4" w:rsidR="0084290D" w:rsidRDefault="00CF5B93" w14:paraId="6F407EB8" w14:textId="77777777">
            <w:pPr>
              <w:pStyle w:val="p-table"/>
              <w:jc w:val="right"/>
              <w:rPr>
                <w:sz w:val="13"/>
                <w:szCs w:val="13"/>
              </w:rPr>
            </w:pPr>
            <w:r w:rsidRPr="006F2FC4">
              <w:rPr>
                <w:sz w:val="13"/>
                <w:szCs w:val="13"/>
              </w:rPr>
              <w:t>820.121</w:t>
            </w:r>
          </w:p>
        </w:tc>
        <w:tc>
          <w:tcPr>
            <w:tcW w:w="731" w:type="pct"/>
            <w:tcMar>
              <w:top w:w="22" w:type="dxa"/>
              <w:left w:w="28" w:type="dxa"/>
              <w:bottom w:w="22" w:type="dxa"/>
              <w:right w:w="28" w:type="dxa"/>
            </w:tcMar>
            <w:vAlign w:val="center"/>
          </w:tcPr>
          <w:p w:rsidRPr="006F2FC4" w:rsidR="0084290D" w:rsidRDefault="00CF5B93" w14:paraId="184A3DA0" w14:textId="77777777">
            <w:pPr>
              <w:pStyle w:val="p-table"/>
              <w:jc w:val="right"/>
              <w:rPr>
                <w:sz w:val="13"/>
                <w:szCs w:val="13"/>
              </w:rPr>
            </w:pPr>
            <w:r w:rsidRPr="006F2FC4">
              <w:rPr>
                <w:sz w:val="13"/>
                <w:szCs w:val="13"/>
              </w:rPr>
              <w:t>19.295.336</w:t>
            </w:r>
          </w:p>
        </w:tc>
      </w:tr>
      <w:tr w:rsidR="0084290D" w:rsidTr="007433BE" w14:paraId="4F5A07E3" w14:textId="77777777">
        <w:tc>
          <w:tcPr>
            <w:tcW w:w="1542" w:type="pct"/>
            <w:tcBorders>
              <w:bottom w:val="single" w:color="009EE0" w:sz="2" w:space="0"/>
            </w:tcBorders>
            <w:tcMar>
              <w:top w:w="22" w:type="dxa"/>
              <w:bottom w:w="22" w:type="dxa"/>
              <w:right w:w="28" w:type="dxa"/>
            </w:tcMar>
            <w:vAlign w:val="center"/>
          </w:tcPr>
          <w:p w:rsidRPr="006F2FC4" w:rsidR="0084290D" w:rsidRDefault="00CF5B93" w14:paraId="4F3DCF2F" w14:textId="77777777">
            <w:pPr>
              <w:pStyle w:val="p-table"/>
              <w:rPr>
                <w:sz w:val="13"/>
                <w:szCs w:val="13"/>
              </w:rPr>
            </w:pPr>
            <w:r w:rsidRPr="006F2FC4">
              <w:rPr>
                <w:sz w:val="13"/>
                <w:szCs w:val="13"/>
              </w:rPr>
              <w:t>Belastingontvangsten artikel 1 Belastingen</w:t>
            </w:r>
          </w:p>
        </w:tc>
        <w:tc>
          <w:tcPr>
            <w:tcW w:w="731" w:type="pct"/>
            <w:tcBorders>
              <w:bottom w:val="single" w:color="009EE0" w:sz="2" w:space="0"/>
            </w:tcBorders>
            <w:tcMar>
              <w:top w:w="22" w:type="dxa"/>
              <w:left w:w="28" w:type="dxa"/>
              <w:bottom w:w="22" w:type="dxa"/>
              <w:right w:w="28" w:type="dxa"/>
            </w:tcMar>
            <w:vAlign w:val="center"/>
          </w:tcPr>
          <w:p w:rsidRPr="006F2FC4" w:rsidR="0084290D" w:rsidRDefault="00CF5B93" w14:paraId="11421884" w14:textId="77777777">
            <w:pPr>
              <w:pStyle w:val="p-table"/>
              <w:jc w:val="right"/>
              <w:rPr>
                <w:sz w:val="13"/>
                <w:szCs w:val="13"/>
              </w:rPr>
            </w:pPr>
            <w:r w:rsidRPr="006F2FC4">
              <w:rPr>
                <w:sz w:val="13"/>
                <w:szCs w:val="13"/>
              </w:rPr>
              <w:t>224.959.865</w:t>
            </w:r>
          </w:p>
        </w:tc>
        <w:tc>
          <w:tcPr>
            <w:tcW w:w="532" w:type="pct"/>
            <w:tcBorders>
              <w:bottom w:val="single" w:color="009EE0" w:sz="2" w:space="0"/>
            </w:tcBorders>
            <w:tcMar>
              <w:top w:w="22" w:type="dxa"/>
              <w:left w:w="28" w:type="dxa"/>
              <w:bottom w:w="22" w:type="dxa"/>
              <w:right w:w="28" w:type="dxa"/>
            </w:tcMar>
            <w:vAlign w:val="center"/>
          </w:tcPr>
          <w:p w:rsidRPr="006F2FC4" w:rsidR="0084290D" w:rsidRDefault="00CF5B93" w14:paraId="2FB33CA5" w14:textId="77777777">
            <w:pPr>
              <w:pStyle w:val="p-table"/>
              <w:jc w:val="right"/>
              <w:rPr>
                <w:sz w:val="13"/>
                <w:szCs w:val="13"/>
              </w:rPr>
            </w:pPr>
            <w:r w:rsidRPr="006F2FC4">
              <w:rPr>
                <w:sz w:val="13"/>
                <w:szCs w:val="13"/>
              </w:rPr>
              <w:t>0</w:t>
            </w:r>
          </w:p>
        </w:tc>
        <w:tc>
          <w:tcPr>
            <w:tcW w:w="731" w:type="pct"/>
            <w:tcBorders>
              <w:bottom w:val="single" w:color="009EE0" w:sz="2" w:space="0"/>
            </w:tcBorders>
            <w:tcMar>
              <w:top w:w="22" w:type="dxa"/>
              <w:left w:w="28" w:type="dxa"/>
              <w:bottom w:w="22" w:type="dxa"/>
              <w:right w:w="28" w:type="dxa"/>
            </w:tcMar>
            <w:vAlign w:val="center"/>
          </w:tcPr>
          <w:p w:rsidRPr="006F2FC4" w:rsidR="0084290D" w:rsidRDefault="00CF5B93" w14:paraId="0A2A64BB" w14:textId="77777777">
            <w:pPr>
              <w:pStyle w:val="p-table"/>
              <w:jc w:val="right"/>
              <w:rPr>
                <w:sz w:val="13"/>
                <w:szCs w:val="13"/>
              </w:rPr>
            </w:pPr>
            <w:r w:rsidRPr="006F2FC4">
              <w:rPr>
                <w:sz w:val="13"/>
                <w:szCs w:val="13"/>
              </w:rPr>
              <w:t>224.959.865</w:t>
            </w:r>
          </w:p>
        </w:tc>
        <w:tc>
          <w:tcPr>
            <w:tcW w:w="731" w:type="pct"/>
            <w:tcBorders>
              <w:bottom w:val="single" w:color="009EE0" w:sz="2" w:space="0"/>
            </w:tcBorders>
            <w:tcMar>
              <w:top w:w="22" w:type="dxa"/>
              <w:left w:w="28" w:type="dxa"/>
              <w:bottom w:w="22" w:type="dxa"/>
              <w:right w:w="28" w:type="dxa"/>
            </w:tcMar>
            <w:vAlign w:val="center"/>
          </w:tcPr>
          <w:p w:rsidRPr="006F2FC4" w:rsidR="0084290D" w:rsidRDefault="00CF5B93" w14:paraId="176704CC" w14:textId="77777777">
            <w:pPr>
              <w:pStyle w:val="p-table"/>
              <w:jc w:val="right"/>
              <w:rPr>
                <w:sz w:val="13"/>
                <w:szCs w:val="13"/>
              </w:rPr>
            </w:pPr>
            <w:r w:rsidRPr="006F2FC4">
              <w:rPr>
                <w:sz w:val="13"/>
                <w:szCs w:val="13"/>
              </w:rPr>
              <w:t>‒ 2.380.785</w:t>
            </w:r>
          </w:p>
        </w:tc>
        <w:tc>
          <w:tcPr>
            <w:tcW w:w="731" w:type="pct"/>
            <w:tcBorders>
              <w:bottom w:val="single" w:color="009EE0" w:sz="2" w:space="0"/>
            </w:tcBorders>
            <w:tcMar>
              <w:top w:w="22" w:type="dxa"/>
              <w:left w:w="28" w:type="dxa"/>
              <w:bottom w:w="22" w:type="dxa"/>
              <w:right w:w="28" w:type="dxa"/>
            </w:tcMar>
            <w:vAlign w:val="center"/>
          </w:tcPr>
          <w:p w:rsidRPr="006F2FC4" w:rsidR="0084290D" w:rsidRDefault="00CF5B93" w14:paraId="662FB5B0" w14:textId="77777777">
            <w:pPr>
              <w:pStyle w:val="p-table"/>
              <w:jc w:val="right"/>
              <w:rPr>
                <w:sz w:val="13"/>
                <w:szCs w:val="13"/>
              </w:rPr>
            </w:pPr>
            <w:r w:rsidRPr="006F2FC4">
              <w:rPr>
                <w:sz w:val="13"/>
                <w:szCs w:val="13"/>
              </w:rPr>
              <w:t>222.579.080</w:t>
            </w:r>
          </w:p>
        </w:tc>
      </w:tr>
    </w:tbl>
    <w:p w:rsidR="0084290D" w:rsidRDefault="0084290D" w14:paraId="4BED7F55" w14:textId="77777777">
      <w:pPr>
        <w:pStyle w:val="p-marginbottom"/>
      </w:pPr>
    </w:p>
    <w:p w:rsidR="0084290D" w:rsidRDefault="0084290D" w14:paraId="713AC0FC" w14:textId="77777777">
      <w:pPr>
        <w:pStyle w:val="page-break"/>
      </w:pPr>
    </w:p>
    <w:p w:rsidR="0084290D" w:rsidRDefault="00CF5B93" w14:paraId="760A6CF8" w14:textId="77777777">
      <w:pPr>
        <w:pStyle w:val="section-title-3"/>
      </w:pPr>
      <w:r>
        <w:t>Artikel 2 Financiële markten</w:t>
      </w:r>
    </w:p>
    <w:p w:rsidR="0084290D" w:rsidRDefault="00CF5B93" w14:paraId="090355D1"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126"/>
        <w:gridCol w:w="821"/>
        <w:gridCol w:w="725"/>
        <w:gridCol w:w="822"/>
        <w:gridCol w:w="725"/>
        <w:gridCol w:w="822"/>
        <w:gridCol w:w="725"/>
        <w:gridCol w:w="725"/>
        <w:gridCol w:w="725"/>
        <w:gridCol w:w="725"/>
        <w:gridCol w:w="725"/>
      </w:tblGrid>
      <w:tr w:rsidR="0084290D" w:rsidTr="007433BE" w14:paraId="7639DA78" w14:textId="77777777">
        <w:trPr>
          <w:tblHeader/>
        </w:trPr>
        <w:tc>
          <w:tcPr>
            <w:tcW w:w="5000" w:type="pct"/>
            <w:gridSpan w:val="11"/>
            <w:tcMar>
              <w:top w:w="22" w:type="dxa"/>
              <w:left w:w="113" w:type="dxa"/>
              <w:bottom w:w="22" w:type="dxa"/>
            </w:tcMar>
          </w:tcPr>
          <w:p w:rsidR="0084290D" w:rsidRDefault="00CF5B93" w14:paraId="5FFFDFCE" w14:textId="77777777">
            <w:pPr>
              <w:pStyle w:val="kio2-table-title"/>
            </w:pPr>
            <w:r>
              <w:t>Tabel 10 Budgettaire gevolgen van beleid artikel 2 Financiële markten (bedragen x € 1.000)</w:t>
            </w:r>
          </w:p>
        </w:tc>
      </w:tr>
      <w:tr w:rsidRPr="00671AAB" w:rsidR="0084290D" w:rsidTr="007433BE" w14:paraId="09789952" w14:textId="77777777">
        <w:trPr>
          <w:tblHeader/>
        </w:trPr>
        <w:tc>
          <w:tcPr>
            <w:tcW w:w="1100" w:type="pct"/>
            <w:tcBorders>
              <w:top w:val="single" w:color="000000" w:sz="2" w:space="0"/>
              <w:bottom w:val="single" w:color="009EE0" w:sz="2" w:space="0"/>
            </w:tcBorders>
            <w:tcMar>
              <w:top w:w="28" w:type="dxa"/>
              <w:bottom w:w="28" w:type="dxa"/>
              <w:right w:w="28" w:type="dxa"/>
            </w:tcMar>
          </w:tcPr>
          <w:p w:rsidRPr="006F2FC4" w:rsidR="0084290D" w:rsidRDefault="00CF5B93" w14:paraId="247F185E" w14:textId="77777777">
            <w:pPr>
              <w:pStyle w:val="p-table"/>
              <w:rPr>
                <w:color w:val="000000"/>
                <w:sz w:val="13"/>
                <w:szCs w:val="13"/>
              </w:rPr>
            </w:pPr>
            <w:r w:rsidRPr="006F2FC4">
              <w:rPr>
                <w:color w:val="000000"/>
                <w:sz w:val="13"/>
                <w:szCs w:val="13"/>
              </w:rPr>
              <w:t>Omschrijving</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AD6A1D8"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70BB130" w14:textId="77777777">
            <w:pPr>
              <w:pStyle w:val="p-table"/>
              <w:jc w:val="right"/>
              <w:rPr>
                <w:color w:val="000000"/>
                <w:sz w:val="13"/>
                <w:szCs w:val="13"/>
              </w:rPr>
            </w:pPr>
            <w:r w:rsidRPr="006F2FC4">
              <w:rPr>
                <w:color w:val="000000"/>
                <w:sz w:val="13"/>
                <w:szCs w:val="13"/>
              </w:rPr>
              <w:t>Mutaties via NvW, moties, amendementen en ISB (2)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699507B" w14:textId="77777777">
            <w:pPr>
              <w:pStyle w:val="p-table"/>
              <w:jc w:val="right"/>
              <w:rPr>
                <w:color w:val="000000"/>
                <w:sz w:val="13"/>
                <w:szCs w:val="13"/>
              </w:rPr>
            </w:pPr>
            <w:r w:rsidRPr="006F2FC4">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2B17AE9"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DC54325"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3AD97B7"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5A226F1"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8BCAEC3"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989460E"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251716A" w14:textId="77777777">
            <w:pPr>
              <w:pStyle w:val="p-table"/>
              <w:jc w:val="right"/>
              <w:rPr>
                <w:color w:val="000000"/>
                <w:sz w:val="13"/>
                <w:szCs w:val="13"/>
              </w:rPr>
            </w:pPr>
            <w:r w:rsidRPr="006F2FC4">
              <w:rPr>
                <w:color w:val="000000"/>
                <w:sz w:val="13"/>
                <w:szCs w:val="13"/>
              </w:rPr>
              <w:t>Mutatie 2031</w:t>
            </w:r>
          </w:p>
        </w:tc>
      </w:tr>
      <w:tr w:rsidRPr="00671AAB" w:rsidR="0084290D" w:rsidTr="007433BE" w14:paraId="448EFCBA" w14:textId="77777777">
        <w:tc>
          <w:tcPr>
            <w:tcW w:w="4625" w:type="pct"/>
            <w:gridSpan w:val="10"/>
            <w:tcBorders>
              <w:bottom w:val="single" w:color="009EE0" w:sz="2" w:space="0"/>
            </w:tcBorders>
            <w:tcMar>
              <w:top w:w="22" w:type="dxa"/>
              <w:bottom w:w="22" w:type="dxa"/>
              <w:right w:w="28" w:type="dxa"/>
            </w:tcMar>
          </w:tcPr>
          <w:p w:rsidRPr="006F2FC4" w:rsidR="0084290D" w:rsidRDefault="0084290D" w14:paraId="729E9FE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A694BD5" w14:textId="77777777">
            <w:pPr>
              <w:pStyle w:val="p-table"/>
              <w:rPr>
                <w:sz w:val="13"/>
                <w:szCs w:val="13"/>
              </w:rPr>
            </w:pPr>
          </w:p>
        </w:tc>
      </w:tr>
      <w:tr w:rsidRPr="00671AAB" w:rsidR="0084290D" w:rsidTr="007433BE" w14:paraId="5140089B" w14:textId="77777777">
        <w:tc>
          <w:tcPr>
            <w:tcW w:w="1100" w:type="pct"/>
            <w:tcBorders>
              <w:bottom w:val="single" w:color="009EE0" w:sz="2" w:space="0"/>
            </w:tcBorders>
            <w:tcMar>
              <w:top w:w="22" w:type="dxa"/>
              <w:bottom w:w="22" w:type="dxa"/>
              <w:right w:w="28" w:type="dxa"/>
            </w:tcMar>
          </w:tcPr>
          <w:p w:rsidRPr="006F2FC4" w:rsidR="0084290D" w:rsidRDefault="00CF5B93" w14:paraId="3C8236F3" w14:textId="77777777">
            <w:pPr>
              <w:pStyle w:val="p-table"/>
              <w:rPr>
                <w:sz w:val="13"/>
                <w:szCs w:val="13"/>
              </w:rPr>
            </w:pPr>
            <w:r w:rsidRPr="006F2FC4">
              <w:rPr>
                <w:b/>
                <w:sz w:val="13"/>
                <w:szCs w:val="13"/>
              </w:rPr>
              <w:t>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82D7C6"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9CBC6B"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F52784"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F9DA35" w14:textId="77777777">
            <w:pPr>
              <w:pStyle w:val="p-table"/>
              <w:jc w:val="right"/>
              <w:rPr>
                <w:sz w:val="13"/>
                <w:szCs w:val="13"/>
              </w:rPr>
            </w:pPr>
            <w:r w:rsidRPr="006F2FC4">
              <w:rPr>
                <w:b/>
                <w:sz w:val="13"/>
                <w:szCs w:val="13"/>
              </w:rPr>
              <w:t>36.973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4E34E26B" w14:textId="77777777">
            <w:pPr>
              <w:pStyle w:val="p-table"/>
              <w:jc w:val="right"/>
              <w:rPr>
                <w:sz w:val="13"/>
                <w:szCs w:val="13"/>
              </w:rPr>
            </w:pPr>
            <w:r w:rsidRPr="006F2FC4">
              <w:rPr>
                <w:b/>
                <w:sz w:val="13"/>
                <w:szCs w:val="13"/>
              </w:rPr>
              <w:t>70.417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DF016E" w14:textId="77777777">
            <w:pPr>
              <w:pStyle w:val="p-table"/>
              <w:jc w:val="right"/>
              <w:rPr>
                <w:sz w:val="13"/>
                <w:szCs w:val="13"/>
              </w:rPr>
            </w:pPr>
            <w:r w:rsidRPr="006F2FC4">
              <w:rPr>
                <w:b/>
                <w:sz w:val="13"/>
                <w:szCs w:val="13"/>
              </w:rPr>
              <w:t>10.891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46BBA4" w14:textId="77777777">
            <w:pPr>
              <w:pStyle w:val="p-table"/>
              <w:jc w:val="right"/>
              <w:rPr>
                <w:sz w:val="13"/>
                <w:szCs w:val="13"/>
              </w:rPr>
            </w:pPr>
            <w:r w:rsidRPr="006F2FC4">
              <w:rPr>
                <w:b/>
                <w:sz w:val="13"/>
                <w:szCs w:val="13"/>
              </w:rPr>
              <w:t>12.029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9964E2" w14:textId="77777777">
            <w:pPr>
              <w:pStyle w:val="p-table"/>
              <w:jc w:val="right"/>
              <w:rPr>
                <w:sz w:val="13"/>
                <w:szCs w:val="13"/>
              </w:rPr>
            </w:pPr>
            <w:r w:rsidRPr="006F2FC4">
              <w:rPr>
                <w:b/>
                <w:sz w:val="13"/>
                <w:szCs w:val="13"/>
              </w:rPr>
              <w:t>9.700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C017EF" w14:textId="77777777">
            <w:pPr>
              <w:pStyle w:val="p-table"/>
              <w:jc w:val="right"/>
              <w:rPr>
                <w:sz w:val="13"/>
                <w:szCs w:val="13"/>
              </w:rPr>
            </w:pPr>
            <w:r w:rsidRPr="006F2FC4">
              <w:rPr>
                <w:b/>
                <w:sz w:val="13"/>
                <w:szCs w:val="13"/>
              </w:rPr>
              <w:t>8.853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62D988" w14:textId="77777777">
            <w:pPr>
              <w:pStyle w:val="p-table"/>
              <w:jc w:val="right"/>
              <w:rPr>
                <w:sz w:val="13"/>
                <w:szCs w:val="13"/>
              </w:rPr>
            </w:pPr>
            <w:r w:rsidRPr="006F2FC4">
              <w:rPr>
                <w:b/>
                <w:sz w:val="13"/>
                <w:szCs w:val="13"/>
              </w:rPr>
              <w:t>37.230</w:t>
            </w:r>
          </w:p>
        </w:tc>
      </w:tr>
      <w:tr w:rsidRPr="00671AAB" w:rsidR="0084290D" w:rsidTr="007433BE" w14:paraId="525CD800" w14:textId="77777777">
        <w:tc>
          <w:tcPr>
            <w:tcW w:w="1100" w:type="pct"/>
            <w:tcMar>
              <w:top w:w="22" w:type="dxa"/>
              <w:bottom w:w="22" w:type="dxa"/>
              <w:right w:w="28" w:type="dxa"/>
            </w:tcMar>
          </w:tcPr>
          <w:p w:rsidRPr="006F2FC4" w:rsidR="0084290D" w:rsidRDefault="0084290D" w14:paraId="2096F6C1"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5A8518C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F14CC95"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BF949B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58EE127"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5607AE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1587CD6"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AB9F41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AD4C6E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FDE810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607BFFA" w14:textId="77777777">
            <w:pPr>
              <w:pStyle w:val="p-table"/>
              <w:rPr>
                <w:sz w:val="13"/>
                <w:szCs w:val="13"/>
              </w:rPr>
            </w:pPr>
          </w:p>
        </w:tc>
      </w:tr>
      <w:tr w:rsidRPr="00671AAB" w:rsidR="0084290D" w:rsidTr="007433BE" w14:paraId="3824DD22" w14:textId="77777777">
        <w:tc>
          <w:tcPr>
            <w:tcW w:w="1100" w:type="pct"/>
            <w:tcBorders>
              <w:bottom w:val="single" w:color="009EE0" w:sz="2" w:space="0"/>
            </w:tcBorders>
            <w:tcMar>
              <w:top w:w="22" w:type="dxa"/>
              <w:bottom w:w="22" w:type="dxa"/>
              <w:right w:w="28" w:type="dxa"/>
            </w:tcMar>
          </w:tcPr>
          <w:p w:rsidRPr="006F2FC4" w:rsidR="0084290D" w:rsidRDefault="00CF5B93" w14:paraId="4ED74D58" w14:textId="77777777">
            <w:pPr>
              <w:pStyle w:val="p-table"/>
              <w:rPr>
                <w:sz w:val="13"/>
                <w:szCs w:val="13"/>
              </w:rPr>
            </w:pPr>
            <w:r w:rsidRPr="006F2FC4">
              <w:rPr>
                <w:b/>
                <w:sz w:val="13"/>
                <w:szCs w:val="13"/>
              </w:rPr>
              <w:t>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34BEFE8A"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37B83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A400A2"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B92615" w14:textId="77777777">
            <w:pPr>
              <w:pStyle w:val="p-table"/>
              <w:jc w:val="right"/>
              <w:rPr>
                <w:sz w:val="13"/>
                <w:szCs w:val="13"/>
              </w:rPr>
            </w:pPr>
            <w:r w:rsidRPr="006F2FC4">
              <w:rPr>
                <w:b/>
                <w:sz w:val="13"/>
                <w:szCs w:val="13"/>
              </w:rPr>
              <w:t>6.973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9F6EEA9" w14:textId="77777777">
            <w:pPr>
              <w:pStyle w:val="p-table"/>
              <w:jc w:val="right"/>
              <w:rPr>
                <w:sz w:val="13"/>
                <w:szCs w:val="13"/>
              </w:rPr>
            </w:pPr>
            <w:r w:rsidRPr="006F2FC4">
              <w:rPr>
                <w:b/>
                <w:sz w:val="13"/>
                <w:szCs w:val="13"/>
              </w:rPr>
              <w:t>40.417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512EACF9" w14:textId="77777777">
            <w:pPr>
              <w:pStyle w:val="p-table"/>
              <w:jc w:val="right"/>
              <w:rPr>
                <w:sz w:val="13"/>
                <w:szCs w:val="13"/>
              </w:rPr>
            </w:pPr>
            <w:r w:rsidRPr="006F2FC4">
              <w:rPr>
                <w:b/>
                <w:sz w:val="13"/>
                <w:szCs w:val="13"/>
              </w:rPr>
              <w:t>10.891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AEB5A9" w14:textId="77777777">
            <w:pPr>
              <w:pStyle w:val="p-table"/>
              <w:jc w:val="right"/>
              <w:rPr>
                <w:sz w:val="13"/>
                <w:szCs w:val="13"/>
              </w:rPr>
            </w:pPr>
            <w:r w:rsidRPr="006F2FC4">
              <w:rPr>
                <w:b/>
                <w:sz w:val="13"/>
                <w:szCs w:val="13"/>
              </w:rPr>
              <w:t>12.029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7BC8C4" w14:textId="77777777">
            <w:pPr>
              <w:pStyle w:val="p-table"/>
              <w:jc w:val="right"/>
              <w:rPr>
                <w:sz w:val="13"/>
                <w:szCs w:val="13"/>
              </w:rPr>
            </w:pPr>
            <w:r w:rsidRPr="006F2FC4">
              <w:rPr>
                <w:b/>
                <w:sz w:val="13"/>
                <w:szCs w:val="13"/>
              </w:rPr>
              <w:t>9.700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2D20621" w14:textId="77777777">
            <w:pPr>
              <w:pStyle w:val="p-table"/>
              <w:jc w:val="right"/>
              <w:rPr>
                <w:sz w:val="13"/>
                <w:szCs w:val="13"/>
              </w:rPr>
            </w:pPr>
            <w:r w:rsidRPr="006F2FC4">
              <w:rPr>
                <w:b/>
                <w:sz w:val="13"/>
                <w:szCs w:val="13"/>
              </w:rPr>
              <w:t>8.853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4214CE" w14:textId="77777777">
            <w:pPr>
              <w:pStyle w:val="p-table"/>
              <w:jc w:val="right"/>
              <w:rPr>
                <w:sz w:val="13"/>
                <w:szCs w:val="13"/>
              </w:rPr>
            </w:pPr>
            <w:r w:rsidRPr="006F2FC4">
              <w:rPr>
                <w:b/>
                <w:sz w:val="13"/>
                <w:szCs w:val="13"/>
              </w:rPr>
              <w:t>37.230</w:t>
            </w:r>
          </w:p>
        </w:tc>
      </w:tr>
      <w:tr w:rsidRPr="00671AAB" w:rsidR="0084290D" w:rsidTr="007433BE" w14:paraId="14212EB4" w14:textId="77777777">
        <w:tc>
          <w:tcPr>
            <w:tcW w:w="1100" w:type="pct"/>
            <w:tcMar>
              <w:top w:w="22" w:type="dxa"/>
              <w:bottom w:w="22" w:type="dxa"/>
              <w:right w:w="28" w:type="dxa"/>
            </w:tcMar>
          </w:tcPr>
          <w:p w:rsidRPr="006F2FC4" w:rsidR="0084290D" w:rsidRDefault="0084290D" w14:paraId="794420F6"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45B185B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6646D9D"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5CE049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B92E58E"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D7D441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AAE9F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CDEBC6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7EF08F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8370EF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3461F07" w14:textId="77777777">
            <w:pPr>
              <w:pStyle w:val="p-table"/>
              <w:rPr>
                <w:sz w:val="13"/>
                <w:szCs w:val="13"/>
              </w:rPr>
            </w:pPr>
          </w:p>
        </w:tc>
      </w:tr>
      <w:tr w:rsidRPr="00671AAB" w:rsidR="0084290D" w:rsidTr="007433BE" w14:paraId="5F104CED" w14:textId="77777777">
        <w:tc>
          <w:tcPr>
            <w:tcW w:w="1100" w:type="pct"/>
            <w:tcBorders>
              <w:bottom w:val="single" w:color="009EE0" w:sz="2" w:space="0"/>
            </w:tcBorders>
            <w:tcMar>
              <w:top w:w="22" w:type="dxa"/>
              <w:bottom w:w="22" w:type="dxa"/>
              <w:right w:w="28" w:type="dxa"/>
            </w:tcMar>
          </w:tcPr>
          <w:p w:rsidRPr="006F2FC4" w:rsidR="0084290D" w:rsidRDefault="00CF5B93" w14:paraId="58097D17" w14:textId="77777777">
            <w:pPr>
              <w:pStyle w:val="p-table"/>
              <w:rPr>
                <w:sz w:val="13"/>
                <w:szCs w:val="13"/>
              </w:rPr>
            </w:pPr>
            <w:r w:rsidRPr="006F2FC4">
              <w:rPr>
                <w:b/>
                <w:sz w:val="13"/>
                <w:szCs w:val="13"/>
              </w:rPr>
              <w:t>Bekostiging</w:t>
            </w:r>
          </w:p>
        </w:tc>
        <w:tc>
          <w:tcPr>
            <w:tcW w:w="425" w:type="pct"/>
            <w:tcBorders>
              <w:bottom w:val="single" w:color="009EE0" w:sz="2" w:space="0"/>
            </w:tcBorders>
            <w:tcMar>
              <w:top w:w="22" w:type="dxa"/>
              <w:left w:w="28" w:type="dxa"/>
              <w:bottom w:w="22" w:type="dxa"/>
              <w:right w:w="28" w:type="dxa"/>
            </w:tcMar>
          </w:tcPr>
          <w:p w:rsidRPr="006F2FC4" w:rsidR="0084290D" w:rsidRDefault="00CF5B93" w14:paraId="7F10C30D" w14:textId="77777777">
            <w:pPr>
              <w:pStyle w:val="p-table"/>
              <w:jc w:val="right"/>
              <w:rPr>
                <w:sz w:val="13"/>
                <w:szCs w:val="13"/>
              </w:rPr>
            </w:pPr>
            <w:r w:rsidRPr="006F2FC4">
              <w:rPr>
                <w:b/>
                <w:sz w:val="13"/>
                <w:szCs w:val="13"/>
              </w:rPr>
              <w:t>8.013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17D8E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AE940FB" w14:textId="77777777">
            <w:pPr>
              <w:pStyle w:val="p-table"/>
              <w:jc w:val="right"/>
              <w:rPr>
                <w:sz w:val="13"/>
                <w:szCs w:val="13"/>
              </w:rPr>
            </w:pPr>
            <w:r w:rsidRPr="006F2FC4">
              <w:rPr>
                <w:b/>
                <w:sz w:val="13"/>
                <w:szCs w:val="13"/>
              </w:rPr>
              <w:t>8.013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6EAAF5" w14:textId="77777777">
            <w:pPr>
              <w:pStyle w:val="p-table"/>
              <w:jc w:val="right"/>
              <w:rPr>
                <w:sz w:val="13"/>
                <w:szCs w:val="13"/>
              </w:rPr>
            </w:pPr>
            <w:r w:rsidRPr="006F2FC4">
              <w:rPr>
                <w:b/>
                <w:sz w:val="13"/>
                <w:szCs w:val="13"/>
              </w:rPr>
              <w:t>‒ 34</w:t>
            </w:r>
          </w:p>
        </w:tc>
        <w:tc>
          <w:tcPr>
            <w:tcW w:w="425" w:type="pct"/>
            <w:tcBorders>
              <w:bottom w:val="single" w:color="009EE0" w:sz="2" w:space="0"/>
            </w:tcBorders>
            <w:tcMar>
              <w:top w:w="22" w:type="dxa"/>
              <w:left w:w="28" w:type="dxa"/>
              <w:bottom w:w="22" w:type="dxa"/>
              <w:right w:w="28" w:type="dxa"/>
            </w:tcMar>
          </w:tcPr>
          <w:p w:rsidRPr="006F2FC4" w:rsidR="0084290D" w:rsidRDefault="00CF5B93" w14:paraId="3DA167AC" w14:textId="77777777">
            <w:pPr>
              <w:pStyle w:val="p-table"/>
              <w:jc w:val="right"/>
              <w:rPr>
                <w:sz w:val="13"/>
                <w:szCs w:val="13"/>
              </w:rPr>
            </w:pPr>
            <w:r w:rsidRPr="006F2FC4">
              <w:rPr>
                <w:b/>
                <w:sz w:val="13"/>
                <w:szCs w:val="13"/>
              </w:rPr>
              <w:t>7.979</w:t>
            </w:r>
          </w:p>
        </w:tc>
        <w:tc>
          <w:tcPr>
            <w:tcW w:w="375" w:type="pct"/>
            <w:tcBorders>
              <w:bottom w:val="single" w:color="009EE0" w:sz="2" w:space="0"/>
            </w:tcBorders>
            <w:tcMar>
              <w:top w:w="22" w:type="dxa"/>
              <w:left w:w="28" w:type="dxa"/>
              <w:bottom w:w="22" w:type="dxa"/>
              <w:right w:w="28" w:type="dxa"/>
            </w:tcMar>
          </w:tcPr>
          <w:p w:rsidRPr="006F2FC4" w:rsidR="0084290D" w:rsidRDefault="00CF5B93" w14:paraId="74131643" w14:textId="77777777">
            <w:pPr>
              <w:pStyle w:val="p-table"/>
              <w:jc w:val="right"/>
              <w:rPr>
                <w:sz w:val="13"/>
                <w:szCs w:val="13"/>
              </w:rPr>
            </w:pPr>
            <w:r w:rsidRPr="006F2FC4">
              <w:rPr>
                <w:b/>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49EDF2" w14:textId="77777777">
            <w:pPr>
              <w:pStyle w:val="p-table"/>
              <w:jc w:val="right"/>
              <w:rPr>
                <w:sz w:val="13"/>
                <w:szCs w:val="13"/>
              </w:rPr>
            </w:pPr>
            <w:r w:rsidRPr="006F2FC4">
              <w:rPr>
                <w:b/>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3A1C13" w14:textId="77777777">
            <w:pPr>
              <w:pStyle w:val="p-table"/>
              <w:jc w:val="right"/>
              <w:rPr>
                <w:sz w:val="13"/>
                <w:szCs w:val="13"/>
              </w:rPr>
            </w:pPr>
            <w:r w:rsidRPr="006F2FC4">
              <w:rPr>
                <w:b/>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5409D4" w14:textId="77777777">
            <w:pPr>
              <w:pStyle w:val="p-table"/>
              <w:jc w:val="right"/>
              <w:rPr>
                <w:sz w:val="13"/>
                <w:szCs w:val="13"/>
              </w:rPr>
            </w:pPr>
            <w:r w:rsidRPr="006F2FC4">
              <w:rPr>
                <w:b/>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09C67C" w14:textId="77777777">
            <w:pPr>
              <w:pStyle w:val="p-table"/>
              <w:jc w:val="right"/>
              <w:rPr>
                <w:sz w:val="13"/>
                <w:szCs w:val="13"/>
              </w:rPr>
            </w:pPr>
            <w:r w:rsidRPr="006F2FC4">
              <w:rPr>
                <w:b/>
                <w:sz w:val="13"/>
                <w:szCs w:val="13"/>
              </w:rPr>
              <w:t>7.979</w:t>
            </w:r>
          </w:p>
        </w:tc>
      </w:tr>
      <w:tr w:rsidRPr="00671AAB" w:rsidR="0084290D" w:rsidTr="007433BE" w14:paraId="1E8EDBEF" w14:textId="77777777">
        <w:tc>
          <w:tcPr>
            <w:tcW w:w="1100" w:type="pct"/>
            <w:tcBorders>
              <w:bottom w:val="single" w:color="009EE0" w:sz="2" w:space="0"/>
            </w:tcBorders>
            <w:tcMar>
              <w:top w:w="22" w:type="dxa"/>
              <w:bottom w:w="22" w:type="dxa"/>
              <w:right w:w="28" w:type="dxa"/>
            </w:tcMar>
          </w:tcPr>
          <w:p w:rsidRPr="006F2FC4" w:rsidR="0084290D" w:rsidRDefault="00CF5B93" w14:paraId="0F63FDB0" w14:textId="77777777">
            <w:pPr>
              <w:pStyle w:val="p-table"/>
              <w:rPr>
                <w:sz w:val="13"/>
                <w:szCs w:val="13"/>
              </w:rPr>
            </w:pPr>
            <w:r w:rsidRPr="006F2FC4">
              <w:rPr>
                <w:sz w:val="13"/>
                <w:szCs w:val="13"/>
              </w:rPr>
              <w:t>Accountantskamer</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07F766" w14:textId="77777777">
            <w:pPr>
              <w:pStyle w:val="p-table"/>
              <w:jc w:val="right"/>
              <w:rPr>
                <w:sz w:val="13"/>
                <w:szCs w:val="13"/>
              </w:rPr>
            </w:pPr>
            <w:r w:rsidRPr="006F2FC4">
              <w:rPr>
                <w:sz w:val="13"/>
                <w:szCs w:val="13"/>
              </w:rPr>
              <w:t>1.481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AAA8D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1C476E" w14:textId="77777777">
            <w:pPr>
              <w:pStyle w:val="p-table"/>
              <w:jc w:val="right"/>
              <w:rPr>
                <w:sz w:val="13"/>
                <w:szCs w:val="13"/>
              </w:rPr>
            </w:pPr>
            <w:r w:rsidRPr="006F2FC4">
              <w:rPr>
                <w:sz w:val="13"/>
                <w:szCs w:val="13"/>
              </w:rPr>
              <w:t>1.481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ECFC3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D956941" w14:textId="77777777">
            <w:pPr>
              <w:pStyle w:val="p-table"/>
              <w:jc w:val="right"/>
              <w:rPr>
                <w:sz w:val="13"/>
                <w:szCs w:val="13"/>
              </w:rPr>
            </w:pPr>
            <w:r w:rsidRPr="006F2FC4">
              <w:rPr>
                <w:sz w:val="13"/>
                <w:szCs w:val="13"/>
              </w:rPr>
              <w:t>1.481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F3CC5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F2E47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33B8A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3F5E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227FD5" w14:textId="77777777">
            <w:pPr>
              <w:pStyle w:val="p-table"/>
              <w:jc w:val="right"/>
              <w:rPr>
                <w:sz w:val="13"/>
                <w:szCs w:val="13"/>
              </w:rPr>
            </w:pPr>
            <w:r w:rsidRPr="006F2FC4">
              <w:rPr>
                <w:sz w:val="13"/>
                <w:szCs w:val="13"/>
              </w:rPr>
              <w:t>1.481</w:t>
            </w:r>
          </w:p>
        </w:tc>
      </w:tr>
      <w:tr w:rsidRPr="00671AAB" w:rsidR="0084290D" w:rsidTr="007433BE" w14:paraId="126BA017" w14:textId="77777777">
        <w:tc>
          <w:tcPr>
            <w:tcW w:w="1100" w:type="pct"/>
            <w:tcBorders>
              <w:bottom w:val="single" w:color="009EE0" w:sz="2" w:space="0"/>
            </w:tcBorders>
            <w:tcMar>
              <w:top w:w="22" w:type="dxa"/>
              <w:bottom w:w="22" w:type="dxa"/>
              <w:right w:w="28" w:type="dxa"/>
            </w:tcMar>
          </w:tcPr>
          <w:p w:rsidRPr="006F2FC4" w:rsidR="0084290D" w:rsidRDefault="00CF5B93" w14:paraId="69981339" w14:textId="77777777">
            <w:pPr>
              <w:pStyle w:val="p-table"/>
              <w:rPr>
                <w:sz w:val="13"/>
                <w:szCs w:val="13"/>
              </w:rPr>
            </w:pPr>
            <w:r w:rsidRPr="006F2FC4">
              <w:rPr>
                <w:sz w:val="13"/>
                <w:szCs w:val="13"/>
              </w:rPr>
              <w:t>Muntcirculatie</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2662C7"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A8237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6473E7"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BF344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44FC41"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8E248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1B290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00D16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6EEFB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EEB391" w14:textId="77777777">
            <w:pPr>
              <w:pStyle w:val="p-table"/>
              <w:jc w:val="right"/>
              <w:rPr>
                <w:sz w:val="13"/>
                <w:szCs w:val="13"/>
              </w:rPr>
            </w:pPr>
            <w:r w:rsidRPr="006F2FC4">
              <w:rPr>
                <w:sz w:val="13"/>
                <w:szCs w:val="13"/>
              </w:rPr>
              <w:t>5.176</w:t>
            </w:r>
          </w:p>
        </w:tc>
      </w:tr>
      <w:tr w:rsidRPr="00671AAB" w:rsidR="0084290D" w:rsidTr="007433BE" w14:paraId="1742D090" w14:textId="77777777">
        <w:tc>
          <w:tcPr>
            <w:tcW w:w="1100" w:type="pct"/>
            <w:tcBorders>
              <w:bottom w:val="single" w:color="009EE0" w:sz="2" w:space="0"/>
            </w:tcBorders>
            <w:tcMar>
              <w:top w:w="22" w:type="dxa"/>
              <w:bottom w:w="22" w:type="dxa"/>
              <w:right w:w="28" w:type="dxa"/>
            </w:tcMar>
          </w:tcPr>
          <w:p w:rsidRPr="006F2FC4" w:rsidR="0084290D" w:rsidRDefault="00CF5B93" w14:paraId="45E940BC" w14:textId="77777777">
            <w:pPr>
              <w:pStyle w:val="p-table"/>
              <w:rPr>
                <w:sz w:val="13"/>
                <w:szCs w:val="13"/>
              </w:rPr>
            </w:pPr>
            <w:r w:rsidRPr="006F2FC4">
              <w:rPr>
                <w:sz w:val="13"/>
                <w:szCs w:val="13"/>
              </w:rPr>
              <w:t>IMVO convenanten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206556D9" w14:textId="77777777">
            <w:pPr>
              <w:pStyle w:val="p-table"/>
              <w:jc w:val="right"/>
              <w:rPr>
                <w:sz w:val="13"/>
                <w:szCs w:val="13"/>
              </w:rPr>
            </w:pPr>
            <w:r w:rsidRPr="006F2FC4">
              <w:rPr>
                <w:sz w:val="13"/>
                <w:szCs w:val="13"/>
              </w:rPr>
              <w:t>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C1818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C93B2FA" w14:textId="77777777">
            <w:pPr>
              <w:pStyle w:val="p-table"/>
              <w:jc w:val="right"/>
              <w:rPr>
                <w:sz w:val="13"/>
                <w:szCs w:val="13"/>
              </w:rPr>
            </w:pPr>
            <w:r w:rsidRPr="006F2FC4">
              <w:rPr>
                <w:sz w:val="13"/>
                <w:szCs w:val="13"/>
              </w:rPr>
              <w:t>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45CF80" w14:textId="77777777">
            <w:pPr>
              <w:pStyle w:val="p-table"/>
              <w:jc w:val="right"/>
              <w:rPr>
                <w:sz w:val="13"/>
                <w:szCs w:val="13"/>
              </w:rPr>
            </w:pPr>
            <w:r w:rsidRPr="006F2FC4">
              <w:rPr>
                <w:sz w:val="13"/>
                <w:szCs w:val="13"/>
              </w:rPr>
              <w:t>‒ 34</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36418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7DDF8B" w14:textId="77777777">
            <w:pPr>
              <w:pStyle w:val="p-table"/>
              <w:jc w:val="right"/>
              <w:rPr>
                <w:sz w:val="13"/>
                <w:szCs w:val="13"/>
              </w:rPr>
            </w:pPr>
            <w:r w:rsidRPr="006F2FC4">
              <w:rPr>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F5B41C" w14:textId="77777777">
            <w:pPr>
              <w:pStyle w:val="p-table"/>
              <w:jc w:val="right"/>
              <w:rPr>
                <w:sz w:val="13"/>
                <w:szCs w:val="13"/>
              </w:rPr>
            </w:pPr>
            <w:r w:rsidRPr="006F2FC4">
              <w:rPr>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0B5D21" w14:textId="77777777">
            <w:pPr>
              <w:pStyle w:val="p-table"/>
              <w:jc w:val="right"/>
              <w:rPr>
                <w:sz w:val="13"/>
                <w:szCs w:val="13"/>
              </w:rPr>
            </w:pPr>
            <w:r w:rsidRPr="006F2FC4">
              <w:rPr>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00955B" w14:textId="77777777">
            <w:pPr>
              <w:pStyle w:val="p-table"/>
              <w:jc w:val="right"/>
              <w:rPr>
                <w:sz w:val="13"/>
                <w:szCs w:val="13"/>
              </w:rPr>
            </w:pPr>
            <w:r w:rsidRPr="006F2FC4">
              <w:rPr>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6E79C8" w14:textId="77777777">
            <w:pPr>
              <w:pStyle w:val="p-table"/>
              <w:jc w:val="right"/>
              <w:rPr>
                <w:sz w:val="13"/>
                <w:szCs w:val="13"/>
              </w:rPr>
            </w:pPr>
            <w:r w:rsidRPr="006F2FC4">
              <w:rPr>
                <w:sz w:val="13"/>
                <w:szCs w:val="13"/>
              </w:rPr>
              <w:t>0</w:t>
            </w:r>
          </w:p>
        </w:tc>
      </w:tr>
      <w:tr w:rsidRPr="00671AAB" w:rsidR="0084290D" w:rsidTr="007433BE" w14:paraId="666F1F45" w14:textId="77777777">
        <w:tc>
          <w:tcPr>
            <w:tcW w:w="1100" w:type="pct"/>
            <w:tcBorders>
              <w:bottom w:val="single" w:color="009EE0" w:sz="2" w:space="0"/>
            </w:tcBorders>
            <w:tcMar>
              <w:top w:w="22" w:type="dxa"/>
              <w:bottom w:w="22" w:type="dxa"/>
              <w:right w:w="28" w:type="dxa"/>
            </w:tcMar>
          </w:tcPr>
          <w:p w:rsidRPr="006F2FC4" w:rsidR="0084290D" w:rsidRDefault="00CF5B93" w14:paraId="7947F528" w14:textId="77777777">
            <w:pPr>
              <w:pStyle w:val="p-table"/>
              <w:rPr>
                <w:sz w:val="13"/>
                <w:szCs w:val="13"/>
              </w:rPr>
            </w:pPr>
            <w:r w:rsidRPr="006F2FC4">
              <w:rPr>
                <w:sz w:val="13"/>
                <w:szCs w:val="13"/>
              </w:rPr>
              <w:t>Overig</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94FF5C" w14:textId="77777777">
            <w:pPr>
              <w:pStyle w:val="p-table"/>
              <w:jc w:val="right"/>
              <w:rPr>
                <w:sz w:val="13"/>
                <w:szCs w:val="13"/>
              </w:rPr>
            </w:pPr>
            <w:r w:rsidRPr="006F2FC4">
              <w:rPr>
                <w:sz w:val="13"/>
                <w:szCs w:val="13"/>
              </w:rPr>
              <w:t>1.322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1541C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588D1C6" w14:textId="77777777">
            <w:pPr>
              <w:pStyle w:val="p-table"/>
              <w:jc w:val="right"/>
              <w:rPr>
                <w:sz w:val="13"/>
                <w:szCs w:val="13"/>
              </w:rPr>
            </w:pPr>
            <w:r w:rsidRPr="006F2FC4">
              <w:rPr>
                <w:sz w:val="13"/>
                <w:szCs w:val="13"/>
              </w:rPr>
              <w:t>1.322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CE45D0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FD226BE" w14:textId="77777777">
            <w:pPr>
              <w:pStyle w:val="p-table"/>
              <w:jc w:val="right"/>
              <w:rPr>
                <w:sz w:val="13"/>
                <w:szCs w:val="13"/>
              </w:rPr>
            </w:pPr>
            <w:r w:rsidRPr="006F2FC4">
              <w:rPr>
                <w:sz w:val="13"/>
                <w:szCs w:val="13"/>
              </w:rPr>
              <w:t>1.322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25264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3986A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EF4BA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436D64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6C67478" w14:textId="77777777">
            <w:pPr>
              <w:pStyle w:val="p-table"/>
              <w:jc w:val="right"/>
              <w:rPr>
                <w:sz w:val="13"/>
                <w:szCs w:val="13"/>
              </w:rPr>
            </w:pPr>
            <w:r w:rsidRPr="006F2FC4">
              <w:rPr>
                <w:sz w:val="13"/>
                <w:szCs w:val="13"/>
              </w:rPr>
              <w:t>1.322</w:t>
            </w:r>
          </w:p>
        </w:tc>
      </w:tr>
      <w:tr w:rsidRPr="00671AAB" w:rsidR="0084290D" w:rsidTr="007433BE" w14:paraId="243D0D97" w14:textId="77777777">
        <w:tc>
          <w:tcPr>
            <w:tcW w:w="1100" w:type="pct"/>
            <w:tcBorders>
              <w:bottom w:val="single" w:color="009EE0" w:sz="2" w:space="0"/>
            </w:tcBorders>
            <w:tcMar>
              <w:top w:w="22" w:type="dxa"/>
              <w:bottom w:w="22" w:type="dxa"/>
              <w:right w:w="28" w:type="dxa"/>
            </w:tcMar>
          </w:tcPr>
          <w:p w:rsidRPr="006F2FC4" w:rsidR="0084290D" w:rsidRDefault="0084290D" w14:paraId="500F87B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ED53AC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53E092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7F274B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B75406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C340BF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3BC52E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AC4728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D69A6D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9334A9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FC2838A" w14:textId="77777777">
            <w:pPr>
              <w:pStyle w:val="p-table"/>
              <w:rPr>
                <w:sz w:val="13"/>
                <w:szCs w:val="13"/>
              </w:rPr>
            </w:pPr>
          </w:p>
        </w:tc>
      </w:tr>
      <w:tr w:rsidRPr="00671AAB" w:rsidR="0084290D" w:rsidTr="007433BE" w14:paraId="057CE83D" w14:textId="77777777">
        <w:tc>
          <w:tcPr>
            <w:tcW w:w="1100" w:type="pct"/>
            <w:tcBorders>
              <w:bottom w:val="single" w:color="009EE0" w:sz="2" w:space="0"/>
            </w:tcBorders>
            <w:tcMar>
              <w:top w:w="22" w:type="dxa"/>
              <w:bottom w:w="22" w:type="dxa"/>
              <w:right w:w="28" w:type="dxa"/>
            </w:tcMar>
          </w:tcPr>
          <w:p w:rsidRPr="006F2FC4" w:rsidR="0084290D" w:rsidRDefault="00CF5B93" w14:paraId="553F2622" w14:textId="77777777">
            <w:pPr>
              <w:pStyle w:val="p-table"/>
              <w:rPr>
                <w:sz w:val="13"/>
                <w:szCs w:val="13"/>
              </w:rPr>
            </w:pPr>
            <w:r w:rsidRPr="006F2FC4">
              <w:rPr>
                <w:b/>
                <w:sz w:val="13"/>
                <w:szCs w:val="13"/>
              </w:rPr>
              <w:t>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72A6BCBE" w14:textId="77777777">
            <w:pPr>
              <w:pStyle w:val="p-table"/>
              <w:jc w:val="right"/>
              <w:rPr>
                <w:sz w:val="13"/>
                <w:szCs w:val="13"/>
              </w:rPr>
            </w:pPr>
            <w:r w:rsidRPr="006F2FC4">
              <w:rPr>
                <w:b/>
                <w:sz w:val="13"/>
                <w:szCs w:val="13"/>
              </w:rPr>
              <w:t>12.585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A3AF6D"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F8D995F" w14:textId="77777777">
            <w:pPr>
              <w:pStyle w:val="p-table"/>
              <w:jc w:val="right"/>
              <w:rPr>
                <w:sz w:val="13"/>
                <w:szCs w:val="13"/>
              </w:rPr>
            </w:pPr>
            <w:r w:rsidRPr="006F2FC4">
              <w:rPr>
                <w:b/>
                <w:sz w:val="13"/>
                <w:szCs w:val="13"/>
              </w:rPr>
              <w:t>12.585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41DB3A" w14:textId="77777777">
            <w:pPr>
              <w:pStyle w:val="p-table"/>
              <w:jc w:val="right"/>
              <w:rPr>
                <w:sz w:val="13"/>
                <w:szCs w:val="13"/>
              </w:rPr>
            </w:pPr>
            <w:r w:rsidRPr="006F2FC4">
              <w:rPr>
                <w:b/>
                <w:sz w:val="13"/>
                <w:szCs w:val="13"/>
              </w:rPr>
              <w:t>6.532</w:t>
            </w:r>
          </w:p>
        </w:tc>
        <w:tc>
          <w:tcPr>
            <w:tcW w:w="425" w:type="pct"/>
            <w:tcBorders>
              <w:bottom w:val="single" w:color="009EE0" w:sz="2" w:space="0"/>
            </w:tcBorders>
            <w:tcMar>
              <w:top w:w="22" w:type="dxa"/>
              <w:left w:w="28" w:type="dxa"/>
              <w:bottom w:w="22" w:type="dxa"/>
              <w:right w:w="28" w:type="dxa"/>
            </w:tcMar>
          </w:tcPr>
          <w:p w:rsidRPr="006F2FC4" w:rsidR="0084290D" w:rsidRDefault="00CF5B93" w14:paraId="57844644" w14:textId="77777777">
            <w:pPr>
              <w:pStyle w:val="p-table"/>
              <w:jc w:val="right"/>
              <w:rPr>
                <w:sz w:val="13"/>
                <w:szCs w:val="13"/>
              </w:rPr>
            </w:pPr>
            <w:r w:rsidRPr="006F2FC4">
              <w:rPr>
                <w:b/>
                <w:sz w:val="13"/>
                <w:szCs w:val="13"/>
              </w:rPr>
              <w:t>19.117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8884D6" w14:textId="77777777">
            <w:pPr>
              <w:pStyle w:val="p-table"/>
              <w:jc w:val="right"/>
              <w:rPr>
                <w:sz w:val="13"/>
                <w:szCs w:val="13"/>
              </w:rPr>
            </w:pPr>
            <w:r w:rsidRPr="006F2FC4">
              <w:rPr>
                <w:b/>
                <w:sz w:val="13"/>
                <w:szCs w:val="13"/>
              </w:rPr>
              <w:t>11.517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5CA8F5" w14:textId="77777777">
            <w:pPr>
              <w:pStyle w:val="p-table"/>
              <w:jc w:val="right"/>
              <w:rPr>
                <w:sz w:val="13"/>
                <w:szCs w:val="13"/>
              </w:rPr>
            </w:pPr>
            <w:r w:rsidRPr="006F2FC4">
              <w:rPr>
                <w:b/>
                <w:sz w:val="13"/>
                <w:szCs w:val="13"/>
              </w:rPr>
              <w:t>12.196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CAA715" w14:textId="77777777">
            <w:pPr>
              <w:pStyle w:val="p-table"/>
              <w:jc w:val="right"/>
              <w:rPr>
                <w:sz w:val="13"/>
                <w:szCs w:val="13"/>
              </w:rPr>
            </w:pPr>
            <w:r w:rsidRPr="006F2FC4">
              <w:rPr>
                <w:b/>
                <w:sz w:val="13"/>
                <w:szCs w:val="13"/>
              </w:rPr>
              <w:t>10.169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788FA5" w14:textId="77777777">
            <w:pPr>
              <w:pStyle w:val="p-table"/>
              <w:jc w:val="right"/>
              <w:rPr>
                <w:sz w:val="13"/>
                <w:szCs w:val="13"/>
              </w:rPr>
            </w:pPr>
            <w:r w:rsidRPr="006F2FC4">
              <w:rPr>
                <w:b/>
                <w:sz w:val="13"/>
                <w:szCs w:val="13"/>
              </w:rPr>
              <w:t>9.740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2B7D91" w14:textId="77777777">
            <w:pPr>
              <w:pStyle w:val="p-table"/>
              <w:jc w:val="right"/>
              <w:rPr>
                <w:sz w:val="13"/>
                <w:szCs w:val="13"/>
              </w:rPr>
            </w:pPr>
            <w:r w:rsidRPr="006F2FC4">
              <w:rPr>
                <w:b/>
                <w:sz w:val="13"/>
                <w:szCs w:val="13"/>
              </w:rPr>
              <w:t>17.562</w:t>
            </w:r>
          </w:p>
        </w:tc>
      </w:tr>
      <w:tr w:rsidRPr="00671AAB" w:rsidR="0084290D" w:rsidTr="007433BE" w14:paraId="7333E278" w14:textId="77777777">
        <w:tc>
          <w:tcPr>
            <w:tcW w:w="1100" w:type="pct"/>
            <w:tcBorders>
              <w:bottom w:val="single" w:color="009EE0" w:sz="2" w:space="0"/>
            </w:tcBorders>
            <w:tcMar>
              <w:top w:w="22" w:type="dxa"/>
              <w:bottom w:w="22" w:type="dxa"/>
              <w:right w:w="28" w:type="dxa"/>
            </w:tcMar>
          </w:tcPr>
          <w:p w:rsidRPr="006F2FC4" w:rsidR="0084290D" w:rsidRDefault="00CF5B93" w14:paraId="23E6275B" w14:textId="77777777">
            <w:pPr>
              <w:pStyle w:val="p-table"/>
              <w:rPr>
                <w:sz w:val="13"/>
                <w:szCs w:val="13"/>
              </w:rPr>
            </w:pPr>
            <w:r w:rsidRPr="006F2FC4">
              <w:rPr>
                <w:sz w:val="13"/>
                <w:szCs w:val="13"/>
              </w:rPr>
              <w:t>Wijzer in geldzaken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809491" w14:textId="77777777">
            <w:pPr>
              <w:pStyle w:val="p-table"/>
              <w:jc w:val="right"/>
              <w:rPr>
                <w:sz w:val="13"/>
                <w:szCs w:val="13"/>
              </w:rPr>
            </w:pPr>
            <w:r w:rsidRPr="006F2FC4">
              <w:rPr>
                <w:sz w:val="13"/>
                <w:szCs w:val="13"/>
              </w:rPr>
              <w:t>1.637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12D0559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D7076AB" w14:textId="77777777">
            <w:pPr>
              <w:pStyle w:val="p-table"/>
              <w:jc w:val="right"/>
              <w:rPr>
                <w:sz w:val="13"/>
                <w:szCs w:val="13"/>
              </w:rPr>
            </w:pPr>
            <w:r w:rsidRPr="006F2FC4">
              <w:rPr>
                <w:sz w:val="13"/>
                <w:szCs w:val="13"/>
              </w:rPr>
              <w:t>1.637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855EC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91DE46" w14:textId="77777777">
            <w:pPr>
              <w:pStyle w:val="p-table"/>
              <w:jc w:val="right"/>
              <w:rPr>
                <w:sz w:val="13"/>
                <w:szCs w:val="13"/>
              </w:rPr>
            </w:pPr>
            <w:r w:rsidRPr="006F2FC4">
              <w:rPr>
                <w:sz w:val="13"/>
                <w:szCs w:val="13"/>
              </w:rPr>
              <w:t>1.637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08DF1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62A5D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81A71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6F4E20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8FB588" w14:textId="77777777">
            <w:pPr>
              <w:pStyle w:val="p-table"/>
              <w:jc w:val="right"/>
              <w:rPr>
                <w:sz w:val="13"/>
                <w:szCs w:val="13"/>
              </w:rPr>
            </w:pPr>
            <w:r w:rsidRPr="006F2FC4">
              <w:rPr>
                <w:sz w:val="13"/>
                <w:szCs w:val="13"/>
              </w:rPr>
              <w:t>182</w:t>
            </w:r>
          </w:p>
        </w:tc>
      </w:tr>
      <w:tr w:rsidRPr="00671AAB" w:rsidR="0084290D" w:rsidTr="007433BE" w14:paraId="24166996" w14:textId="77777777">
        <w:tc>
          <w:tcPr>
            <w:tcW w:w="1100" w:type="pct"/>
            <w:tcBorders>
              <w:bottom w:val="single" w:color="009EE0" w:sz="2" w:space="0"/>
            </w:tcBorders>
            <w:tcMar>
              <w:top w:w="22" w:type="dxa"/>
              <w:bottom w:w="22" w:type="dxa"/>
              <w:right w:w="28" w:type="dxa"/>
            </w:tcMar>
          </w:tcPr>
          <w:p w:rsidRPr="006F2FC4" w:rsidR="0084290D" w:rsidRDefault="00CF5B93" w14:paraId="2883FB0C" w14:textId="77777777">
            <w:pPr>
              <w:pStyle w:val="p-table"/>
              <w:rPr>
                <w:sz w:val="13"/>
                <w:szCs w:val="13"/>
              </w:rPr>
            </w:pPr>
            <w:r w:rsidRPr="006F2FC4">
              <w:rPr>
                <w:sz w:val="13"/>
                <w:szCs w:val="13"/>
              </w:rPr>
              <w:t>Vakbekwaamheid</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42D319" w14:textId="77777777">
            <w:pPr>
              <w:pStyle w:val="p-table"/>
              <w:jc w:val="right"/>
              <w:rPr>
                <w:sz w:val="13"/>
                <w:szCs w:val="13"/>
              </w:rPr>
            </w:pPr>
            <w:r w:rsidRPr="006F2FC4">
              <w:rPr>
                <w:sz w:val="13"/>
                <w:szCs w:val="13"/>
              </w:rPr>
              <w:t>4.660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A95AD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C0E03FB" w14:textId="77777777">
            <w:pPr>
              <w:pStyle w:val="p-table"/>
              <w:jc w:val="right"/>
              <w:rPr>
                <w:sz w:val="13"/>
                <w:szCs w:val="13"/>
              </w:rPr>
            </w:pPr>
            <w:r w:rsidRPr="006F2FC4">
              <w:rPr>
                <w:sz w:val="13"/>
                <w:szCs w:val="13"/>
              </w:rPr>
              <w:t>4.660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BB77EB" w14:textId="77777777">
            <w:pPr>
              <w:pStyle w:val="p-table"/>
              <w:jc w:val="right"/>
              <w:rPr>
                <w:sz w:val="13"/>
                <w:szCs w:val="13"/>
              </w:rPr>
            </w:pPr>
            <w:r w:rsidRPr="006F2FC4">
              <w:rPr>
                <w:sz w:val="13"/>
                <w:szCs w:val="13"/>
              </w:rPr>
              <w:t>636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F45401" w14:textId="77777777">
            <w:pPr>
              <w:pStyle w:val="p-table"/>
              <w:jc w:val="right"/>
              <w:rPr>
                <w:sz w:val="13"/>
                <w:szCs w:val="13"/>
              </w:rPr>
            </w:pPr>
            <w:r w:rsidRPr="006F2FC4">
              <w:rPr>
                <w:sz w:val="13"/>
                <w:szCs w:val="13"/>
              </w:rPr>
              <w:t>5.296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4777D7"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CD45E7"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FF7DBE"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87BF29"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BD5944" w14:textId="77777777">
            <w:pPr>
              <w:pStyle w:val="p-table"/>
              <w:jc w:val="right"/>
              <w:rPr>
                <w:sz w:val="13"/>
                <w:szCs w:val="13"/>
              </w:rPr>
            </w:pPr>
            <w:r w:rsidRPr="006F2FC4">
              <w:rPr>
                <w:sz w:val="13"/>
                <w:szCs w:val="13"/>
              </w:rPr>
              <w:t>5.296</w:t>
            </w:r>
          </w:p>
        </w:tc>
      </w:tr>
      <w:tr w:rsidRPr="00671AAB" w:rsidR="0084290D" w:rsidTr="007433BE" w14:paraId="58050E4F" w14:textId="77777777">
        <w:tc>
          <w:tcPr>
            <w:tcW w:w="1100" w:type="pct"/>
            <w:tcBorders>
              <w:bottom w:val="single" w:color="009EE0" w:sz="2" w:space="0"/>
            </w:tcBorders>
            <w:tcMar>
              <w:top w:w="22" w:type="dxa"/>
              <w:bottom w:w="22" w:type="dxa"/>
              <w:right w:w="28" w:type="dxa"/>
            </w:tcMar>
          </w:tcPr>
          <w:p w:rsidRPr="006F2FC4" w:rsidR="0084290D" w:rsidRDefault="00CF5B93" w14:paraId="0ADD57D8" w14:textId="77777777">
            <w:pPr>
              <w:pStyle w:val="p-table"/>
              <w:rPr>
                <w:sz w:val="13"/>
                <w:szCs w:val="13"/>
              </w:rPr>
            </w:pPr>
            <w:r w:rsidRPr="006F2FC4">
              <w:rPr>
                <w:sz w:val="13"/>
                <w:szCs w:val="13"/>
              </w:rPr>
              <w:t>Uitvoeringskosten SRH</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7F9D5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C4AC7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E19F7A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3D822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3B6F88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68E4C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C1E683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8FB98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CC48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17903C" w14:textId="77777777">
            <w:pPr>
              <w:pStyle w:val="p-table"/>
              <w:jc w:val="right"/>
              <w:rPr>
                <w:sz w:val="13"/>
                <w:szCs w:val="13"/>
              </w:rPr>
            </w:pPr>
            <w:r w:rsidRPr="006F2FC4">
              <w:rPr>
                <w:sz w:val="13"/>
                <w:szCs w:val="13"/>
              </w:rPr>
              <w:t>0</w:t>
            </w:r>
          </w:p>
        </w:tc>
      </w:tr>
      <w:tr w:rsidRPr="00671AAB" w:rsidR="0084290D" w:rsidTr="007433BE" w14:paraId="41F4A4E6" w14:textId="77777777">
        <w:tc>
          <w:tcPr>
            <w:tcW w:w="1100" w:type="pct"/>
            <w:tcBorders>
              <w:bottom w:val="single" w:color="009EE0" w:sz="2" w:space="0"/>
            </w:tcBorders>
            <w:tcMar>
              <w:top w:w="22" w:type="dxa"/>
              <w:bottom w:w="22" w:type="dxa"/>
              <w:right w:w="28" w:type="dxa"/>
            </w:tcMar>
          </w:tcPr>
          <w:p w:rsidRPr="006F2FC4" w:rsidR="0084290D" w:rsidRDefault="00CF5B93" w14:paraId="5502D599" w14:textId="77777777">
            <w:pPr>
              <w:pStyle w:val="p-table"/>
              <w:rPr>
                <w:sz w:val="13"/>
                <w:szCs w:val="13"/>
              </w:rPr>
            </w:pPr>
            <w:r w:rsidRPr="006F2FC4">
              <w:rPr>
                <w:sz w:val="13"/>
                <w:szCs w:val="13"/>
              </w:rPr>
              <w:t>Schadeloosstelling SRH</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C933CF"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D5754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FFE50D"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03048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D1A2F4"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656AC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BDD26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3E3E6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EC755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5E83D7" w14:textId="77777777">
            <w:pPr>
              <w:pStyle w:val="p-table"/>
              <w:jc w:val="right"/>
              <w:rPr>
                <w:sz w:val="13"/>
                <w:szCs w:val="13"/>
              </w:rPr>
            </w:pPr>
            <w:r w:rsidRPr="006F2FC4">
              <w:rPr>
                <w:sz w:val="13"/>
                <w:szCs w:val="13"/>
              </w:rPr>
              <w:t>0</w:t>
            </w:r>
          </w:p>
        </w:tc>
      </w:tr>
      <w:tr w:rsidRPr="00671AAB" w:rsidR="0084290D" w:rsidTr="007433BE" w14:paraId="08C1CB55" w14:textId="77777777">
        <w:tc>
          <w:tcPr>
            <w:tcW w:w="1100" w:type="pct"/>
            <w:tcBorders>
              <w:bottom w:val="single" w:color="009EE0" w:sz="2" w:space="0"/>
            </w:tcBorders>
            <w:tcMar>
              <w:top w:w="22" w:type="dxa"/>
              <w:bottom w:w="22" w:type="dxa"/>
              <w:right w:w="28" w:type="dxa"/>
            </w:tcMar>
          </w:tcPr>
          <w:p w:rsidRPr="006F2FC4" w:rsidR="0084290D" w:rsidRDefault="00CF5B93" w14:paraId="6166E491" w14:textId="77777777">
            <w:pPr>
              <w:pStyle w:val="p-table"/>
              <w:rPr>
                <w:sz w:val="13"/>
                <w:szCs w:val="13"/>
              </w:rPr>
            </w:pPr>
            <w:r w:rsidRPr="006F2FC4">
              <w:rPr>
                <w:sz w:val="13"/>
                <w:szCs w:val="13"/>
              </w:rPr>
              <w:t>Convertibiliteit Oekraïense hryvnia</w:t>
            </w:r>
          </w:p>
        </w:tc>
        <w:tc>
          <w:tcPr>
            <w:tcW w:w="425" w:type="pct"/>
            <w:tcBorders>
              <w:bottom w:val="single" w:color="009EE0" w:sz="2" w:space="0"/>
            </w:tcBorders>
            <w:tcMar>
              <w:top w:w="22" w:type="dxa"/>
              <w:left w:w="28" w:type="dxa"/>
              <w:bottom w:w="22" w:type="dxa"/>
              <w:right w:w="28" w:type="dxa"/>
            </w:tcMar>
          </w:tcPr>
          <w:p w:rsidRPr="006F2FC4" w:rsidR="0084290D" w:rsidRDefault="00CF5B93" w14:paraId="435B86C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4EAD6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A5E2C5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D7F81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559F8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D63D6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FEBB8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6D612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3585C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596D45" w14:textId="77777777">
            <w:pPr>
              <w:pStyle w:val="p-table"/>
              <w:jc w:val="right"/>
              <w:rPr>
                <w:sz w:val="13"/>
                <w:szCs w:val="13"/>
              </w:rPr>
            </w:pPr>
            <w:r w:rsidRPr="006F2FC4">
              <w:rPr>
                <w:sz w:val="13"/>
                <w:szCs w:val="13"/>
              </w:rPr>
              <w:t>0</w:t>
            </w:r>
          </w:p>
        </w:tc>
      </w:tr>
      <w:tr w:rsidRPr="00671AAB" w:rsidR="0084290D" w:rsidTr="007433BE" w14:paraId="657C16CC" w14:textId="77777777">
        <w:tc>
          <w:tcPr>
            <w:tcW w:w="1100" w:type="pct"/>
            <w:tcBorders>
              <w:bottom w:val="single" w:color="009EE0" w:sz="2" w:space="0"/>
            </w:tcBorders>
            <w:tcMar>
              <w:top w:w="22" w:type="dxa"/>
              <w:bottom w:w="22" w:type="dxa"/>
              <w:right w:w="28" w:type="dxa"/>
            </w:tcMar>
          </w:tcPr>
          <w:p w:rsidRPr="006F2FC4" w:rsidR="0084290D" w:rsidRDefault="00CF5B93" w14:paraId="0DA23880" w14:textId="77777777">
            <w:pPr>
              <w:pStyle w:val="p-table"/>
              <w:rPr>
                <w:sz w:val="13"/>
                <w:szCs w:val="13"/>
              </w:rPr>
            </w:pPr>
            <w:r w:rsidRPr="006F2FC4">
              <w:rPr>
                <w:sz w:val="13"/>
                <w:szCs w:val="13"/>
              </w:rPr>
              <w:t>Uitvoeringskosten omwisselen Oekraïense hryvnia</w:t>
            </w:r>
          </w:p>
        </w:tc>
        <w:tc>
          <w:tcPr>
            <w:tcW w:w="425" w:type="pct"/>
            <w:tcBorders>
              <w:bottom w:val="single" w:color="009EE0" w:sz="2" w:space="0"/>
            </w:tcBorders>
            <w:tcMar>
              <w:top w:w="22" w:type="dxa"/>
              <w:left w:w="28" w:type="dxa"/>
              <w:bottom w:w="22" w:type="dxa"/>
              <w:right w:w="28" w:type="dxa"/>
            </w:tcMar>
          </w:tcPr>
          <w:p w:rsidRPr="006F2FC4" w:rsidR="0084290D" w:rsidRDefault="00CF5B93" w14:paraId="235E37F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9560F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DB6791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C51382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2E4429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DAFEC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6C2DE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2986B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2273E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C6035F" w14:textId="77777777">
            <w:pPr>
              <w:pStyle w:val="p-table"/>
              <w:jc w:val="right"/>
              <w:rPr>
                <w:sz w:val="13"/>
                <w:szCs w:val="13"/>
              </w:rPr>
            </w:pPr>
            <w:r w:rsidRPr="006F2FC4">
              <w:rPr>
                <w:sz w:val="13"/>
                <w:szCs w:val="13"/>
              </w:rPr>
              <w:t>0</w:t>
            </w:r>
          </w:p>
        </w:tc>
      </w:tr>
      <w:tr w:rsidRPr="00671AAB" w:rsidR="0084290D" w:rsidTr="007433BE" w14:paraId="6F817CCE" w14:textId="77777777">
        <w:tc>
          <w:tcPr>
            <w:tcW w:w="1100" w:type="pct"/>
            <w:tcBorders>
              <w:bottom w:val="single" w:color="009EE0" w:sz="2" w:space="0"/>
            </w:tcBorders>
            <w:tcMar>
              <w:top w:w="22" w:type="dxa"/>
              <w:bottom w:w="22" w:type="dxa"/>
              <w:right w:w="28" w:type="dxa"/>
            </w:tcMar>
          </w:tcPr>
          <w:p w:rsidRPr="006F2FC4" w:rsidR="0084290D" w:rsidRDefault="00CF5B93" w14:paraId="64836E4B" w14:textId="77777777">
            <w:pPr>
              <w:pStyle w:val="p-table"/>
              <w:rPr>
                <w:sz w:val="13"/>
                <w:szCs w:val="13"/>
              </w:rPr>
            </w:pPr>
            <w:r w:rsidRPr="006F2FC4">
              <w:rPr>
                <w:sz w:val="13"/>
                <w:szCs w:val="13"/>
              </w:rPr>
              <w:t>Overig</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2B1973" w14:textId="77777777">
            <w:pPr>
              <w:pStyle w:val="p-table"/>
              <w:jc w:val="right"/>
              <w:rPr>
                <w:sz w:val="13"/>
                <w:szCs w:val="13"/>
              </w:rPr>
            </w:pPr>
            <w:r w:rsidRPr="006F2FC4">
              <w:rPr>
                <w:sz w:val="13"/>
                <w:szCs w:val="13"/>
              </w:rPr>
              <w:t>3.988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7C215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17511B" w14:textId="77777777">
            <w:pPr>
              <w:pStyle w:val="p-table"/>
              <w:jc w:val="right"/>
              <w:rPr>
                <w:sz w:val="13"/>
                <w:szCs w:val="13"/>
              </w:rPr>
            </w:pPr>
            <w:r w:rsidRPr="006F2FC4">
              <w:rPr>
                <w:sz w:val="13"/>
                <w:szCs w:val="13"/>
              </w:rPr>
              <w:t>3.988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8F5E7D" w14:textId="77777777">
            <w:pPr>
              <w:pStyle w:val="p-table"/>
              <w:jc w:val="right"/>
              <w:rPr>
                <w:sz w:val="13"/>
                <w:szCs w:val="13"/>
              </w:rPr>
            </w:pPr>
            <w:r w:rsidRPr="006F2FC4">
              <w:rPr>
                <w:sz w:val="13"/>
                <w:szCs w:val="13"/>
              </w:rPr>
              <w:t>5.896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28A79F" w14:textId="77777777">
            <w:pPr>
              <w:pStyle w:val="p-table"/>
              <w:jc w:val="right"/>
              <w:rPr>
                <w:sz w:val="13"/>
                <w:szCs w:val="13"/>
              </w:rPr>
            </w:pPr>
            <w:r w:rsidRPr="006F2FC4">
              <w:rPr>
                <w:sz w:val="13"/>
                <w:szCs w:val="13"/>
              </w:rPr>
              <w:t>9.884</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B339CE" w14:textId="77777777">
            <w:pPr>
              <w:pStyle w:val="p-table"/>
              <w:jc w:val="right"/>
              <w:rPr>
                <w:sz w:val="13"/>
                <w:szCs w:val="13"/>
              </w:rPr>
            </w:pPr>
            <w:r w:rsidRPr="006F2FC4">
              <w:rPr>
                <w:sz w:val="13"/>
                <w:szCs w:val="13"/>
              </w:rPr>
              <w:t>10.881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BD72C4" w14:textId="77777777">
            <w:pPr>
              <w:pStyle w:val="p-table"/>
              <w:jc w:val="right"/>
              <w:rPr>
                <w:sz w:val="13"/>
                <w:szCs w:val="13"/>
              </w:rPr>
            </w:pPr>
            <w:r w:rsidRPr="006F2FC4">
              <w:rPr>
                <w:sz w:val="13"/>
                <w:szCs w:val="13"/>
              </w:rPr>
              <w:t>11.560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E8CEBA" w14:textId="77777777">
            <w:pPr>
              <w:pStyle w:val="p-table"/>
              <w:jc w:val="right"/>
              <w:rPr>
                <w:sz w:val="13"/>
                <w:szCs w:val="13"/>
              </w:rPr>
            </w:pPr>
            <w:r w:rsidRPr="006F2FC4">
              <w:rPr>
                <w:sz w:val="13"/>
                <w:szCs w:val="13"/>
              </w:rPr>
              <w:t>9.533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4F836D" w14:textId="77777777">
            <w:pPr>
              <w:pStyle w:val="p-table"/>
              <w:jc w:val="right"/>
              <w:rPr>
                <w:sz w:val="13"/>
                <w:szCs w:val="13"/>
              </w:rPr>
            </w:pPr>
            <w:r w:rsidRPr="006F2FC4">
              <w:rPr>
                <w:sz w:val="13"/>
                <w:szCs w:val="13"/>
              </w:rPr>
              <w:t>9.104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719583" w14:textId="77777777">
            <w:pPr>
              <w:pStyle w:val="p-table"/>
              <w:jc w:val="right"/>
              <w:rPr>
                <w:sz w:val="13"/>
                <w:szCs w:val="13"/>
              </w:rPr>
            </w:pPr>
            <w:r w:rsidRPr="006F2FC4">
              <w:rPr>
                <w:sz w:val="13"/>
                <w:szCs w:val="13"/>
              </w:rPr>
              <w:t>12.084</w:t>
            </w:r>
          </w:p>
        </w:tc>
      </w:tr>
      <w:tr w:rsidRPr="00671AAB" w:rsidR="0084290D" w:rsidTr="007433BE" w14:paraId="6FDF81C3" w14:textId="77777777">
        <w:tc>
          <w:tcPr>
            <w:tcW w:w="1100" w:type="pct"/>
            <w:tcBorders>
              <w:bottom w:val="single" w:color="009EE0" w:sz="2" w:space="0"/>
            </w:tcBorders>
            <w:tcMar>
              <w:top w:w="22" w:type="dxa"/>
              <w:bottom w:w="22" w:type="dxa"/>
              <w:right w:w="28" w:type="dxa"/>
            </w:tcMar>
          </w:tcPr>
          <w:p w:rsidRPr="006F2FC4" w:rsidR="0084290D" w:rsidRDefault="0084290D" w14:paraId="559DF03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715076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CC9042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6B240C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F6C446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788CDC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64A30A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738E10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1D1D5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3FB3FA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8C5306C" w14:textId="77777777">
            <w:pPr>
              <w:pStyle w:val="p-table"/>
              <w:rPr>
                <w:sz w:val="13"/>
                <w:szCs w:val="13"/>
              </w:rPr>
            </w:pPr>
          </w:p>
        </w:tc>
      </w:tr>
      <w:tr w:rsidRPr="00671AAB" w:rsidR="0084290D" w:rsidTr="007433BE" w14:paraId="61443244" w14:textId="77777777">
        <w:tc>
          <w:tcPr>
            <w:tcW w:w="1100" w:type="pct"/>
            <w:tcBorders>
              <w:bottom w:val="single" w:color="009EE0" w:sz="2" w:space="0"/>
            </w:tcBorders>
            <w:tcMar>
              <w:top w:w="22" w:type="dxa"/>
              <w:bottom w:w="22" w:type="dxa"/>
              <w:right w:w="28" w:type="dxa"/>
            </w:tcMar>
          </w:tcPr>
          <w:p w:rsidRPr="006F2FC4" w:rsidR="0084290D" w:rsidRDefault="00CF5B93" w14:paraId="6C821092" w14:textId="77777777">
            <w:pPr>
              <w:pStyle w:val="p-table"/>
              <w:rPr>
                <w:sz w:val="13"/>
                <w:szCs w:val="13"/>
              </w:rPr>
            </w:pPr>
            <w:r w:rsidRPr="006F2FC4">
              <w:rPr>
                <w:b/>
                <w:sz w:val="13"/>
                <w:szCs w:val="13"/>
              </w:rPr>
              <w:t>Bijdrage aan ZBO's/RWT's</w:t>
            </w:r>
          </w:p>
        </w:tc>
        <w:tc>
          <w:tcPr>
            <w:tcW w:w="425" w:type="pct"/>
            <w:tcBorders>
              <w:bottom w:val="single" w:color="009EE0" w:sz="2" w:space="0"/>
            </w:tcBorders>
            <w:tcMar>
              <w:top w:w="22" w:type="dxa"/>
              <w:left w:w="28" w:type="dxa"/>
              <w:bottom w:w="22" w:type="dxa"/>
              <w:right w:w="28" w:type="dxa"/>
            </w:tcMar>
          </w:tcPr>
          <w:p w:rsidRPr="006F2FC4" w:rsidR="0084290D" w:rsidRDefault="00CF5B93" w14:paraId="54C29F42" w14:textId="77777777">
            <w:pPr>
              <w:pStyle w:val="p-table"/>
              <w:jc w:val="right"/>
              <w:rPr>
                <w:sz w:val="13"/>
                <w:szCs w:val="13"/>
              </w:rPr>
            </w:pPr>
            <w:r w:rsidRPr="006F2FC4">
              <w:rPr>
                <w:b/>
                <w:sz w:val="13"/>
                <w:szCs w:val="13"/>
              </w:rPr>
              <w:t>11.615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64884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CE16AB" w14:textId="77777777">
            <w:pPr>
              <w:pStyle w:val="p-table"/>
              <w:jc w:val="right"/>
              <w:rPr>
                <w:sz w:val="13"/>
                <w:szCs w:val="13"/>
              </w:rPr>
            </w:pPr>
            <w:r w:rsidRPr="006F2FC4">
              <w:rPr>
                <w:b/>
                <w:sz w:val="13"/>
                <w:szCs w:val="13"/>
              </w:rPr>
              <w:t>11.615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485B09" w14:textId="77777777">
            <w:pPr>
              <w:pStyle w:val="p-table"/>
              <w:jc w:val="right"/>
              <w:rPr>
                <w:sz w:val="13"/>
                <w:szCs w:val="13"/>
              </w:rPr>
            </w:pPr>
            <w:r w:rsidRPr="006F2FC4">
              <w:rPr>
                <w:b/>
                <w:sz w:val="13"/>
                <w:szCs w:val="13"/>
              </w:rPr>
              <w:t>475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BD95BF6" w14:textId="77777777">
            <w:pPr>
              <w:pStyle w:val="p-table"/>
              <w:jc w:val="right"/>
              <w:rPr>
                <w:sz w:val="13"/>
                <w:szCs w:val="13"/>
              </w:rPr>
            </w:pPr>
            <w:r w:rsidRPr="006F2FC4">
              <w:rPr>
                <w:b/>
                <w:sz w:val="13"/>
                <w:szCs w:val="13"/>
              </w:rPr>
              <w:t>12.090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A9B13A" w14:textId="77777777">
            <w:pPr>
              <w:pStyle w:val="p-table"/>
              <w:jc w:val="right"/>
              <w:rPr>
                <w:sz w:val="13"/>
                <w:szCs w:val="13"/>
              </w:rPr>
            </w:pPr>
            <w:r w:rsidRPr="006F2FC4">
              <w:rPr>
                <w:b/>
                <w:sz w:val="13"/>
                <w:szCs w:val="13"/>
              </w:rPr>
              <w:t>‒ 592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00D524" w14:textId="77777777">
            <w:pPr>
              <w:pStyle w:val="p-table"/>
              <w:jc w:val="right"/>
              <w:rPr>
                <w:sz w:val="13"/>
                <w:szCs w:val="13"/>
              </w:rPr>
            </w:pPr>
            <w:r w:rsidRPr="006F2FC4">
              <w:rPr>
                <w:b/>
                <w:sz w:val="13"/>
                <w:szCs w:val="13"/>
              </w:rPr>
              <w:t>‒ 133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FD7C1B" w14:textId="77777777">
            <w:pPr>
              <w:pStyle w:val="p-table"/>
              <w:jc w:val="right"/>
              <w:rPr>
                <w:sz w:val="13"/>
                <w:szCs w:val="13"/>
              </w:rPr>
            </w:pPr>
            <w:r w:rsidRPr="006F2FC4">
              <w:rPr>
                <w:b/>
                <w:sz w:val="13"/>
                <w:szCs w:val="13"/>
              </w:rPr>
              <w:t>‒ 435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8EC9DD" w14:textId="77777777">
            <w:pPr>
              <w:pStyle w:val="p-table"/>
              <w:jc w:val="right"/>
              <w:rPr>
                <w:sz w:val="13"/>
                <w:szCs w:val="13"/>
              </w:rPr>
            </w:pPr>
            <w:r w:rsidRPr="006F2FC4">
              <w:rPr>
                <w:b/>
                <w:sz w:val="13"/>
                <w:szCs w:val="13"/>
              </w:rPr>
              <w:t>‒ 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E2E3A5" w14:textId="77777777">
            <w:pPr>
              <w:pStyle w:val="p-table"/>
              <w:jc w:val="right"/>
              <w:rPr>
                <w:sz w:val="13"/>
                <w:szCs w:val="13"/>
              </w:rPr>
            </w:pPr>
            <w:r w:rsidRPr="006F2FC4">
              <w:rPr>
                <w:b/>
                <w:sz w:val="13"/>
                <w:szCs w:val="13"/>
              </w:rPr>
              <w:t>10.762</w:t>
            </w:r>
          </w:p>
        </w:tc>
      </w:tr>
      <w:tr w:rsidRPr="00671AAB" w:rsidR="0084290D" w:rsidTr="007433BE" w14:paraId="64D0E833" w14:textId="77777777">
        <w:tc>
          <w:tcPr>
            <w:tcW w:w="1100" w:type="pct"/>
            <w:tcBorders>
              <w:bottom w:val="single" w:color="009EE0" w:sz="2" w:space="0"/>
            </w:tcBorders>
            <w:tcMar>
              <w:top w:w="22" w:type="dxa"/>
              <w:bottom w:w="22" w:type="dxa"/>
              <w:right w:w="28" w:type="dxa"/>
            </w:tcMar>
          </w:tcPr>
          <w:p w:rsidRPr="006F2FC4" w:rsidR="0084290D" w:rsidRDefault="00CF5B93" w14:paraId="10494854" w14:textId="77777777">
            <w:pPr>
              <w:pStyle w:val="p-table"/>
              <w:rPr>
                <w:sz w:val="13"/>
                <w:szCs w:val="13"/>
              </w:rPr>
            </w:pPr>
            <w:r w:rsidRPr="006F2FC4">
              <w:rPr>
                <w:sz w:val="13"/>
                <w:szCs w:val="13"/>
              </w:rPr>
              <w:t>Bijdrage AFM BES-toezicht</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686806" w14:textId="77777777">
            <w:pPr>
              <w:pStyle w:val="p-table"/>
              <w:jc w:val="right"/>
              <w:rPr>
                <w:sz w:val="13"/>
                <w:szCs w:val="13"/>
              </w:rPr>
            </w:pPr>
            <w:r w:rsidRPr="006F2FC4">
              <w:rPr>
                <w:sz w:val="13"/>
                <w:szCs w:val="13"/>
              </w:rPr>
              <w:t>769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6BA02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1EB8FD9" w14:textId="77777777">
            <w:pPr>
              <w:pStyle w:val="p-table"/>
              <w:jc w:val="right"/>
              <w:rPr>
                <w:sz w:val="13"/>
                <w:szCs w:val="13"/>
              </w:rPr>
            </w:pPr>
            <w:r w:rsidRPr="006F2FC4">
              <w:rPr>
                <w:sz w:val="13"/>
                <w:szCs w:val="13"/>
              </w:rPr>
              <w:t>769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FA3A9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A6ACFD" w14:textId="77777777">
            <w:pPr>
              <w:pStyle w:val="p-table"/>
              <w:jc w:val="right"/>
              <w:rPr>
                <w:sz w:val="13"/>
                <w:szCs w:val="13"/>
              </w:rPr>
            </w:pPr>
            <w:r w:rsidRPr="006F2FC4">
              <w:rPr>
                <w:sz w:val="13"/>
                <w:szCs w:val="13"/>
              </w:rPr>
              <w:t>769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3B474299" w14:textId="77777777">
            <w:pPr>
              <w:pStyle w:val="p-table"/>
              <w:jc w:val="right"/>
              <w:rPr>
                <w:sz w:val="13"/>
                <w:szCs w:val="13"/>
              </w:rPr>
            </w:pPr>
            <w:r w:rsidRPr="006F2FC4">
              <w:rPr>
                <w:sz w:val="13"/>
                <w:szCs w:val="13"/>
              </w:rPr>
              <w:t>‒ 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7D2B582" w14:textId="77777777">
            <w:pPr>
              <w:pStyle w:val="p-table"/>
              <w:jc w:val="right"/>
              <w:rPr>
                <w:sz w:val="13"/>
                <w:szCs w:val="13"/>
              </w:rPr>
            </w:pPr>
            <w:r w:rsidRPr="006F2FC4">
              <w:rPr>
                <w:sz w:val="13"/>
                <w:szCs w:val="13"/>
              </w:rPr>
              <w:t>‒ 7</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8A1279" w14:textId="77777777">
            <w:pPr>
              <w:pStyle w:val="p-table"/>
              <w:jc w:val="right"/>
              <w:rPr>
                <w:sz w:val="13"/>
                <w:szCs w:val="13"/>
              </w:rPr>
            </w:pPr>
            <w:r w:rsidRPr="006F2FC4">
              <w:rPr>
                <w:sz w:val="13"/>
                <w:szCs w:val="13"/>
              </w:rPr>
              <w:t>‒ 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30F3620E" w14:textId="77777777">
            <w:pPr>
              <w:pStyle w:val="p-table"/>
              <w:jc w:val="right"/>
              <w:rPr>
                <w:sz w:val="13"/>
                <w:szCs w:val="13"/>
              </w:rPr>
            </w:pPr>
            <w:r w:rsidRPr="006F2FC4">
              <w:rPr>
                <w:sz w:val="13"/>
                <w:szCs w:val="13"/>
              </w:rPr>
              <w:t>‒ 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059279" w14:textId="77777777">
            <w:pPr>
              <w:pStyle w:val="p-table"/>
              <w:jc w:val="right"/>
              <w:rPr>
                <w:sz w:val="13"/>
                <w:szCs w:val="13"/>
              </w:rPr>
            </w:pPr>
            <w:r w:rsidRPr="006F2FC4">
              <w:rPr>
                <w:sz w:val="13"/>
                <w:szCs w:val="13"/>
              </w:rPr>
              <w:t>726</w:t>
            </w:r>
          </w:p>
        </w:tc>
      </w:tr>
      <w:tr w:rsidRPr="00671AAB" w:rsidR="0084290D" w:rsidTr="007433BE" w14:paraId="623F67B0" w14:textId="77777777">
        <w:tc>
          <w:tcPr>
            <w:tcW w:w="1100" w:type="pct"/>
            <w:tcBorders>
              <w:bottom w:val="single" w:color="009EE0" w:sz="2" w:space="0"/>
            </w:tcBorders>
            <w:tcMar>
              <w:top w:w="22" w:type="dxa"/>
              <w:bottom w:w="22" w:type="dxa"/>
              <w:right w:w="28" w:type="dxa"/>
            </w:tcMar>
          </w:tcPr>
          <w:p w:rsidRPr="006F2FC4" w:rsidR="0084290D" w:rsidRDefault="00CF5B93" w14:paraId="3D68C7DE" w14:textId="77777777">
            <w:pPr>
              <w:pStyle w:val="p-table"/>
              <w:rPr>
                <w:sz w:val="13"/>
                <w:szCs w:val="13"/>
              </w:rPr>
            </w:pPr>
            <w:r w:rsidRPr="006F2FC4">
              <w:rPr>
                <w:sz w:val="13"/>
                <w:szCs w:val="13"/>
              </w:rPr>
              <w:t>Bijdrage DNB toezicht en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C8533B"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2DF87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A2CF92"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01C6B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30460B"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FC1AB7" w14:textId="77777777">
            <w:pPr>
              <w:pStyle w:val="p-table"/>
              <w:jc w:val="right"/>
              <w:rPr>
                <w:sz w:val="13"/>
                <w:szCs w:val="13"/>
              </w:rPr>
            </w:pPr>
            <w:r w:rsidRPr="006F2FC4">
              <w:rPr>
                <w:sz w:val="13"/>
                <w:szCs w:val="13"/>
              </w:rPr>
              <w:t>‒ 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99CF19" w14:textId="77777777">
            <w:pPr>
              <w:pStyle w:val="p-table"/>
              <w:jc w:val="right"/>
              <w:rPr>
                <w:sz w:val="13"/>
                <w:szCs w:val="13"/>
              </w:rPr>
            </w:pPr>
            <w:r w:rsidRPr="006F2FC4">
              <w:rPr>
                <w:sz w:val="13"/>
                <w:szCs w:val="13"/>
              </w:rPr>
              <w:t>‒ 26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AACC24" w14:textId="77777777">
            <w:pPr>
              <w:pStyle w:val="p-table"/>
              <w:jc w:val="right"/>
              <w:rPr>
                <w:sz w:val="13"/>
                <w:szCs w:val="13"/>
              </w:rPr>
            </w:pPr>
            <w:r w:rsidRPr="006F2FC4">
              <w:rPr>
                <w:sz w:val="13"/>
                <w:szCs w:val="13"/>
              </w:rPr>
              <w:t>‒ 83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668E05" w14:textId="77777777">
            <w:pPr>
              <w:pStyle w:val="p-table"/>
              <w:jc w:val="right"/>
              <w:rPr>
                <w:sz w:val="13"/>
                <w:szCs w:val="13"/>
              </w:rPr>
            </w:pPr>
            <w:r w:rsidRPr="006F2FC4">
              <w:rPr>
                <w:sz w:val="13"/>
                <w:szCs w:val="13"/>
              </w:rPr>
              <w:t>‒ 164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5C6322EB" w14:textId="77777777">
            <w:pPr>
              <w:pStyle w:val="p-table"/>
              <w:jc w:val="right"/>
              <w:rPr>
                <w:sz w:val="13"/>
                <w:szCs w:val="13"/>
              </w:rPr>
            </w:pPr>
            <w:r w:rsidRPr="006F2FC4">
              <w:rPr>
                <w:sz w:val="13"/>
                <w:szCs w:val="13"/>
              </w:rPr>
              <w:t>2.038</w:t>
            </w:r>
          </w:p>
        </w:tc>
      </w:tr>
      <w:tr w:rsidRPr="00671AAB" w:rsidR="0084290D" w:rsidTr="007433BE" w14:paraId="7C11C94B" w14:textId="77777777">
        <w:tc>
          <w:tcPr>
            <w:tcW w:w="1100" w:type="pct"/>
            <w:tcBorders>
              <w:bottom w:val="single" w:color="009EE0" w:sz="2" w:space="0"/>
            </w:tcBorders>
            <w:tcMar>
              <w:top w:w="22" w:type="dxa"/>
              <w:bottom w:w="22" w:type="dxa"/>
              <w:right w:w="28" w:type="dxa"/>
            </w:tcMar>
          </w:tcPr>
          <w:p w:rsidRPr="006F2FC4" w:rsidR="0084290D" w:rsidRDefault="00CF5B93" w14:paraId="3579AE5E" w14:textId="77777777">
            <w:pPr>
              <w:pStyle w:val="p-table"/>
              <w:rPr>
                <w:sz w:val="13"/>
                <w:szCs w:val="13"/>
              </w:rPr>
            </w:pPr>
            <w:r w:rsidRPr="006F2FC4">
              <w:rPr>
                <w:sz w:val="13"/>
                <w:szCs w:val="13"/>
              </w:rPr>
              <w:t>Bijdrage toezicht en handhaving MIF</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23276A" w14:textId="77777777">
            <w:pPr>
              <w:pStyle w:val="p-table"/>
              <w:jc w:val="right"/>
              <w:rPr>
                <w:sz w:val="13"/>
                <w:szCs w:val="13"/>
              </w:rPr>
            </w:pPr>
            <w:r w:rsidRPr="006F2FC4">
              <w:rPr>
                <w:sz w:val="13"/>
                <w:szCs w:val="13"/>
              </w:rPr>
              <w:t>513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ABCA2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4760571" w14:textId="77777777">
            <w:pPr>
              <w:pStyle w:val="p-table"/>
              <w:jc w:val="right"/>
              <w:rPr>
                <w:sz w:val="13"/>
                <w:szCs w:val="13"/>
              </w:rPr>
            </w:pPr>
            <w:r w:rsidRPr="006F2FC4">
              <w:rPr>
                <w:sz w:val="13"/>
                <w:szCs w:val="13"/>
              </w:rPr>
              <w:t>513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BB9565" w14:textId="77777777">
            <w:pPr>
              <w:pStyle w:val="p-table"/>
              <w:jc w:val="right"/>
              <w:rPr>
                <w:sz w:val="13"/>
                <w:szCs w:val="13"/>
              </w:rPr>
            </w:pPr>
            <w:r w:rsidRPr="006F2FC4">
              <w:rPr>
                <w:sz w:val="13"/>
                <w:szCs w:val="13"/>
              </w:rPr>
              <w:t>‒ 330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D5F1942" w14:textId="77777777">
            <w:pPr>
              <w:pStyle w:val="p-table"/>
              <w:jc w:val="right"/>
              <w:rPr>
                <w:sz w:val="13"/>
                <w:szCs w:val="13"/>
              </w:rPr>
            </w:pPr>
            <w:r w:rsidRPr="006F2FC4">
              <w:rPr>
                <w:sz w:val="13"/>
                <w:szCs w:val="13"/>
              </w:rPr>
              <w:t>183</w:t>
            </w:r>
          </w:p>
        </w:tc>
        <w:tc>
          <w:tcPr>
            <w:tcW w:w="375" w:type="pct"/>
            <w:tcBorders>
              <w:bottom w:val="single" w:color="009EE0" w:sz="2" w:space="0"/>
            </w:tcBorders>
            <w:tcMar>
              <w:top w:w="22" w:type="dxa"/>
              <w:left w:w="28" w:type="dxa"/>
              <w:bottom w:w="22" w:type="dxa"/>
              <w:right w:w="28" w:type="dxa"/>
            </w:tcMar>
          </w:tcPr>
          <w:p w:rsidRPr="006F2FC4" w:rsidR="0084290D" w:rsidRDefault="00CF5B93" w14:paraId="7458E372" w14:textId="77777777">
            <w:pPr>
              <w:pStyle w:val="p-table"/>
              <w:jc w:val="right"/>
              <w:rPr>
                <w:sz w:val="13"/>
                <w:szCs w:val="13"/>
              </w:rPr>
            </w:pPr>
            <w:r w:rsidRPr="006F2FC4">
              <w:rPr>
                <w:sz w:val="13"/>
                <w:szCs w:val="13"/>
              </w:rPr>
              <w:t>‒ 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1A90F7" w14:textId="77777777">
            <w:pPr>
              <w:pStyle w:val="p-table"/>
              <w:jc w:val="right"/>
              <w:rPr>
                <w:sz w:val="13"/>
                <w:szCs w:val="13"/>
              </w:rPr>
            </w:pPr>
            <w:r w:rsidRPr="006F2FC4">
              <w:rPr>
                <w:sz w:val="13"/>
                <w:szCs w:val="13"/>
              </w:rPr>
              <w:t>‒ 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33813A5" w14:textId="77777777">
            <w:pPr>
              <w:pStyle w:val="p-table"/>
              <w:jc w:val="right"/>
              <w:rPr>
                <w:sz w:val="13"/>
                <w:szCs w:val="13"/>
              </w:rPr>
            </w:pPr>
            <w:r w:rsidRPr="006F2FC4">
              <w:rPr>
                <w:sz w:val="13"/>
                <w:szCs w:val="13"/>
              </w:rPr>
              <w:t>‒ 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567875" w14:textId="77777777">
            <w:pPr>
              <w:pStyle w:val="p-table"/>
              <w:jc w:val="right"/>
              <w:rPr>
                <w:sz w:val="13"/>
                <w:szCs w:val="13"/>
              </w:rPr>
            </w:pPr>
            <w:r w:rsidRPr="006F2FC4">
              <w:rPr>
                <w:sz w:val="13"/>
                <w:szCs w:val="13"/>
              </w:rPr>
              <w:t>‒ 39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580056" w14:textId="77777777">
            <w:pPr>
              <w:pStyle w:val="p-table"/>
              <w:jc w:val="right"/>
              <w:rPr>
                <w:sz w:val="13"/>
                <w:szCs w:val="13"/>
              </w:rPr>
            </w:pPr>
            <w:r w:rsidRPr="006F2FC4">
              <w:rPr>
                <w:sz w:val="13"/>
                <w:szCs w:val="13"/>
              </w:rPr>
              <w:t>474</w:t>
            </w:r>
          </w:p>
        </w:tc>
      </w:tr>
      <w:tr w:rsidRPr="00671AAB" w:rsidR="0084290D" w:rsidTr="007433BE" w14:paraId="2BE777E7" w14:textId="77777777">
        <w:tc>
          <w:tcPr>
            <w:tcW w:w="1100" w:type="pct"/>
            <w:tcBorders>
              <w:bottom w:val="single" w:color="009EE0" w:sz="2" w:space="0"/>
            </w:tcBorders>
            <w:tcMar>
              <w:top w:w="22" w:type="dxa"/>
              <w:bottom w:w="22" w:type="dxa"/>
              <w:right w:w="28" w:type="dxa"/>
            </w:tcMar>
          </w:tcPr>
          <w:p w:rsidRPr="006F2FC4" w:rsidR="0084290D" w:rsidRDefault="00CF5B93" w14:paraId="51642B38" w14:textId="77777777">
            <w:pPr>
              <w:pStyle w:val="p-table"/>
              <w:rPr>
                <w:sz w:val="13"/>
                <w:szCs w:val="13"/>
              </w:rPr>
            </w:pPr>
            <w:r w:rsidRPr="006F2FC4">
              <w:rPr>
                <w:sz w:val="13"/>
                <w:szCs w:val="13"/>
              </w:rPr>
              <w:t>Bijdrage PSD II</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DAEF9E" w14:textId="77777777">
            <w:pPr>
              <w:pStyle w:val="p-table"/>
              <w:jc w:val="right"/>
              <w:rPr>
                <w:sz w:val="13"/>
                <w:szCs w:val="13"/>
              </w:rPr>
            </w:pPr>
            <w:r w:rsidRPr="006F2FC4">
              <w:rPr>
                <w:sz w:val="13"/>
                <w:szCs w:val="13"/>
              </w:rPr>
              <w:t>623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C2745E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9B2AAE1" w14:textId="77777777">
            <w:pPr>
              <w:pStyle w:val="p-table"/>
              <w:jc w:val="right"/>
              <w:rPr>
                <w:sz w:val="13"/>
                <w:szCs w:val="13"/>
              </w:rPr>
            </w:pPr>
            <w:r w:rsidRPr="006F2FC4">
              <w:rPr>
                <w:sz w:val="13"/>
                <w:szCs w:val="13"/>
              </w:rPr>
              <w:t>623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525766" w14:textId="77777777">
            <w:pPr>
              <w:pStyle w:val="p-table"/>
              <w:jc w:val="right"/>
              <w:rPr>
                <w:sz w:val="13"/>
                <w:szCs w:val="13"/>
              </w:rPr>
            </w:pPr>
            <w:r w:rsidRPr="006F2FC4">
              <w:rPr>
                <w:sz w:val="13"/>
                <w:szCs w:val="13"/>
              </w:rPr>
              <w:t>‒ 195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EFBFD8" w14:textId="77777777">
            <w:pPr>
              <w:pStyle w:val="p-table"/>
              <w:jc w:val="right"/>
              <w:rPr>
                <w:sz w:val="13"/>
                <w:szCs w:val="13"/>
              </w:rPr>
            </w:pPr>
            <w:r w:rsidRPr="006F2FC4">
              <w:rPr>
                <w:sz w:val="13"/>
                <w:szCs w:val="13"/>
              </w:rPr>
              <w:t>428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9F887F" w14:textId="77777777">
            <w:pPr>
              <w:pStyle w:val="p-table"/>
              <w:jc w:val="right"/>
              <w:rPr>
                <w:sz w:val="13"/>
                <w:szCs w:val="13"/>
              </w:rPr>
            </w:pPr>
            <w:r w:rsidRPr="006F2FC4">
              <w:rPr>
                <w:sz w:val="13"/>
                <w:szCs w:val="13"/>
              </w:rPr>
              <w:t>‒ 199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4477D5" w14:textId="77777777">
            <w:pPr>
              <w:pStyle w:val="p-table"/>
              <w:jc w:val="right"/>
              <w:rPr>
                <w:sz w:val="13"/>
                <w:szCs w:val="13"/>
              </w:rPr>
            </w:pPr>
            <w:r w:rsidRPr="006F2FC4">
              <w:rPr>
                <w:sz w:val="13"/>
                <w:szCs w:val="13"/>
              </w:rPr>
              <w:t>‒ 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B5FE6C" w14:textId="77777777">
            <w:pPr>
              <w:pStyle w:val="p-table"/>
              <w:jc w:val="right"/>
              <w:rPr>
                <w:sz w:val="13"/>
                <w:szCs w:val="13"/>
              </w:rPr>
            </w:pPr>
            <w:r w:rsidRPr="006F2FC4">
              <w:rPr>
                <w:sz w:val="13"/>
                <w:szCs w:val="13"/>
              </w:rPr>
              <w:t>‒ 24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EE391E" w14:textId="77777777">
            <w:pPr>
              <w:pStyle w:val="p-table"/>
              <w:jc w:val="right"/>
              <w:rPr>
                <w:sz w:val="13"/>
                <w:szCs w:val="13"/>
              </w:rPr>
            </w:pPr>
            <w:r w:rsidRPr="006F2FC4">
              <w:rPr>
                <w:sz w:val="13"/>
                <w:szCs w:val="13"/>
              </w:rPr>
              <w:t>‒ 46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122378" w14:textId="77777777">
            <w:pPr>
              <w:pStyle w:val="p-table"/>
              <w:jc w:val="right"/>
              <w:rPr>
                <w:sz w:val="13"/>
                <w:szCs w:val="13"/>
              </w:rPr>
            </w:pPr>
            <w:r w:rsidRPr="006F2FC4">
              <w:rPr>
                <w:sz w:val="13"/>
                <w:szCs w:val="13"/>
              </w:rPr>
              <w:t>577</w:t>
            </w:r>
          </w:p>
        </w:tc>
      </w:tr>
      <w:tr w:rsidRPr="00671AAB" w:rsidR="0084290D" w:rsidTr="007433BE" w14:paraId="12C87AAB" w14:textId="77777777">
        <w:tc>
          <w:tcPr>
            <w:tcW w:w="1100" w:type="pct"/>
            <w:tcBorders>
              <w:bottom w:val="single" w:color="009EE0" w:sz="2" w:space="0"/>
            </w:tcBorders>
            <w:tcMar>
              <w:top w:w="22" w:type="dxa"/>
              <w:bottom w:w="22" w:type="dxa"/>
              <w:right w:w="28" w:type="dxa"/>
            </w:tcMar>
          </w:tcPr>
          <w:p w:rsidRPr="006F2FC4" w:rsidR="0084290D" w:rsidRDefault="00CF5B93" w14:paraId="69EFB36E" w14:textId="77777777">
            <w:pPr>
              <w:pStyle w:val="p-table"/>
              <w:rPr>
                <w:sz w:val="13"/>
                <w:szCs w:val="13"/>
              </w:rPr>
            </w:pPr>
            <w:r w:rsidRPr="006F2FC4">
              <w:rPr>
                <w:sz w:val="13"/>
                <w:szCs w:val="13"/>
              </w:rPr>
              <w:t>Bijdrage FEC</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C36CFC"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38DA3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181B37"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D8DF6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FF5BC4"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7056E2" w14:textId="77777777">
            <w:pPr>
              <w:pStyle w:val="p-table"/>
              <w:jc w:val="right"/>
              <w:rPr>
                <w:sz w:val="13"/>
                <w:szCs w:val="13"/>
              </w:rPr>
            </w:pPr>
            <w:r w:rsidRPr="006F2FC4">
              <w:rPr>
                <w:sz w:val="13"/>
                <w:szCs w:val="13"/>
              </w:rPr>
              <w:t>‒ 28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C1C60F" w14:textId="77777777">
            <w:pPr>
              <w:pStyle w:val="p-table"/>
              <w:jc w:val="right"/>
              <w:rPr>
                <w:sz w:val="13"/>
                <w:szCs w:val="13"/>
              </w:rPr>
            </w:pPr>
            <w:r w:rsidRPr="006F2FC4">
              <w:rPr>
                <w:sz w:val="13"/>
                <w:szCs w:val="13"/>
              </w:rPr>
              <w:t>‒ 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D822DD" w14:textId="77777777">
            <w:pPr>
              <w:pStyle w:val="p-table"/>
              <w:jc w:val="right"/>
              <w:rPr>
                <w:sz w:val="13"/>
                <w:szCs w:val="13"/>
              </w:rPr>
            </w:pPr>
            <w:r w:rsidRPr="006F2FC4">
              <w:rPr>
                <w:sz w:val="13"/>
                <w:szCs w:val="13"/>
              </w:rPr>
              <w:t>‒ 181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BE43F6" w14:textId="77777777">
            <w:pPr>
              <w:pStyle w:val="p-table"/>
              <w:jc w:val="right"/>
              <w:rPr>
                <w:sz w:val="13"/>
                <w:szCs w:val="13"/>
              </w:rPr>
            </w:pPr>
            <w:r w:rsidRPr="006F2FC4">
              <w:rPr>
                <w:sz w:val="13"/>
                <w:szCs w:val="13"/>
              </w:rPr>
              <w:t>‒ 356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421FBD" w14:textId="77777777">
            <w:pPr>
              <w:pStyle w:val="p-table"/>
              <w:jc w:val="right"/>
              <w:rPr>
                <w:sz w:val="13"/>
                <w:szCs w:val="13"/>
              </w:rPr>
            </w:pPr>
            <w:r w:rsidRPr="006F2FC4">
              <w:rPr>
                <w:sz w:val="13"/>
                <w:szCs w:val="13"/>
              </w:rPr>
              <w:t>4.410</w:t>
            </w:r>
          </w:p>
        </w:tc>
      </w:tr>
      <w:tr w:rsidRPr="00671AAB" w:rsidR="0084290D" w:rsidTr="007433BE" w14:paraId="57AC2F05" w14:textId="77777777">
        <w:tc>
          <w:tcPr>
            <w:tcW w:w="1100" w:type="pct"/>
            <w:tcBorders>
              <w:bottom w:val="single" w:color="009EE0" w:sz="2" w:space="0"/>
            </w:tcBorders>
            <w:tcMar>
              <w:top w:w="22" w:type="dxa"/>
              <w:bottom w:w="22" w:type="dxa"/>
              <w:right w:w="28" w:type="dxa"/>
            </w:tcMar>
          </w:tcPr>
          <w:p w:rsidRPr="006F2FC4" w:rsidR="0084290D" w:rsidRDefault="00CF5B93" w14:paraId="30169FE7" w14:textId="77777777">
            <w:pPr>
              <w:pStyle w:val="p-table"/>
              <w:rPr>
                <w:sz w:val="13"/>
                <w:szCs w:val="13"/>
              </w:rPr>
            </w:pPr>
            <w:r w:rsidRPr="006F2FC4">
              <w:rPr>
                <w:sz w:val="13"/>
                <w:szCs w:val="13"/>
              </w:rPr>
              <w:t>Overig</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013A15" w14:textId="77777777">
            <w:pPr>
              <w:pStyle w:val="p-table"/>
              <w:jc w:val="right"/>
              <w:rPr>
                <w:sz w:val="13"/>
                <w:szCs w:val="13"/>
              </w:rPr>
            </w:pPr>
            <w:r w:rsidRPr="006F2FC4">
              <w:rPr>
                <w:sz w:val="13"/>
                <w:szCs w:val="13"/>
              </w:rPr>
              <w:t>2.742</w:t>
            </w:r>
          </w:p>
        </w:tc>
        <w:tc>
          <w:tcPr>
            <w:tcW w:w="375" w:type="pct"/>
            <w:tcBorders>
              <w:bottom w:val="single" w:color="009EE0" w:sz="2" w:space="0"/>
            </w:tcBorders>
            <w:tcMar>
              <w:top w:w="22" w:type="dxa"/>
              <w:left w:w="28" w:type="dxa"/>
              <w:bottom w:w="22" w:type="dxa"/>
              <w:right w:w="28" w:type="dxa"/>
            </w:tcMar>
          </w:tcPr>
          <w:p w:rsidRPr="006F2FC4" w:rsidR="0084290D" w:rsidRDefault="00CF5B93" w14:paraId="1D1E175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6713041" w14:textId="77777777">
            <w:pPr>
              <w:pStyle w:val="p-table"/>
              <w:jc w:val="right"/>
              <w:rPr>
                <w:sz w:val="13"/>
                <w:szCs w:val="13"/>
              </w:rPr>
            </w:pPr>
            <w:r w:rsidRPr="006F2FC4">
              <w:rPr>
                <w:sz w:val="13"/>
                <w:szCs w:val="13"/>
              </w:rPr>
              <w:t>2.742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54FF6F" w14:textId="77777777">
            <w:pPr>
              <w:pStyle w:val="p-table"/>
              <w:jc w:val="right"/>
              <w:rPr>
                <w:sz w:val="13"/>
                <w:szCs w:val="13"/>
              </w:rPr>
            </w:pPr>
            <w:r w:rsidRPr="006F2FC4">
              <w:rPr>
                <w:sz w:val="13"/>
                <w:szCs w:val="13"/>
              </w:rPr>
              <w:t>1.000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D82CA6" w14:textId="77777777">
            <w:pPr>
              <w:pStyle w:val="p-table"/>
              <w:jc w:val="right"/>
              <w:rPr>
                <w:sz w:val="13"/>
                <w:szCs w:val="13"/>
              </w:rPr>
            </w:pPr>
            <w:r w:rsidRPr="006F2FC4">
              <w:rPr>
                <w:sz w:val="13"/>
                <w:szCs w:val="13"/>
              </w:rPr>
              <w:t>3.742</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35C8A7" w14:textId="77777777">
            <w:pPr>
              <w:pStyle w:val="p-table"/>
              <w:jc w:val="right"/>
              <w:rPr>
                <w:sz w:val="13"/>
                <w:szCs w:val="13"/>
              </w:rPr>
            </w:pPr>
            <w:r w:rsidRPr="006F2FC4">
              <w:rPr>
                <w:sz w:val="13"/>
                <w:szCs w:val="13"/>
              </w:rPr>
              <w:t>‒ 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5F7B2B" w14:textId="77777777">
            <w:pPr>
              <w:pStyle w:val="p-table"/>
              <w:jc w:val="right"/>
              <w:rPr>
                <w:sz w:val="13"/>
                <w:szCs w:val="13"/>
              </w:rPr>
            </w:pPr>
            <w:r w:rsidRPr="006F2FC4">
              <w:rPr>
                <w:sz w:val="13"/>
                <w:szCs w:val="13"/>
              </w:rPr>
              <w:t>‒ 32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050BEA" w14:textId="77777777">
            <w:pPr>
              <w:pStyle w:val="p-table"/>
              <w:jc w:val="right"/>
              <w:rPr>
                <w:sz w:val="13"/>
                <w:szCs w:val="13"/>
              </w:rPr>
            </w:pPr>
            <w:r w:rsidRPr="006F2FC4">
              <w:rPr>
                <w:sz w:val="13"/>
                <w:szCs w:val="13"/>
              </w:rPr>
              <w:t>‒ 105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A71468" w14:textId="77777777">
            <w:pPr>
              <w:pStyle w:val="p-table"/>
              <w:jc w:val="right"/>
              <w:rPr>
                <w:sz w:val="13"/>
                <w:szCs w:val="13"/>
              </w:rPr>
            </w:pPr>
            <w:r w:rsidRPr="006F2FC4">
              <w:rPr>
                <w:sz w:val="13"/>
                <w:szCs w:val="13"/>
              </w:rPr>
              <w:t>‒ 205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C6B21F" w14:textId="77777777">
            <w:pPr>
              <w:pStyle w:val="p-table"/>
              <w:jc w:val="right"/>
              <w:rPr>
                <w:sz w:val="13"/>
                <w:szCs w:val="13"/>
              </w:rPr>
            </w:pPr>
            <w:r w:rsidRPr="006F2FC4">
              <w:rPr>
                <w:sz w:val="13"/>
                <w:szCs w:val="13"/>
              </w:rPr>
              <w:t>2.537</w:t>
            </w:r>
          </w:p>
        </w:tc>
      </w:tr>
      <w:tr w:rsidRPr="00671AAB" w:rsidR="0084290D" w:rsidTr="007433BE" w14:paraId="757B8445" w14:textId="77777777">
        <w:tc>
          <w:tcPr>
            <w:tcW w:w="1100" w:type="pct"/>
            <w:tcBorders>
              <w:bottom w:val="single" w:color="009EE0" w:sz="2" w:space="0"/>
            </w:tcBorders>
            <w:tcMar>
              <w:top w:w="22" w:type="dxa"/>
              <w:bottom w:w="22" w:type="dxa"/>
              <w:right w:w="28" w:type="dxa"/>
            </w:tcMar>
          </w:tcPr>
          <w:p w:rsidRPr="006F2FC4" w:rsidR="0084290D" w:rsidRDefault="0084290D" w14:paraId="0394B20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A7F716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62DECE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AE6698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46C4E4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A0467B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60ABFF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573A90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127FE6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658A5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1C2491B" w14:textId="77777777">
            <w:pPr>
              <w:pStyle w:val="p-table"/>
              <w:rPr>
                <w:sz w:val="13"/>
                <w:szCs w:val="13"/>
              </w:rPr>
            </w:pPr>
          </w:p>
        </w:tc>
      </w:tr>
      <w:tr w:rsidRPr="00671AAB" w:rsidR="0084290D" w:rsidTr="007433BE" w14:paraId="5C39D569" w14:textId="77777777">
        <w:tc>
          <w:tcPr>
            <w:tcW w:w="1100" w:type="pct"/>
            <w:tcBorders>
              <w:bottom w:val="single" w:color="009EE0" w:sz="2" w:space="0"/>
            </w:tcBorders>
            <w:tcMar>
              <w:top w:w="22" w:type="dxa"/>
              <w:bottom w:w="22" w:type="dxa"/>
              <w:right w:w="28" w:type="dxa"/>
            </w:tcMar>
          </w:tcPr>
          <w:p w:rsidRPr="006F2FC4" w:rsidR="0084290D" w:rsidRDefault="00CF5B93" w14:paraId="1E8E47C0" w14:textId="77777777">
            <w:pPr>
              <w:pStyle w:val="p-table"/>
              <w:rPr>
                <w:sz w:val="13"/>
                <w:szCs w:val="13"/>
              </w:rPr>
            </w:pPr>
            <w:r w:rsidRPr="006F2FC4">
              <w:rPr>
                <w:b/>
                <w:sz w:val="13"/>
                <w:szCs w:val="13"/>
              </w:rPr>
              <w:t>Storting/onttrekking begrotingsreserve</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634DD1" w14:textId="77777777">
            <w:pPr>
              <w:pStyle w:val="p-table"/>
              <w:jc w:val="right"/>
              <w:rPr>
                <w:sz w:val="13"/>
                <w:szCs w:val="13"/>
              </w:rPr>
            </w:pPr>
            <w:r w:rsidRPr="006F2FC4">
              <w:rPr>
                <w:b/>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23AD2631"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9EE26B" w14:textId="77777777">
            <w:pPr>
              <w:pStyle w:val="p-table"/>
              <w:jc w:val="right"/>
              <w:rPr>
                <w:sz w:val="13"/>
                <w:szCs w:val="13"/>
              </w:rPr>
            </w:pPr>
            <w:r w:rsidRPr="006F2FC4">
              <w:rPr>
                <w:b/>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60FAB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97E0749" w14:textId="77777777">
            <w:pPr>
              <w:pStyle w:val="p-table"/>
              <w:jc w:val="right"/>
              <w:rPr>
                <w:sz w:val="13"/>
                <w:szCs w:val="13"/>
              </w:rPr>
            </w:pPr>
            <w:r w:rsidRPr="006F2FC4">
              <w:rPr>
                <w:b/>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EA2AB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75E5AF"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F9225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A6830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FD51D9" w14:textId="77777777">
            <w:pPr>
              <w:pStyle w:val="p-table"/>
              <w:jc w:val="right"/>
              <w:rPr>
                <w:sz w:val="13"/>
                <w:szCs w:val="13"/>
              </w:rPr>
            </w:pPr>
            <w:r w:rsidRPr="006F2FC4">
              <w:rPr>
                <w:b/>
                <w:sz w:val="13"/>
                <w:szCs w:val="13"/>
              </w:rPr>
              <w:t>625</w:t>
            </w:r>
          </w:p>
        </w:tc>
      </w:tr>
      <w:tr w:rsidRPr="00671AAB" w:rsidR="0084290D" w:rsidTr="007433BE" w14:paraId="6754D7CF" w14:textId="77777777">
        <w:tc>
          <w:tcPr>
            <w:tcW w:w="1100" w:type="pct"/>
            <w:tcBorders>
              <w:bottom w:val="single" w:color="009EE0" w:sz="2" w:space="0"/>
            </w:tcBorders>
            <w:tcMar>
              <w:top w:w="22" w:type="dxa"/>
              <w:bottom w:w="22" w:type="dxa"/>
              <w:right w:w="28" w:type="dxa"/>
            </w:tcMar>
          </w:tcPr>
          <w:p w:rsidRPr="006F2FC4" w:rsidR="0084290D" w:rsidRDefault="00CF5B93" w14:paraId="31BD0658" w14:textId="77777777">
            <w:pPr>
              <w:pStyle w:val="p-table"/>
              <w:rPr>
                <w:sz w:val="13"/>
                <w:szCs w:val="13"/>
              </w:rPr>
            </w:pPr>
            <w:r w:rsidRPr="006F2FC4">
              <w:rPr>
                <w:sz w:val="13"/>
                <w:szCs w:val="13"/>
              </w:rPr>
              <w:t>Dotatie begrotingsreserve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3BA938B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F1505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5A3281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45CD1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3D9402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7DC68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35AD5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A46BD7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DF4B2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541274" w14:textId="77777777">
            <w:pPr>
              <w:pStyle w:val="p-table"/>
              <w:jc w:val="right"/>
              <w:rPr>
                <w:sz w:val="13"/>
                <w:szCs w:val="13"/>
              </w:rPr>
            </w:pPr>
            <w:r w:rsidRPr="006F2FC4">
              <w:rPr>
                <w:sz w:val="13"/>
                <w:szCs w:val="13"/>
              </w:rPr>
              <w:t>0</w:t>
            </w:r>
          </w:p>
        </w:tc>
      </w:tr>
      <w:tr w:rsidRPr="00671AAB" w:rsidR="0084290D" w:rsidTr="007433BE" w14:paraId="6B5ED21B" w14:textId="77777777">
        <w:tc>
          <w:tcPr>
            <w:tcW w:w="1100" w:type="pct"/>
            <w:tcBorders>
              <w:bottom w:val="single" w:color="009EE0" w:sz="2" w:space="0"/>
            </w:tcBorders>
            <w:tcMar>
              <w:top w:w="22" w:type="dxa"/>
              <w:bottom w:w="22" w:type="dxa"/>
              <w:right w:w="28" w:type="dxa"/>
            </w:tcMar>
          </w:tcPr>
          <w:p w:rsidRPr="006F2FC4" w:rsidR="0084290D" w:rsidRDefault="00CF5B93" w14:paraId="3CE82114" w14:textId="77777777">
            <w:pPr>
              <w:pStyle w:val="p-table"/>
              <w:rPr>
                <w:sz w:val="13"/>
                <w:szCs w:val="13"/>
              </w:rPr>
            </w:pPr>
            <w:r w:rsidRPr="006F2FC4">
              <w:rPr>
                <w:sz w:val="13"/>
                <w:szCs w:val="13"/>
              </w:rPr>
              <w:t>Dotatie begrotingsreserve NHT</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49BFED" w14:textId="77777777">
            <w:pPr>
              <w:pStyle w:val="p-table"/>
              <w:jc w:val="right"/>
              <w:rPr>
                <w:sz w:val="13"/>
                <w:szCs w:val="13"/>
              </w:rPr>
            </w:pPr>
            <w:r w:rsidRPr="006F2FC4">
              <w:rPr>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54C1C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69A2771" w14:textId="77777777">
            <w:pPr>
              <w:pStyle w:val="p-table"/>
              <w:jc w:val="right"/>
              <w:rPr>
                <w:sz w:val="13"/>
                <w:szCs w:val="13"/>
              </w:rPr>
            </w:pPr>
            <w:r w:rsidRPr="006F2FC4">
              <w:rPr>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2E7C61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0A7F284" w14:textId="77777777">
            <w:pPr>
              <w:pStyle w:val="p-table"/>
              <w:jc w:val="right"/>
              <w:rPr>
                <w:sz w:val="13"/>
                <w:szCs w:val="13"/>
              </w:rPr>
            </w:pPr>
            <w:r w:rsidRPr="006F2FC4">
              <w:rPr>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0FA3B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107B35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76E13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AA32E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26F856F" w14:textId="77777777">
            <w:pPr>
              <w:pStyle w:val="p-table"/>
              <w:jc w:val="right"/>
              <w:rPr>
                <w:sz w:val="13"/>
                <w:szCs w:val="13"/>
              </w:rPr>
            </w:pPr>
            <w:r w:rsidRPr="006F2FC4">
              <w:rPr>
                <w:sz w:val="13"/>
                <w:szCs w:val="13"/>
              </w:rPr>
              <w:t>625</w:t>
            </w:r>
          </w:p>
        </w:tc>
      </w:tr>
      <w:tr w:rsidRPr="00671AAB" w:rsidR="0084290D" w:rsidTr="007433BE" w14:paraId="6B1BCEE4" w14:textId="77777777">
        <w:tc>
          <w:tcPr>
            <w:tcW w:w="1100" w:type="pct"/>
            <w:tcBorders>
              <w:bottom w:val="single" w:color="009EE0" w:sz="2" w:space="0"/>
            </w:tcBorders>
            <w:tcMar>
              <w:top w:w="22" w:type="dxa"/>
              <w:bottom w:w="22" w:type="dxa"/>
              <w:right w:w="28" w:type="dxa"/>
            </w:tcMar>
          </w:tcPr>
          <w:p w:rsidRPr="006F2FC4" w:rsidR="0084290D" w:rsidRDefault="0084290D" w14:paraId="2FAF4D6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338F1A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A9ABAC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CFD3A7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9B9BC7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57F8F5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9AA2D2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094293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EFEAF6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B9AC1C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B08C936" w14:textId="77777777">
            <w:pPr>
              <w:pStyle w:val="p-table"/>
              <w:rPr>
                <w:sz w:val="13"/>
                <w:szCs w:val="13"/>
              </w:rPr>
            </w:pPr>
          </w:p>
        </w:tc>
      </w:tr>
      <w:tr w:rsidRPr="00671AAB" w:rsidR="0084290D" w:rsidTr="007433BE" w14:paraId="3CDF705E" w14:textId="77777777">
        <w:tc>
          <w:tcPr>
            <w:tcW w:w="1100" w:type="pct"/>
            <w:tcBorders>
              <w:bottom w:val="single" w:color="009EE0" w:sz="2" w:space="0"/>
            </w:tcBorders>
            <w:tcMar>
              <w:top w:w="22" w:type="dxa"/>
              <w:bottom w:w="22" w:type="dxa"/>
              <w:right w:w="28" w:type="dxa"/>
            </w:tcMar>
          </w:tcPr>
          <w:p w:rsidRPr="006F2FC4" w:rsidR="0084290D" w:rsidRDefault="00CF5B93" w14:paraId="24DCFC76" w14:textId="77777777">
            <w:pPr>
              <w:pStyle w:val="p-table"/>
              <w:rPr>
                <w:sz w:val="13"/>
                <w:szCs w:val="13"/>
              </w:rPr>
            </w:pPr>
            <w:r w:rsidRPr="006F2FC4">
              <w:rPr>
                <w:b/>
                <w:sz w:val="13"/>
                <w:szCs w:val="13"/>
              </w:rPr>
              <w:t>Bijdrage aan (inter-)nationale organisaties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4CCE099E"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53C89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442382C"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71AD1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0B86DB"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415E7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D2E6EE"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FF22CA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A8B83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AF3DB6" w14:textId="77777777">
            <w:pPr>
              <w:pStyle w:val="p-table"/>
              <w:jc w:val="right"/>
              <w:rPr>
                <w:sz w:val="13"/>
                <w:szCs w:val="13"/>
              </w:rPr>
            </w:pPr>
            <w:r w:rsidRPr="006F2FC4">
              <w:rPr>
                <w:b/>
                <w:sz w:val="13"/>
                <w:szCs w:val="13"/>
              </w:rPr>
              <w:t>302</w:t>
            </w:r>
          </w:p>
        </w:tc>
      </w:tr>
      <w:tr w:rsidRPr="00671AAB" w:rsidR="0084290D" w:rsidTr="007433BE" w14:paraId="2402D3BF" w14:textId="77777777">
        <w:tc>
          <w:tcPr>
            <w:tcW w:w="1100" w:type="pct"/>
            <w:tcBorders>
              <w:bottom w:val="single" w:color="009EE0" w:sz="2" w:space="0"/>
            </w:tcBorders>
            <w:tcMar>
              <w:top w:w="22" w:type="dxa"/>
              <w:bottom w:w="22" w:type="dxa"/>
              <w:right w:w="28" w:type="dxa"/>
            </w:tcMar>
          </w:tcPr>
          <w:p w:rsidRPr="006F2FC4" w:rsidR="0084290D" w:rsidRDefault="00CF5B93" w14:paraId="62E6ACB9" w14:textId="77777777">
            <w:pPr>
              <w:pStyle w:val="p-table"/>
              <w:rPr>
                <w:sz w:val="13"/>
                <w:szCs w:val="13"/>
              </w:rPr>
            </w:pPr>
            <w:r w:rsidRPr="006F2FC4">
              <w:rPr>
                <w:sz w:val="13"/>
                <w:szCs w:val="13"/>
              </w:rPr>
              <w:t>IASB</w:t>
            </w:r>
          </w:p>
        </w:tc>
        <w:tc>
          <w:tcPr>
            <w:tcW w:w="425" w:type="pct"/>
            <w:tcBorders>
              <w:bottom w:val="single" w:color="009EE0" w:sz="2" w:space="0"/>
            </w:tcBorders>
            <w:tcMar>
              <w:top w:w="22" w:type="dxa"/>
              <w:left w:w="28" w:type="dxa"/>
              <w:bottom w:w="22" w:type="dxa"/>
              <w:right w:w="28" w:type="dxa"/>
            </w:tcMar>
          </w:tcPr>
          <w:p w:rsidRPr="006F2FC4" w:rsidR="0084290D" w:rsidRDefault="00CF5B93" w14:paraId="467D2899" w14:textId="77777777">
            <w:pPr>
              <w:pStyle w:val="p-table"/>
              <w:jc w:val="right"/>
              <w:rPr>
                <w:sz w:val="13"/>
                <w:szCs w:val="13"/>
              </w:rPr>
            </w:pPr>
            <w:r w:rsidRPr="006F2FC4">
              <w:rPr>
                <w:sz w:val="13"/>
                <w:szCs w:val="13"/>
              </w:rPr>
              <w:t>357</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8B44E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E04603" w14:textId="77777777">
            <w:pPr>
              <w:pStyle w:val="p-table"/>
              <w:jc w:val="right"/>
              <w:rPr>
                <w:sz w:val="13"/>
                <w:szCs w:val="13"/>
              </w:rPr>
            </w:pPr>
            <w:r w:rsidRPr="006F2FC4">
              <w:rPr>
                <w:sz w:val="13"/>
                <w:szCs w:val="13"/>
              </w:rPr>
              <w:t>357</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EABBF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93A4C52" w14:textId="77777777">
            <w:pPr>
              <w:pStyle w:val="p-table"/>
              <w:jc w:val="right"/>
              <w:rPr>
                <w:sz w:val="13"/>
                <w:szCs w:val="13"/>
              </w:rPr>
            </w:pPr>
            <w:r w:rsidRPr="006F2FC4">
              <w:rPr>
                <w:sz w:val="13"/>
                <w:szCs w:val="13"/>
              </w:rPr>
              <w:t>357</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8ED23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23351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B8742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4D741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6C0B86" w14:textId="77777777">
            <w:pPr>
              <w:pStyle w:val="p-table"/>
              <w:jc w:val="right"/>
              <w:rPr>
                <w:sz w:val="13"/>
                <w:szCs w:val="13"/>
              </w:rPr>
            </w:pPr>
            <w:r w:rsidRPr="006F2FC4">
              <w:rPr>
                <w:sz w:val="13"/>
                <w:szCs w:val="13"/>
              </w:rPr>
              <w:t>6</w:t>
            </w:r>
          </w:p>
        </w:tc>
      </w:tr>
      <w:tr w:rsidRPr="00671AAB" w:rsidR="0084290D" w:rsidTr="007433BE" w14:paraId="5F8F5740" w14:textId="77777777">
        <w:tc>
          <w:tcPr>
            <w:tcW w:w="1100" w:type="pct"/>
            <w:tcBorders>
              <w:bottom w:val="single" w:color="009EE0" w:sz="2" w:space="0"/>
            </w:tcBorders>
            <w:tcMar>
              <w:top w:w="22" w:type="dxa"/>
              <w:bottom w:w="22" w:type="dxa"/>
              <w:right w:w="28" w:type="dxa"/>
            </w:tcMar>
          </w:tcPr>
          <w:p w:rsidRPr="006F2FC4" w:rsidR="0084290D" w:rsidRDefault="00CF5B93" w14:paraId="1B82057B" w14:textId="77777777">
            <w:pPr>
              <w:pStyle w:val="p-table"/>
              <w:rPr>
                <w:sz w:val="13"/>
                <w:szCs w:val="13"/>
                <w:lang w:val="en-US"/>
              </w:rPr>
            </w:pPr>
            <w:r w:rsidRPr="006F2FC4">
              <w:rPr>
                <w:sz w:val="13"/>
                <w:szCs w:val="13"/>
                <w:lang w:val="en-US"/>
              </w:rPr>
              <w:t>(Caribean) Financial Action Task Force</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18F0E9" w14:textId="77777777">
            <w:pPr>
              <w:pStyle w:val="p-table"/>
              <w:jc w:val="right"/>
              <w:rPr>
                <w:sz w:val="13"/>
                <w:szCs w:val="13"/>
              </w:rPr>
            </w:pPr>
            <w:r w:rsidRPr="006F2FC4">
              <w:rPr>
                <w:sz w:val="13"/>
                <w:szCs w:val="13"/>
              </w:rPr>
              <w:t>249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DF017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475459" w14:textId="77777777">
            <w:pPr>
              <w:pStyle w:val="p-table"/>
              <w:jc w:val="right"/>
              <w:rPr>
                <w:sz w:val="13"/>
                <w:szCs w:val="13"/>
              </w:rPr>
            </w:pPr>
            <w:r w:rsidRPr="006F2FC4">
              <w:rPr>
                <w:sz w:val="13"/>
                <w:szCs w:val="13"/>
              </w:rPr>
              <w:t>249</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7B9D5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4F151B" w14:textId="77777777">
            <w:pPr>
              <w:pStyle w:val="p-table"/>
              <w:jc w:val="right"/>
              <w:rPr>
                <w:sz w:val="13"/>
                <w:szCs w:val="13"/>
              </w:rPr>
            </w:pPr>
            <w:r w:rsidRPr="006F2FC4">
              <w:rPr>
                <w:sz w:val="13"/>
                <w:szCs w:val="13"/>
              </w:rPr>
              <w:t>249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E956C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B2929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AF831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445B6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74312D" w14:textId="77777777">
            <w:pPr>
              <w:pStyle w:val="p-table"/>
              <w:jc w:val="right"/>
              <w:rPr>
                <w:sz w:val="13"/>
                <w:szCs w:val="13"/>
              </w:rPr>
            </w:pPr>
            <w:r w:rsidRPr="006F2FC4">
              <w:rPr>
                <w:sz w:val="13"/>
                <w:szCs w:val="13"/>
              </w:rPr>
              <w:t>296</w:t>
            </w:r>
          </w:p>
        </w:tc>
      </w:tr>
      <w:tr w:rsidRPr="00671AAB" w:rsidR="0084290D" w:rsidTr="007433BE" w14:paraId="124B15EB" w14:textId="77777777">
        <w:tc>
          <w:tcPr>
            <w:tcW w:w="1100" w:type="pct"/>
            <w:tcMar>
              <w:top w:w="22" w:type="dxa"/>
              <w:bottom w:w="22" w:type="dxa"/>
              <w:right w:w="28" w:type="dxa"/>
            </w:tcMar>
          </w:tcPr>
          <w:p w:rsidRPr="006F2FC4" w:rsidR="0084290D" w:rsidRDefault="0084290D" w14:paraId="19130C2B"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0AC67FE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C256FD2"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433FC04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FBF45EA"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7EA2D1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DD0108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217416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135840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D17F34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ADD2E6D" w14:textId="77777777">
            <w:pPr>
              <w:pStyle w:val="p-table"/>
              <w:rPr>
                <w:sz w:val="13"/>
                <w:szCs w:val="13"/>
              </w:rPr>
            </w:pPr>
          </w:p>
        </w:tc>
      </w:tr>
      <w:tr w:rsidRPr="00671AAB" w:rsidR="0084290D" w:rsidTr="007433BE" w14:paraId="28F3677B" w14:textId="77777777">
        <w:tc>
          <w:tcPr>
            <w:tcW w:w="1100" w:type="pct"/>
            <w:tcBorders>
              <w:bottom w:val="single" w:color="009EE0" w:sz="2" w:space="0"/>
            </w:tcBorders>
            <w:tcMar>
              <w:top w:w="22" w:type="dxa"/>
              <w:bottom w:w="22" w:type="dxa"/>
              <w:right w:w="28" w:type="dxa"/>
            </w:tcMar>
          </w:tcPr>
          <w:p w:rsidRPr="006F2FC4" w:rsidR="0084290D" w:rsidRDefault="00CF5B93" w14:paraId="659497D5" w14:textId="77777777">
            <w:pPr>
              <w:pStyle w:val="p-table"/>
              <w:rPr>
                <w:sz w:val="13"/>
                <w:szCs w:val="13"/>
              </w:rPr>
            </w:pPr>
            <w:r w:rsidRPr="006F2FC4">
              <w:rPr>
                <w:b/>
                <w:sz w:val="13"/>
                <w:szCs w:val="13"/>
              </w:rPr>
              <w:t>Ontvangsten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1091C0D1" w14:textId="77777777">
            <w:pPr>
              <w:pStyle w:val="p-table"/>
              <w:jc w:val="right"/>
              <w:rPr>
                <w:sz w:val="13"/>
                <w:szCs w:val="13"/>
              </w:rPr>
            </w:pPr>
            <w:r w:rsidRPr="006F2FC4">
              <w:rPr>
                <w:b/>
                <w:sz w:val="13"/>
                <w:szCs w:val="13"/>
              </w:rPr>
              <w:t>9.905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9EBDC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E29F48" w14:textId="77777777">
            <w:pPr>
              <w:pStyle w:val="p-table"/>
              <w:jc w:val="right"/>
              <w:rPr>
                <w:sz w:val="13"/>
                <w:szCs w:val="13"/>
              </w:rPr>
            </w:pPr>
            <w:r w:rsidRPr="006F2FC4">
              <w:rPr>
                <w:b/>
                <w:sz w:val="13"/>
                <w:szCs w:val="13"/>
              </w:rPr>
              <w:t>9.905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70564E6" w14:textId="77777777">
            <w:pPr>
              <w:pStyle w:val="p-table"/>
              <w:jc w:val="right"/>
              <w:rPr>
                <w:sz w:val="13"/>
                <w:szCs w:val="13"/>
              </w:rPr>
            </w:pPr>
            <w:r w:rsidRPr="006F2FC4">
              <w:rPr>
                <w:b/>
                <w:sz w:val="13"/>
                <w:szCs w:val="13"/>
              </w:rPr>
              <w:t>57.776</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FC99EE" w14:textId="77777777">
            <w:pPr>
              <w:pStyle w:val="p-table"/>
              <w:jc w:val="right"/>
              <w:rPr>
                <w:sz w:val="13"/>
                <w:szCs w:val="13"/>
              </w:rPr>
            </w:pPr>
            <w:r w:rsidRPr="006F2FC4">
              <w:rPr>
                <w:b/>
                <w:sz w:val="13"/>
                <w:szCs w:val="13"/>
              </w:rPr>
              <w:t>67.681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AA1926"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D93B0E8"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F66F8D"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2241B3"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3F42D3" w14:textId="77777777">
            <w:pPr>
              <w:pStyle w:val="p-table"/>
              <w:jc w:val="right"/>
              <w:rPr>
                <w:sz w:val="13"/>
                <w:szCs w:val="13"/>
              </w:rPr>
            </w:pPr>
            <w:r w:rsidRPr="006F2FC4">
              <w:rPr>
                <w:b/>
                <w:sz w:val="13"/>
                <w:szCs w:val="13"/>
              </w:rPr>
              <w:t>10.026</w:t>
            </w:r>
          </w:p>
        </w:tc>
      </w:tr>
      <w:tr w:rsidRPr="00671AAB" w:rsidR="0084290D" w:rsidTr="007433BE" w14:paraId="1D9C6EFB" w14:textId="77777777">
        <w:tc>
          <w:tcPr>
            <w:tcW w:w="1100" w:type="pct"/>
            <w:tcMar>
              <w:top w:w="22" w:type="dxa"/>
              <w:bottom w:w="22" w:type="dxa"/>
              <w:right w:w="28" w:type="dxa"/>
            </w:tcMar>
          </w:tcPr>
          <w:p w:rsidRPr="006F2FC4" w:rsidR="0084290D" w:rsidRDefault="0084290D" w14:paraId="1CD59075"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4813A9E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568DA41"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289CE5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BBD1068"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2F2B3FD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93D280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A36216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ABA25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87EBE9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1636813" w14:textId="77777777">
            <w:pPr>
              <w:pStyle w:val="p-table"/>
              <w:rPr>
                <w:sz w:val="13"/>
                <w:szCs w:val="13"/>
              </w:rPr>
            </w:pPr>
          </w:p>
        </w:tc>
      </w:tr>
      <w:tr w:rsidRPr="00671AAB" w:rsidR="0084290D" w:rsidTr="007433BE" w14:paraId="2B4D5A90" w14:textId="77777777">
        <w:tc>
          <w:tcPr>
            <w:tcW w:w="1100" w:type="pct"/>
            <w:tcBorders>
              <w:bottom w:val="single" w:color="009EE0" w:sz="2" w:space="0"/>
            </w:tcBorders>
            <w:tcMar>
              <w:top w:w="22" w:type="dxa"/>
              <w:bottom w:w="22" w:type="dxa"/>
              <w:right w:w="28" w:type="dxa"/>
            </w:tcMar>
          </w:tcPr>
          <w:p w:rsidRPr="006F2FC4" w:rsidR="0084290D" w:rsidRDefault="00CF5B93" w14:paraId="155A5101" w14:textId="77777777">
            <w:pPr>
              <w:pStyle w:val="p-table"/>
              <w:rPr>
                <w:sz w:val="13"/>
                <w:szCs w:val="13"/>
              </w:rPr>
            </w:pPr>
            <w:r w:rsidRPr="006F2FC4">
              <w:rPr>
                <w:b/>
                <w:sz w:val="13"/>
                <w:szCs w:val="13"/>
              </w:rPr>
              <w:t>Bekostiging</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E24138" w14:textId="77777777">
            <w:pPr>
              <w:pStyle w:val="p-table"/>
              <w:jc w:val="right"/>
              <w:rPr>
                <w:sz w:val="13"/>
                <w:szCs w:val="13"/>
              </w:rPr>
            </w:pPr>
            <w:r w:rsidRPr="006F2FC4">
              <w:rPr>
                <w:b/>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ECE17A"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92E0E2" w14:textId="77777777">
            <w:pPr>
              <w:pStyle w:val="p-table"/>
              <w:jc w:val="right"/>
              <w:rPr>
                <w:sz w:val="13"/>
                <w:szCs w:val="13"/>
              </w:rPr>
            </w:pPr>
            <w:r w:rsidRPr="006F2FC4">
              <w:rPr>
                <w:b/>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CA1697"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D18C8C" w14:textId="77777777">
            <w:pPr>
              <w:pStyle w:val="p-table"/>
              <w:jc w:val="right"/>
              <w:rPr>
                <w:sz w:val="13"/>
                <w:szCs w:val="13"/>
              </w:rPr>
            </w:pPr>
            <w:r w:rsidRPr="006F2FC4">
              <w:rPr>
                <w:b/>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09D410"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1957A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44ACD0"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A666CE"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C2AC00" w14:textId="77777777">
            <w:pPr>
              <w:pStyle w:val="p-table"/>
              <w:jc w:val="right"/>
              <w:rPr>
                <w:sz w:val="13"/>
                <w:szCs w:val="13"/>
              </w:rPr>
            </w:pPr>
            <w:r w:rsidRPr="006F2FC4">
              <w:rPr>
                <w:b/>
                <w:sz w:val="13"/>
                <w:szCs w:val="13"/>
              </w:rPr>
              <w:t>2.000</w:t>
            </w:r>
          </w:p>
        </w:tc>
      </w:tr>
      <w:tr w:rsidRPr="00671AAB" w:rsidR="0084290D" w:rsidTr="007433BE" w14:paraId="119529D2" w14:textId="77777777">
        <w:tc>
          <w:tcPr>
            <w:tcW w:w="1100" w:type="pct"/>
            <w:tcBorders>
              <w:bottom w:val="single" w:color="009EE0" w:sz="2" w:space="0"/>
            </w:tcBorders>
            <w:tcMar>
              <w:top w:w="22" w:type="dxa"/>
              <w:bottom w:w="22" w:type="dxa"/>
              <w:right w:w="28" w:type="dxa"/>
            </w:tcMar>
          </w:tcPr>
          <w:p w:rsidRPr="006F2FC4" w:rsidR="0084290D" w:rsidRDefault="00CF5B93" w14:paraId="519802A1" w14:textId="77777777">
            <w:pPr>
              <w:pStyle w:val="p-table"/>
              <w:rPr>
                <w:sz w:val="13"/>
                <w:szCs w:val="13"/>
              </w:rPr>
            </w:pPr>
            <w:r w:rsidRPr="006F2FC4">
              <w:rPr>
                <w:sz w:val="13"/>
                <w:szCs w:val="13"/>
              </w:rPr>
              <w:t>Ontvangsten muntwezen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A9BCCB" w14:textId="77777777">
            <w:pPr>
              <w:pStyle w:val="p-table"/>
              <w:jc w:val="right"/>
              <w:rPr>
                <w:sz w:val="13"/>
                <w:szCs w:val="13"/>
              </w:rPr>
            </w:pPr>
            <w:r w:rsidRPr="006F2FC4">
              <w:rPr>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BC9D9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F5E47A" w14:textId="77777777">
            <w:pPr>
              <w:pStyle w:val="p-table"/>
              <w:jc w:val="right"/>
              <w:rPr>
                <w:sz w:val="13"/>
                <w:szCs w:val="13"/>
              </w:rPr>
            </w:pPr>
            <w:r w:rsidRPr="006F2FC4">
              <w:rPr>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4AC82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2ED63F8" w14:textId="77777777">
            <w:pPr>
              <w:pStyle w:val="p-table"/>
              <w:jc w:val="right"/>
              <w:rPr>
                <w:sz w:val="13"/>
                <w:szCs w:val="13"/>
              </w:rPr>
            </w:pPr>
            <w:r w:rsidRPr="006F2FC4">
              <w:rPr>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211F3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B6B5F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70187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467E64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FAD39D" w14:textId="77777777">
            <w:pPr>
              <w:pStyle w:val="p-table"/>
              <w:jc w:val="right"/>
              <w:rPr>
                <w:sz w:val="13"/>
                <w:szCs w:val="13"/>
              </w:rPr>
            </w:pPr>
            <w:r w:rsidRPr="006F2FC4">
              <w:rPr>
                <w:sz w:val="13"/>
                <w:szCs w:val="13"/>
              </w:rPr>
              <w:t>2.000</w:t>
            </w:r>
          </w:p>
        </w:tc>
      </w:tr>
      <w:tr w:rsidRPr="00671AAB" w:rsidR="0084290D" w:rsidTr="007433BE" w14:paraId="36FF2152" w14:textId="77777777">
        <w:tc>
          <w:tcPr>
            <w:tcW w:w="1100" w:type="pct"/>
            <w:tcBorders>
              <w:bottom w:val="single" w:color="009EE0" w:sz="2" w:space="0"/>
            </w:tcBorders>
            <w:tcMar>
              <w:top w:w="22" w:type="dxa"/>
              <w:bottom w:w="22" w:type="dxa"/>
              <w:right w:w="28" w:type="dxa"/>
            </w:tcMar>
          </w:tcPr>
          <w:p w:rsidRPr="006F2FC4" w:rsidR="0084290D" w:rsidRDefault="00CF5B93" w14:paraId="22721377" w14:textId="77777777">
            <w:pPr>
              <w:pStyle w:val="p-table"/>
              <w:rPr>
                <w:sz w:val="13"/>
                <w:szCs w:val="13"/>
              </w:rPr>
            </w:pPr>
            <w:r w:rsidRPr="006F2FC4">
              <w:rPr>
                <w:sz w:val="13"/>
                <w:szCs w:val="13"/>
              </w:rPr>
              <w:t>Toename munten in circulatie</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617C3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E74ED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C7F6B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5123F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DED31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54F11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B21A7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ADD45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B805A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BD3DF8" w14:textId="77777777">
            <w:pPr>
              <w:pStyle w:val="p-table"/>
              <w:jc w:val="right"/>
              <w:rPr>
                <w:sz w:val="13"/>
                <w:szCs w:val="13"/>
              </w:rPr>
            </w:pPr>
            <w:r w:rsidRPr="006F2FC4">
              <w:rPr>
                <w:sz w:val="13"/>
                <w:szCs w:val="13"/>
              </w:rPr>
              <w:t>0</w:t>
            </w:r>
          </w:p>
        </w:tc>
      </w:tr>
      <w:tr w:rsidRPr="00671AAB" w:rsidR="0084290D" w:rsidTr="007433BE" w14:paraId="29220BB2" w14:textId="77777777">
        <w:tc>
          <w:tcPr>
            <w:tcW w:w="1100" w:type="pct"/>
            <w:tcBorders>
              <w:bottom w:val="single" w:color="009EE0" w:sz="2" w:space="0"/>
            </w:tcBorders>
            <w:tcMar>
              <w:top w:w="22" w:type="dxa"/>
              <w:bottom w:w="22" w:type="dxa"/>
              <w:right w:w="28" w:type="dxa"/>
            </w:tcMar>
          </w:tcPr>
          <w:p w:rsidRPr="006F2FC4" w:rsidR="0084290D" w:rsidRDefault="0084290D" w14:paraId="74AE128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50A2A7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20C44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BBF805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CAC638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C73FB0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873120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187EE2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6C9784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A18620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476B59D" w14:textId="77777777">
            <w:pPr>
              <w:pStyle w:val="p-table"/>
              <w:rPr>
                <w:sz w:val="13"/>
                <w:szCs w:val="13"/>
              </w:rPr>
            </w:pPr>
          </w:p>
        </w:tc>
      </w:tr>
      <w:tr w:rsidRPr="00671AAB" w:rsidR="0084290D" w:rsidTr="007433BE" w14:paraId="6B2260CB" w14:textId="77777777">
        <w:tc>
          <w:tcPr>
            <w:tcW w:w="1100" w:type="pct"/>
            <w:tcBorders>
              <w:bottom w:val="single" w:color="009EE0" w:sz="2" w:space="0"/>
            </w:tcBorders>
            <w:tcMar>
              <w:top w:w="22" w:type="dxa"/>
              <w:bottom w:w="22" w:type="dxa"/>
              <w:right w:w="28" w:type="dxa"/>
            </w:tcMar>
          </w:tcPr>
          <w:p w:rsidRPr="006F2FC4" w:rsidR="0084290D" w:rsidRDefault="00CF5B93" w14:paraId="1A278654" w14:textId="77777777">
            <w:pPr>
              <w:pStyle w:val="p-table"/>
              <w:rPr>
                <w:sz w:val="13"/>
                <w:szCs w:val="13"/>
              </w:rPr>
            </w:pPr>
            <w:r w:rsidRPr="006F2FC4">
              <w:rPr>
                <w:b/>
                <w:sz w:val="13"/>
                <w:szCs w:val="13"/>
              </w:rPr>
              <w:t>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59161C" w14:textId="77777777">
            <w:pPr>
              <w:pStyle w:val="p-table"/>
              <w:jc w:val="right"/>
              <w:rPr>
                <w:sz w:val="13"/>
                <w:szCs w:val="13"/>
              </w:rPr>
            </w:pPr>
            <w:r w:rsidRPr="006F2FC4">
              <w:rPr>
                <w:b/>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B228F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2DA1159" w14:textId="77777777">
            <w:pPr>
              <w:pStyle w:val="p-table"/>
              <w:jc w:val="right"/>
              <w:rPr>
                <w:sz w:val="13"/>
                <w:szCs w:val="13"/>
              </w:rPr>
            </w:pPr>
            <w:r w:rsidRPr="006F2FC4">
              <w:rPr>
                <w:b/>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D8751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510298D" w14:textId="77777777">
            <w:pPr>
              <w:pStyle w:val="p-table"/>
              <w:jc w:val="right"/>
              <w:rPr>
                <w:sz w:val="13"/>
                <w:szCs w:val="13"/>
              </w:rPr>
            </w:pPr>
            <w:r w:rsidRPr="006F2FC4">
              <w:rPr>
                <w:b/>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16E34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1A31E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FA12BC"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AD94A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2BD8A0" w14:textId="77777777">
            <w:pPr>
              <w:pStyle w:val="p-table"/>
              <w:jc w:val="right"/>
              <w:rPr>
                <w:sz w:val="13"/>
                <w:szCs w:val="13"/>
              </w:rPr>
            </w:pPr>
            <w:r w:rsidRPr="006F2FC4">
              <w:rPr>
                <w:b/>
                <w:sz w:val="13"/>
                <w:szCs w:val="13"/>
              </w:rPr>
              <w:t>0</w:t>
            </w:r>
          </w:p>
        </w:tc>
      </w:tr>
      <w:tr w:rsidRPr="00671AAB" w:rsidR="0084290D" w:rsidTr="007433BE" w14:paraId="4AF4D753" w14:textId="77777777">
        <w:tc>
          <w:tcPr>
            <w:tcW w:w="1100" w:type="pct"/>
            <w:tcBorders>
              <w:bottom w:val="single" w:color="009EE0" w:sz="2" w:space="0"/>
            </w:tcBorders>
            <w:tcMar>
              <w:top w:w="22" w:type="dxa"/>
              <w:bottom w:w="22" w:type="dxa"/>
              <w:right w:w="28" w:type="dxa"/>
            </w:tcMar>
          </w:tcPr>
          <w:p w:rsidRPr="006F2FC4" w:rsidR="0084290D" w:rsidRDefault="00CF5B93" w14:paraId="20E83074" w14:textId="77777777">
            <w:pPr>
              <w:pStyle w:val="p-table"/>
              <w:rPr>
                <w:sz w:val="13"/>
                <w:szCs w:val="13"/>
              </w:rPr>
            </w:pPr>
            <w:r w:rsidRPr="006F2FC4">
              <w:rPr>
                <w:sz w:val="13"/>
                <w:szCs w:val="13"/>
              </w:rPr>
              <w:t>Wijzer in geldzaken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06978A6A" w14:textId="77777777">
            <w:pPr>
              <w:pStyle w:val="p-table"/>
              <w:jc w:val="right"/>
              <w:rPr>
                <w:sz w:val="13"/>
                <w:szCs w:val="13"/>
              </w:rPr>
            </w:pPr>
            <w:r w:rsidRPr="006F2FC4">
              <w:rPr>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A5C7C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EE94EF" w14:textId="77777777">
            <w:pPr>
              <w:pStyle w:val="p-table"/>
              <w:jc w:val="right"/>
              <w:rPr>
                <w:sz w:val="13"/>
                <w:szCs w:val="13"/>
              </w:rPr>
            </w:pPr>
            <w:r w:rsidRPr="006F2FC4">
              <w:rPr>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D454B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3C3AE2C" w14:textId="77777777">
            <w:pPr>
              <w:pStyle w:val="p-table"/>
              <w:jc w:val="right"/>
              <w:rPr>
                <w:sz w:val="13"/>
                <w:szCs w:val="13"/>
              </w:rPr>
            </w:pPr>
            <w:r w:rsidRPr="006F2FC4">
              <w:rPr>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FDD42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C1CED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28D7B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E73CA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0E919B" w14:textId="77777777">
            <w:pPr>
              <w:pStyle w:val="p-table"/>
              <w:jc w:val="right"/>
              <w:rPr>
                <w:sz w:val="13"/>
                <w:szCs w:val="13"/>
              </w:rPr>
            </w:pPr>
            <w:r w:rsidRPr="006F2FC4">
              <w:rPr>
                <w:sz w:val="13"/>
                <w:szCs w:val="13"/>
              </w:rPr>
              <w:t>0</w:t>
            </w:r>
          </w:p>
        </w:tc>
      </w:tr>
      <w:tr w:rsidRPr="00671AAB" w:rsidR="0084290D" w:rsidTr="007433BE" w14:paraId="768A9C2A" w14:textId="77777777">
        <w:tc>
          <w:tcPr>
            <w:tcW w:w="1100" w:type="pct"/>
            <w:tcBorders>
              <w:bottom w:val="single" w:color="009EE0" w:sz="2" w:space="0"/>
            </w:tcBorders>
            <w:tcMar>
              <w:top w:w="22" w:type="dxa"/>
              <w:bottom w:w="22" w:type="dxa"/>
              <w:right w:w="28" w:type="dxa"/>
            </w:tcMar>
          </w:tcPr>
          <w:p w:rsidRPr="006F2FC4" w:rsidR="0084290D" w:rsidRDefault="00CF5B93" w14:paraId="2DF57A46" w14:textId="77777777">
            <w:pPr>
              <w:pStyle w:val="p-table"/>
              <w:rPr>
                <w:sz w:val="13"/>
                <w:szCs w:val="13"/>
              </w:rPr>
            </w:pPr>
            <w:r w:rsidRPr="006F2FC4">
              <w:rPr>
                <w:sz w:val="13"/>
                <w:szCs w:val="13"/>
              </w:rPr>
              <w:t>Convertibiliteit Oekraïense hryvnia</w:t>
            </w:r>
          </w:p>
        </w:tc>
        <w:tc>
          <w:tcPr>
            <w:tcW w:w="425" w:type="pct"/>
            <w:tcBorders>
              <w:bottom w:val="single" w:color="009EE0" w:sz="2" w:space="0"/>
            </w:tcBorders>
            <w:tcMar>
              <w:top w:w="22" w:type="dxa"/>
              <w:left w:w="28" w:type="dxa"/>
              <w:bottom w:w="22" w:type="dxa"/>
              <w:right w:w="28" w:type="dxa"/>
            </w:tcMar>
          </w:tcPr>
          <w:p w:rsidRPr="006F2FC4" w:rsidR="0084290D" w:rsidRDefault="00CF5B93" w14:paraId="3D60913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AFD74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0E19E2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7CE0D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3CB359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D370E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B9FAE6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F286C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284BB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ED8EC3" w14:textId="77777777">
            <w:pPr>
              <w:pStyle w:val="p-table"/>
              <w:jc w:val="right"/>
              <w:rPr>
                <w:sz w:val="13"/>
                <w:szCs w:val="13"/>
              </w:rPr>
            </w:pPr>
            <w:r w:rsidRPr="006F2FC4">
              <w:rPr>
                <w:sz w:val="13"/>
                <w:szCs w:val="13"/>
              </w:rPr>
              <w:t>0</w:t>
            </w:r>
          </w:p>
        </w:tc>
      </w:tr>
      <w:tr w:rsidRPr="00671AAB" w:rsidR="0084290D" w:rsidTr="007433BE" w14:paraId="7DDA078C" w14:textId="77777777">
        <w:tc>
          <w:tcPr>
            <w:tcW w:w="1100" w:type="pct"/>
            <w:tcBorders>
              <w:bottom w:val="single" w:color="009EE0" w:sz="2" w:space="0"/>
            </w:tcBorders>
            <w:tcMar>
              <w:top w:w="22" w:type="dxa"/>
              <w:bottom w:w="22" w:type="dxa"/>
              <w:right w:w="28" w:type="dxa"/>
            </w:tcMar>
          </w:tcPr>
          <w:p w:rsidRPr="006F2FC4" w:rsidR="0084290D" w:rsidRDefault="0084290D" w14:paraId="3E95E27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71E5FD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34F050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97FF20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7490E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EE875C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6FC46B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732B0F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EBC4B5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8A472B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7D1FCBF" w14:textId="77777777">
            <w:pPr>
              <w:pStyle w:val="p-table"/>
              <w:rPr>
                <w:sz w:val="13"/>
                <w:szCs w:val="13"/>
              </w:rPr>
            </w:pPr>
          </w:p>
        </w:tc>
      </w:tr>
      <w:tr w:rsidRPr="00671AAB" w:rsidR="0084290D" w:rsidTr="007433BE" w14:paraId="43689420" w14:textId="77777777">
        <w:tc>
          <w:tcPr>
            <w:tcW w:w="1100" w:type="pct"/>
            <w:tcBorders>
              <w:bottom w:val="single" w:color="009EE0" w:sz="2" w:space="0"/>
            </w:tcBorders>
            <w:tcMar>
              <w:top w:w="22" w:type="dxa"/>
              <w:bottom w:w="22" w:type="dxa"/>
              <w:right w:w="28" w:type="dxa"/>
            </w:tcMar>
          </w:tcPr>
          <w:p w:rsidRPr="006F2FC4" w:rsidR="0084290D" w:rsidRDefault="00CF5B93" w14:paraId="30606FBC" w14:textId="77777777">
            <w:pPr>
              <w:pStyle w:val="p-table"/>
              <w:rPr>
                <w:sz w:val="13"/>
                <w:szCs w:val="13"/>
              </w:rPr>
            </w:pPr>
            <w:r w:rsidRPr="006F2FC4">
              <w:rPr>
                <w:b/>
                <w:sz w:val="13"/>
                <w:szCs w:val="13"/>
              </w:rPr>
              <w:t>Storting/onttrekking begrotingsreserve</w:t>
            </w:r>
          </w:p>
        </w:tc>
        <w:tc>
          <w:tcPr>
            <w:tcW w:w="425" w:type="pct"/>
            <w:tcBorders>
              <w:bottom w:val="single" w:color="009EE0" w:sz="2" w:space="0"/>
            </w:tcBorders>
            <w:tcMar>
              <w:top w:w="22" w:type="dxa"/>
              <w:left w:w="28" w:type="dxa"/>
              <w:bottom w:w="22" w:type="dxa"/>
              <w:right w:w="28" w:type="dxa"/>
            </w:tcMar>
          </w:tcPr>
          <w:p w:rsidRPr="006F2FC4" w:rsidR="0084290D" w:rsidRDefault="00CF5B93" w14:paraId="7EAB4C1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C933BE5"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6D676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23CE02" w14:textId="77777777">
            <w:pPr>
              <w:pStyle w:val="p-table"/>
              <w:jc w:val="right"/>
              <w:rPr>
                <w:sz w:val="13"/>
                <w:szCs w:val="13"/>
              </w:rPr>
            </w:pPr>
            <w:r w:rsidRPr="006F2FC4">
              <w:rPr>
                <w:b/>
                <w:sz w:val="13"/>
                <w:szCs w:val="13"/>
              </w:rPr>
              <w:t>6.000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A2C710" w14:textId="77777777">
            <w:pPr>
              <w:pStyle w:val="p-table"/>
              <w:jc w:val="right"/>
              <w:rPr>
                <w:sz w:val="13"/>
                <w:szCs w:val="13"/>
              </w:rPr>
            </w:pPr>
            <w:r w:rsidRPr="006F2FC4">
              <w:rPr>
                <w:b/>
                <w:sz w:val="13"/>
                <w:szCs w:val="13"/>
              </w:rPr>
              <w:t>6.000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BBB4B0"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0F91CA"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58C1A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0A2A9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11A80B" w14:textId="77777777">
            <w:pPr>
              <w:pStyle w:val="p-table"/>
              <w:jc w:val="right"/>
              <w:rPr>
                <w:sz w:val="13"/>
                <w:szCs w:val="13"/>
              </w:rPr>
            </w:pPr>
            <w:r w:rsidRPr="006F2FC4">
              <w:rPr>
                <w:b/>
                <w:sz w:val="13"/>
                <w:szCs w:val="13"/>
              </w:rPr>
              <w:t>0</w:t>
            </w:r>
          </w:p>
        </w:tc>
      </w:tr>
      <w:tr w:rsidRPr="00671AAB" w:rsidR="0084290D" w:rsidTr="007433BE" w14:paraId="39DBB5C8" w14:textId="77777777">
        <w:tc>
          <w:tcPr>
            <w:tcW w:w="1100" w:type="pct"/>
            <w:tcBorders>
              <w:bottom w:val="single" w:color="009EE0" w:sz="2" w:space="0"/>
            </w:tcBorders>
            <w:tcMar>
              <w:top w:w="22" w:type="dxa"/>
              <w:bottom w:w="22" w:type="dxa"/>
              <w:right w:w="28" w:type="dxa"/>
            </w:tcMar>
          </w:tcPr>
          <w:p w:rsidRPr="006F2FC4" w:rsidR="0084290D" w:rsidRDefault="00CF5B93" w14:paraId="1E075935" w14:textId="77777777">
            <w:pPr>
              <w:pStyle w:val="p-table"/>
              <w:rPr>
                <w:sz w:val="13"/>
                <w:szCs w:val="13"/>
              </w:rPr>
            </w:pPr>
            <w:r w:rsidRPr="006F2FC4">
              <w:rPr>
                <w:sz w:val="13"/>
                <w:szCs w:val="13"/>
              </w:rPr>
              <w:t>Dotatie begrotingsreserve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F607F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9C740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C1C46E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D9BADB" w14:textId="77777777">
            <w:pPr>
              <w:pStyle w:val="p-table"/>
              <w:jc w:val="right"/>
              <w:rPr>
                <w:sz w:val="13"/>
                <w:szCs w:val="13"/>
              </w:rPr>
            </w:pPr>
            <w:r w:rsidRPr="006F2FC4">
              <w:rPr>
                <w:sz w:val="13"/>
                <w:szCs w:val="13"/>
              </w:rPr>
              <w:t>6.000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E2256C" w14:textId="77777777">
            <w:pPr>
              <w:pStyle w:val="p-table"/>
              <w:jc w:val="right"/>
              <w:rPr>
                <w:sz w:val="13"/>
                <w:szCs w:val="13"/>
              </w:rPr>
            </w:pPr>
            <w:r w:rsidRPr="006F2FC4">
              <w:rPr>
                <w:sz w:val="13"/>
                <w:szCs w:val="13"/>
              </w:rPr>
              <w:t>6.000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C26D1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E0B2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3DDD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6F42E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66125F" w14:textId="77777777">
            <w:pPr>
              <w:pStyle w:val="p-table"/>
              <w:jc w:val="right"/>
              <w:rPr>
                <w:sz w:val="13"/>
                <w:szCs w:val="13"/>
              </w:rPr>
            </w:pPr>
            <w:r w:rsidRPr="006F2FC4">
              <w:rPr>
                <w:sz w:val="13"/>
                <w:szCs w:val="13"/>
              </w:rPr>
              <w:t>0</w:t>
            </w:r>
          </w:p>
        </w:tc>
      </w:tr>
      <w:tr w:rsidRPr="00671AAB" w:rsidR="0084290D" w:rsidTr="007433BE" w14:paraId="6A04C172" w14:textId="77777777">
        <w:tc>
          <w:tcPr>
            <w:tcW w:w="1100" w:type="pct"/>
            <w:tcBorders>
              <w:bottom w:val="single" w:color="009EE0" w:sz="2" w:space="0"/>
            </w:tcBorders>
            <w:tcMar>
              <w:top w:w="22" w:type="dxa"/>
              <w:bottom w:w="22" w:type="dxa"/>
              <w:right w:w="28" w:type="dxa"/>
            </w:tcMar>
          </w:tcPr>
          <w:p w:rsidRPr="006F2FC4" w:rsidR="0084290D" w:rsidRDefault="0084290D" w14:paraId="3CD9897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07B122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73B13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D6359E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77D226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69EFC4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C41F91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9FE403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9F1B1C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83E038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E1AED0B" w14:textId="77777777">
            <w:pPr>
              <w:pStyle w:val="p-table"/>
              <w:rPr>
                <w:sz w:val="13"/>
                <w:szCs w:val="13"/>
              </w:rPr>
            </w:pPr>
          </w:p>
        </w:tc>
      </w:tr>
      <w:tr w:rsidRPr="00671AAB" w:rsidR="0084290D" w:rsidTr="007433BE" w14:paraId="37A09C74" w14:textId="77777777">
        <w:tc>
          <w:tcPr>
            <w:tcW w:w="1100" w:type="pct"/>
            <w:tcBorders>
              <w:bottom w:val="single" w:color="009EE0" w:sz="2" w:space="0"/>
            </w:tcBorders>
            <w:tcMar>
              <w:top w:w="22" w:type="dxa"/>
              <w:bottom w:w="22" w:type="dxa"/>
              <w:right w:w="28" w:type="dxa"/>
            </w:tcMar>
          </w:tcPr>
          <w:p w:rsidRPr="006F2FC4" w:rsidR="0084290D" w:rsidRDefault="00CF5B93" w14:paraId="537E1565" w14:textId="77777777">
            <w:pPr>
              <w:pStyle w:val="p-table"/>
              <w:rPr>
                <w:sz w:val="13"/>
                <w:szCs w:val="13"/>
              </w:rPr>
            </w:pPr>
            <w:r w:rsidRPr="006F2FC4">
              <w:rPr>
                <w:b/>
                <w:sz w:val="13"/>
                <w:szCs w:val="13"/>
              </w:rPr>
              <w:t>Ontvangsten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27079B82" w14:textId="77777777">
            <w:pPr>
              <w:pStyle w:val="p-table"/>
              <w:jc w:val="right"/>
              <w:rPr>
                <w:sz w:val="13"/>
                <w:szCs w:val="13"/>
              </w:rPr>
            </w:pPr>
            <w:r w:rsidRPr="006F2FC4">
              <w:rPr>
                <w:b/>
                <w:sz w:val="13"/>
                <w:szCs w:val="13"/>
              </w:rPr>
              <w:t>6.450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E59F91"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927799C" w14:textId="77777777">
            <w:pPr>
              <w:pStyle w:val="p-table"/>
              <w:jc w:val="right"/>
              <w:rPr>
                <w:sz w:val="13"/>
                <w:szCs w:val="13"/>
              </w:rPr>
            </w:pPr>
            <w:r w:rsidRPr="006F2FC4">
              <w:rPr>
                <w:b/>
                <w:sz w:val="13"/>
                <w:szCs w:val="13"/>
              </w:rPr>
              <w:t>6.450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7119C8" w14:textId="77777777">
            <w:pPr>
              <w:pStyle w:val="p-table"/>
              <w:jc w:val="right"/>
              <w:rPr>
                <w:sz w:val="13"/>
                <w:szCs w:val="13"/>
              </w:rPr>
            </w:pPr>
            <w:r w:rsidRPr="006F2FC4">
              <w:rPr>
                <w:b/>
                <w:sz w:val="13"/>
                <w:szCs w:val="13"/>
              </w:rPr>
              <w:t>51.776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F6EBC5" w14:textId="77777777">
            <w:pPr>
              <w:pStyle w:val="p-table"/>
              <w:jc w:val="right"/>
              <w:rPr>
                <w:sz w:val="13"/>
                <w:szCs w:val="13"/>
              </w:rPr>
            </w:pPr>
            <w:r w:rsidRPr="006F2FC4">
              <w:rPr>
                <w:b/>
                <w:sz w:val="13"/>
                <w:szCs w:val="13"/>
              </w:rPr>
              <w:t>58.226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BF9D71"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807A65B"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85D4A4"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3B5A6B"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086F3F" w14:textId="77777777">
            <w:pPr>
              <w:pStyle w:val="p-table"/>
              <w:jc w:val="right"/>
              <w:rPr>
                <w:sz w:val="13"/>
                <w:szCs w:val="13"/>
              </w:rPr>
            </w:pPr>
            <w:r w:rsidRPr="006F2FC4">
              <w:rPr>
                <w:b/>
                <w:sz w:val="13"/>
                <w:szCs w:val="13"/>
              </w:rPr>
              <w:t>8.026</w:t>
            </w:r>
          </w:p>
        </w:tc>
      </w:tr>
      <w:tr w:rsidRPr="00671AAB" w:rsidR="0084290D" w:rsidTr="007433BE" w14:paraId="0766E0C6" w14:textId="77777777">
        <w:tc>
          <w:tcPr>
            <w:tcW w:w="1100" w:type="pct"/>
            <w:tcBorders>
              <w:bottom w:val="single" w:color="009EE0" w:sz="2" w:space="0"/>
            </w:tcBorders>
            <w:tcMar>
              <w:top w:w="22" w:type="dxa"/>
              <w:bottom w:w="22" w:type="dxa"/>
              <w:right w:w="28" w:type="dxa"/>
            </w:tcMar>
          </w:tcPr>
          <w:p w:rsidRPr="006F2FC4" w:rsidR="0084290D" w:rsidRDefault="00CF5B93" w14:paraId="279EDC71" w14:textId="77777777">
            <w:pPr>
              <w:pStyle w:val="p-table"/>
              <w:rPr>
                <w:sz w:val="13"/>
                <w:szCs w:val="13"/>
              </w:rPr>
            </w:pPr>
            <w:r w:rsidRPr="006F2FC4">
              <w:rPr>
                <w:sz w:val="13"/>
                <w:szCs w:val="13"/>
              </w:rPr>
              <w:t>Overig</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7BADC6" w14:textId="77777777">
            <w:pPr>
              <w:pStyle w:val="p-table"/>
              <w:jc w:val="right"/>
              <w:rPr>
                <w:sz w:val="13"/>
                <w:szCs w:val="13"/>
              </w:rPr>
            </w:pPr>
            <w:r w:rsidRPr="006F2FC4">
              <w:rPr>
                <w:sz w:val="13"/>
                <w:szCs w:val="13"/>
              </w:rPr>
              <w:t>6.450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C64CC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D7C9C47" w14:textId="77777777">
            <w:pPr>
              <w:pStyle w:val="p-table"/>
              <w:jc w:val="right"/>
              <w:rPr>
                <w:sz w:val="13"/>
                <w:szCs w:val="13"/>
              </w:rPr>
            </w:pPr>
            <w:r w:rsidRPr="006F2FC4">
              <w:rPr>
                <w:sz w:val="13"/>
                <w:szCs w:val="13"/>
              </w:rPr>
              <w:t>6.450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8420CA" w14:textId="77777777">
            <w:pPr>
              <w:pStyle w:val="p-table"/>
              <w:jc w:val="right"/>
              <w:rPr>
                <w:sz w:val="13"/>
                <w:szCs w:val="13"/>
              </w:rPr>
            </w:pPr>
            <w:r w:rsidRPr="006F2FC4">
              <w:rPr>
                <w:sz w:val="13"/>
                <w:szCs w:val="13"/>
              </w:rPr>
              <w:t>51.776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EACCC9" w14:textId="77777777">
            <w:pPr>
              <w:pStyle w:val="p-table"/>
              <w:jc w:val="right"/>
              <w:rPr>
                <w:sz w:val="13"/>
                <w:szCs w:val="13"/>
              </w:rPr>
            </w:pPr>
            <w:r w:rsidRPr="006F2FC4">
              <w:rPr>
                <w:sz w:val="13"/>
                <w:szCs w:val="13"/>
              </w:rPr>
              <w:t>58.226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BF07F9" w14:textId="77777777">
            <w:pPr>
              <w:pStyle w:val="p-table"/>
              <w:jc w:val="right"/>
              <w:rPr>
                <w:sz w:val="13"/>
                <w:szCs w:val="13"/>
              </w:rPr>
            </w:pPr>
            <w:r w:rsidRPr="006F2FC4">
              <w:rPr>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A1A3D7" w14:textId="77777777">
            <w:pPr>
              <w:pStyle w:val="p-table"/>
              <w:jc w:val="right"/>
              <w:rPr>
                <w:sz w:val="13"/>
                <w:szCs w:val="13"/>
              </w:rPr>
            </w:pPr>
            <w:r w:rsidRPr="006F2FC4">
              <w:rPr>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17346A" w14:textId="77777777">
            <w:pPr>
              <w:pStyle w:val="p-table"/>
              <w:jc w:val="right"/>
              <w:rPr>
                <w:sz w:val="13"/>
                <w:szCs w:val="13"/>
              </w:rPr>
            </w:pPr>
            <w:r w:rsidRPr="006F2FC4">
              <w:rPr>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42A106" w14:textId="77777777">
            <w:pPr>
              <w:pStyle w:val="p-table"/>
              <w:jc w:val="right"/>
              <w:rPr>
                <w:sz w:val="13"/>
                <w:szCs w:val="13"/>
              </w:rPr>
            </w:pPr>
            <w:r w:rsidRPr="006F2FC4">
              <w:rPr>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2826D8" w14:textId="77777777">
            <w:pPr>
              <w:pStyle w:val="p-table"/>
              <w:jc w:val="right"/>
              <w:rPr>
                <w:sz w:val="13"/>
                <w:szCs w:val="13"/>
              </w:rPr>
            </w:pPr>
            <w:r w:rsidRPr="006F2FC4">
              <w:rPr>
                <w:sz w:val="13"/>
                <w:szCs w:val="13"/>
              </w:rPr>
              <w:t>8.026</w:t>
            </w:r>
          </w:p>
        </w:tc>
      </w:tr>
    </w:tbl>
    <w:p w:rsidRPr="00671AAB" w:rsidR="0084290D" w:rsidRDefault="0084290D" w14:paraId="10C9B72B"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2126"/>
        <w:gridCol w:w="821"/>
        <w:gridCol w:w="725"/>
        <w:gridCol w:w="822"/>
        <w:gridCol w:w="725"/>
        <w:gridCol w:w="822"/>
        <w:gridCol w:w="725"/>
        <w:gridCol w:w="725"/>
        <w:gridCol w:w="725"/>
        <w:gridCol w:w="725"/>
        <w:gridCol w:w="725"/>
      </w:tblGrid>
      <w:tr w:rsidRPr="00671AAB" w:rsidR="0084290D" w:rsidTr="007433BE" w14:paraId="6AE21D8E" w14:textId="77777777">
        <w:trPr>
          <w:tblHeader/>
        </w:trPr>
        <w:tc>
          <w:tcPr>
            <w:tcW w:w="5000" w:type="pct"/>
            <w:gridSpan w:val="11"/>
            <w:tcMar>
              <w:top w:w="22" w:type="dxa"/>
              <w:left w:w="113" w:type="dxa"/>
              <w:bottom w:w="22" w:type="dxa"/>
            </w:tcMar>
          </w:tcPr>
          <w:p w:rsidRPr="00671AAB" w:rsidR="0084290D" w:rsidRDefault="00CF5B93" w14:paraId="258498AE" w14:textId="77777777">
            <w:pPr>
              <w:pStyle w:val="kio2-table-title"/>
              <w:rPr>
                <w:sz w:val="17"/>
                <w:szCs w:val="17"/>
              </w:rPr>
            </w:pPr>
            <w:r w:rsidRPr="00671AAB">
              <w:rPr>
                <w:sz w:val="17"/>
                <w:szCs w:val="17"/>
              </w:rPr>
              <w:lastRenderedPageBreak/>
              <w:t>Tabel 11 Uitsplitsing verplichtingen (bedragen x € 1.000)</w:t>
            </w:r>
          </w:p>
        </w:tc>
      </w:tr>
      <w:tr w:rsidRPr="00671AAB" w:rsidR="0084290D" w:rsidTr="007433BE" w14:paraId="62DB8004" w14:textId="77777777">
        <w:trPr>
          <w:tblHeader/>
        </w:trPr>
        <w:tc>
          <w:tcPr>
            <w:tcW w:w="1100" w:type="pct"/>
            <w:tcBorders>
              <w:top w:val="single" w:color="000000" w:sz="2" w:space="0"/>
              <w:bottom w:val="single" w:color="009EE0" w:sz="2" w:space="0"/>
            </w:tcBorders>
            <w:tcMar>
              <w:top w:w="28" w:type="dxa"/>
              <w:bottom w:w="28" w:type="dxa"/>
              <w:right w:w="28" w:type="dxa"/>
            </w:tcMar>
          </w:tcPr>
          <w:p w:rsidRPr="006F2FC4" w:rsidR="0084290D" w:rsidRDefault="00CF5B93" w14:paraId="7F94C253" w14:textId="77777777">
            <w:pPr>
              <w:pStyle w:val="p-table"/>
              <w:rPr>
                <w:color w:val="000000"/>
                <w:sz w:val="13"/>
                <w:szCs w:val="13"/>
              </w:rPr>
            </w:pPr>
            <w:r w:rsidRPr="006F2FC4">
              <w:rPr>
                <w:color w:val="000000"/>
                <w:sz w:val="13"/>
                <w:szCs w:val="13"/>
              </w:rPr>
              <w:t>Omschrijving</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8EFE02B"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5778864" w14:textId="77777777">
            <w:pPr>
              <w:pStyle w:val="p-table"/>
              <w:jc w:val="right"/>
              <w:rPr>
                <w:color w:val="000000"/>
                <w:sz w:val="13"/>
                <w:szCs w:val="13"/>
              </w:rPr>
            </w:pPr>
            <w:r w:rsidRPr="006F2FC4">
              <w:rPr>
                <w:color w:val="000000"/>
                <w:sz w:val="13"/>
                <w:szCs w:val="13"/>
              </w:rPr>
              <w:t>Mutaties via NvW, moties, amendementen en ISB (2)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5B85C11" w14:textId="77777777">
            <w:pPr>
              <w:pStyle w:val="p-table"/>
              <w:jc w:val="right"/>
              <w:rPr>
                <w:color w:val="000000"/>
                <w:sz w:val="13"/>
                <w:szCs w:val="13"/>
              </w:rPr>
            </w:pPr>
            <w:r w:rsidRPr="006F2FC4">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CB0B5D8"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23CE5C0"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546DF21"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AEAA984"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775ED18"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21577C7"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CA0E0C4" w14:textId="77777777">
            <w:pPr>
              <w:pStyle w:val="p-table"/>
              <w:jc w:val="right"/>
              <w:rPr>
                <w:color w:val="000000"/>
                <w:sz w:val="13"/>
                <w:szCs w:val="13"/>
              </w:rPr>
            </w:pPr>
            <w:r w:rsidRPr="006F2FC4">
              <w:rPr>
                <w:color w:val="000000"/>
                <w:sz w:val="13"/>
                <w:szCs w:val="13"/>
              </w:rPr>
              <w:t>Mutatie 2031</w:t>
            </w:r>
          </w:p>
        </w:tc>
      </w:tr>
      <w:tr w:rsidRPr="00671AAB" w:rsidR="0084290D" w:rsidTr="007433BE" w14:paraId="411E9C32" w14:textId="77777777">
        <w:tc>
          <w:tcPr>
            <w:tcW w:w="1100" w:type="pct"/>
            <w:tcBorders>
              <w:bottom w:val="single" w:color="009EE0" w:sz="2" w:space="0"/>
            </w:tcBorders>
            <w:tcMar>
              <w:top w:w="22" w:type="dxa"/>
              <w:bottom w:w="22" w:type="dxa"/>
              <w:right w:w="28" w:type="dxa"/>
            </w:tcMar>
          </w:tcPr>
          <w:p w:rsidRPr="006F2FC4" w:rsidR="0084290D" w:rsidRDefault="0084290D" w14:paraId="19CAF7D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A93AE0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E882D1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936B06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21B6D7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14236B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43A83F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3E692F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FA0286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E3BC7A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665F96C" w14:textId="77777777">
            <w:pPr>
              <w:pStyle w:val="p-table"/>
              <w:rPr>
                <w:sz w:val="13"/>
                <w:szCs w:val="13"/>
              </w:rPr>
            </w:pPr>
          </w:p>
        </w:tc>
      </w:tr>
      <w:tr w:rsidRPr="00671AAB" w:rsidR="0084290D" w:rsidTr="007433BE" w14:paraId="76F41578" w14:textId="77777777">
        <w:tc>
          <w:tcPr>
            <w:tcW w:w="1100" w:type="pct"/>
            <w:tcBorders>
              <w:bottom w:val="single" w:color="009EE0" w:sz="2" w:space="0"/>
            </w:tcBorders>
            <w:tcMar>
              <w:top w:w="22" w:type="dxa"/>
              <w:bottom w:w="22" w:type="dxa"/>
              <w:right w:w="28" w:type="dxa"/>
            </w:tcMar>
          </w:tcPr>
          <w:p w:rsidRPr="006F2FC4" w:rsidR="0084290D" w:rsidRDefault="00CF5B93" w14:paraId="4E5AFCA9" w14:textId="77777777">
            <w:pPr>
              <w:pStyle w:val="p-table"/>
              <w:rPr>
                <w:sz w:val="13"/>
                <w:szCs w:val="13"/>
              </w:rPr>
            </w:pPr>
            <w:r w:rsidRPr="006F2FC4">
              <w:rPr>
                <w:b/>
                <w:sz w:val="13"/>
                <w:szCs w:val="13"/>
              </w:rPr>
              <w:t>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139BB8B6"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09E55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EB163C0"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4C885A" w14:textId="77777777">
            <w:pPr>
              <w:pStyle w:val="p-table"/>
              <w:jc w:val="right"/>
              <w:rPr>
                <w:sz w:val="13"/>
                <w:szCs w:val="13"/>
              </w:rPr>
            </w:pPr>
            <w:r w:rsidRPr="006F2FC4">
              <w:rPr>
                <w:b/>
                <w:sz w:val="13"/>
                <w:szCs w:val="13"/>
              </w:rPr>
              <w:t>36.973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117C91A" w14:textId="77777777">
            <w:pPr>
              <w:pStyle w:val="p-table"/>
              <w:jc w:val="right"/>
              <w:rPr>
                <w:sz w:val="13"/>
                <w:szCs w:val="13"/>
              </w:rPr>
            </w:pPr>
            <w:r w:rsidRPr="006F2FC4">
              <w:rPr>
                <w:b/>
                <w:sz w:val="13"/>
                <w:szCs w:val="13"/>
              </w:rPr>
              <w:t>70.417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8AAD36" w14:textId="77777777">
            <w:pPr>
              <w:pStyle w:val="p-table"/>
              <w:jc w:val="right"/>
              <w:rPr>
                <w:sz w:val="13"/>
                <w:szCs w:val="13"/>
              </w:rPr>
            </w:pPr>
            <w:r w:rsidRPr="006F2FC4">
              <w:rPr>
                <w:b/>
                <w:sz w:val="13"/>
                <w:szCs w:val="13"/>
              </w:rPr>
              <w:t>10.891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B239E06" w14:textId="77777777">
            <w:pPr>
              <w:pStyle w:val="p-table"/>
              <w:jc w:val="right"/>
              <w:rPr>
                <w:sz w:val="13"/>
                <w:szCs w:val="13"/>
              </w:rPr>
            </w:pPr>
            <w:r w:rsidRPr="006F2FC4">
              <w:rPr>
                <w:b/>
                <w:sz w:val="13"/>
                <w:szCs w:val="13"/>
              </w:rPr>
              <w:t>12.029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3072345E" w14:textId="77777777">
            <w:pPr>
              <w:pStyle w:val="p-table"/>
              <w:jc w:val="right"/>
              <w:rPr>
                <w:sz w:val="13"/>
                <w:szCs w:val="13"/>
              </w:rPr>
            </w:pPr>
            <w:r w:rsidRPr="006F2FC4">
              <w:rPr>
                <w:b/>
                <w:sz w:val="13"/>
                <w:szCs w:val="13"/>
              </w:rPr>
              <w:t>9.700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4FD6C3" w14:textId="77777777">
            <w:pPr>
              <w:pStyle w:val="p-table"/>
              <w:jc w:val="right"/>
              <w:rPr>
                <w:sz w:val="13"/>
                <w:szCs w:val="13"/>
              </w:rPr>
            </w:pPr>
            <w:r w:rsidRPr="006F2FC4">
              <w:rPr>
                <w:b/>
                <w:sz w:val="13"/>
                <w:szCs w:val="13"/>
              </w:rPr>
              <w:t>8.853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EEBDCD" w14:textId="77777777">
            <w:pPr>
              <w:pStyle w:val="p-table"/>
              <w:jc w:val="right"/>
              <w:rPr>
                <w:sz w:val="13"/>
                <w:szCs w:val="13"/>
              </w:rPr>
            </w:pPr>
            <w:r w:rsidRPr="006F2FC4">
              <w:rPr>
                <w:b/>
                <w:sz w:val="13"/>
                <w:szCs w:val="13"/>
              </w:rPr>
              <w:t>37.230</w:t>
            </w:r>
          </w:p>
        </w:tc>
      </w:tr>
      <w:tr w:rsidRPr="00671AAB" w:rsidR="0084290D" w:rsidTr="007433BE" w14:paraId="641BC1AB" w14:textId="77777777">
        <w:tc>
          <w:tcPr>
            <w:tcW w:w="1100" w:type="pct"/>
            <w:tcBorders>
              <w:bottom w:val="single" w:color="009EE0" w:sz="2" w:space="0"/>
            </w:tcBorders>
            <w:tcMar>
              <w:top w:w="22" w:type="dxa"/>
              <w:bottom w:w="22" w:type="dxa"/>
              <w:right w:w="28" w:type="dxa"/>
            </w:tcMar>
          </w:tcPr>
          <w:p w:rsidRPr="006F2FC4" w:rsidR="0084290D" w:rsidRDefault="00CF5B93" w14:paraId="0CE89F0C" w14:textId="77777777">
            <w:pPr>
              <w:pStyle w:val="p-table"/>
              <w:rPr>
                <w:sz w:val="13"/>
                <w:szCs w:val="13"/>
              </w:rPr>
            </w:pPr>
            <w:r w:rsidRPr="006F2FC4">
              <w:rPr>
                <w:sz w:val="13"/>
                <w:szCs w:val="13"/>
              </w:rPr>
              <w:t>waarvan garantieverplichtingen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2A4BF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B18DA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937B8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F7F285" w14:textId="77777777">
            <w:pPr>
              <w:pStyle w:val="p-table"/>
              <w:jc w:val="right"/>
              <w:rPr>
                <w:sz w:val="13"/>
                <w:szCs w:val="13"/>
              </w:rPr>
            </w:pPr>
            <w:r w:rsidRPr="006F2FC4">
              <w:rPr>
                <w:sz w:val="13"/>
                <w:szCs w:val="13"/>
              </w:rPr>
              <w:t>30.000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1F9C94" w14:textId="77777777">
            <w:pPr>
              <w:pStyle w:val="p-table"/>
              <w:jc w:val="right"/>
              <w:rPr>
                <w:sz w:val="13"/>
                <w:szCs w:val="13"/>
              </w:rPr>
            </w:pPr>
            <w:r w:rsidRPr="006F2FC4">
              <w:rPr>
                <w:sz w:val="13"/>
                <w:szCs w:val="13"/>
              </w:rPr>
              <w:t>30.000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C69F7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6DFD5C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18BBF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F08F1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ADFEFB" w14:textId="77777777">
            <w:pPr>
              <w:pStyle w:val="p-table"/>
              <w:jc w:val="right"/>
              <w:rPr>
                <w:sz w:val="13"/>
                <w:szCs w:val="13"/>
              </w:rPr>
            </w:pPr>
            <w:r w:rsidRPr="006F2FC4">
              <w:rPr>
                <w:sz w:val="13"/>
                <w:szCs w:val="13"/>
              </w:rPr>
              <w:t>0</w:t>
            </w:r>
          </w:p>
        </w:tc>
      </w:tr>
      <w:tr w:rsidRPr="00671AAB" w:rsidR="0084290D" w:rsidTr="007433BE" w14:paraId="6CEFFABE" w14:textId="77777777">
        <w:tc>
          <w:tcPr>
            <w:tcW w:w="1100" w:type="pct"/>
            <w:tcBorders>
              <w:bottom w:val="single" w:color="009EE0" w:sz="2" w:space="0"/>
            </w:tcBorders>
            <w:tcMar>
              <w:top w:w="22" w:type="dxa"/>
              <w:bottom w:w="22" w:type="dxa"/>
              <w:right w:w="28" w:type="dxa"/>
            </w:tcMar>
          </w:tcPr>
          <w:p w:rsidRPr="006F2FC4" w:rsidR="0084290D" w:rsidRDefault="00CF5B93" w14:paraId="17E198D6" w14:textId="77777777">
            <w:pPr>
              <w:pStyle w:val="p-table"/>
              <w:rPr>
                <w:sz w:val="13"/>
                <w:szCs w:val="13"/>
              </w:rPr>
            </w:pPr>
            <w:r w:rsidRPr="006F2FC4">
              <w:rPr>
                <w:sz w:val="13"/>
                <w:szCs w:val="13"/>
              </w:rPr>
              <w:t>Garantie SRF</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B109C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D2094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BB337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B28FC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741E76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576A3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923C8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291FF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BC62E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2A4042" w14:textId="77777777">
            <w:pPr>
              <w:pStyle w:val="p-table"/>
              <w:jc w:val="right"/>
              <w:rPr>
                <w:sz w:val="13"/>
                <w:szCs w:val="13"/>
              </w:rPr>
            </w:pPr>
            <w:r w:rsidRPr="006F2FC4">
              <w:rPr>
                <w:sz w:val="13"/>
                <w:szCs w:val="13"/>
              </w:rPr>
              <w:t>0</w:t>
            </w:r>
          </w:p>
        </w:tc>
      </w:tr>
      <w:tr w:rsidRPr="00671AAB" w:rsidR="0084290D" w:rsidTr="007433BE" w14:paraId="6278AFA5" w14:textId="77777777">
        <w:tc>
          <w:tcPr>
            <w:tcW w:w="1100" w:type="pct"/>
            <w:tcBorders>
              <w:bottom w:val="single" w:color="009EE0" w:sz="2" w:space="0"/>
            </w:tcBorders>
            <w:tcMar>
              <w:top w:w="22" w:type="dxa"/>
              <w:bottom w:w="22" w:type="dxa"/>
              <w:right w:w="28" w:type="dxa"/>
            </w:tcMar>
          </w:tcPr>
          <w:p w:rsidRPr="006F2FC4" w:rsidR="0084290D" w:rsidRDefault="00CF5B93" w14:paraId="4D7331E6" w14:textId="77777777">
            <w:pPr>
              <w:pStyle w:val="p-table"/>
              <w:rPr>
                <w:sz w:val="13"/>
                <w:szCs w:val="13"/>
              </w:rPr>
            </w:pPr>
            <w:r w:rsidRPr="006F2FC4">
              <w:rPr>
                <w:sz w:val="13"/>
                <w:szCs w:val="13"/>
              </w:rPr>
              <w:t>Garantie WAKO (kernongevallen)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74E2D8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35803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85891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E9049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62929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9D79A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50BF4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C5F47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40102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B8BEB2" w14:textId="77777777">
            <w:pPr>
              <w:pStyle w:val="p-table"/>
              <w:jc w:val="right"/>
              <w:rPr>
                <w:sz w:val="13"/>
                <w:szCs w:val="13"/>
              </w:rPr>
            </w:pPr>
            <w:r w:rsidRPr="006F2FC4">
              <w:rPr>
                <w:sz w:val="13"/>
                <w:szCs w:val="13"/>
              </w:rPr>
              <w:t>0</w:t>
            </w:r>
          </w:p>
        </w:tc>
      </w:tr>
      <w:tr w:rsidRPr="00671AAB" w:rsidR="0084290D" w:rsidTr="007433BE" w14:paraId="18217C44" w14:textId="77777777">
        <w:tc>
          <w:tcPr>
            <w:tcW w:w="1100" w:type="pct"/>
            <w:tcBorders>
              <w:bottom w:val="single" w:color="009EE0" w:sz="2" w:space="0"/>
            </w:tcBorders>
            <w:tcMar>
              <w:top w:w="22" w:type="dxa"/>
              <w:bottom w:w="22" w:type="dxa"/>
              <w:right w:w="28" w:type="dxa"/>
            </w:tcMar>
          </w:tcPr>
          <w:p w:rsidRPr="006F2FC4" w:rsidR="0084290D" w:rsidRDefault="00CF5B93" w14:paraId="4AF725E2" w14:textId="77777777">
            <w:pPr>
              <w:pStyle w:val="p-table"/>
              <w:rPr>
                <w:sz w:val="13"/>
                <w:szCs w:val="13"/>
              </w:rPr>
            </w:pPr>
            <w:r w:rsidRPr="006F2FC4">
              <w:rPr>
                <w:sz w:val="13"/>
                <w:szCs w:val="13"/>
              </w:rPr>
              <w:t>Garantie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067519E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6EB13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917B1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2B578C" w14:textId="77777777">
            <w:pPr>
              <w:pStyle w:val="p-table"/>
              <w:jc w:val="right"/>
              <w:rPr>
                <w:sz w:val="13"/>
                <w:szCs w:val="13"/>
              </w:rPr>
            </w:pPr>
            <w:r w:rsidRPr="006F2FC4">
              <w:rPr>
                <w:sz w:val="13"/>
                <w:szCs w:val="13"/>
              </w:rPr>
              <w:t>30.000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3CA994A" w14:textId="77777777">
            <w:pPr>
              <w:pStyle w:val="p-table"/>
              <w:jc w:val="right"/>
              <w:rPr>
                <w:sz w:val="13"/>
                <w:szCs w:val="13"/>
              </w:rPr>
            </w:pPr>
            <w:r w:rsidRPr="006F2FC4">
              <w:rPr>
                <w:sz w:val="13"/>
                <w:szCs w:val="13"/>
              </w:rPr>
              <w:t>30.000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67501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77B87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ECF66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B60F0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6B8D88" w14:textId="77777777">
            <w:pPr>
              <w:pStyle w:val="p-table"/>
              <w:jc w:val="right"/>
              <w:rPr>
                <w:sz w:val="13"/>
                <w:szCs w:val="13"/>
              </w:rPr>
            </w:pPr>
            <w:r w:rsidRPr="006F2FC4">
              <w:rPr>
                <w:sz w:val="13"/>
                <w:szCs w:val="13"/>
              </w:rPr>
              <w:t>0</w:t>
            </w:r>
          </w:p>
        </w:tc>
      </w:tr>
      <w:tr w:rsidRPr="00671AAB" w:rsidR="0084290D" w:rsidTr="007433BE" w14:paraId="0E17ECCE" w14:textId="77777777">
        <w:tc>
          <w:tcPr>
            <w:tcW w:w="1100" w:type="pct"/>
            <w:tcBorders>
              <w:bottom w:val="single" w:color="009EE0" w:sz="2" w:space="0"/>
            </w:tcBorders>
            <w:tcMar>
              <w:top w:w="22" w:type="dxa"/>
              <w:bottom w:w="22" w:type="dxa"/>
              <w:right w:w="28" w:type="dxa"/>
            </w:tcMar>
          </w:tcPr>
          <w:p w:rsidRPr="006F2FC4" w:rsidR="0084290D" w:rsidRDefault="00CF5B93" w14:paraId="57A8F8DF" w14:textId="77777777">
            <w:pPr>
              <w:pStyle w:val="p-table"/>
              <w:rPr>
                <w:sz w:val="13"/>
                <w:szCs w:val="13"/>
              </w:rPr>
            </w:pPr>
            <w:r w:rsidRPr="006F2FC4">
              <w:rPr>
                <w:sz w:val="13"/>
                <w:szCs w:val="13"/>
              </w:rPr>
              <w:t>Garantie Stichting Waarborgfonds Motorverkeer</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60576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05124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9C340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847D0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0BE68B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C4EEA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046E4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06C1E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49924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7DCC6A" w14:textId="77777777">
            <w:pPr>
              <w:pStyle w:val="p-table"/>
              <w:jc w:val="right"/>
              <w:rPr>
                <w:sz w:val="13"/>
                <w:szCs w:val="13"/>
              </w:rPr>
            </w:pPr>
            <w:r w:rsidRPr="006F2FC4">
              <w:rPr>
                <w:sz w:val="13"/>
                <w:szCs w:val="13"/>
              </w:rPr>
              <w:t>0</w:t>
            </w:r>
          </w:p>
        </w:tc>
      </w:tr>
      <w:tr w:rsidRPr="00671AAB" w:rsidR="0084290D" w:rsidTr="007433BE" w14:paraId="6BD2E932" w14:textId="77777777">
        <w:tc>
          <w:tcPr>
            <w:tcW w:w="1100" w:type="pct"/>
            <w:tcBorders>
              <w:bottom w:val="single" w:color="009EE0" w:sz="2" w:space="0"/>
            </w:tcBorders>
            <w:tcMar>
              <w:top w:w="22" w:type="dxa"/>
              <w:bottom w:w="22" w:type="dxa"/>
              <w:right w:w="28" w:type="dxa"/>
            </w:tcMar>
          </w:tcPr>
          <w:p w:rsidRPr="006F2FC4" w:rsidR="0084290D" w:rsidRDefault="0084290D" w14:paraId="46E45CB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1C50BE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F6684B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AFD6A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6DBF4D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F4D631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6DFCBB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296FB4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532BDC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6A7D6E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FEC6B08" w14:textId="77777777">
            <w:pPr>
              <w:pStyle w:val="p-table"/>
              <w:rPr>
                <w:sz w:val="13"/>
                <w:szCs w:val="13"/>
              </w:rPr>
            </w:pPr>
          </w:p>
        </w:tc>
      </w:tr>
      <w:tr w:rsidRPr="00671AAB" w:rsidR="0084290D" w:rsidTr="007433BE" w14:paraId="499713CD" w14:textId="77777777">
        <w:tc>
          <w:tcPr>
            <w:tcW w:w="1100" w:type="pct"/>
            <w:tcBorders>
              <w:bottom w:val="single" w:color="009EE0" w:sz="2" w:space="0"/>
            </w:tcBorders>
            <w:tcMar>
              <w:top w:w="22" w:type="dxa"/>
              <w:bottom w:w="22" w:type="dxa"/>
              <w:right w:w="28" w:type="dxa"/>
            </w:tcMar>
          </w:tcPr>
          <w:p w:rsidRPr="006F2FC4" w:rsidR="0084290D" w:rsidRDefault="00CF5B93" w14:paraId="15491475"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2FA2988F" w14:textId="77777777">
            <w:pPr>
              <w:pStyle w:val="p-table"/>
              <w:jc w:val="right"/>
              <w:rPr>
                <w:sz w:val="13"/>
                <w:szCs w:val="13"/>
              </w:rPr>
            </w:pPr>
            <w:r w:rsidRPr="006F2FC4">
              <w:rPr>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C3677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2640415" w14:textId="77777777">
            <w:pPr>
              <w:pStyle w:val="p-table"/>
              <w:jc w:val="right"/>
              <w:rPr>
                <w:sz w:val="13"/>
                <w:szCs w:val="13"/>
              </w:rPr>
            </w:pPr>
            <w:r w:rsidRPr="006F2FC4">
              <w:rPr>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FD9603" w14:textId="77777777">
            <w:pPr>
              <w:pStyle w:val="p-table"/>
              <w:jc w:val="right"/>
              <w:rPr>
                <w:sz w:val="13"/>
                <w:szCs w:val="13"/>
              </w:rPr>
            </w:pPr>
            <w:r w:rsidRPr="006F2FC4">
              <w:rPr>
                <w:sz w:val="13"/>
                <w:szCs w:val="13"/>
              </w:rPr>
              <w:t>6.973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70B8A5" w14:textId="77777777">
            <w:pPr>
              <w:pStyle w:val="p-table"/>
              <w:jc w:val="right"/>
              <w:rPr>
                <w:sz w:val="13"/>
                <w:szCs w:val="13"/>
              </w:rPr>
            </w:pPr>
            <w:r w:rsidRPr="006F2FC4">
              <w:rPr>
                <w:sz w:val="13"/>
                <w:szCs w:val="13"/>
              </w:rPr>
              <w:t>40.417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687DB0" w14:textId="77777777">
            <w:pPr>
              <w:pStyle w:val="p-table"/>
              <w:jc w:val="right"/>
              <w:rPr>
                <w:sz w:val="13"/>
                <w:szCs w:val="13"/>
              </w:rPr>
            </w:pPr>
            <w:r w:rsidRPr="006F2FC4">
              <w:rPr>
                <w:sz w:val="13"/>
                <w:szCs w:val="13"/>
              </w:rPr>
              <w:t>10.891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AAAA6C" w14:textId="77777777">
            <w:pPr>
              <w:pStyle w:val="p-table"/>
              <w:jc w:val="right"/>
              <w:rPr>
                <w:sz w:val="13"/>
                <w:szCs w:val="13"/>
              </w:rPr>
            </w:pPr>
            <w:r w:rsidRPr="006F2FC4">
              <w:rPr>
                <w:sz w:val="13"/>
                <w:szCs w:val="13"/>
              </w:rPr>
              <w:t>12.029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4458B0C6" w14:textId="77777777">
            <w:pPr>
              <w:pStyle w:val="p-table"/>
              <w:jc w:val="right"/>
              <w:rPr>
                <w:sz w:val="13"/>
                <w:szCs w:val="13"/>
              </w:rPr>
            </w:pPr>
            <w:r w:rsidRPr="006F2FC4">
              <w:rPr>
                <w:sz w:val="13"/>
                <w:szCs w:val="13"/>
              </w:rPr>
              <w:t>9.700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8276F8" w14:textId="77777777">
            <w:pPr>
              <w:pStyle w:val="p-table"/>
              <w:jc w:val="right"/>
              <w:rPr>
                <w:sz w:val="13"/>
                <w:szCs w:val="13"/>
              </w:rPr>
            </w:pPr>
            <w:r w:rsidRPr="006F2FC4">
              <w:rPr>
                <w:sz w:val="13"/>
                <w:szCs w:val="13"/>
              </w:rPr>
              <w:t>8.853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1AD62B" w14:textId="77777777">
            <w:pPr>
              <w:pStyle w:val="p-table"/>
              <w:jc w:val="right"/>
              <w:rPr>
                <w:sz w:val="13"/>
                <w:szCs w:val="13"/>
              </w:rPr>
            </w:pPr>
            <w:r w:rsidRPr="006F2FC4">
              <w:rPr>
                <w:sz w:val="13"/>
                <w:szCs w:val="13"/>
              </w:rPr>
              <w:t>37.230</w:t>
            </w:r>
          </w:p>
        </w:tc>
      </w:tr>
      <w:tr w:rsidRPr="00671AAB" w:rsidR="0084290D" w:rsidTr="007433BE" w14:paraId="22A664A9" w14:textId="77777777">
        <w:tc>
          <w:tcPr>
            <w:tcW w:w="1100" w:type="pct"/>
            <w:tcBorders>
              <w:bottom w:val="single" w:color="009EE0" w:sz="2" w:space="0"/>
            </w:tcBorders>
            <w:tcMar>
              <w:top w:w="22" w:type="dxa"/>
              <w:bottom w:w="22" w:type="dxa"/>
              <w:right w:w="28" w:type="dxa"/>
            </w:tcMar>
          </w:tcPr>
          <w:p w:rsidRPr="006F2FC4" w:rsidR="0084290D" w:rsidRDefault="00CF5B93" w14:paraId="43DF73B1" w14:textId="77777777">
            <w:pPr>
              <w:pStyle w:val="p-table"/>
              <w:rPr>
                <w:sz w:val="13"/>
                <w:szCs w:val="13"/>
              </w:rPr>
            </w:pPr>
            <w:r w:rsidRPr="006F2FC4">
              <w:rPr>
                <w:sz w:val="13"/>
                <w:szCs w:val="13"/>
              </w:rPr>
              <w:t>Muntcirculatie</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662D6E"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E9D6E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E59B1C"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7C301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B4D3DDE"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D4B35E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5ED67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56C2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978A96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07431D" w14:textId="77777777">
            <w:pPr>
              <w:pStyle w:val="p-table"/>
              <w:jc w:val="right"/>
              <w:rPr>
                <w:sz w:val="13"/>
                <w:szCs w:val="13"/>
              </w:rPr>
            </w:pPr>
            <w:r w:rsidRPr="006F2FC4">
              <w:rPr>
                <w:sz w:val="13"/>
                <w:szCs w:val="13"/>
              </w:rPr>
              <w:t>5.176</w:t>
            </w:r>
          </w:p>
        </w:tc>
      </w:tr>
      <w:tr w:rsidRPr="00671AAB" w:rsidR="0084290D" w:rsidTr="007433BE" w14:paraId="4679ECE6" w14:textId="77777777">
        <w:tc>
          <w:tcPr>
            <w:tcW w:w="1100" w:type="pct"/>
            <w:tcBorders>
              <w:bottom w:val="single" w:color="009EE0" w:sz="2" w:space="0"/>
            </w:tcBorders>
            <w:tcMar>
              <w:top w:w="22" w:type="dxa"/>
              <w:bottom w:w="22" w:type="dxa"/>
              <w:right w:w="28" w:type="dxa"/>
            </w:tcMar>
          </w:tcPr>
          <w:p w:rsidRPr="006F2FC4" w:rsidR="0084290D" w:rsidRDefault="00CF5B93" w14:paraId="647078EA" w14:textId="77777777">
            <w:pPr>
              <w:pStyle w:val="p-table"/>
              <w:rPr>
                <w:sz w:val="13"/>
                <w:szCs w:val="13"/>
              </w:rPr>
            </w:pPr>
            <w:r w:rsidRPr="006F2FC4">
              <w:rPr>
                <w:sz w:val="13"/>
                <w:szCs w:val="13"/>
              </w:rPr>
              <w:t>Vakbekwaamheid</w:t>
            </w:r>
          </w:p>
        </w:tc>
        <w:tc>
          <w:tcPr>
            <w:tcW w:w="425" w:type="pct"/>
            <w:tcBorders>
              <w:bottom w:val="single" w:color="009EE0" w:sz="2" w:space="0"/>
            </w:tcBorders>
            <w:tcMar>
              <w:top w:w="22" w:type="dxa"/>
              <w:left w:w="28" w:type="dxa"/>
              <w:bottom w:w="22" w:type="dxa"/>
              <w:right w:w="28" w:type="dxa"/>
            </w:tcMar>
          </w:tcPr>
          <w:p w:rsidRPr="006F2FC4" w:rsidR="0084290D" w:rsidRDefault="00CF5B93" w14:paraId="49DB9AD3" w14:textId="77777777">
            <w:pPr>
              <w:pStyle w:val="p-table"/>
              <w:jc w:val="right"/>
              <w:rPr>
                <w:sz w:val="13"/>
                <w:szCs w:val="13"/>
              </w:rPr>
            </w:pPr>
            <w:r w:rsidRPr="006F2FC4">
              <w:rPr>
                <w:sz w:val="13"/>
                <w:szCs w:val="13"/>
              </w:rPr>
              <w:t>4.660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CF672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B3DB45" w14:textId="77777777">
            <w:pPr>
              <w:pStyle w:val="p-table"/>
              <w:jc w:val="right"/>
              <w:rPr>
                <w:sz w:val="13"/>
                <w:szCs w:val="13"/>
              </w:rPr>
            </w:pPr>
            <w:r w:rsidRPr="006F2FC4">
              <w:rPr>
                <w:sz w:val="13"/>
                <w:szCs w:val="13"/>
              </w:rPr>
              <w:t>4.660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EF92B9" w14:textId="77777777">
            <w:pPr>
              <w:pStyle w:val="p-table"/>
              <w:jc w:val="right"/>
              <w:rPr>
                <w:sz w:val="13"/>
                <w:szCs w:val="13"/>
              </w:rPr>
            </w:pPr>
            <w:r w:rsidRPr="006F2FC4">
              <w:rPr>
                <w:sz w:val="13"/>
                <w:szCs w:val="13"/>
              </w:rPr>
              <w:t>636</w:t>
            </w:r>
          </w:p>
        </w:tc>
        <w:tc>
          <w:tcPr>
            <w:tcW w:w="425" w:type="pct"/>
            <w:tcBorders>
              <w:bottom w:val="single" w:color="009EE0" w:sz="2" w:space="0"/>
            </w:tcBorders>
            <w:tcMar>
              <w:top w:w="22" w:type="dxa"/>
              <w:left w:w="28" w:type="dxa"/>
              <w:bottom w:w="22" w:type="dxa"/>
              <w:right w:w="28" w:type="dxa"/>
            </w:tcMar>
          </w:tcPr>
          <w:p w:rsidRPr="006F2FC4" w:rsidR="0084290D" w:rsidRDefault="00CF5B93" w14:paraId="26DCA6F0" w14:textId="77777777">
            <w:pPr>
              <w:pStyle w:val="p-table"/>
              <w:jc w:val="right"/>
              <w:rPr>
                <w:sz w:val="13"/>
                <w:szCs w:val="13"/>
              </w:rPr>
            </w:pPr>
            <w:r w:rsidRPr="006F2FC4">
              <w:rPr>
                <w:sz w:val="13"/>
                <w:szCs w:val="13"/>
              </w:rPr>
              <w:t>5.296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9FD15F5"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4050DC"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6B07AD"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124626"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819F286" w14:textId="77777777">
            <w:pPr>
              <w:pStyle w:val="p-table"/>
              <w:jc w:val="right"/>
              <w:rPr>
                <w:sz w:val="13"/>
                <w:szCs w:val="13"/>
              </w:rPr>
            </w:pPr>
            <w:r w:rsidRPr="006F2FC4">
              <w:rPr>
                <w:sz w:val="13"/>
                <w:szCs w:val="13"/>
              </w:rPr>
              <w:t>5.296</w:t>
            </w:r>
          </w:p>
        </w:tc>
      </w:tr>
      <w:tr w:rsidRPr="00671AAB" w:rsidR="0084290D" w:rsidTr="007433BE" w14:paraId="1EBE6744" w14:textId="77777777">
        <w:tc>
          <w:tcPr>
            <w:tcW w:w="1100" w:type="pct"/>
            <w:tcBorders>
              <w:bottom w:val="single" w:color="009EE0" w:sz="2" w:space="0"/>
            </w:tcBorders>
            <w:tcMar>
              <w:top w:w="22" w:type="dxa"/>
              <w:bottom w:w="22" w:type="dxa"/>
              <w:right w:w="28" w:type="dxa"/>
            </w:tcMar>
          </w:tcPr>
          <w:p w:rsidRPr="006F2FC4" w:rsidR="0084290D" w:rsidRDefault="00CF5B93" w14:paraId="4E8214D0" w14:textId="77777777">
            <w:pPr>
              <w:pStyle w:val="p-table"/>
              <w:rPr>
                <w:sz w:val="13"/>
                <w:szCs w:val="13"/>
              </w:rPr>
            </w:pPr>
            <w:r w:rsidRPr="006F2FC4">
              <w:rPr>
                <w:sz w:val="13"/>
                <w:szCs w:val="13"/>
              </w:rPr>
              <w:t>Schadeloosstelling SRH</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65408F"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6A955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F06AA7"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382AA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CCA673F"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E7B67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35030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72B0D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F63A4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25EB3D" w14:textId="77777777">
            <w:pPr>
              <w:pStyle w:val="p-table"/>
              <w:jc w:val="right"/>
              <w:rPr>
                <w:sz w:val="13"/>
                <w:szCs w:val="13"/>
              </w:rPr>
            </w:pPr>
            <w:r w:rsidRPr="006F2FC4">
              <w:rPr>
                <w:sz w:val="13"/>
                <w:szCs w:val="13"/>
              </w:rPr>
              <w:t>0</w:t>
            </w:r>
          </w:p>
        </w:tc>
      </w:tr>
      <w:tr w:rsidRPr="00671AAB" w:rsidR="0084290D" w:rsidTr="007433BE" w14:paraId="2C7BD44C" w14:textId="77777777">
        <w:tc>
          <w:tcPr>
            <w:tcW w:w="1100" w:type="pct"/>
            <w:tcBorders>
              <w:bottom w:val="single" w:color="009EE0" w:sz="2" w:space="0"/>
            </w:tcBorders>
            <w:tcMar>
              <w:top w:w="22" w:type="dxa"/>
              <w:bottom w:w="22" w:type="dxa"/>
              <w:right w:w="28" w:type="dxa"/>
            </w:tcMar>
          </w:tcPr>
          <w:p w:rsidRPr="006F2FC4" w:rsidR="0084290D" w:rsidRDefault="00CF5B93" w14:paraId="098C68F5" w14:textId="77777777">
            <w:pPr>
              <w:pStyle w:val="p-table"/>
              <w:rPr>
                <w:sz w:val="13"/>
                <w:szCs w:val="13"/>
              </w:rPr>
            </w:pPr>
            <w:r w:rsidRPr="006F2FC4">
              <w:rPr>
                <w:sz w:val="13"/>
                <w:szCs w:val="13"/>
              </w:rPr>
              <w:t>Uitvoeringskosten omwisselen Oekraïense hryvnia</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A33CE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63F86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D3C7D3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9DDC3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14F27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A738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38A59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B367B0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19E90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10E4BB9" w14:textId="77777777">
            <w:pPr>
              <w:pStyle w:val="p-table"/>
              <w:jc w:val="right"/>
              <w:rPr>
                <w:sz w:val="13"/>
                <w:szCs w:val="13"/>
              </w:rPr>
            </w:pPr>
            <w:r w:rsidRPr="006F2FC4">
              <w:rPr>
                <w:sz w:val="13"/>
                <w:szCs w:val="13"/>
              </w:rPr>
              <w:t>0</w:t>
            </w:r>
          </w:p>
        </w:tc>
      </w:tr>
      <w:tr w:rsidRPr="00671AAB" w:rsidR="0084290D" w:rsidTr="007433BE" w14:paraId="125DFF20" w14:textId="77777777">
        <w:tc>
          <w:tcPr>
            <w:tcW w:w="1100" w:type="pct"/>
            <w:tcBorders>
              <w:bottom w:val="single" w:color="009EE0" w:sz="2" w:space="0"/>
            </w:tcBorders>
            <w:tcMar>
              <w:top w:w="22" w:type="dxa"/>
              <w:bottom w:w="22" w:type="dxa"/>
              <w:right w:w="28" w:type="dxa"/>
            </w:tcMar>
          </w:tcPr>
          <w:p w:rsidRPr="006F2FC4" w:rsidR="0084290D" w:rsidRDefault="00CF5B93" w14:paraId="258C2427" w14:textId="77777777">
            <w:pPr>
              <w:pStyle w:val="p-table"/>
              <w:rPr>
                <w:sz w:val="13"/>
                <w:szCs w:val="13"/>
              </w:rPr>
            </w:pPr>
            <w:r w:rsidRPr="006F2FC4">
              <w:rPr>
                <w:sz w:val="13"/>
                <w:szCs w:val="13"/>
              </w:rPr>
              <w:t>Bijdrage DNB toezicht en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0C53BD05"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871BE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46DB90"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62114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B3ED00D"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C06015" w14:textId="77777777">
            <w:pPr>
              <w:pStyle w:val="p-table"/>
              <w:jc w:val="right"/>
              <w:rPr>
                <w:sz w:val="13"/>
                <w:szCs w:val="13"/>
              </w:rPr>
            </w:pPr>
            <w:r w:rsidRPr="006F2FC4">
              <w:rPr>
                <w:sz w:val="13"/>
                <w:szCs w:val="13"/>
              </w:rPr>
              <w:t>‒ 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32EBE8" w14:textId="77777777">
            <w:pPr>
              <w:pStyle w:val="p-table"/>
              <w:jc w:val="right"/>
              <w:rPr>
                <w:sz w:val="13"/>
                <w:szCs w:val="13"/>
              </w:rPr>
            </w:pPr>
            <w:r w:rsidRPr="006F2FC4">
              <w:rPr>
                <w:sz w:val="13"/>
                <w:szCs w:val="13"/>
              </w:rPr>
              <w:t>‒ 26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90FADF" w14:textId="77777777">
            <w:pPr>
              <w:pStyle w:val="p-table"/>
              <w:jc w:val="right"/>
              <w:rPr>
                <w:sz w:val="13"/>
                <w:szCs w:val="13"/>
              </w:rPr>
            </w:pPr>
            <w:r w:rsidRPr="006F2FC4">
              <w:rPr>
                <w:sz w:val="13"/>
                <w:szCs w:val="13"/>
              </w:rPr>
              <w:t>‒ 83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F523D1" w14:textId="77777777">
            <w:pPr>
              <w:pStyle w:val="p-table"/>
              <w:jc w:val="right"/>
              <w:rPr>
                <w:sz w:val="13"/>
                <w:szCs w:val="13"/>
              </w:rPr>
            </w:pPr>
            <w:r w:rsidRPr="006F2FC4">
              <w:rPr>
                <w:sz w:val="13"/>
                <w:szCs w:val="13"/>
              </w:rPr>
              <w:t>‒ 164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6BC47F" w14:textId="77777777">
            <w:pPr>
              <w:pStyle w:val="p-table"/>
              <w:jc w:val="right"/>
              <w:rPr>
                <w:sz w:val="13"/>
                <w:szCs w:val="13"/>
              </w:rPr>
            </w:pPr>
            <w:r w:rsidRPr="006F2FC4">
              <w:rPr>
                <w:sz w:val="13"/>
                <w:szCs w:val="13"/>
              </w:rPr>
              <w:t>2.038</w:t>
            </w:r>
          </w:p>
        </w:tc>
      </w:tr>
      <w:tr w:rsidRPr="00671AAB" w:rsidR="0084290D" w:rsidTr="007433BE" w14:paraId="28661456" w14:textId="77777777">
        <w:tc>
          <w:tcPr>
            <w:tcW w:w="1100" w:type="pct"/>
            <w:tcBorders>
              <w:bottom w:val="single" w:color="009EE0" w:sz="2" w:space="0"/>
            </w:tcBorders>
            <w:tcMar>
              <w:top w:w="22" w:type="dxa"/>
              <w:bottom w:w="22" w:type="dxa"/>
              <w:right w:w="28" w:type="dxa"/>
            </w:tcMar>
          </w:tcPr>
          <w:p w:rsidRPr="006F2FC4" w:rsidR="0084290D" w:rsidRDefault="00CF5B93" w14:paraId="3B1130F0" w14:textId="77777777">
            <w:pPr>
              <w:pStyle w:val="p-table"/>
              <w:rPr>
                <w:sz w:val="13"/>
                <w:szCs w:val="13"/>
              </w:rPr>
            </w:pPr>
            <w:r w:rsidRPr="006F2FC4">
              <w:rPr>
                <w:sz w:val="13"/>
                <w:szCs w:val="13"/>
              </w:rPr>
              <w:t>Bijdrage FEC</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8F3783"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516BA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09B3E42"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B02EF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075E8C"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C31B5D" w14:textId="77777777">
            <w:pPr>
              <w:pStyle w:val="p-table"/>
              <w:jc w:val="right"/>
              <w:rPr>
                <w:sz w:val="13"/>
                <w:szCs w:val="13"/>
              </w:rPr>
            </w:pPr>
            <w:r w:rsidRPr="006F2FC4">
              <w:rPr>
                <w:sz w:val="13"/>
                <w:szCs w:val="13"/>
              </w:rPr>
              <w:t>‒ 28</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FDBE50" w14:textId="77777777">
            <w:pPr>
              <w:pStyle w:val="p-table"/>
              <w:jc w:val="right"/>
              <w:rPr>
                <w:sz w:val="13"/>
                <w:szCs w:val="13"/>
              </w:rPr>
            </w:pPr>
            <w:r w:rsidRPr="006F2FC4">
              <w:rPr>
                <w:sz w:val="13"/>
                <w:szCs w:val="13"/>
              </w:rPr>
              <w:t>‒ 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7AE2E5" w14:textId="77777777">
            <w:pPr>
              <w:pStyle w:val="p-table"/>
              <w:jc w:val="right"/>
              <w:rPr>
                <w:sz w:val="13"/>
                <w:szCs w:val="13"/>
              </w:rPr>
            </w:pPr>
            <w:r w:rsidRPr="006F2FC4">
              <w:rPr>
                <w:sz w:val="13"/>
                <w:szCs w:val="13"/>
              </w:rPr>
              <w:t>‒ 181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5F513E" w14:textId="77777777">
            <w:pPr>
              <w:pStyle w:val="p-table"/>
              <w:jc w:val="right"/>
              <w:rPr>
                <w:sz w:val="13"/>
                <w:szCs w:val="13"/>
              </w:rPr>
            </w:pPr>
            <w:r w:rsidRPr="006F2FC4">
              <w:rPr>
                <w:sz w:val="13"/>
                <w:szCs w:val="13"/>
              </w:rPr>
              <w:t>‒ 356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BCA07F" w14:textId="77777777">
            <w:pPr>
              <w:pStyle w:val="p-table"/>
              <w:jc w:val="right"/>
              <w:rPr>
                <w:sz w:val="13"/>
                <w:szCs w:val="13"/>
              </w:rPr>
            </w:pPr>
            <w:r w:rsidRPr="006F2FC4">
              <w:rPr>
                <w:sz w:val="13"/>
                <w:szCs w:val="13"/>
              </w:rPr>
              <w:t>4.410</w:t>
            </w:r>
          </w:p>
        </w:tc>
      </w:tr>
      <w:tr w:rsidRPr="00671AAB" w:rsidR="0084290D" w:rsidTr="007433BE" w14:paraId="606833D9" w14:textId="77777777">
        <w:tc>
          <w:tcPr>
            <w:tcW w:w="1100" w:type="pct"/>
            <w:tcBorders>
              <w:bottom w:val="single" w:color="009EE0" w:sz="2" w:space="0"/>
            </w:tcBorders>
            <w:tcMar>
              <w:top w:w="22" w:type="dxa"/>
              <w:bottom w:w="22" w:type="dxa"/>
              <w:right w:w="28" w:type="dxa"/>
            </w:tcMar>
          </w:tcPr>
          <w:p w:rsidRPr="006F2FC4" w:rsidR="0084290D" w:rsidRDefault="00CF5B93" w14:paraId="6F26E5CE" w14:textId="77777777">
            <w:pPr>
              <w:pStyle w:val="p-table"/>
              <w:rPr>
                <w:sz w:val="13"/>
                <w:szCs w:val="13"/>
              </w:rPr>
            </w:pPr>
            <w:r w:rsidRPr="006F2FC4">
              <w:rPr>
                <w:sz w:val="13"/>
                <w:szCs w:val="13"/>
              </w:rPr>
              <w:t>Overige betalingsverplichtingen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4B0360" w14:textId="77777777">
            <w:pPr>
              <w:pStyle w:val="p-table"/>
              <w:jc w:val="right"/>
              <w:rPr>
                <w:sz w:val="13"/>
                <w:szCs w:val="13"/>
              </w:rPr>
            </w:pPr>
            <w:r w:rsidRPr="006F2FC4">
              <w:rPr>
                <w:sz w:val="13"/>
                <w:szCs w:val="13"/>
              </w:rPr>
              <w:t>14.340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CD574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A9B5EF2" w14:textId="77777777">
            <w:pPr>
              <w:pStyle w:val="p-table"/>
              <w:jc w:val="right"/>
              <w:rPr>
                <w:sz w:val="13"/>
                <w:szCs w:val="13"/>
              </w:rPr>
            </w:pPr>
            <w:r w:rsidRPr="006F2FC4">
              <w:rPr>
                <w:sz w:val="13"/>
                <w:szCs w:val="13"/>
              </w:rPr>
              <w:t>14.340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963D50" w14:textId="77777777">
            <w:pPr>
              <w:pStyle w:val="p-table"/>
              <w:jc w:val="right"/>
              <w:rPr>
                <w:sz w:val="13"/>
                <w:szCs w:val="13"/>
              </w:rPr>
            </w:pPr>
            <w:r w:rsidRPr="006F2FC4">
              <w:rPr>
                <w:sz w:val="13"/>
                <w:szCs w:val="13"/>
              </w:rPr>
              <w:t>6.337</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BADFE9" w14:textId="77777777">
            <w:pPr>
              <w:pStyle w:val="p-table"/>
              <w:jc w:val="right"/>
              <w:rPr>
                <w:sz w:val="13"/>
                <w:szCs w:val="13"/>
              </w:rPr>
            </w:pPr>
            <w:r w:rsidRPr="006F2FC4">
              <w:rPr>
                <w:sz w:val="13"/>
                <w:szCs w:val="13"/>
              </w:rPr>
              <w:t>20.677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2CA9D1" w14:textId="77777777">
            <w:pPr>
              <w:pStyle w:val="p-table"/>
              <w:jc w:val="right"/>
              <w:rPr>
                <w:sz w:val="13"/>
                <w:szCs w:val="13"/>
              </w:rPr>
            </w:pPr>
            <w:r w:rsidRPr="006F2FC4">
              <w:rPr>
                <w:sz w:val="13"/>
                <w:szCs w:val="13"/>
              </w:rPr>
              <w:t>10.296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7B64EF" w14:textId="77777777">
            <w:pPr>
              <w:pStyle w:val="p-table"/>
              <w:jc w:val="right"/>
              <w:rPr>
                <w:sz w:val="13"/>
                <w:szCs w:val="13"/>
              </w:rPr>
            </w:pPr>
            <w:r w:rsidRPr="006F2FC4">
              <w:rPr>
                <w:sz w:val="13"/>
                <w:szCs w:val="13"/>
              </w:rPr>
              <w:t>11.474</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DBEC87" w14:textId="77777777">
            <w:pPr>
              <w:pStyle w:val="p-table"/>
              <w:jc w:val="right"/>
              <w:rPr>
                <w:sz w:val="13"/>
                <w:szCs w:val="13"/>
              </w:rPr>
            </w:pPr>
            <w:r w:rsidRPr="006F2FC4">
              <w:rPr>
                <w:sz w:val="13"/>
                <w:szCs w:val="13"/>
              </w:rPr>
              <w:t>9.328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0DF0BA" w14:textId="77777777">
            <w:pPr>
              <w:pStyle w:val="p-table"/>
              <w:jc w:val="right"/>
              <w:rPr>
                <w:sz w:val="13"/>
                <w:szCs w:val="13"/>
              </w:rPr>
            </w:pPr>
            <w:r w:rsidRPr="006F2FC4">
              <w:rPr>
                <w:sz w:val="13"/>
                <w:szCs w:val="13"/>
              </w:rPr>
              <w:t>8.737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D8E8D0" w14:textId="77777777">
            <w:pPr>
              <w:pStyle w:val="p-table"/>
              <w:jc w:val="right"/>
              <w:rPr>
                <w:sz w:val="13"/>
                <w:szCs w:val="13"/>
              </w:rPr>
            </w:pPr>
            <w:r w:rsidRPr="006F2FC4">
              <w:rPr>
                <w:sz w:val="13"/>
                <w:szCs w:val="13"/>
              </w:rPr>
              <w:t>20.310</w:t>
            </w:r>
          </w:p>
        </w:tc>
      </w:tr>
    </w:tbl>
    <w:p w:rsidR="0084290D" w:rsidRDefault="0084290D" w14:paraId="189A0631"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rsidTr="007433BE" w14:paraId="6FED6177" w14:textId="77777777">
        <w:trPr>
          <w:tblHeader/>
        </w:trPr>
        <w:tc>
          <w:tcPr>
            <w:tcW w:w="5000" w:type="pct"/>
            <w:gridSpan w:val="2"/>
            <w:tcMar>
              <w:top w:w="22" w:type="dxa"/>
              <w:left w:w="113" w:type="dxa"/>
              <w:bottom w:w="22" w:type="dxa"/>
            </w:tcMar>
          </w:tcPr>
          <w:p w:rsidR="0084290D" w:rsidRDefault="00CF5B93" w14:paraId="67EC5107" w14:textId="77777777">
            <w:pPr>
              <w:pStyle w:val="kio2-table-title"/>
            </w:pPr>
            <w:r>
              <w:t>Tabel 12 Geschatte budgetflexibiliteit</w:t>
            </w:r>
          </w:p>
        </w:tc>
      </w:tr>
      <w:tr w:rsidR="0084290D" w:rsidTr="007433BE" w14:paraId="2CCB1261" w14:textId="77777777">
        <w:trPr>
          <w:tblHeader/>
        </w:trPr>
        <w:tc>
          <w:tcPr>
            <w:tcW w:w="2500" w:type="pct"/>
            <w:tcBorders>
              <w:top w:val="single" w:color="000000" w:sz="2" w:space="0"/>
              <w:bottom w:val="single" w:color="009EE0" w:sz="2" w:space="0"/>
            </w:tcBorders>
            <w:tcMar>
              <w:top w:w="28" w:type="dxa"/>
              <w:bottom w:w="28" w:type="dxa"/>
              <w:right w:w="28" w:type="dxa"/>
            </w:tcMar>
          </w:tcPr>
          <w:p w:rsidRPr="006F2FC4" w:rsidR="0084290D" w:rsidRDefault="0084290D" w14:paraId="00C10FF7" w14:textId="77777777">
            <w:pPr>
              <w:pStyle w:val="p-table"/>
              <w:rPr>
                <w:color w:val="000000"/>
                <w:sz w:val="13"/>
                <w:szCs w:val="13"/>
              </w:rPr>
            </w:pPr>
          </w:p>
        </w:tc>
        <w:tc>
          <w:tcPr>
            <w:tcW w:w="2500"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98E226B" w14:textId="77777777">
            <w:pPr>
              <w:pStyle w:val="p-table"/>
              <w:jc w:val="right"/>
              <w:rPr>
                <w:color w:val="000000"/>
                <w:sz w:val="13"/>
                <w:szCs w:val="13"/>
              </w:rPr>
            </w:pPr>
            <w:r w:rsidRPr="006F2FC4">
              <w:rPr>
                <w:color w:val="000000"/>
                <w:sz w:val="13"/>
                <w:szCs w:val="13"/>
              </w:rPr>
              <w:t>2026</w:t>
            </w:r>
          </w:p>
        </w:tc>
      </w:tr>
      <w:tr w:rsidR="0084290D" w:rsidTr="007433BE" w14:paraId="676116CE" w14:textId="77777777">
        <w:tc>
          <w:tcPr>
            <w:tcW w:w="2500" w:type="pct"/>
            <w:tcBorders>
              <w:bottom w:val="single" w:color="009EE0" w:sz="2" w:space="0"/>
            </w:tcBorders>
            <w:tcMar>
              <w:top w:w="22" w:type="dxa"/>
              <w:bottom w:w="22" w:type="dxa"/>
              <w:right w:w="28" w:type="dxa"/>
            </w:tcMar>
          </w:tcPr>
          <w:p w:rsidRPr="006F2FC4" w:rsidR="0084290D" w:rsidRDefault="00CF5B93" w14:paraId="058CD85D" w14:textId="77777777">
            <w:pPr>
              <w:pStyle w:val="p-table"/>
              <w:rPr>
                <w:sz w:val="13"/>
                <w:szCs w:val="13"/>
              </w:rPr>
            </w:pPr>
            <w:r w:rsidRPr="006F2FC4">
              <w:rPr>
                <w:sz w:val="13"/>
                <w:szCs w:val="13"/>
              </w:rPr>
              <w:t>juridisch verplicht</w:t>
            </w:r>
          </w:p>
        </w:tc>
        <w:tc>
          <w:tcPr>
            <w:tcW w:w="2500" w:type="pct"/>
            <w:tcBorders>
              <w:bottom w:val="single" w:color="009EE0" w:sz="2" w:space="0"/>
            </w:tcBorders>
            <w:tcMar>
              <w:top w:w="22" w:type="dxa"/>
              <w:left w:w="28" w:type="dxa"/>
              <w:bottom w:w="22" w:type="dxa"/>
              <w:right w:w="28" w:type="dxa"/>
            </w:tcMar>
          </w:tcPr>
          <w:p w:rsidRPr="006F2FC4" w:rsidR="0084290D" w:rsidRDefault="00CF5B93" w14:paraId="07551DB3" w14:textId="77777777">
            <w:pPr>
              <w:pStyle w:val="p-table"/>
              <w:jc w:val="right"/>
              <w:rPr>
                <w:sz w:val="13"/>
                <w:szCs w:val="13"/>
              </w:rPr>
            </w:pPr>
            <w:r w:rsidRPr="006F2FC4">
              <w:rPr>
                <w:sz w:val="13"/>
                <w:szCs w:val="13"/>
              </w:rPr>
              <w:t>62,8%</w:t>
            </w:r>
          </w:p>
        </w:tc>
      </w:tr>
      <w:tr w:rsidR="0084290D" w:rsidTr="007433BE" w14:paraId="04116CF5" w14:textId="77777777">
        <w:tc>
          <w:tcPr>
            <w:tcW w:w="2500" w:type="pct"/>
            <w:tcBorders>
              <w:bottom w:val="single" w:color="009EE0" w:sz="2" w:space="0"/>
            </w:tcBorders>
            <w:tcMar>
              <w:top w:w="22" w:type="dxa"/>
              <w:bottom w:w="22" w:type="dxa"/>
              <w:right w:w="28" w:type="dxa"/>
            </w:tcMar>
          </w:tcPr>
          <w:p w:rsidRPr="006F2FC4" w:rsidR="0084290D" w:rsidRDefault="00CF5B93" w14:paraId="12B4DCEE" w14:textId="77777777">
            <w:pPr>
              <w:pStyle w:val="p-table"/>
              <w:rPr>
                <w:sz w:val="13"/>
                <w:szCs w:val="13"/>
              </w:rPr>
            </w:pPr>
            <w:r w:rsidRPr="006F2FC4">
              <w:rPr>
                <w:sz w:val="13"/>
                <w:szCs w:val="13"/>
              </w:rPr>
              <w:t>bestuurlijk gebonden</w:t>
            </w:r>
          </w:p>
        </w:tc>
        <w:tc>
          <w:tcPr>
            <w:tcW w:w="2500" w:type="pct"/>
            <w:tcBorders>
              <w:bottom w:val="single" w:color="009EE0" w:sz="2" w:space="0"/>
            </w:tcBorders>
            <w:tcMar>
              <w:top w:w="22" w:type="dxa"/>
              <w:left w:w="28" w:type="dxa"/>
              <w:bottom w:w="22" w:type="dxa"/>
              <w:right w:w="28" w:type="dxa"/>
            </w:tcMar>
          </w:tcPr>
          <w:p w:rsidRPr="006F2FC4" w:rsidR="0084290D" w:rsidRDefault="00CF5B93" w14:paraId="3F8C4A76" w14:textId="77777777">
            <w:pPr>
              <w:pStyle w:val="p-table"/>
              <w:jc w:val="right"/>
              <w:rPr>
                <w:sz w:val="13"/>
                <w:szCs w:val="13"/>
              </w:rPr>
            </w:pPr>
            <w:r w:rsidRPr="006F2FC4">
              <w:rPr>
                <w:sz w:val="13"/>
                <w:szCs w:val="13"/>
              </w:rPr>
              <w:t>28,0%</w:t>
            </w:r>
          </w:p>
        </w:tc>
      </w:tr>
      <w:tr w:rsidR="0084290D" w:rsidTr="007433BE" w14:paraId="58021F38" w14:textId="77777777">
        <w:tc>
          <w:tcPr>
            <w:tcW w:w="2500" w:type="pct"/>
            <w:tcBorders>
              <w:bottom w:val="single" w:color="009EE0" w:sz="2" w:space="0"/>
            </w:tcBorders>
            <w:tcMar>
              <w:top w:w="22" w:type="dxa"/>
              <w:bottom w:w="22" w:type="dxa"/>
              <w:right w:w="28" w:type="dxa"/>
            </w:tcMar>
          </w:tcPr>
          <w:p w:rsidRPr="006F2FC4" w:rsidR="0084290D" w:rsidRDefault="00CF5B93" w14:paraId="2B8DAF8C" w14:textId="77777777">
            <w:pPr>
              <w:pStyle w:val="p-table"/>
              <w:rPr>
                <w:sz w:val="13"/>
                <w:szCs w:val="13"/>
              </w:rPr>
            </w:pPr>
            <w:r w:rsidRPr="006F2FC4">
              <w:rPr>
                <w:sz w:val="13"/>
                <w:szCs w:val="13"/>
              </w:rPr>
              <w:t>beleidsmatig gereserveerd</w:t>
            </w:r>
          </w:p>
        </w:tc>
        <w:tc>
          <w:tcPr>
            <w:tcW w:w="2500" w:type="pct"/>
            <w:tcBorders>
              <w:bottom w:val="single" w:color="009EE0" w:sz="2" w:space="0"/>
            </w:tcBorders>
            <w:tcMar>
              <w:top w:w="22" w:type="dxa"/>
              <w:left w:w="28" w:type="dxa"/>
              <w:bottom w:w="22" w:type="dxa"/>
              <w:right w:w="28" w:type="dxa"/>
            </w:tcMar>
          </w:tcPr>
          <w:p w:rsidRPr="006F2FC4" w:rsidR="0084290D" w:rsidRDefault="00CF5B93" w14:paraId="75945EB4" w14:textId="77777777">
            <w:pPr>
              <w:pStyle w:val="p-table"/>
              <w:jc w:val="right"/>
              <w:rPr>
                <w:sz w:val="13"/>
                <w:szCs w:val="13"/>
              </w:rPr>
            </w:pPr>
            <w:r w:rsidRPr="006F2FC4">
              <w:rPr>
                <w:sz w:val="13"/>
                <w:szCs w:val="13"/>
              </w:rPr>
              <w:t>9,2%</w:t>
            </w:r>
          </w:p>
        </w:tc>
      </w:tr>
      <w:tr w:rsidR="0084290D" w:rsidTr="007433BE" w14:paraId="2D3DDC56" w14:textId="77777777">
        <w:tc>
          <w:tcPr>
            <w:tcW w:w="2500" w:type="pct"/>
            <w:tcBorders>
              <w:bottom w:val="single" w:color="009EE0" w:sz="2" w:space="0"/>
            </w:tcBorders>
            <w:tcMar>
              <w:top w:w="22" w:type="dxa"/>
              <w:bottom w:w="22" w:type="dxa"/>
              <w:right w:w="28" w:type="dxa"/>
            </w:tcMar>
          </w:tcPr>
          <w:p w:rsidRPr="006F2FC4" w:rsidR="0084290D" w:rsidRDefault="00CF5B93" w14:paraId="64747CAF" w14:textId="77777777">
            <w:pPr>
              <w:pStyle w:val="p-table"/>
              <w:rPr>
                <w:sz w:val="13"/>
                <w:szCs w:val="13"/>
              </w:rPr>
            </w:pPr>
            <w:r w:rsidRPr="006F2FC4">
              <w:rPr>
                <w:sz w:val="13"/>
                <w:szCs w:val="13"/>
              </w:rPr>
              <w:t>nog niet ingevuld/vrij te besteden</w:t>
            </w:r>
          </w:p>
        </w:tc>
        <w:tc>
          <w:tcPr>
            <w:tcW w:w="2500" w:type="pct"/>
            <w:tcBorders>
              <w:bottom w:val="single" w:color="009EE0" w:sz="2" w:space="0"/>
            </w:tcBorders>
            <w:tcMar>
              <w:top w:w="22" w:type="dxa"/>
              <w:left w:w="28" w:type="dxa"/>
              <w:bottom w:w="22" w:type="dxa"/>
              <w:right w:w="28" w:type="dxa"/>
            </w:tcMar>
          </w:tcPr>
          <w:p w:rsidRPr="006F2FC4" w:rsidR="0084290D" w:rsidRDefault="00CF5B93" w14:paraId="63E04181" w14:textId="77777777">
            <w:pPr>
              <w:pStyle w:val="p-table"/>
              <w:jc w:val="right"/>
              <w:rPr>
                <w:sz w:val="13"/>
                <w:szCs w:val="13"/>
              </w:rPr>
            </w:pPr>
            <w:r w:rsidRPr="006F2FC4">
              <w:rPr>
                <w:sz w:val="13"/>
                <w:szCs w:val="13"/>
              </w:rPr>
              <w:t>0,0%</w:t>
            </w:r>
          </w:p>
        </w:tc>
      </w:tr>
    </w:tbl>
    <w:p w:rsidR="0084290D" w:rsidRDefault="0084290D" w14:paraId="393AAD5A" w14:textId="77777777">
      <w:pPr>
        <w:pStyle w:val="p-marginbottom"/>
      </w:pPr>
    </w:p>
    <w:p w:rsidR="0084290D" w:rsidRDefault="00CF5B93" w14:paraId="1B1934EF" w14:textId="77777777">
      <w:pPr>
        <w:pStyle w:val="header-h1"/>
      </w:pPr>
      <w:r>
        <w:t>Toelichting</w:t>
      </w:r>
    </w:p>
    <w:p w:rsidR="0084290D" w:rsidRDefault="0084290D" w14:paraId="31106322" w14:textId="77777777">
      <w:pPr>
        <w:pStyle w:val="p-marginbottom"/>
      </w:pPr>
    </w:p>
    <w:p w:rsidR="0084290D" w:rsidRDefault="00CF5B93" w14:paraId="5CB7CC91" w14:textId="77777777">
      <w:pPr>
        <w:pStyle w:val="header-h1"/>
      </w:pPr>
      <w:r>
        <w:t>Budgetflexibiliteit</w:t>
      </w:r>
    </w:p>
    <w:p w:rsidR="0084290D" w:rsidRDefault="00CF5B93" w14:paraId="122FBFE1" w14:textId="77777777">
      <w:pPr>
        <w:pStyle w:val="p"/>
      </w:pPr>
      <w:r>
        <w:t>Van de uitgaven op artikel 2 is in 2026 62,8% juridisch verplicht. Deze verplichte uitgaven (€ 25,5 mln.) bestaan voor het grootste deel uit uitgaven voor vakbekwaamheid (€ 5,3 mln.), muntcirculatie (€ 5,2 mln.), de bijdrage aan het Financieel Expertise Centrum (FEC) (€ 4,8 mln.), de bijdragen aan AFM en DNB voor het toezicht op de BES-eilanden (€ 2,2 mln.), de uitgaven inzake de schadeloosstelling SRH (€ 2,3 mln.), de uitgaven inzake Wijzer in geldzaken (€ 1,6 mln.) en uitgaven omtrent de Accountantskamer (€ 1,5 mln.).</w:t>
      </w:r>
    </w:p>
    <w:p w:rsidR="0084290D" w:rsidRDefault="00CF5B93" w14:paraId="4CE0CF1D" w14:textId="144F2CD6">
      <w:pPr>
        <w:pStyle w:val="p"/>
      </w:pPr>
      <w:r>
        <w:t xml:space="preserve">De juridisch verplichte uitgaven aan vakbekwaamheid betreffen de kosten van de centrale </w:t>
      </w:r>
      <w:proofErr w:type="spellStart"/>
      <w:r>
        <w:t>Wft</w:t>
      </w:r>
      <w:proofErr w:type="spellEnd"/>
      <w:r>
        <w:t>-examinering.</w:t>
      </w:r>
      <w:r w:rsidR="003A4A5C">
        <w:t xml:space="preserve"> </w:t>
      </w:r>
      <w:r>
        <w:t>De juridisch verplichte uitgaven vanwege de muntcirculatie komen voort uit de Muntwet, de afspraken met DNB en de afspraken in muntcontract voor circulatiemunten en het muntcontract voor verzamelaarsmunten van DNB met de Koninklijke Nederlandse Munt (KNM).</w:t>
      </w:r>
    </w:p>
    <w:p w:rsidR="0084290D" w:rsidRDefault="00CF5B93" w14:paraId="67766419" w14:textId="77777777">
      <w:pPr>
        <w:pStyle w:val="p"/>
      </w:pPr>
      <w:r>
        <w:t xml:space="preserve">De bestuurlijk gebonden uitgaven (28,0%) hebben onder andere betrekking op de uitvoeringstoets van het verbod op cashbetalingen van € 3.000 of meer. Verder zien deze uitgaven grotendeels op de uitvoeringskosten inzake het AML-pakket als gevolg van de implementatie van Europese regelgeving. De beleidsmatig gereserveerde uitgaven (9,2%) hebben betrekking op de implementatie en beheerskosten van de UBO-registers (Ultimate </w:t>
      </w:r>
      <w:proofErr w:type="spellStart"/>
      <w:r>
        <w:t>Beneficial</w:t>
      </w:r>
      <w:proofErr w:type="spellEnd"/>
      <w:r>
        <w:t xml:space="preserve"> </w:t>
      </w:r>
      <w:proofErr w:type="spellStart"/>
      <w:r>
        <w:t>Owners</w:t>
      </w:r>
      <w:proofErr w:type="spellEnd"/>
      <w:r>
        <w:t>, uiteindelijke belanghebbenden).</w:t>
      </w:r>
    </w:p>
    <w:p w:rsidR="009665F5" w:rsidRDefault="009665F5" w14:paraId="66CD48A2" w14:textId="77777777">
      <w:pPr>
        <w:rPr>
          <w:b/>
          <w:sz w:val="17"/>
        </w:rPr>
      </w:pPr>
      <w:r>
        <w:br w:type="page"/>
      </w:r>
    </w:p>
    <w:p w:rsidR="0084290D" w:rsidRDefault="00CF5B93" w14:paraId="43EB07BF" w14:textId="6647AD39">
      <w:pPr>
        <w:pStyle w:val="header-h1"/>
      </w:pPr>
      <w:r>
        <w:lastRenderedPageBreak/>
        <w:t>Verplichtingen</w:t>
      </w:r>
    </w:p>
    <w:p w:rsidR="0084290D" w:rsidRDefault="0084290D" w14:paraId="2A94FD1C" w14:textId="77777777">
      <w:pPr>
        <w:pStyle w:val="p-marginbottom"/>
      </w:pPr>
    </w:p>
    <w:p w:rsidR="0084290D" w:rsidRDefault="00CF5B93" w14:paraId="30BEE308" w14:textId="77777777">
      <w:pPr>
        <w:pStyle w:val="header-h2"/>
      </w:pPr>
      <w:r>
        <w:t>Garantieverplichtingen</w:t>
      </w:r>
    </w:p>
    <w:p w:rsidR="0084290D" w:rsidRDefault="0084290D" w14:paraId="261864CD" w14:textId="77777777">
      <w:pPr>
        <w:pStyle w:val="p-marginbottom"/>
      </w:pPr>
    </w:p>
    <w:p w:rsidR="0084290D" w:rsidRDefault="00CF5B93" w14:paraId="10DFDD79" w14:textId="77777777">
      <w:pPr>
        <w:pStyle w:val="header-h5"/>
      </w:pPr>
      <w:r>
        <w:t>DGS BES</w:t>
      </w:r>
    </w:p>
    <w:p w:rsidR="0084290D" w:rsidRDefault="00CF5B93" w14:paraId="77402BFE" w14:textId="77777777">
      <w:pPr>
        <w:pStyle w:val="p"/>
      </w:pPr>
      <w:r>
        <w:t xml:space="preserve">Het Depositogarantiestelsel voor Caribisch Nederland (DGS BES) is aangepast, onder andere de financiering van het fonds verandert. De financieringsopzet met voorfinanciering door de Staat is niet langer noodzakelijk en in plaats daarvan zal het stelsel door de sector zelf worden gefinancierd. DNB hecht vanuit haar resolutietaak aan het voorbereiden van </w:t>
      </w:r>
      <w:proofErr w:type="spellStart"/>
      <w:r>
        <w:t>achtervangfinanciering</w:t>
      </w:r>
      <w:proofErr w:type="spellEnd"/>
      <w:r>
        <w:t>, voor het geval een bank in Caribisch Nederland failliet gaat. Hiervoor wordt een kredietovereenkomst voorbereid met de Belastingdienst Caribisch Nederland (BCN), inclusief een daaraan gekoppelde garantie van € 30 mln.</w:t>
      </w:r>
    </w:p>
    <w:p w:rsidR="0084290D" w:rsidRDefault="00CF5B93" w14:paraId="73E4A296" w14:textId="77777777">
      <w:pPr>
        <w:pStyle w:val="header-h2"/>
      </w:pPr>
      <w:r>
        <w:t>Overige verplichtingen</w:t>
      </w:r>
    </w:p>
    <w:p w:rsidR="0084290D" w:rsidRDefault="0084290D" w14:paraId="253E4350" w14:textId="77777777">
      <w:pPr>
        <w:pStyle w:val="p-marginbottom"/>
      </w:pPr>
    </w:p>
    <w:p w:rsidR="0084290D" w:rsidRDefault="00CF5B93" w14:paraId="60A9206A" w14:textId="77777777">
      <w:pPr>
        <w:pStyle w:val="header-h5"/>
      </w:pPr>
      <w:r>
        <w:t>Overige betalingsverplichtingen</w:t>
      </w:r>
    </w:p>
    <w:p w:rsidR="0084290D" w:rsidRDefault="00CF5B93" w14:paraId="534D5FDE" w14:textId="77777777">
      <w:pPr>
        <w:pStyle w:val="p"/>
      </w:pPr>
      <w:r>
        <w:t>Dit betreft met name een bijstelling inzake het AML-pakket. Als gevolg van de implementatie van Europese regelgeving (AMLD6 en AMLR), zijn er uitvoeringskosten voor de Kamer van Koophandel (KvK), Dienst Financieel-Economische Integriteit (DFEI), Autoriteit Persoonsgegevens (AP) en de Fiscale Inlichtingen- en Opsporingsdienst (FIOD). Een deel van de kosten worden toegerekend aan J&amp;V. De uitvoeringskosten, voor de rekening van de Financiënbegroting, bedragen structureel circa € 9 mln.</w:t>
      </w:r>
    </w:p>
    <w:p w:rsidR="0084290D" w:rsidRDefault="00CF5B93" w14:paraId="5A63ADED" w14:textId="77777777">
      <w:pPr>
        <w:pStyle w:val="header-h1"/>
      </w:pPr>
      <w:r>
        <w:t>Uitgaven</w:t>
      </w:r>
    </w:p>
    <w:p w:rsidR="0084290D" w:rsidRDefault="0084290D" w14:paraId="3D14349D" w14:textId="77777777">
      <w:pPr>
        <w:pStyle w:val="p-marginbottom"/>
      </w:pPr>
    </w:p>
    <w:p w:rsidR="0084290D" w:rsidRDefault="00CF5B93" w14:paraId="4B334ADE" w14:textId="77777777">
      <w:pPr>
        <w:pStyle w:val="header-h2"/>
      </w:pPr>
      <w:r>
        <w:t>Opdrachten</w:t>
      </w:r>
    </w:p>
    <w:p w:rsidR="0084290D" w:rsidRDefault="0084290D" w14:paraId="09CC0CB4" w14:textId="77777777">
      <w:pPr>
        <w:pStyle w:val="p-marginbottom"/>
      </w:pPr>
    </w:p>
    <w:p w:rsidR="0084290D" w:rsidRDefault="00CF5B93" w14:paraId="74101800" w14:textId="77777777">
      <w:pPr>
        <w:pStyle w:val="header-h5"/>
      </w:pPr>
      <w:r>
        <w:t>Overig</w:t>
      </w:r>
    </w:p>
    <w:p w:rsidR="0084290D" w:rsidRDefault="00CF5B93" w14:paraId="2875A433" w14:textId="77777777">
      <w:pPr>
        <w:pStyle w:val="p"/>
      </w:pPr>
      <w:r>
        <w:t>Zie toelichting onder 'Verplichtingen - Overige betalingsverplichtingen'.</w:t>
      </w:r>
    </w:p>
    <w:p w:rsidR="0084290D" w:rsidRDefault="00CF5B93" w14:paraId="4428F718" w14:textId="77777777">
      <w:pPr>
        <w:pStyle w:val="header-h2"/>
      </w:pPr>
      <w:r>
        <w:t>Bijdrage aan ZBO's/RWT's</w:t>
      </w:r>
    </w:p>
    <w:p w:rsidR="003B28DC" w:rsidRDefault="003B28DC" w14:paraId="64C93E1B" w14:textId="77777777">
      <w:pPr>
        <w:pStyle w:val="header-h2"/>
      </w:pPr>
    </w:p>
    <w:p w:rsidR="0084290D" w:rsidRDefault="00CF5B93" w14:paraId="729C20E4" w14:textId="77777777">
      <w:pPr>
        <w:pStyle w:val="header-h5"/>
      </w:pPr>
      <w:r>
        <w:t>Overig</w:t>
      </w:r>
    </w:p>
    <w:p w:rsidR="0084290D" w:rsidRDefault="00CF5B93" w14:paraId="6AA6CE7A" w14:textId="77777777">
      <w:pPr>
        <w:pStyle w:val="p"/>
      </w:pPr>
      <w:r>
        <w:t>Door de uitspraak van het Hof van Justitie van de Europese Unie (</w:t>
      </w:r>
      <w:proofErr w:type="spellStart"/>
      <w:r>
        <w:t>HvJEU</w:t>
      </w:r>
      <w:proofErr w:type="spellEnd"/>
      <w:r>
        <w:t xml:space="preserve">) zijn eind 2022 de UBO-registers gesloten. Omdat nog niet alle </w:t>
      </w:r>
      <w:proofErr w:type="spellStart"/>
      <w:r>
        <w:t>Wwft</w:t>
      </w:r>
      <w:proofErr w:type="spellEnd"/>
      <w:r>
        <w:t>-instellingen weer uittreksels uit het register kunnen opvragen, zijn de beschikbare middelen niet toereikend om de kosten voor beheer en ontwikkeling te kunnen dekken. Deze kosten bedragen € 1,0 mln. in 2026.</w:t>
      </w:r>
    </w:p>
    <w:p w:rsidR="0084290D" w:rsidRDefault="00CF5B93" w14:paraId="1C4BFDB5" w14:textId="77777777">
      <w:pPr>
        <w:pStyle w:val="header-h1"/>
      </w:pPr>
      <w:r>
        <w:t>Ontvangsten</w:t>
      </w:r>
    </w:p>
    <w:p w:rsidR="0084290D" w:rsidRDefault="0084290D" w14:paraId="2A50C4FF" w14:textId="77777777">
      <w:pPr>
        <w:pStyle w:val="p-marginbottom"/>
      </w:pPr>
    </w:p>
    <w:p w:rsidR="0084290D" w:rsidRDefault="00CF5B93" w14:paraId="77A245F9" w14:textId="77777777">
      <w:pPr>
        <w:pStyle w:val="header-h2"/>
      </w:pPr>
      <w:r>
        <w:t>Storting/onttrekking begrotingsreserve</w:t>
      </w:r>
    </w:p>
    <w:p w:rsidR="003B28DC" w:rsidRDefault="003B28DC" w14:paraId="6A844029" w14:textId="77777777">
      <w:pPr>
        <w:pStyle w:val="header-h2"/>
      </w:pPr>
    </w:p>
    <w:p w:rsidR="0084290D" w:rsidRDefault="00CF5B93" w14:paraId="27634B68" w14:textId="77777777">
      <w:pPr>
        <w:pStyle w:val="header-h5"/>
      </w:pPr>
      <w:r>
        <w:t>Dotatie begrotingsreserve DGS BES</w:t>
      </w:r>
    </w:p>
    <w:p w:rsidR="0084290D" w:rsidRDefault="00CF5B93" w14:paraId="2750A8A1" w14:textId="77777777">
      <w:pPr>
        <w:pStyle w:val="p"/>
      </w:pPr>
      <w:r>
        <w:t>Het Depositogarantiestelsel voor Caribisch Nederland (DGS BES) is aangepast, onder andere de wijze van financiering van het stelsel verandert. Zodoende valt de begrotingsreserve van € 6,0 mln. vrij aan het generale beeld.</w:t>
      </w:r>
    </w:p>
    <w:p w:rsidR="0084290D" w:rsidRDefault="00CF5B93" w14:paraId="5C61E5C7" w14:textId="77777777">
      <w:pPr>
        <w:pStyle w:val="header-h2"/>
      </w:pPr>
      <w:r>
        <w:t>Overig</w:t>
      </w:r>
    </w:p>
    <w:p w:rsidR="0084290D" w:rsidRDefault="00CF5B93" w14:paraId="32B8F376" w14:textId="77777777">
      <w:pPr>
        <w:pStyle w:val="p"/>
      </w:pPr>
      <w:r>
        <w:t>Dit betreft een technische bijstelling van circa € 1,6 mln. structureel.</w:t>
      </w:r>
    </w:p>
    <w:p w:rsidR="0084290D" w:rsidRDefault="0084290D" w14:paraId="7C60CC7B" w14:textId="77777777">
      <w:pPr>
        <w:pStyle w:val="page-break"/>
      </w:pPr>
    </w:p>
    <w:p w:rsidR="0084290D" w:rsidRDefault="00CF5B93" w14:paraId="289189FD" w14:textId="77777777">
      <w:pPr>
        <w:pStyle w:val="section-title-3"/>
      </w:pPr>
      <w:r>
        <w:t>Artikel 3 Financieringsactiviteiten publiek-private sector</w:t>
      </w:r>
    </w:p>
    <w:p w:rsidR="0084290D" w:rsidRDefault="00CF5B93" w14:paraId="726779C3"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122"/>
        <w:gridCol w:w="737"/>
        <w:gridCol w:w="820"/>
        <w:gridCol w:w="818"/>
        <w:gridCol w:w="742"/>
        <w:gridCol w:w="818"/>
        <w:gridCol w:w="721"/>
        <w:gridCol w:w="721"/>
        <w:gridCol w:w="721"/>
        <w:gridCol w:w="725"/>
        <w:gridCol w:w="721"/>
      </w:tblGrid>
      <w:tr w:rsidR="0084290D" w:rsidTr="007433BE" w14:paraId="3951F1A4" w14:textId="77777777">
        <w:trPr>
          <w:tblHeader/>
        </w:trPr>
        <w:tc>
          <w:tcPr>
            <w:tcW w:w="5000" w:type="pct"/>
            <w:gridSpan w:val="11"/>
            <w:tcMar>
              <w:top w:w="22" w:type="dxa"/>
              <w:left w:w="113" w:type="dxa"/>
              <w:bottom w:w="22" w:type="dxa"/>
            </w:tcMar>
          </w:tcPr>
          <w:p w:rsidR="0084290D" w:rsidRDefault="00CF5B93" w14:paraId="06B7194A" w14:textId="77777777">
            <w:pPr>
              <w:pStyle w:val="kio2-table-title"/>
            </w:pPr>
            <w:r>
              <w:t>Tabel 13 Budgettaire gevolgen van beleid artikel 3 Financieringsactiviteiten publiek-private sector (bedragen x € 1.000)</w:t>
            </w:r>
          </w:p>
        </w:tc>
      </w:tr>
      <w:tr w:rsidR="0084290D" w:rsidTr="007433BE" w14:paraId="018A0290" w14:textId="77777777">
        <w:trPr>
          <w:tblHeader/>
        </w:trPr>
        <w:tc>
          <w:tcPr>
            <w:tcW w:w="1098" w:type="pct"/>
            <w:tcBorders>
              <w:top w:val="single" w:color="000000" w:sz="2" w:space="0"/>
              <w:bottom w:val="single" w:color="009EE0" w:sz="2" w:space="0"/>
            </w:tcBorders>
            <w:tcMar>
              <w:top w:w="28" w:type="dxa"/>
              <w:bottom w:w="28" w:type="dxa"/>
              <w:right w:w="28" w:type="dxa"/>
            </w:tcMar>
          </w:tcPr>
          <w:p w:rsidRPr="006F2FC4" w:rsidR="0084290D" w:rsidRDefault="00CF5B93" w14:paraId="17AFFE8A" w14:textId="77777777">
            <w:pPr>
              <w:pStyle w:val="p-table"/>
              <w:rPr>
                <w:color w:val="000000"/>
                <w:sz w:val="13"/>
                <w:szCs w:val="13"/>
              </w:rPr>
            </w:pPr>
            <w:r w:rsidRPr="006F2FC4">
              <w:rPr>
                <w:color w:val="000000"/>
                <w:sz w:val="13"/>
                <w:szCs w:val="13"/>
              </w:rPr>
              <w:t>Omschrijving</w:t>
            </w:r>
          </w:p>
        </w:tc>
        <w:tc>
          <w:tcPr>
            <w:tcW w:w="38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5C4C56E" w14:textId="77777777">
            <w:pPr>
              <w:pStyle w:val="p-table"/>
              <w:jc w:val="right"/>
              <w:rPr>
                <w:color w:val="000000"/>
                <w:sz w:val="13"/>
                <w:szCs w:val="13"/>
              </w:rPr>
            </w:pPr>
            <w:r w:rsidRPr="006F2FC4">
              <w:rPr>
                <w:color w:val="000000"/>
                <w:sz w:val="13"/>
                <w:szCs w:val="13"/>
              </w:rPr>
              <w:t>Ontwerpbegroting 2026 (1)</w:t>
            </w:r>
          </w:p>
        </w:tc>
        <w:tc>
          <w:tcPr>
            <w:tcW w:w="4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8D6E9DE" w14:textId="77777777">
            <w:pPr>
              <w:pStyle w:val="p-table"/>
              <w:jc w:val="right"/>
              <w:rPr>
                <w:color w:val="000000"/>
                <w:sz w:val="13"/>
                <w:szCs w:val="13"/>
              </w:rPr>
            </w:pPr>
            <w:r w:rsidRPr="006F2FC4">
              <w:rPr>
                <w:color w:val="000000"/>
                <w:sz w:val="13"/>
                <w:szCs w:val="13"/>
              </w:rPr>
              <w:t>Mutaties via NvW, moties, amendementen en ISB (2)</w:t>
            </w:r>
          </w:p>
        </w:tc>
        <w:tc>
          <w:tcPr>
            <w:tcW w:w="42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7D6F2D7" w14:textId="77777777">
            <w:pPr>
              <w:pStyle w:val="p-table"/>
              <w:jc w:val="right"/>
              <w:rPr>
                <w:color w:val="000000"/>
                <w:sz w:val="13"/>
                <w:szCs w:val="13"/>
              </w:rPr>
            </w:pPr>
            <w:r w:rsidRPr="006F2FC4">
              <w:rPr>
                <w:color w:val="000000"/>
                <w:sz w:val="13"/>
                <w:szCs w:val="13"/>
              </w:rPr>
              <w:t>Vastgestelde begroting 2026 (3)=(1)+(2)</w:t>
            </w:r>
          </w:p>
        </w:tc>
        <w:tc>
          <w:tcPr>
            <w:tcW w:w="38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C2F126C"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4E29DC9"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4CC1F15" w14:textId="77777777">
            <w:pPr>
              <w:pStyle w:val="p-table"/>
              <w:jc w:val="right"/>
              <w:rPr>
                <w:color w:val="000000"/>
                <w:sz w:val="13"/>
                <w:szCs w:val="13"/>
              </w:rPr>
            </w:pPr>
            <w:r w:rsidRPr="006F2FC4">
              <w:rPr>
                <w:color w:val="000000"/>
                <w:sz w:val="13"/>
                <w:szCs w:val="13"/>
              </w:rPr>
              <w:t>Mutatie 2027</w:t>
            </w:r>
          </w:p>
        </w:tc>
        <w:tc>
          <w:tcPr>
            <w:tcW w:w="37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5D1343C" w14:textId="77777777">
            <w:pPr>
              <w:pStyle w:val="p-table"/>
              <w:jc w:val="right"/>
              <w:rPr>
                <w:color w:val="000000"/>
                <w:sz w:val="13"/>
                <w:szCs w:val="13"/>
              </w:rPr>
            </w:pPr>
            <w:r w:rsidRPr="006F2FC4">
              <w:rPr>
                <w:color w:val="000000"/>
                <w:sz w:val="13"/>
                <w:szCs w:val="13"/>
              </w:rPr>
              <w:t>Mutatie 2028</w:t>
            </w:r>
          </w:p>
        </w:tc>
        <w:tc>
          <w:tcPr>
            <w:tcW w:w="37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5CD9FD7"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C79BDDF" w14:textId="77777777">
            <w:pPr>
              <w:pStyle w:val="p-table"/>
              <w:jc w:val="right"/>
              <w:rPr>
                <w:color w:val="000000"/>
                <w:sz w:val="13"/>
                <w:szCs w:val="13"/>
              </w:rPr>
            </w:pPr>
            <w:r w:rsidRPr="006F2FC4">
              <w:rPr>
                <w:color w:val="000000"/>
                <w:sz w:val="13"/>
                <w:szCs w:val="13"/>
              </w:rPr>
              <w:t>Mutatie 2030</w:t>
            </w:r>
          </w:p>
        </w:tc>
        <w:tc>
          <w:tcPr>
            <w:tcW w:w="37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575C16B" w14:textId="77777777">
            <w:pPr>
              <w:pStyle w:val="p-table"/>
              <w:jc w:val="right"/>
              <w:rPr>
                <w:color w:val="000000"/>
                <w:sz w:val="13"/>
                <w:szCs w:val="13"/>
              </w:rPr>
            </w:pPr>
            <w:r w:rsidRPr="006F2FC4">
              <w:rPr>
                <w:color w:val="000000"/>
                <w:sz w:val="13"/>
                <w:szCs w:val="13"/>
              </w:rPr>
              <w:t>Mutatie 2031</w:t>
            </w:r>
          </w:p>
        </w:tc>
      </w:tr>
      <w:tr w:rsidR="0084290D" w:rsidTr="007433BE" w14:paraId="75FB5D5C" w14:textId="77777777">
        <w:tc>
          <w:tcPr>
            <w:tcW w:w="4627" w:type="pct"/>
            <w:gridSpan w:val="10"/>
            <w:tcBorders>
              <w:bottom w:val="single" w:color="009EE0" w:sz="2" w:space="0"/>
            </w:tcBorders>
            <w:tcMar>
              <w:top w:w="22" w:type="dxa"/>
              <w:bottom w:w="22" w:type="dxa"/>
              <w:right w:w="28" w:type="dxa"/>
            </w:tcMar>
          </w:tcPr>
          <w:p w:rsidRPr="006F2FC4" w:rsidR="0084290D" w:rsidRDefault="0084290D" w14:paraId="2690F5E0"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235689F" w14:textId="77777777">
            <w:pPr>
              <w:pStyle w:val="p-table"/>
              <w:rPr>
                <w:sz w:val="13"/>
                <w:szCs w:val="13"/>
              </w:rPr>
            </w:pPr>
          </w:p>
        </w:tc>
      </w:tr>
      <w:tr w:rsidR="0084290D" w:rsidTr="007433BE" w14:paraId="2DAFC2B3" w14:textId="77777777">
        <w:tc>
          <w:tcPr>
            <w:tcW w:w="1098" w:type="pct"/>
            <w:tcBorders>
              <w:bottom w:val="single" w:color="009EE0" w:sz="2" w:space="0"/>
            </w:tcBorders>
            <w:tcMar>
              <w:top w:w="22" w:type="dxa"/>
              <w:bottom w:w="22" w:type="dxa"/>
              <w:right w:w="28" w:type="dxa"/>
            </w:tcMar>
          </w:tcPr>
          <w:p w:rsidRPr="006F2FC4" w:rsidR="0084290D" w:rsidRDefault="00CF5B93" w14:paraId="47398074" w14:textId="77777777">
            <w:pPr>
              <w:pStyle w:val="p-table"/>
              <w:rPr>
                <w:sz w:val="13"/>
                <w:szCs w:val="13"/>
              </w:rPr>
            </w:pPr>
            <w:r w:rsidRPr="006F2FC4">
              <w:rPr>
                <w:b/>
                <w:sz w:val="13"/>
                <w:szCs w:val="13"/>
              </w:rPr>
              <w:t>Verplichtingen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401C546" w14:textId="77777777">
            <w:pPr>
              <w:pStyle w:val="p-table"/>
              <w:jc w:val="right"/>
              <w:rPr>
                <w:sz w:val="13"/>
                <w:szCs w:val="13"/>
              </w:rPr>
            </w:pPr>
            <w:r w:rsidRPr="006F2FC4">
              <w:rPr>
                <w:b/>
                <w:sz w:val="13"/>
                <w:szCs w:val="13"/>
              </w:rPr>
              <w:t>‒ 5.640.641</w:t>
            </w:r>
          </w:p>
        </w:tc>
        <w:tc>
          <w:tcPr>
            <w:tcW w:w="424" w:type="pct"/>
            <w:tcBorders>
              <w:bottom w:val="single" w:color="009EE0" w:sz="2" w:space="0"/>
            </w:tcBorders>
            <w:tcMar>
              <w:top w:w="22" w:type="dxa"/>
              <w:left w:w="28" w:type="dxa"/>
              <w:bottom w:w="22" w:type="dxa"/>
              <w:right w:w="28" w:type="dxa"/>
            </w:tcMar>
          </w:tcPr>
          <w:p w:rsidRPr="006F2FC4" w:rsidR="0084290D" w:rsidRDefault="00CF5B93" w14:paraId="52F9CDD1"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459BE64" w14:textId="77777777">
            <w:pPr>
              <w:pStyle w:val="p-table"/>
              <w:jc w:val="right"/>
              <w:rPr>
                <w:sz w:val="13"/>
                <w:szCs w:val="13"/>
              </w:rPr>
            </w:pPr>
            <w:r w:rsidRPr="006F2FC4">
              <w:rPr>
                <w:b/>
                <w:sz w:val="13"/>
                <w:szCs w:val="13"/>
              </w:rPr>
              <w:t>‒ 5.640.641</w:t>
            </w:r>
          </w:p>
        </w:tc>
        <w:tc>
          <w:tcPr>
            <w:tcW w:w="384" w:type="pct"/>
            <w:tcBorders>
              <w:bottom w:val="single" w:color="009EE0" w:sz="2" w:space="0"/>
            </w:tcBorders>
            <w:tcMar>
              <w:top w:w="22" w:type="dxa"/>
              <w:left w:w="28" w:type="dxa"/>
              <w:bottom w:w="22" w:type="dxa"/>
              <w:right w:w="28" w:type="dxa"/>
            </w:tcMar>
          </w:tcPr>
          <w:p w:rsidRPr="006F2FC4" w:rsidR="0084290D" w:rsidRDefault="00CF5B93" w14:paraId="11E9D8A6" w14:textId="77777777">
            <w:pPr>
              <w:pStyle w:val="p-table"/>
              <w:jc w:val="right"/>
              <w:rPr>
                <w:sz w:val="13"/>
                <w:szCs w:val="13"/>
              </w:rPr>
            </w:pPr>
            <w:r w:rsidRPr="006F2FC4">
              <w:rPr>
                <w:b/>
                <w:sz w:val="13"/>
                <w:szCs w:val="13"/>
              </w:rPr>
              <w:t>14.873.580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329155F" w14:textId="77777777">
            <w:pPr>
              <w:pStyle w:val="p-table"/>
              <w:jc w:val="right"/>
              <w:rPr>
                <w:sz w:val="13"/>
                <w:szCs w:val="13"/>
              </w:rPr>
            </w:pPr>
            <w:r w:rsidRPr="006F2FC4">
              <w:rPr>
                <w:b/>
                <w:sz w:val="13"/>
                <w:szCs w:val="13"/>
              </w:rPr>
              <w:t>9.232.939</w:t>
            </w:r>
          </w:p>
        </w:tc>
        <w:tc>
          <w:tcPr>
            <w:tcW w:w="373" w:type="pct"/>
            <w:tcBorders>
              <w:bottom w:val="single" w:color="009EE0" w:sz="2" w:space="0"/>
            </w:tcBorders>
            <w:tcMar>
              <w:top w:w="22" w:type="dxa"/>
              <w:left w:w="28" w:type="dxa"/>
              <w:bottom w:w="22" w:type="dxa"/>
              <w:right w:w="28" w:type="dxa"/>
            </w:tcMar>
          </w:tcPr>
          <w:p w:rsidRPr="006F2FC4" w:rsidR="0084290D" w:rsidRDefault="00CF5B93" w14:paraId="6A25B8C6" w14:textId="77777777">
            <w:pPr>
              <w:pStyle w:val="p-table"/>
              <w:jc w:val="right"/>
              <w:rPr>
                <w:sz w:val="13"/>
                <w:szCs w:val="13"/>
              </w:rPr>
            </w:pPr>
            <w:r w:rsidRPr="006F2FC4">
              <w:rPr>
                <w:b/>
                <w:sz w:val="13"/>
                <w:szCs w:val="13"/>
              </w:rPr>
              <w:t>37.822</w:t>
            </w:r>
          </w:p>
        </w:tc>
        <w:tc>
          <w:tcPr>
            <w:tcW w:w="373" w:type="pct"/>
            <w:tcBorders>
              <w:bottom w:val="single" w:color="009EE0" w:sz="2" w:space="0"/>
            </w:tcBorders>
            <w:tcMar>
              <w:top w:w="22" w:type="dxa"/>
              <w:left w:w="28" w:type="dxa"/>
              <w:bottom w:w="22" w:type="dxa"/>
              <w:right w:w="28" w:type="dxa"/>
            </w:tcMar>
          </w:tcPr>
          <w:p w:rsidRPr="006F2FC4" w:rsidR="0084290D" w:rsidRDefault="00CF5B93" w14:paraId="442E66E9" w14:textId="77777777">
            <w:pPr>
              <w:pStyle w:val="p-table"/>
              <w:jc w:val="right"/>
              <w:rPr>
                <w:sz w:val="13"/>
                <w:szCs w:val="13"/>
              </w:rPr>
            </w:pPr>
            <w:r w:rsidRPr="006F2FC4">
              <w:rPr>
                <w:b/>
                <w:sz w:val="13"/>
                <w:szCs w:val="13"/>
              </w:rPr>
              <w:t>28.630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32ED076" w14:textId="77777777">
            <w:pPr>
              <w:pStyle w:val="p-table"/>
              <w:jc w:val="right"/>
              <w:rPr>
                <w:sz w:val="13"/>
                <w:szCs w:val="13"/>
              </w:rPr>
            </w:pPr>
            <w:r w:rsidRPr="006F2FC4">
              <w:rPr>
                <w:b/>
                <w:sz w:val="13"/>
                <w:szCs w:val="13"/>
              </w:rPr>
              <w:t>‒ 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001435"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C14312F" w14:textId="77777777">
            <w:pPr>
              <w:pStyle w:val="p-table"/>
              <w:jc w:val="right"/>
              <w:rPr>
                <w:sz w:val="13"/>
                <w:szCs w:val="13"/>
              </w:rPr>
            </w:pPr>
            <w:r w:rsidRPr="006F2FC4">
              <w:rPr>
                <w:b/>
                <w:sz w:val="13"/>
                <w:szCs w:val="13"/>
              </w:rPr>
              <w:t>109.259</w:t>
            </w:r>
          </w:p>
        </w:tc>
      </w:tr>
      <w:tr w:rsidR="0084290D" w:rsidTr="007433BE" w14:paraId="7903AA26" w14:textId="77777777">
        <w:tc>
          <w:tcPr>
            <w:tcW w:w="1098" w:type="pct"/>
            <w:tcMar>
              <w:top w:w="22" w:type="dxa"/>
              <w:bottom w:w="22" w:type="dxa"/>
              <w:right w:w="28" w:type="dxa"/>
            </w:tcMar>
          </w:tcPr>
          <w:p w:rsidRPr="006F2FC4" w:rsidR="0084290D" w:rsidRDefault="0084290D" w14:paraId="4ACD12C9" w14:textId="77777777">
            <w:pPr>
              <w:pStyle w:val="p-table"/>
              <w:rPr>
                <w:sz w:val="13"/>
                <w:szCs w:val="13"/>
              </w:rPr>
            </w:pPr>
          </w:p>
        </w:tc>
        <w:tc>
          <w:tcPr>
            <w:tcW w:w="381" w:type="pct"/>
            <w:tcMar>
              <w:top w:w="22" w:type="dxa"/>
              <w:left w:w="28" w:type="dxa"/>
              <w:bottom w:w="22" w:type="dxa"/>
              <w:right w:w="28" w:type="dxa"/>
            </w:tcMar>
          </w:tcPr>
          <w:p w:rsidRPr="006F2FC4" w:rsidR="0084290D" w:rsidRDefault="0084290D" w14:paraId="385686FB" w14:textId="77777777">
            <w:pPr>
              <w:pStyle w:val="p-table"/>
              <w:rPr>
                <w:sz w:val="13"/>
                <w:szCs w:val="13"/>
              </w:rPr>
            </w:pPr>
          </w:p>
        </w:tc>
        <w:tc>
          <w:tcPr>
            <w:tcW w:w="424" w:type="pct"/>
            <w:tcMar>
              <w:top w:w="22" w:type="dxa"/>
              <w:left w:w="28" w:type="dxa"/>
              <w:bottom w:w="22" w:type="dxa"/>
              <w:right w:w="28" w:type="dxa"/>
            </w:tcMar>
          </w:tcPr>
          <w:p w:rsidRPr="006F2FC4" w:rsidR="0084290D" w:rsidRDefault="0084290D" w14:paraId="6A851C7B"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0FA27799" w14:textId="77777777">
            <w:pPr>
              <w:pStyle w:val="p-table"/>
              <w:rPr>
                <w:sz w:val="13"/>
                <w:szCs w:val="13"/>
              </w:rPr>
            </w:pPr>
          </w:p>
        </w:tc>
        <w:tc>
          <w:tcPr>
            <w:tcW w:w="384" w:type="pct"/>
            <w:tcMar>
              <w:top w:w="22" w:type="dxa"/>
              <w:left w:w="28" w:type="dxa"/>
              <w:bottom w:w="22" w:type="dxa"/>
              <w:right w:w="28" w:type="dxa"/>
            </w:tcMar>
          </w:tcPr>
          <w:p w:rsidRPr="006F2FC4" w:rsidR="0084290D" w:rsidRDefault="0084290D" w14:paraId="66D2E50C"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43A9ED9A"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690D0A87"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3459D83A"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75C8F43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94E0FAA"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02BBC866" w14:textId="77777777">
            <w:pPr>
              <w:pStyle w:val="p-table"/>
              <w:rPr>
                <w:sz w:val="13"/>
                <w:szCs w:val="13"/>
              </w:rPr>
            </w:pPr>
          </w:p>
        </w:tc>
      </w:tr>
      <w:tr w:rsidR="0084290D" w:rsidTr="007433BE" w14:paraId="11EF5C22" w14:textId="77777777">
        <w:tc>
          <w:tcPr>
            <w:tcW w:w="1098" w:type="pct"/>
            <w:tcBorders>
              <w:bottom w:val="single" w:color="009EE0" w:sz="2" w:space="0"/>
            </w:tcBorders>
            <w:tcMar>
              <w:top w:w="22" w:type="dxa"/>
              <w:bottom w:w="22" w:type="dxa"/>
              <w:right w:w="28" w:type="dxa"/>
            </w:tcMar>
          </w:tcPr>
          <w:p w:rsidRPr="006F2FC4" w:rsidR="0084290D" w:rsidRDefault="00CF5B93" w14:paraId="1CA35D62" w14:textId="77777777">
            <w:pPr>
              <w:pStyle w:val="p-table"/>
              <w:rPr>
                <w:sz w:val="13"/>
                <w:szCs w:val="13"/>
              </w:rPr>
            </w:pPr>
            <w:r w:rsidRPr="006F2FC4">
              <w:rPr>
                <w:b/>
                <w:sz w:val="13"/>
                <w:szCs w:val="13"/>
              </w:rPr>
              <w:t>Uitgaven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42424075" w14:textId="77777777">
            <w:pPr>
              <w:pStyle w:val="p-table"/>
              <w:jc w:val="right"/>
              <w:rPr>
                <w:sz w:val="13"/>
                <w:szCs w:val="13"/>
              </w:rPr>
            </w:pPr>
            <w:r w:rsidRPr="006F2FC4">
              <w:rPr>
                <w:b/>
                <w:sz w:val="13"/>
                <w:szCs w:val="13"/>
              </w:rPr>
              <w:t>11.689.959</w:t>
            </w:r>
          </w:p>
        </w:tc>
        <w:tc>
          <w:tcPr>
            <w:tcW w:w="424" w:type="pct"/>
            <w:tcBorders>
              <w:bottom w:val="single" w:color="009EE0" w:sz="2" w:space="0"/>
            </w:tcBorders>
            <w:tcMar>
              <w:top w:w="22" w:type="dxa"/>
              <w:left w:w="28" w:type="dxa"/>
              <w:bottom w:w="22" w:type="dxa"/>
              <w:right w:w="28" w:type="dxa"/>
            </w:tcMar>
          </w:tcPr>
          <w:p w:rsidRPr="006F2FC4" w:rsidR="0084290D" w:rsidRDefault="00CF5B93" w14:paraId="02AFA9C4"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8106ED7" w14:textId="77777777">
            <w:pPr>
              <w:pStyle w:val="p-table"/>
              <w:jc w:val="right"/>
              <w:rPr>
                <w:sz w:val="13"/>
                <w:szCs w:val="13"/>
              </w:rPr>
            </w:pPr>
            <w:r w:rsidRPr="006F2FC4">
              <w:rPr>
                <w:b/>
                <w:sz w:val="13"/>
                <w:szCs w:val="13"/>
              </w:rPr>
              <w:t>11.689.959</w:t>
            </w:r>
          </w:p>
        </w:tc>
        <w:tc>
          <w:tcPr>
            <w:tcW w:w="384" w:type="pct"/>
            <w:tcBorders>
              <w:bottom w:val="single" w:color="009EE0" w:sz="2" w:space="0"/>
            </w:tcBorders>
            <w:tcMar>
              <w:top w:w="22" w:type="dxa"/>
              <w:left w:w="28" w:type="dxa"/>
              <w:bottom w:w="22" w:type="dxa"/>
              <w:right w:w="28" w:type="dxa"/>
            </w:tcMar>
          </w:tcPr>
          <w:p w:rsidRPr="006F2FC4" w:rsidR="0084290D" w:rsidRDefault="00CF5B93" w14:paraId="1978EF26" w14:textId="77777777">
            <w:pPr>
              <w:pStyle w:val="p-table"/>
              <w:jc w:val="right"/>
              <w:rPr>
                <w:sz w:val="13"/>
                <w:szCs w:val="13"/>
              </w:rPr>
            </w:pPr>
            <w:r w:rsidRPr="006F2FC4">
              <w:rPr>
                <w:b/>
                <w:sz w:val="13"/>
                <w:szCs w:val="13"/>
              </w:rPr>
              <w:t>‒ 700</w:t>
            </w:r>
          </w:p>
        </w:tc>
        <w:tc>
          <w:tcPr>
            <w:tcW w:w="423" w:type="pct"/>
            <w:tcBorders>
              <w:bottom w:val="single" w:color="009EE0" w:sz="2" w:space="0"/>
            </w:tcBorders>
            <w:tcMar>
              <w:top w:w="22" w:type="dxa"/>
              <w:left w:w="28" w:type="dxa"/>
              <w:bottom w:w="22" w:type="dxa"/>
              <w:right w:w="28" w:type="dxa"/>
            </w:tcMar>
          </w:tcPr>
          <w:p w:rsidRPr="006F2FC4" w:rsidR="0084290D" w:rsidRDefault="00CF5B93" w14:paraId="4F7B4265" w14:textId="77777777">
            <w:pPr>
              <w:pStyle w:val="p-table"/>
              <w:jc w:val="right"/>
              <w:rPr>
                <w:sz w:val="13"/>
                <w:szCs w:val="13"/>
              </w:rPr>
            </w:pPr>
            <w:r w:rsidRPr="006F2FC4">
              <w:rPr>
                <w:b/>
                <w:sz w:val="13"/>
                <w:szCs w:val="13"/>
              </w:rPr>
              <w:t>11.689.259</w:t>
            </w:r>
          </w:p>
        </w:tc>
        <w:tc>
          <w:tcPr>
            <w:tcW w:w="373" w:type="pct"/>
            <w:tcBorders>
              <w:bottom w:val="single" w:color="009EE0" w:sz="2" w:space="0"/>
            </w:tcBorders>
            <w:tcMar>
              <w:top w:w="22" w:type="dxa"/>
              <w:left w:w="28" w:type="dxa"/>
              <w:bottom w:w="22" w:type="dxa"/>
              <w:right w:w="28" w:type="dxa"/>
            </w:tcMar>
          </w:tcPr>
          <w:p w:rsidRPr="006F2FC4" w:rsidR="0084290D" w:rsidRDefault="00CF5B93" w14:paraId="46AF025E"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2FABCA5"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823E062" w14:textId="77777777">
            <w:pPr>
              <w:pStyle w:val="p-table"/>
              <w:jc w:val="right"/>
              <w:rPr>
                <w:sz w:val="13"/>
                <w:szCs w:val="13"/>
              </w:rPr>
            </w:pPr>
            <w:r w:rsidRPr="006F2FC4">
              <w:rPr>
                <w:b/>
                <w:sz w:val="13"/>
                <w:szCs w:val="13"/>
              </w:rPr>
              <w:t>‒ 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63CC4C"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A13808" w14:textId="77777777">
            <w:pPr>
              <w:pStyle w:val="p-table"/>
              <w:jc w:val="right"/>
              <w:rPr>
                <w:sz w:val="13"/>
                <w:szCs w:val="13"/>
              </w:rPr>
            </w:pPr>
            <w:r w:rsidRPr="006F2FC4">
              <w:rPr>
                <w:b/>
                <w:sz w:val="13"/>
                <w:szCs w:val="13"/>
              </w:rPr>
              <w:t>109.259</w:t>
            </w:r>
          </w:p>
        </w:tc>
      </w:tr>
      <w:tr w:rsidR="0084290D" w:rsidTr="007433BE" w14:paraId="0C17ECDB" w14:textId="77777777">
        <w:tc>
          <w:tcPr>
            <w:tcW w:w="1098" w:type="pct"/>
            <w:tcMar>
              <w:top w:w="22" w:type="dxa"/>
              <w:bottom w:w="22" w:type="dxa"/>
              <w:right w:w="28" w:type="dxa"/>
            </w:tcMar>
          </w:tcPr>
          <w:p w:rsidRPr="006F2FC4" w:rsidR="0084290D" w:rsidRDefault="0084290D" w14:paraId="26AE33EF" w14:textId="77777777">
            <w:pPr>
              <w:pStyle w:val="p-table"/>
              <w:rPr>
                <w:sz w:val="13"/>
                <w:szCs w:val="13"/>
              </w:rPr>
            </w:pPr>
          </w:p>
        </w:tc>
        <w:tc>
          <w:tcPr>
            <w:tcW w:w="381" w:type="pct"/>
            <w:tcMar>
              <w:top w:w="22" w:type="dxa"/>
              <w:left w:w="28" w:type="dxa"/>
              <w:bottom w:w="22" w:type="dxa"/>
              <w:right w:w="28" w:type="dxa"/>
            </w:tcMar>
          </w:tcPr>
          <w:p w:rsidRPr="006F2FC4" w:rsidR="0084290D" w:rsidRDefault="0084290D" w14:paraId="040B186B" w14:textId="77777777">
            <w:pPr>
              <w:pStyle w:val="p-table"/>
              <w:rPr>
                <w:sz w:val="13"/>
                <w:szCs w:val="13"/>
              </w:rPr>
            </w:pPr>
          </w:p>
        </w:tc>
        <w:tc>
          <w:tcPr>
            <w:tcW w:w="424" w:type="pct"/>
            <w:tcMar>
              <w:top w:w="22" w:type="dxa"/>
              <w:left w:w="28" w:type="dxa"/>
              <w:bottom w:w="22" w:type="dxa"/>
              <w:right w:w="28" w:type="dxa"/>
            </w:tcMar>
          </w:tcPr>
          <w:p w:rsidRPr="006F2FC4" w:rsidR="0084290D" w:rsidRDefault="0084290D" w14:paraId="38B46403"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7B6DA832" w14:textId="77777777">
            <w:pPr>
              <w:pStyle w:val="p-table"/>
              <w:rPr>
                <w:sz w:val="13"/>
                <w:szCs w:val="13"/>
              </w:rPr>
            </w:pPr>
          </w:p>
        </w:tc>
        <w:tc>
          <w:tcPr>
            <w:tcW w:w="384" w:type="pct"/>
            <w:tcMar>
              <w:top w:w="22" w:type="dxa"/>
              <w:left w:w="28" w:type="dxa"/>
              <w:bottom w:w="22" w:type="dxa"/>
              <w:right w:w="28" w:type="dxa"/>
            </w:tcMar>
          </w:tcPr>
          <w:p w:rsidRPr="006F2FC4" w:rsidR="0084290D" w:rsidRDefault="0084290D" w14:paraId="38DA6F97"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2EF7BD36"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712293C9"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568C77AF"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65D8638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96FA5B6"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0B350545" w14:textId="77777777">
            <w:pPr>
              <w:pStyle w:val="p-table"/>
              <w:rPr>
                <w:sz w:val="13"/>
                <w:szCs w:val="13"/>
              </w:rPr>
            </w:pPr>
          </w:p>
        </w:tc>
      </w:tr>
      <w:tr w:rsidR="0084290D" w:rsidTr="007433BE" w14:paraId="1606B21D" w14:textId="77777777">
        <w:tc>
          <w:tcPr>
            <w:tcW w:w="1098" w:type="pct"/>
            <w:tcBorders>
              <w:bottom w:val="single" w:color="009EE0" w:sz="2" w:space="0"/>
            </w:tcBorders>
            <w:tcMar>
              <w:top w:w="22" w:type="dxa"/>
              <w:bottom w:w="22" w:type="dxa"/>
              <w:right w:w="28" w:type="dxa"/>
            </w:tcMar>
          </w:tcPr>
          <w:p w:rsidRPr="006F2FC4" w:rsidR="0084290D" w:rsidRDefault="00CF5B93" w14:paraId="0CE6374C" w14:textId="77777777">
            <w:pPr>
              <w:pStyle w:val="p-table"/>
              <w:rPr>
                <w:sz w:val="13"/>
                <w:szCs w:val="13"/>
              </w:rPr>
            </w:pPr>
            <w:r w:rsidRPr="006F2FC4">
              <w:rPr>
                <w:b/>
                <w:sz w:val="13"/>
                <w:szCs w:val="13"/>
              </w:rPr>
              <w:t>Garanties</w:t>
            </w:r>
          </w:p>
        </w:tc>
        <w:tc>
          <w:tcPr>
            <w:tcW w:w="381" w:type="pct"/>
            <w:tcBorders>
              <w:bottom w:val="single" w:color="009EE0" w:sz="2" w:space="0"/>
            </w:tcBorders>
            <w:tcMar>
              <w:top w:w="22" w:type="dxa"/>
              <w:left w:w="28" w:type="dxa"/>
              <w:bottom w:w="22" w:type="dxa"/>
              <w:right w:w="28" w:type="dxa"/>
            </w:tcMar>
          </w:tcPr>
          <w:p w:rsidRPr="006F2FC4" w:rsidR="0084290D" w:rsidRDefault="00CF5B93" w14:paraId="76E418C0" w14:textId="77777777">
            <w:pPr>
              <w:pStyle w:val="p-table"/>
              <w:jc w:val="right"/>
              <w:rPr>
                <w:sz w:val="13"/>
                <w:szCs w:val="13"/>
              </w:rPr>
            </w:pPr>
            <w:r w:rsidRPr="006F2FC4">
              <w:rPr>
                <w:b/>
                <w:sz w:val="13"/>
                <w:szCs w:val="13"/>
              </w:rPr>
              <w:t>20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7967C28"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325CE7E" w14:textId="77777777">
            <w:pPr>
              <w:pStyle w:val="p-table"/>
              <w:jc w:val="right"/>
              <w:rPr>
                <w:sz w:val="13"/>
                <w:szCs w:val="13"/>
              </w:rPr>
            </w:pPr>
            <w:r w:rsidRPr="006F2FC4">
              <w:rPr>
                <w:b/>
                <w:sz w:val="13"/>
                <w:szCs w:val="13"/>
              </w:rPr>
              <w:t>20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C6F87F2"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DBF3665" w14:textId="77777777">
            <w:pPr>
              <w:pStyle w:val="p-table"/>
              <w:jc w:val="right"/>
              <w:rPr>
                <w:sz w:val="13"/>
                <w:szCs w:val="13"/>
              </w:rPr>
            </w:pPr>
            <w:r w:rsidRPr="006F2FC4">
              <w:rPr>
                <w:b/>
                <w:sz w:val="13"/>
                <w:szCs w:val="13"/>
              </w:rPr>
              <w:t>20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B966E52"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5133161"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C5A3E2A"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0FA8A1"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CC4D406" w14:textId="77777777">
            <w:pPr>
              <w:pStyle w:val="p-table"/>
              <w:jc w:val="right"/>
              <w:rPr>
                <w:sz w:val="13"/>
                <w:szCs w:val="13"/>
              </w:rPr>
            </w:pPr>
            <w:r w:rsidRPr="006F2FC4">
              <w:rPr>
                <w:b/>
                <w:sz w:val="13"/>
                <w:szCs w:val="13"/>
              </w:rPr>
              <w:t>20</w:t>
            </w:r>
          </w:p>
        </w:tc>
      </w:tr>
      <w:tr w:rsidR="0084290D" w:rsidTr="007433BE" w14:paraId="56379197" w14:textId="77777777">
        <w:tc>
          <w:tcPr>
            <w:tcW w:w="1098" w:type="pct"/>
            <w:tcBorders>
              <w:bottom w:val="single" w:color="009EE0" w:sz="2" w:space="0"/>
            </w:tcBorders>
            <w:tcMar>
              <w:top w:w="22" w:type="dxa"/>
              <w:bottom w:w="22" w:type="dxa"/>
              <w:right w:w="28" w:type="dxa"/>
            </w:tcMar>
          </w:tcPr>
          <w:p w:rsidRPr="006F2FC4" w:rsidR="0084290D" w:rsidRDefault="00CF5B93" w14:paraId="19EBC466" w14:textId="77777777">
            <w:pPr>
              <w:pStyle w:val="p-table"/>
              <w:rPr>
                <w:sz w:val="13"/>
                <w:szCs w:val="13"/>
              </w:rPr>
            </w:pPr>
            <w:r w:rsidRPr="006F2FC4">
              <w:rPr>
                <w:sz w:val="13"/>
                <w:szCs w:val="13"/>
              </w:rPr>
              <w:t>Regeling Bijzondere Financieringen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4DA49EF" w14:textId="77777777">
            <w:pPr>
              <w:pStyle w:val="p-table"/>
              <w:jc w:val="right"/>
              <w:rPr>
                <w:sz w:val="13"/>
                <w:szCs w:val="13"/>
              </w:rPr>
            </w:pPr>
            <w:r w:rsidRPr="006F2FC4">
              <w:rPr>
                <w:sz w:val="13"/>
                <w:szCs w:val="13"/>
              </w:rPr>
              <w:t>20</w:t>
            </w:r>
          </w:p>
        </w:tc>
        <w:tc>
          <w:tcPr>
            <w:tcW w:w="424" w:type="pct"/>
            <w:tcBorders>
              <w:bottom w:val="single" w:color="009EE0" w:sz="2" w:space="0"/>
            </w:tcBorders>
            <w:tcMar>
              <w:top w:w="22" w:type="dxa"/>
              <w:left w:w="28" w:type="dxa"/>
              <w:bottom w:w="22" w:type="dxa"/>
              <w:right w:w="28" w:type="dxa"/>
            </w:tcMar>
          </w:tcPr>
          <w:p w:rsidRPr="006F2FC4" w:rsidR="0084290D" w:rsidRDefault="00CF5B93" w14:paraId="4553173D"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FAF4898" w14:textId="77777777">
            <w:pPr>
              <w:pStyle w:val="p-table"/>
              <w:jc w:val="right"/>
              <w:rPr>
                <w:sz w:val="13"/>
                <w:szCs w:val="13"/>
              </w:rPr>
            </w:pPr>
            <w:r w:rsidRPr="006F2FC4">
              <w:rPr>
                <w:sz w:val="13"/>
                <w:szCs w:val="13"/>
              </w:rPr>
              <w:t>20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280A2FF"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BF9D7D2" w14:textId="77777777">
            <w:pPr>
              <w:pStyle w:val="p-table"/>
              <w:jc w:val="right"/>
              <w:rPr>
                <w:sz w:val="13"/>
                <w:szCs w:val="13"/>
              </w:rPr>
            </w:pPr>
            <w:r w:rsidRPr="006F2FC4">
              <w:rPr>
                <w:sz w:val="13"/>
                <w:szCs w:val="13"/>
              </w:rPr>
              <w:t>20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AD95C3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FB2B9E2"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6921D7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82577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9636C1E" w14:textId="77777777">
            <w:pPr>
              <w:pStyle w:val="p-table"/>
              <w:jc w:val="right"/>
              <w:rPr>
                <w:sz w:val="13"/>
                <w:szCs w:val="13"/>
              </w:rPr>
            </w:pPr>
            <w:r w:rsidRPr="006F2FC4">
              <w:rPr>
                <w:sz w:val="13"/>
                <w:szCs w:val="13"/>
              </w:rPr>
              <w:t>20</w:t>
            </w:r>
          </w:p>
        </w:tc>
      </w:tr>
      <w:tr w:rsidR="0084290D" w:rsidTr="007433BE" w14:paraId="7B782F62" w14:textId="77777777">
        <w:tc>
          <w:tcPr>
            <w:tcW w:w="1098" w:type="pct"/>
            <w:tcBorders>
              <w:bottom w:val="single" w:color="009EE0" w:sz="2" w:space="0"/>
            </w:tcBorders>
            <w:tcMar>
              <w:top w:w="22" w:type="dxa"/>
              <w:bottom w:w="22" w:type="dxa"/>
              <w:right w:w="28" w:type="dxa"/>
            </w:tcMar>
          </w:tcPr>
          <w:p w:rsidRPr="006F2FC4" w:rsidR="0084290D" w:rsidRDefault="0084290D" w14:paraId="2CD92DC4"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22BD7EDD"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5AB8A2C6"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7849727F"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34BA79E8"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70E39836"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6535523"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5F613EE"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C6760B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4F6ECE1"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1FEA52D3" w14:textId="77777777">
            <w:pPr>
              <w:pStyle w:val="p-table"/>
              <w:rPr>
                <w:sz w:val="13"/>
                <w:szCs w:val="13"/>
              </w:rPr>
            </w:pPr>
          </w:p>
        </w:tc>
      </w:tr>
      <w:tr w:rsidR="0084290D" w:rsidTr="007433BE" w14:paraId="290253DB" w14:textId="77777777">
        <w:tc>
          <w:tcPr>
            <w:tcW w:w="1098" w:type="pct"/>
            <w:tcBorders>
              <w:bottom w:val="single" w:color="009EE0" w:sz="2" w:space="0"/>
            </w:tcBorders>
            <w:tcMar>
              <w:top w:w="22" w:type="dxa"/>
              <w:bottom w:w="22" w:type="dxa"/>
              <w:right w:w="28" w:type="dxa"/>
            </w:tcMar>
          </w:tcPr>
          <w:p w:rsidRPr="006F2FC4" w:rsidR="0084290D" w:rsidRDefault="00CF5B93" w14:paraId="4CBEAE6C" w14:textId="77777777">
            <w:pPr>
              <w:pStyle w:val="p-table"/>
              <w:rPr>
                <w:sz w:val="13"/>
                <w:szCs w:val="13"/>
              </w:rPr>
            </w:pPr>
            <w:r w:rsidRPr="006F2FC4">
              <w:rPr>
                <w:b/>
                <w:sz w:val="13"/>
                <w:szCs w:val="13"/>
              </w:rPr>
              <w:t>Leningen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4A364DC2" w14:textId="77777777">
            <w:pPr>
              <w:pStyle w:val="p-table"/>
              <w:jc w:val="right"/>
              <w:rPr>
                <w:sz w:val="13"/>
                <w:szCs w:val="13"/>
              </w:rPr>
            </w:pPr>
            <w:r w:rsidRPr="006F2FC4">
              <w:rPr>
                <w:b/>
                <w:sz w:val="13"/>
                <w:szCs w:val="13"/>
              </w:rPr>
              <w:t>11.000.000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051F43B"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3132C5E" w14:textId="77777777">
            <w:pPr>
              <w:pStyle w:val="p-table"/>
              <w:jc w:val="right"/>
              <w:rPr>
                <w:sz w:val="13"/>
                <w:szCs w:val="13"/>
              </w:rPr>
            </w:pPr>
            <w:r w:rsidRPr="006F2FC4">
              <w:rPr>
                <w:b/>
                <w:sz w:val="13"/>
                <w:szCs w:val="13"/>
              </w:rPr>
              <w:t>11.000.000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199B6B7"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1035689" w14:textId="77777777">
            <w:pPr>
              <w:pStyle w:val="p-table"/>
              <w:jc w:val="right"/>
              <w:rPr>
                <w:sz w:val="13"/>
                <w:szCs w:val="13"/>
              </w:rPr>
            </w:pPr>
            <w:r w:rsidRPr="006F2FC4">
              <w:rPr>
                <w:b/>
                <w:sz w:val="13"/>
                <w:szCs w:val="13"/>
              </w:rPr>
              <w:t>11.000.000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81B9E43"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9337AC"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8CB985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9F9600"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64A3C91" w14:textId="77777777">
            <w:pPr>
              <w:pStyle w:val="p-table"/>
              <w:jc w:val="right"/>
              <w:rPr>
                <w:sz w:val="13"/>
                <w:szCs w:val="13"/>
              </w:rPr>
            </w:pPr>
            <w:r w:rsidRPr="006F2FC4">
              <w:rPr>
                <w:b/>
                <w:sz w:val="13"/>
                <w:szCs w:val="13"/>
              </w:rPr>
              <w:t>0</w:t>
            </w:r>
          </w:p>
        </w:tc>
      </w:tr>
      <w:tr w:rsidR="0084290D" w:rsidTr="007433BE" w14:paraId="543CE83F" w14:textId="77777777">
        <w:tc>
          <w:tcPr>
            <w:tcW w:w="1098" w:type="pct"/>
            <w:tcBorders>
              <w:bottom w:val="single" w:color="009EE0" w:sz="2" w:space="0"/>
            </w:tcBorders>
            <w:tcMar>
              <w:top w:w="22" w:type="dxa"/>
              <w:bottom w:w="22" w:type="dxa"/>
              <w:right w:w="28" w:type="dxa"/>
            </w:tcMar>
          </w:tcPr>
          <w:p w:rsidRPr="006F2FC4" w:rsidR="0084290D" w:rsidRDefault="00CF5B93" w14:paraId="5957AF7B" w14:textId="77777777">
            <w:pPr>
              <w:pStyle w:val="p-table"/>
              <w:rPr>
                <w:sz w:val="13"/>
                <w:szCs w:val="13"/>
              </w:rPr>
            </w:pPr>
            <w:r w:rsidRPr="006F2FC4">
              <w:rPr>
                <w:sz w:val="13"/>
                <w:szCs w:val="13"/>
              </w:rPr>
              <w:t>Lening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13F3E0FF" w14:textId="77777777">
            <w:pPr>
              <w:pStyle w:val="p-table"/>
              <w:jc w:val="right"/>
              <w:rPr>
                <w:sz w:val="13"/>
                <w:szCs w:val="13"/>
              </w:rPr>
            </w:pPr>
            <w:r w:rsidRPr="006F2FC4">
              <w:rPr>
                <w:sz w:val="13"/>
                <w:szCs w:val="13"/>
              </w:rPr>
              <w:t>11.000.000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E0B4BEA"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26C091A" w14:textId="77777777">
            <w:pPr>
              <w:pStyle w:val="p-table"/>
              <w:jc w:val="right"/>
              <w:rPr>
                <w:sz w:val="13"/>
                <w:szCs w:val="13"/>
              </w:rPr>
            </w:pPr>
            <w:r w:rsidRPr="006F2FC4">
              <w:rPr>
                <w:sz w:val="13"/>
                <w:szCs w:val="13"/>
              </w:rPr>
              <w:t>11.000.000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5A61404"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F5ADB09" w14:textId="77777777">
            <w:pPr>
              <w:pStyle w:val="p-table"/>
              <w:jc w:val="right"/>
              <w:rPr>
                <w:sz w:val="13"/>
                <w:szCs w:val="13"/>
              </w:rPr>
            </w:pPr>
            <w:r w:rsidRPr="006F2FC4">
              <w:rPr>
                <w:sz w:val="13"/>
                <w:szCs w:val="13"/>
              </w:rPr>
              <w:t>11.000.000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B91AC3B"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E89239C"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E27D8C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B46AF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97763CF" w14:textId="77777777">
            <w:pPr>
              <w:pStyle w:val="p-table"/>
              <w:jc w:val="right"/>
              <w:rPr>
                <w:sz w:val="13"/>
                <w:szCs w:val="13"/>
              </w:rPr>
            </w:pPr>
            <w:r w:rsidRPr="006F2FC4">
              <w:rPr>
                <w:sz w:val="13"/>
                <w:szCs w:val="13"/>
              </w:rPr>
              <w:t>0</w:t>
            </w:r>
          </w:p>
        </w:tc>
      </w:tr>
      <w:tr w:rsidR="0084290D" w:rsidTr="007433BE" w14:paraId="1DD2527A" w14:textId="77777777">
        <w:tc>
          <w:tcPr>
            <w:tcW w:w="1098" w:type="pct"/>
            <w:tcBorders>
              <w:bottom w:val="single" w:color="009EE0" w:sz="2" w:space="0"/>
            </w:tcBorders>
            <w:tcMar>
              <w:top w:w="22" w:type="dxa"/>
              <w:bottom w:w="22" w:type="dxa"/>
              <w:right w:w="28" w:type="dxa"/>
            </w:tcMar>
          </w:tcPr>
          <w:p w:rsidRPr="006F2FC4" w:rsidR="0084290D" w:rsidRDefault="0084290D" w14:paraId="3FA68FE1"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73EA8027"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06435B12"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6109819A"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44BDD666"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41D6DEA5"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B2846BE"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032EC8F5"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34E0221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587AF76"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1162FEB6" w14:textId="77777777">
            <w:pPr>
              <w:pStyle w:val="p-table"/>
              <w:rPr>
                <w:sz w:val="13"/>
                <w:szCs w:val="13"/>
              </w:rPr>
            </w:pPr>
          </w:p>
        </w:tc>
      </w:tr>
      <w:tr w:rsidR="0084290D" w:rsidTr="007433BE" w14:paraId="41BCEAB4" w14:textId="77777777">
        <w:tc>
          <w:tcPr>
            <w:tcW w:w="1098" w:type="pct"/>
            <w:tcBorders>
              <w:bottom w:val="single" w:color="009EE0" w:sz="2" w:space="0"/>
            </w:tcBorders>
            <w:tcMar>
              <w:top w:w="22" w:type="dxa"/>
              <w:bottom w:w="22" w:type="dxa"/>
              <w:right w:w="28" w:type="dxa"/>
            </w:tcMar>
          </w:tcPr>
          <w:p w:rsidRPr="006F2FC4" w:rsidR="0084290D" w:rsidRDefault="00CF5B93" w14:paraId="28B2DB4D" w14:textId="77777777">
            <w:pPr>
              <w:pStyle w:val="p-table"/>
              <w:rPr>
                <w:sz w:val="13"/>
                <w:szCs w:val="13"/>
              </w:rPr>
            </w:pPr>
            <w:r w:rsidRPr="006F2FC4">
              <w:rPr>
                <w:b/>
                <w:sz w:val="13"/>
                <w:szCs w:val="13"/>
              </w:rPr>
              <w:t>Opdrachten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7093EFA9" w14:textId="77777777">
            <w:pPr>
              <w:pStyle w:val="p-table"/>
              <w:jc w:val="right"/>
              <w:rPr>
                <w:sz w:val="13"/>
                <w:szCs w:val="13"/>
              </w:rPr>
            </w:pPr>
            <w:r w:rsidRPr="006F2FC4">
              <w:rPr>
                <w:b/>
                <w:sz w:val="13"/>
                <w:szCs w:val="13"/>
              </w:rPr>
              <w:t>4.985</w:t>
            </w:r>
          </w:p>
        </w:tc>
        <w:tc>
          <w:tcPr>
            <w:tcW w:w="424" w:type="pct"/>
            <w:tcBorders>
              <w:bottom w:val="single" w:color="009EE0" w:sz="2" w:space="0"/>
            </w:tcBorders>
            <w:tcMar>
              <w:top w:w="22" w:type="dxa"/>
              <w:left w:w="28" w:type="dxa"/>
              <w:bottom w:w="22" w:type="dxa"/>
              <w:right w:w="28" w:type="dxa"/>
            </w:tcMar>
          </w:tcPr>
          <w:p w:rsidRPr="006F2FC4" w:rsidR="0084290D" w:rsidRDefault="00CF5B93" w14:paraId="765E2CAA"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5E462C8" w14:textId="77777777">
            <w:pPr>
              <w:pStyle w:val="p-table"/>
              <w:jc w:val="right"/>
              <w:rPr>
                <w:sz w:val="13"/>
                <w:szCs w:val="13"/>
              </w:rPr>
            </w:pPr>
            <w:r w:rsidRPr="006F2FC4">
              <w:rPr>
                <w:b/>
                <w:sz w:val="13"/>
                <w:szCs w:val="13"/>
              </w:rPr>
              <w:t>4.985</w:t>
            </w:r>
          </w:p>
        </w:tc>
        <w:tc>
          <w:tcPr>
            <w:tcW w:w="384" w:type="pct"/>
            <w:tcBorders>
              <w:bottom w:val="single" w:color="009EE0" w:sz="2" w:space="0"/>
            </w:tcBorders>
            <w:tcMar>
              <w:top w:w="22" w:type="dxa"/>
              <w:left w:w="28" w:type="dxa"/>
              <w:bottom w:w="22" w:type="dxa"/>
              <w:right w:w="28" w:type="dxa"/>
            </w:tcMar>
          </w:tcPr>
          <w:p w:rsidRPr="006F2FC4" w:rsidR="0084290D" w:rsidRDefault="00CF5B93" w14:paraId="75AE5138" w14:textId="77777777">
            <w:pPr>
              <w:pStyle w:val="p-table"/>
              <w:jc w:val="right"/>
              <w:rPr>
                <w:sz w:val="13"/>
                <w:szCs w:val="13"/>
              </w:rPr>
            </w:pPr>
            <w:r w:rsidRPr="006F2FC4">
              <w:rPr>
                <w:b/>
                <w:sz w:val="13"/>
                <w:szCs w:val="13"/>
              </w:rPr>
              <w:t>‒ 700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B6EC4E2" w14:textId="77777777">
            <w:pPr>
              <w:pStyle w:val="p-table"/>
              <w:jc w:val="right"/>
              <w:rPr>
                <w:sz w:val="13"/>
                <w:szCs w:val="13"/>
              </w:rPr>
            </w:pPr>
            <w:r w:rsidRPr="006F2FC4">
              <w:rPr>
                <w:b/>
                <w:sz w:val="13"/>
                <w:szCs w:val="13"/>
              </w:rPr>
              <w:t>4.285</w:t>
            </w:r>
          </w:p>
        </w:tc>
        <w:tc>
          <w:tcPr>
            <w:tcW w:w="373" w:type="pct"/>
            <w:tcBorders>
              <w:bottom w:val="single" w:color="009EE0" w:sz="2" w:space="0"/>
            </w:tcBorders>
            <w:tcMar>
              <w:top w:w="22" w:type="dxa"/>
              <w:left w:w="28" w:type="dxa"/>
              <w:bottom w:w="22" w:type="dxa"/>
              <w:right w:w="28" w:type="dxa"/>
            </w:tcMar>
          </w:tcPr>
          <w:p w:rsidRPr="006F2FC4" w:rsidR="0084290D" w:rsidRDefault="00CF5B93" w14:paraId="2383EF8A"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7894805"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89C94DA" w14:textId="77777777">
            <w:pPr>
              <w:pStyle w:val="p-table"/>
              <w:jc w:val="right"/>
              <w:rPr>
                <w:sz w:val="13"/>
                <w:szCs w:val="13"/>
              </w:rPr>
            </w:pPr>
            <w:r w:rsidRPr="006F2FC4">
              <w:rPr>
                <w:b/>
                <w:sz w:val="13"/>
                <w:szCs w:val="13"/>
              </w:rPr>
              <w:t>‒ 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072909"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FBE4729" w14:textId="77777777">
            <w:pPr>
              <w:pStyle w:val="p-table"/>
              <w:jc w:val="right"/>
              <w:rPr>
                <w:sz w:val="13"/>
                <w:szCs w:val="13"/>
              </w:rPr>
            </w:pPr>
            <w:r w:rsidRPr="006F2FC4">
              <w:rPr>
                <w:b/>
                <w:sz w:val="13"/>
                <w:szCs w:val="13"/>
              </w:rPr>
              <w:t>4.285</w:t>
            </w:r>
          </w:p>
        </w:tc>
      </w:tr>
      <w:tr w:rsidR="0084290D" w:rsidTr="007433BE" w14:paraId="43087A7F" w14:textId="77777777">
        <w:tc>
          <w:tcPr>
            <w:tcW w:w="1098" w:type="pct"/>
            <w:tcBorders>
              <w:bottom w:val="single" w:color="009EE0" w:sz="2" w:space="0"/>
            </w:tcBorders>
            <w:tcMar>
              <w:top w:w="22" w:type="dxa"/>
              <w:bottom w:w="22" w:type="dxa"/>
              <w:right w:w="28" w:type="dxa"/>
            </w:tcMar>
          </w:tcPr>
          <w:p w:rsidRPr="006F2FC4" w:rsidR="0084290D" w:rsidRDefault="00CF5B93" w14:paraId="0784CA25" w14:textId="77777777">
            <w:pPr>
              <w:pStyle w:val="p-table"/>
              <w:rPr>
                <w:sz w:val="13"/>
                <w:szCs w:val="13"/>
              </w:rPr>
            </w:pPr>
            <w:r w:rsidRPr="006F2FC4">
              <w:rPr>
                <w:sz w:val="13"/>
                <w:szCs w:val="13"/>
              </w:rPr>
              <w:t>Uitvoeringskosten staatsdeelnemingen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C4B9D40" w14:textId="77777777">
            <w:pPr>
              <w:pStyle w:val="p-table"/>
              <w:jc w:val="right"/>
              <w:rPr>
                <w:sz w:val="13"/>
                <w:szCs w:val="13"/>
              </w:rPr>
            </w:pPr>
            <w:r w:rsidRPr="006F2FC4">
              <w:rPr>
                <w:sz w:val="13"/>
                <w:szCs w:val="13"/>
              </w:rPr>
              <w:t>4.985</w:t>
            </w:r>
          </w:p>
        </w:tc>
        <w:tc>
          <w:tcPr>
            <w:tcW w:w="424" w:type="pct"/>
            <w:tcBorders>
              <w:bottom w:val="single" w:color="009EE0" w:sz="2" w:space="0"/>
            </w:tcBorders>
            <w:tcMar>
              <w:top w:w="22" w:type="dxa"/>
              <w:left w:w="28" w:type="dxa"/>
              <w:bottom w:w="22" w:type="dxa"/>
              <w:right w:w="28" w:type="dxa"/>
            </w:tcMar>
          </w:tcPr>
          <w:p w:rsidRPr="006F2FC4" w:rsidR="0084290D" w:rsidRDefault="00CF5B93" w14:paraId="4BDC4F61"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DDE1FBE" w14:textId="77777777">
            <w:pPr>
              <w:pStyle w:val="p-table"/>
              <w:jc w:val="right"/>
              <w:rPr>
                <w:sz w:val="13"/>
                <w:szCs w:val="13"/>
              </w:rPr>
            </w:pPr>
            <w:r w:rsidRPr="006F2FC4">
              <w:rPr>
                <w:sz w:val="13"/>
                <w:szCs w:val="13"/>
              </w:rPr>
              <w:t>4.985</w:t>
            </w:r>
          </w:p>
        </w:tc>
        <w:tc>
          <w:tcPr>
            <w:tcW w:w="384" w:type="pct"/>
            <w:tcBorders>
              <w:bottom w:val="single" w:color="009EE0" w:sz="2" w:space="0"/>
            </w:tcBorders>
            <w:tcMar>
              <w:top w:w="22" w:type="dxa"/>
              <w:left w:w="28" w:type="dxa"/>
              <w:bottom w:w="22" w:type="dxa"/>
              <w:right w:w="28" w:type="dxa"/>
            </w:tcMar>
          </w:tcPr>
          <w:p w:rsidRPr="006F2FC4" w:rsidR="0084290D" w:rsidRDefault="00CF5B93" w14:paraId="2D749E42" w14:textId="77777777">
            <w:pPr>
              <w:pStyle w:val="p-table"/>
              <w:jc w:val="right"/>
              <w:rPr>
                <w:sz w:val="13"/>
                <w:szCs w:val="13"/>
              </w:rPr>
            </w:pPr>
            <w:r w:rsidRPr="006F2FC4">
              <w:rPr>
                <w:sz w:val="13"/>
                <w:szCs w:val="13"/>
              </w:rPr>
              <w:t>‒ 700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DE80278" w14:textId="77777777">
            <w:pPr>
              <w:pStyle w:val="p-table"/>
              <w:jc w:val="right"/>
              <w:rPr>
                <w:sz w:val="13"/>
                <w:szCs w:val="13"/>
              </w:rPr>
            </w:pPr>
            <w:r w:rsidRPr="006F2FC4">
              <w:rPr>
                <w:sz w:val="13"/>
                <w:szCs w:val="13"/>
              </w:rPr>
              <w:t>4.285</w:t>
            </w:r>
          </w:p>
        </w:tc>
        <w:tc>
          <w:tcPr>
            <w:tcW w:w="373" w:type="pct"/>
            <w:tcBorders>
              <w:bottom w:val="single" w:color="009EE0" w:sz="2" w:space="0"/>
            </w:tcBorders>
            <w:tcMar>
              <w:top w:w="22" w:type="dxa"/>
              <w:left w:w="28" w:type="dxa"/>
              <w:bottom w:w="22" w:type="dxa"/>
              <w:right w:w="28" w:type="dxa"/>
            </w:tcMar>
          </w:tcPr>
          <w:p w:rsidRPr="006F2FC4" w:rsidR="0084290D" w:rsidRDefault="00CF5B93" w14:paraId="78B3B425" w14:textId="77777777">
            <w:pPr>
              <w:pStyle w:val="p-table"/>
              <w:jc w:val="right"/>
              <w:rPr>
                <w:sz w:val="13"/>
                <w:szCs w:val="13"/>
              </w:rPr>
            </w:pPr>
            <w:r w:rsidRPr="006F2FC4">
              <w:rPr>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112E7B4" w14:textId="77777777">
            <w:pPr>
              <w:pStyle w:val="p-table"/>
              <w:jc w:val="right"/>
              <w:rPr>
                <w:sz w:val="13"/>
                <w:szCs w:val="13"/>
              </w:rPr>
            </w:pPr>
            <w:r w:rsidRPr="006F2FC4">
              <w:rPr>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D4FAC65" w14:textId="77777777">
            <w:pPr>
              <w:pStyle w:val="p-table"/>
              <w:jc w:val="right"/>
              <w:rPr>
                <w:sz w:val="13"/>
                <w:szCs w:val="13"/>
              </w:rPr>
            </w:pPr>
            <w:r w:rsidRPr="006F2FC4">
              <w:rPr>
                <w:sz w:val="13"/>
                <w:szCs w:val="13"/>
              </w:rPr>
              <w:t>‒ 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4958DE3" w14:textId="77777777">
            <w:pPr>
              <w:pStyle w:val="p-table"/>
              <w:jc w:val="right"/>
              <w:rPr>
                <w:sz w:val="13"/>
                <w:szCs w:val="13"/>
              </w:rPr>
            </w:pPr>
            <w:r w:rsidRPr="006F2FC4">
              <w:rPr>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8710639" w14:textId="77777777">
            <w:pPr>
              <w:pStyle w:val="p-table"/>
              <w:jc w:val="right"/>
              <w:rPr>
                <w:sz w:val="13"/>
                <w:szCs w:val="13"/>
              </w:rPr>
            </w:pPr>
            <w:r w:rsidRPr="006F2FC4">
              <w:rPr>
                <w:sz w:val="13"/>
                <w:szCs w:val="13"/>
              </w:rPr>
              <w:t>4.285</w:t>
            </w:r>
          </w:p>
        </w:tc>
      </w:tr>
      <w:tr w:rsidR="0084290D" w:rsidTr="007433BE" w14:paraId="3049462B" w14:textId="77777777">
        <w:tc>
          <w:tcPr>
            <w:tcW w:w="1098" w:type="pct"/>
            <w:tcBorders>
              <w:bottom w:val="single" w:color="009EE0" w:sz="2" w:space="0"/>
            </w:tcBorders>
            <w:tcMar>
              <w:top w:w="22" w:type="dxa"/>
              <w:bottom w:w="22" w:type="dxa"/>
              <w:right w:w="28" w:type="dxa"/>
            </w:tcMar>
          </w:tcPr>
          <w:p w:rsidRPr="006F2FC4" w:rsidR="0084290D" w:rsidRDefault="00CF5B93" w14:paraId="3750200C" w14:textId="77777777">
            <w:pPr>
              <w:pStyle w:val="p-table"/>
              <w:rPr>
                <w:sz w:val="13"/>
                <w:szCs w:val="13"/>
              </w:rPr>
            </w:pPr>
            <w:r w:rsidRPr="006F2FC4">
              <w:rPr>
                <w:sz w:val="13"/>
                <w:szCs w:val="13"/>
              </w:rPr>
              <w:t>Opstart Invest International</w:t>
            </w:r>
          </w:p>
        </w:tc>
        <w:tc>
          <w:tcPr>
            <w:tcW w:w="381" w:type="pct"/>
            <w:tcBorders>
              <w:bottom w:val="single" w:color="009EE0" w:sz="2" w:space="0"/>
            </w:tcBorders>
            <w:tcMar>
              <w:top w:w="22" w:type="dxa"/>
              <w:left w:w="28" w:type="dxa"/>
              <w:bottom w:w="22" w:type="dxa"/>
              <w:right w:w="28" w:type="dxa"/>
            </w:tcMar>
          </w:tcPr>
          <w:p w:rsidRPr="006F2FC4" w:rsidR="0084290D" w:rsidRDefault="00CF5B93" w14:paraId="17EA31E5"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E88E74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51C398C"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6D88BA6"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C722657"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235929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C44E95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AB99E6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FFAF49"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4F46EBF" w14:textId="77777777">
            <w:pPr>
              <w:pStyle w:val="p-table"/>
              <w:jc w:val="right"/>
              <w:rPr>
                <w:sz w:val="13"/>
                <w:szCs w:val="13"/>
              </w:rPr>
            </w:pPr>
            <w:r w:rsidRPr="006F2FC4">
              <w:rPr>
                <w:sz w:val="13"/>
                <w:szCs w:val="13"/>
              </w:rPr>
              <w:t>0</w:t>
            </w:r>
          </w:p>
        </w:tc>
      </w:tr>
      <w:tr w:rsidR="0084290D" w:rsidTr="007433BE" w14:paraId="3BAF252E" w14:textId="77777777">
        <w:tc>
          <w:tcPr>
            <w:tcW w:w="1098" w:type="pct"/>
            <w:tcBorders>
              <w:bottom w:val="single" w:color="009EE0" w:sz="2" w:space="0"/>
            </w:tcBorders>
            <w:tcMar>
              <w:top w:w="22" w:type="dxa"/>
              <w:bottom w:w="22" w:type="dxa"/>
              <w:right w:w="28" w:type="dxa"/>
            </w:tcMar>
          </w:tcPr>
          <w:p w:rsidRPr="006F2FC4" w:rsidR="0084290D" w:rsidRDefault="0084290D" w14:paraId="06159C9E"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06260755"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7BF4089D"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5BFB6CD7"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578B4D0B"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16179024"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1017332"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FAD0EE5"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3D2136D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E41B32B"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79834306" w14:textId="77777777">
            <w:pPr>
              <w:pStyle w:val="p-table"/>
              <w:rPr>
                <w:sz w:val="13"/>
                <w:szCs w:val="13"/>
              </w:rPr>
            </w:pPr>
          </w:p>
        </w:tc>
      </w:tr>
      <w:tr w:rsidR="0084290D" w:rsidTr="007433BE" w14:paraId="1457B20A" w14:textId="77777777">
        <w:tc>
          <w:tcPr>
            <w:tcW w:w="1098" w:type="pct"/>
            <w:tcBorders>
              <w:bottom w:val="single" w:color="009EE0" w:sz="2" w:space="0"/>
            </w:tcBorders>
            <w:tcMar>
              <w:top w:w="22" w:type="dxa"/>
              <w:bottom w:w="22" w:type="dxa"/>
              <w:right w:w="28" w:type="dxa"/>
            </w:tcMar>
          </w:tcPr>
          <w:p w:rsidRPr="006F2FC4" w:rsidR="0084290D" w:rsidRDefault="00CF5B93" w14:paraId="4932340C" w14:textId="77777777">
            <w:pPr>
              <w:pStyle w:val="p-table"/>
              <w:rPr>
                <w:sz w:val="13"/>
                <w:szCs w:val="13"/>
              </w:rPr>
            </w:pPr>
            <w:r w:rsidRPr="006F2FC4">
              <w:rPr>
                <w:b/>
                <w:sz w:val="13"/>
                <w:szCs w:val="13"/>
              </w:rPr>
              <w:t>Vermogensverschaffing/-onttrekking</w:t>
            </w:r>
          </w:p>
        </w:tc>
        <w:tc>
          <w:tcPr>
            <w:tcW w:w="381" w:type="pct"/>
            <w:tcBorders>
              <w:bottom w:val="single" w:color="009EE0" w:sz="2" w:space="0"/>
            </w:tcBorders>
            <w:tcMar>
              <w:top w:w="22" w:type="dxa"/>
              <w:left w:w="28" w:type="dxa"/>
              <w:bottom w:w="22" w:type="dxa"/>
              <w:right w:w="28" w:type="dxa"/>
            </w:tcMar>
          </w:tcPr>
          <w:p w:rsidRPr="006F2FC4" w:rsidR="0084290D" w:rsidRDefault="00CF5B93" w14:paraId="26037E23" w14:textId="77777777">
            <w:pPr>
              <w:pStyle w:val="p-table"/>
              <w:jc w:val="right"/>
              <w:rPr>
                <w:sz w:val="13"/>
                <w:szCs w:val="13"/>
              </w:rPr>
            </w:pPr>
            <w:r w:rsidRPr="006F2FC4">
              <w:rPr>
                <w:b/>
                <w:sz w:val="13"/>
                <w:szCs w:val="13"/>
              </w:rPr>
              <w:t>680.000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F0ACD05"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C681D86" w14:textId="77777777">
            <w:pPr>
              <w:pStyle w:val="p-table"/>
              <w:jc w:val="right"/>
              <w:rPr>
                <w:sz w:val="13"/>
                <w:szCs w:val="13"/>
              </w:rPr>
            </w:pPr>
            <w:r w:rsidRPr="006F2FC4">
              <w:rPr>
                <w:b/>
                <w:sz w:val="13"/>
                <w:szCs w:val="13"/>
              </w:rPr>
              <w:t>680.000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14155F4"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28B34EE" w14:textId="77777777">
            <w:pPr>
              <w:pStyle w:val="p-table"/>
              <w:jc w:val="right"/>
              <w:rPr>
                <w:sz w:val="13"/>
                <w:szCs w:val="13"/>
              </w:rPr>
            </w:pPr>
            <w:r w:rsidRPr="006F2FC4">
              <w:rPr>
                <w:b/>
                <w:sz w:val="13"/>
                <w:szCs w:val="13"/>
              </w:rPr>
              <w:t>680.000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17A4649"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AE71E5C"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F847FF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2E3C83"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DD44B40" w14:textId="77777777">
            <w:pPr>
              <w:pStyle w:val="p-table"/>
              <w:jc w:val="right"/>
              <w:rPr>
                <w:sz w:val="13"/>
                <w:szCs w:val="13"/>
              </w:rPr>
            </w:pPr>
            <w:r w:rsidRPr="006F2FC4">
              <w:rPr>
                <w:b/>
                <w:sz w:val="13"/>
                <w:szCs w:val="13"/>
              </w:rPr>
              <w:t>100.000</w:t>
            </w:r>
          </w:p>
        </w:tc>
      </w:tr>
      <w:tr w:rsidR="0084290D" w:rsidTr="007433BE" w14:paraId="5ED73321" w14:textId="77777777">
        <w:tc>
          <w:tcPr>
            <w:tcW w:w="1098" w:type="pct"/>
            <w:tcBorders>
              <w:bottom w:val="single" w:color="009EE0" w:sz="2" w:space="0"/>
            </w:tcBorders>
            <w:tcMar>
              <w:top w:w="22" w:type="dxa"/>
              <w:bottom w:w="22" w:type="dxa"/>
              <w:right w:w="28" w:type="dxa"/>
            </w:tcMar>
          </w:tcPr>
          <w:p w:rsidRPr="006F2FC4" w:rsidR="0084290D" w:rsidRDefault="00CF5B93" w14:paraId="0355F0AB" w14:textId="77777777">
            <w:pPr>
              <w:pStyle w:val="p-table"/>
              <w:rPr>
                <w:sz w:val="13"/>
                <w:szCs w:val="13"/>
              </w:rPr>
            </w:pPr>
            <w:r w:rsidRPr="006F2FC4">
              <w:rPr>
                <w:sz w:val="13"/>
                <w:szCs w:val="13"/>
              </w:rPr>
              <w:t>Kapitaalinjectie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12FE8B18"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4A2AC952"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67A3211"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8DFA9DD"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7846E82"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E90485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035218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153265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F1735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2E3F913" w14:textId="77777777">
            <w:pPr>
              <w:pStyle w:val="p-table"/>
              <w:jc w:val="right"/>
              <w:rPr>
                <w:sz w:val="13"/>
                <w:szCs w:val="13"/>
              </w:rPr>
            </w:pPr>
            <w:r w:rsidRPr="006F2FC4">
              <w:rPr>
                <w:sz w:val="13"/>
                <w:szCs w:val="13"/>
              </w:rPr>
              <w:t>0</w:t>
            </w:r>
          </w:p>
        </w:tc>
      </w:tr>
      <w:tr w:rsidR="0084290D" w:rsidTr="007433BE" w14:paraId="3517032B" w14:textId="77777777">
        <w:tc>
          <w:tcPr>
            <w:tcW w:w="1098" w:type="pct"/>
            <w:tcBorders>
              <w:bottom w:val="single" w:color="009EE0" w:sz="2" w:space="0"/>
            </w:tcBorders>
            <w:tcMar>
              <w:top w:w="22" w:type="dxa"/>
              <w:bottom w:w="22" w:type="dxa"/>
              <w:right w:w="28" w:type="dxa"/>
            </w:tcMar>
          </w:tcPr>
          <w:p w:rsidRPr="006F2FC4" w:rsidR="0084290D" w:rsidRDefault="00CF5B93" w14:paraId="00D1620B" w14:textId="77777777">
            <w:pPr>
              <w:pStyle w:val="p-table"/>
              <w:rPr>
                <w:sz w:val="13"/>
                <w:szCs w:val="13"/>
              </w:rPr>
            </w:pPr>
            <w:r w:rsidRPr="006F2FC4">
              <w:rPr>
                <w:sz w:val="13"/>
                <w:szCs w:val="13"/>
              </w:rPr>
              <w:t>Aan-/verkoop vermogenstitels</w:t>
            </w:r>
          </w:p>
        </w:tc>
        <w:tc>
          <w:tcPr>
            <w:tcW w:w="381" w:type="pct"/>
            <w:tcBorders>
              <w:bottom w:val="single" w:color="009EE0" w:sz="2" w:space="0"/>
            </w:tcBorders>
            <w:tcMar>
              <w:top w:w="22" w:type="dxa"/>
              <w:left w:w="28" w:type="dxa"/>
              <w:bottom w:w="22" w:type="dxa"/>
              <w:right w:w="28" w:type="dxa"/>
            </w:tcMar>
          </w:tcPr>
          <w:p w:rsidRPr="006F2FC4" w:rsidR="0084290D" w:rsidRDefault="00CF5B93" w14:paraId="7BAAE66E"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6571121"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5391E71"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B51ADC3"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784147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110FD9A"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3DDF2E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4BB9E3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B0B2B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1C3F190" w14:textId="77777777">
            <w:pPr>
              <w:pStyle w:val="p-table"/>
              <w:jc w:val="right"/>
              <w:rPr>
                <w:sz w:val="13"/>
                <w:szCs w:val="13"/>
              </w:rPr>
            </w:pPr>
            <w:r w:rsidRPr="006F2FC4">
              <w:rPr>
                <w:sz w:val="13"/>
                <w:szCs w:val="13"/>
              </w:rPr>
              <w:t>0</w:t>
            </w:r>
          </w:p>
        </w:tc>
      </w:tr>
      <w:tr w:rsidR="0084290D" w:rsidTr="007433BE" w14:paraId="53CB30DF" w14:textId="77777777">
        <w:tc>
          <w:tcPr>
            <w:tcW w:w="1098" w:type="pct"/>
            <w:tcBorders>
              <w:bottom w:val="single" w:color="009EE0" w:sz="2" w:space="0"/>
            </w:tcBorders>
            <w:tcMar>
              <w:top w:w="22" w:type="dxa"/>
              <w:bottom w:w="22" w:type="dxa"/>
              <w:right w:w="28" w:type="dxa"/>
            </w:tcMar>
          </w:tcPr>
          <w:p w:rsidRPr="006F2FC4" w:rsidR="0084290D" w:rsidRDefault="00CF5B93" w14:paraId="4EE16B00" w14:textId="77777777">
            <w:pPr>
              <w:pStyle w:val="p-table"/>
              <w:rPr>
                <w:sz w:val="13"/>
                <w:szCs w:val="13"/>
              </w:rPr>
            </w:pPr>
            <w:r w:rsidRPr="006F2FC4">
              <w:rPr>
                <w:sz w:val="13"/>
                <w:szCs w:val="13"/>
              </w:rPr>
              <w:t>Afdrachten Staatsloterij</w:t>
            </w:r>
          </w:p>
        </w:tc>
        <w:tc>
          <w:tcPr>
            <w:tcW w:w="381" w:type="pct"/>
            <w:tcBorders>
              <w:bottom w:val="single" w:color="009EE0" w:sz="2" w:space="0"/>
            </w:tcBorders>
            <w:tcMar>
              <w:top w:w="22" w:type="dxa"/>
              <w:left w:w="28" w:type="dxa"/>
              <w:bottom w:w="22" w:type="dxa"/>
              <w:right w:w="28" w:type="dxa"/>
            </w:tcMar>
          </w:tcPr>
          <w:p w:rsidRPr="006F2FC4" w:rsidR="0084290D" w:rsidRDefault="00CF5B93" w14:paraId="38D2CBCC" w14:textId="77777777">
            <w:pPr>
              <w:pStyle w:val="p-table"/>
              <w:jc w:val="right"/>
              <w:rPr>
                <w:sz w:val="13"/>
                <w:szCs w:val="13"/>
              </w:rPr>
            </w:pPr>
            <w:r w:rsidRPr="006F2FC4">
              <w:rPr>
                <w:sz w:val="13"/>
                <w:szCs w:val="13"/>
              </w:rPr>
              <w:t>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9E1211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CBE0F06" w14:textId="77777777">
            <w:pPr>
              <w:pStyle w:val="p-table"/>
              <w:jc w:val="right"/>
              <w:rPr>
                <w:sz w:val="13"/>
                <w:szCs w:val="13"/>
              </w:rPr>
            </w:pPr>
            <w:r w:rsidRPr="006F2FC4">
              <w:rPr>
                <w:sz w:val="13"/>
                <w:szCs w:val="13"/>
              </w:rPr>
              <w:t>100.000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42531319"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8108F96" w14:textId="77777777">
            <w:pPr>
              <w:pStyle w:val="p-table"/>
              <w:jc w:val="right"/>
              <w:rPr>
                <w:sz w:val="13"/>
                <w:szCs w:val="13"/>
              </w:rPr>
            </w:pPr>
            <w:r w:rsidRPr="006F2FC4">
              <w:rPr>
                <w:sz w:val="13"/>
                <w:szCs w:val="13"/>
              </w:rPr>
              <w:t>100.000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E61176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DCAAC5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34195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1A464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9080596" w14:textId="77777777">
            <w:pPr>
              <w:pStyle w:val="p-table"/>
              <w:jc w:val="right"/>
              <w:rPr>
                <w:sz w:val="13"/>
                <w:szCs w:val="13"/>
              </w:rPr>
            </w:pPr>
            <w:r w:rsidRPr="006F2FC4">
              <w:rPr>
                <w:sz w:val="13"/>
                <w:szCs w:val="13"/>
              </w:rPr>
              <w:t>100.000</w:t>
            </w:r>
          </w:p>
        </w:tc>
      </w:tr>
      <w:tr w:rsidR="0084290D" w:rsidTr="007433BE" w14:paraId="089302BA" w14:textId="77777777">
        <w:tc>
          <w:tcPr>
            <w:tcW w:w="1098" w:type="pct"/>
            <w:tcBorders>
              <w:bottom w:val="single" w:color="009EE0" w:sz="2" w:space="0"/>
            </w:tcBorders>
            <w:tcMar>
              <w:top w:w="22" w:type="dxa"/>
              <w:bottom w:w="22" w:type="dxa"/>
              <w:right w:w="28" w:type="dxa"/>
            </w:tcMar>
          </w:tcPr>
          <w:p w:rsidRPr="006F2FC4" w:rsidR="0084290D" w:rsidRDefault="00CF5B93" w14:paraId="351EABA3" w14:textId="77777777">
            <w:pPr>
              <w:pStyle w:val="p-table"/>
              <w:rPr>
                <w:sz w:val="13"/>
                <w:szCs w:val="13"/>
              </w:rPr>
            </w:pPr>
            <w:r w:rsidRPr="006F2FC4">
              <w:rPr>
                <w:sz w:val="13"/>
                <w:szCs w:val="13"/>
              </w:rPr>
              <w:t>Kapitaalinjectie Invest-NL</w:t>
            </w:r>
          </w:p>
        </w:tc>
        <w:tc>
          <w:tcPr>
            <w:tcW w:w="381" w:type="pct"/>
            <w:tcBorders>
              <w:bottom w:val="single" w:color="009EE0" w:sz="2" w:space="0"/>
            </w:tcBorders>
            <w:tcMar>
              <w:top w:w="22" w:type="dxa"/>
              <w:left w:w="28" w:type="dxa"/>
              <w:bottom w:w="22" w:type="dxa"/>
              <w:right w:w="28" w:type="dxa"/>
            </w:tcMar>
          </w:tcPr>
          <w:p w:rsidRPr="006F2FC4" w:rsidR="0084290D" w:rsidRDefault="00CF5B93" w14:paraId="74AB50C5" w14:textId="77777777">
            <w:pPr>
              <w:pStyle w:val="p-table"/>
              <w:jc w:val="right"/>
              <w:rPr>
                <w:sz w:val="13"/>
                <w:szCs w:val="13"/>
              </w:rPr>
            </w:pPr>
            <w:r w:rsidRPr="006F2FC4">
              <w:rPr>
                <w:sz w:val="13"/>
                <w:szCs w:val="13"/>
              </w:rPr>
              <w:t>330.000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B469D7C"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F148B12" w14:textId="77777777">
            <w:pPr>
              <w:pStyle w:val="p-table"/>
              <w:jc w:val="right"/>
              <w:rPr>
                <w:sz w:val="13"/>
                <w:szCs w:val="13"/>
              </w:rPr>
            </w:pPr>
            <w:r w:rsidRPr="006F2FC4">
              <w:rPr>
                <w:sz w:val="13"/>
                <w:szCs w:val="13"/>
              </w:rPr>
              <w:t>330.000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227F01B"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13308FB" w14:textId="77777777">
            <w:pPr>
              <w:pStyle w:val="p-table"/>
              <w:jc w:val="right"/>
              <w:rPr>
                <w:sz w:val="13"/>
                <w:szCs w:val="13"/>
              </w:rPr>
            </w:pPr>
            <w:r w:rsidRPr="006F2FC4">
              <w:rPr>
                <w:sz w:val="13"/>
                <w:szCs w:val="13"/>
              </w:rPr>
              <w:t>330.000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DEC88D5"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64A32C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78A457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9701C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22B0CB3" w14:textId="77777777">
            <w:pPr>
              <w:pStyle w:val="p-table"/>
              <w:jc w:val="right"/>
              <w:rPr>
                <w:sz w:val="13"/>
                <w:szCs w:val="13"/>
              </w:rPr>
            </w:pPr>
            <w:r w:rsidRPr="006F2FC4">
              <w:rPr>
                <w:sz w:val="13"/>
                <w:szCs w:val="13"/>
              </w:rPr>
              <w:t>0</w:t>
            </w:r>
          </w:p>
        </w:tc>
      </w:tr>
      <w:tr w:rsidR="0084290D" w:rsidTr="007433BE" w14:paraId="555D248A" w14:textId="77777777">
        <w:tc>
          <w:tcPr>
            <w:tcW w:w="1098" w:type="pct"/>
            <w:tcBorders>
              <w:bottom w:val="single" w:color="009EE0" w:sz="2" w:space="0"/>
            </w:tcBorders>
            <w:tcMar>
              <w:top w:w="22" w:type="dxa"/>
              <w:bottom w:w="22" w:type="dxa"/>
              <w:right w:w="28" w:type="dxa"/>
            </w:tcMar>
          </w:tcPr>
          <w:p w:rsidRPr="006F2FC4" w:rsidR="0084290D" w:rsidRDefault="00CF5B93" w14:paraId="0ADC48EE" w14:textId="77777777">
            <w:pPr>
              <w:pStyle w:val="p-table"/>
              <w:rPr>
                <w:sz w:val="13"/>
                <w:szCs w:val="13"/>
              </w:rPr>
            </w:pPr>
            <w:r w:rsidRPr="006F2FC4">
              <w:rPr>
                <w:sz w:val="13"/>
                <w:szCs w:val="13"/>
              </w:rPr>
              <w:t>Kapitaalinjectie Invest International</w:t>
            </w:r>
          </w:p>
        </w:tc>
        <w:tc>
          <w:tcPr>
            <w:tcW w:w="381" w:type="pct"/>
            <w:tcBorders>
              <w:bottom w:val="single" w:color="009EE0" w:sz="2" w:space="0"/>
            </w:tcBorders>
            <w:tcMar>
              <w:top w:w="22" w:type="dxa"/>
              <w:left w:w="28" w:type="dxa"/>
              <w:bottom w:w="22" w:type="dxa"/>
              <w:right w:w="28" w:type="dxa"/>
            </w:tcMar>
          </w:tcPr>
          <w:p w:rsidRPr="006F2FC4" w:rsidR="0084290D" w:rsidRDefault="00CF5B93" w14:paraId="3FE67E25" w14:textId="77777777">
            <w:pPr>
              <w:pStyle w:val="p-table"/>
              <w:jc w:val="right"/>
              <w:rPr>
                <w:sz w:val="13"/>
                <w:szCs w:val="13"/>
              </w:rPr>
            </w:pPr>
            <w:r w:rsidRPr="006F2FC4">
              <w:rPr>
                <w:sz w:val="13"/>
                <w:szCs w:val="13"/>
              </w:rPr>
              <w:t>250.000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882275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42AE1B0" w14:textId="77777777">
            <w:pPr>
              <w:pStyle w:val="p-table"/>
              <w:jc w:val="right"/>
              <w:rPr>
                <w:sz w:val="13"/>
                <w:szCs w:val="13"/>
              </w:rPr>
            </w:pPr>
            <w:r w:rsidRPr="006F2FC4">
              <w:rPr>
                <w:sz w:val="13"/>
                <w:szCs w:val="13"/>
              </w:rPr>
              <w:t>250.000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C20C432"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013B943" w14:textId="77777777">
            <w:pPr>
              <w:pStyle w:val="p-table"/>
              <w:jc w:val="right"/>
              <w:rPr>
                <w:sz w:val="13"/>
                <w:szCs w:val="13"/>
              </w:rPr>
            </w:pPr>
            <w:r w:rsidRPr="006F2FC4">
              <w:rPr>
                <w:sz w:val="13"/>
                <w:szCs w:val="13"/>
              </w:rPr>
              <w:t>250.000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FB705F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B6DEC7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31663F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067597"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BDA00CA" w14:textId="77777777">
            <w:pPr>
              <w:pStyle w:val="p-table"/>
              <w:jc w:val="right"/>
              <w:rPr>
                <w:sz w:val="13"/>
                <w:szCs w:val="13"/>
              </w:rPr>
            </w:pPr>
            <w:r w:rsidRPr="006F2FC4">
              <w:rPr>
                <w:sz w:val="13"/>
                <w:szCs w:val="13"/>
              </w:rPr>
              <w:t>0</w:t>
            </w:r>
          </w:p>
        </w:tc>
      </w:tr>
      <w:tr w:rsidR="0084290D" w:rsidTr="007433BE" w14:paraId="69F3B689" w14:textId="77777777">
        <w:tc>
          <w:tcPr>
            <w:tcW w:w="1098" w:type="pct"/>
            <w:tcBorders>
              <w:bottom w:val="single" w:color="009EE0" w:sz="2" w:space="0"/>
            </w:tcBorders>
            <w:tcMar>
              <w:top w:w="22" w:type="dxa"/>
              <w:bottom w:w="22" w:type="dxa"/>
              <w:right w:w="28" w:type="dxa"/>
            </w:tcMar>
          </w:tcPr>
          <w:p w:rsidRPr="006F2FC4" w:rsidR="0084290D" w:rsidRDefault="00CF5B93" w14:paraId="714FB632" w14:textId="77777777">
            <w:pPr>
              <w:pStyle w:val="p-table"/>
              <w:rPr>
                <w:sz w:val="13"/>
                <w:szCs w:val="13"/>
              </w:rPr>
            </w:pPr>
            <w:r w:rsidRPr="006F2FC4">
              <w:rPr>
                <w:sz w:val="13"/>
                <w:szCs w:val="13"/>
              </w:rPr>
              <w:t>Kapitaalinjectie regionale netbeheerders</w:t>
            </w:r>
          </w:p>
        </w:tc>
        <w:tc>
          <w:tcPr>
            <w:tcW w:w="381" w:type="pct"/>
            <w:tcBorders>
              <w:bottom w:val="single" w:color="009EE0" w:sz="2" w:space="0"/>
            </w:tcBorders>
            <w:tcMar>
              <w:top w:w="22" w:type="dxa"/>
              <w:left w:w="28" w:type="dxa"/>
              <w:bottom w:w="22" w:type="dxa"/>
              <w:right w:w="28" w:type="dxa"/>
            </w:tcMar>
          </w:tcPr>
          <w:p w:rsidRPr="006F2FC4" w:rsidR="0084290D" w:rsidRDefault="00CF5B93" w14:paraId="1A0D83DE"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3889E1D"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B26766E"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0D9A4723"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2A7AFDA"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12297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1CEA4D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F95717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2EBB05"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2C99205" w14:textId="77777777">
            <w:pPr>
              <w:pStyle w:val="p-table"/>
              <w:jc w:val="right"/>
              <w:rPr>
                <w:sz w:val="13"/>
                <w:szCs w:val="13"/>
              </w:rPr>
            </w:pPr>
            <w:r w:rsidRPr="006F2FC4">
              <w:rPr>
                <w:sz w:val="13"/>
                <w:szCs w:val="13"/>
              </w:rPr>
              <w:t>0</w:t>
            </w:r>
          </w:p>
        </w:tc>
      </w:tr>
      <w:tr w:rsidR="0084290D" w:rsidTr="007433BE" w14:paraId="1C1002F5" w14:textId="77777777">
        <w:tc>
          <w:tcPr>
            <w:tcW w:w="1098" w:type="pct"/>
            <w:tcBorders>
              <w:bottom w:val="single" w:color="009EE0" w:sz="2" w:space="0"/>
            </w:tcBorders>
            <w:tcMar>
              <w:top w:w="22" w:type="dxa"/>
              <w:bottom w:w="22" w:type="dxa"/>
              <w:right w:w="28" w:type="dxa"/>
            </w:tcMar>
          </w:tcPr>
          <w:p w:rsidRPr="006F2FC4" w:rsidR="0084290D" w:rsidRDefault="0084290D" w14:paraId="45AE951D"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559B503A"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4261A0FB"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366983D8"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08F3B3F6"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084BAA94"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59DBAACF"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5B34A622"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0DD6458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035804A"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F877E95" w14:textId="77777777">
            <w:pPr>
              <w:pStyle w:val="p-table"/>
              <w:rPr>
                <w:sz w:val="13"/>
                <w:szCs w:val="13"/>
              </w:rPr>
            </w:pPr>
          </w:p>
        </w:tc>
      </w:tr>
      <w:tr w:rsidR="0084290D" w:rsidTr="007433BE" w14:paraId="2E5CC1F1" w14:textId="77777777">
        <w:tc>
          <w:tcPr>
            <w:tcW w:w="1098" w:type="pct"/>
            <w:tcBorders>
              <w:bottom w:val="single" w:color="009EE0" w:sz="2" w:space="0"/>
            </w:tcBorders>
            <w:tcMar>
              <w:top w:w="22" w:type="dxa"/>
              <w:bottom w:w="22" w:type="dxa"/>
              <w:right w:w="28" w:type="dxa"/>
            </w:tcMar>
          </w:tcPr>
          <w:p w:rsidRPr="006F2FC4" w:rsidR="0084290D" w:rsidRDefault="00CF5B93" w14:paraId="2D4E28E7" w14:textId="77777777">
            <w:pPr>
              <w:pStyle w:val="p-table"/>
              <w:rPr>
                <w:sz w:val="13"/>
                <w:szCs w:val="13"/>
              </w:rPr>
            </w:pPr>
            <w:r w:rsidRPr="006F2FC4">
              <w:rPr>
                <w:b/>
                <w:sz w:val="13"/>
                <w:szCs w:val="13"/>
              </w:rPr>
              <w:t>Bijdrage aan ZBO's/RWT's</w:t>
            </w:r>
          </w:p>
        </w:tc>
        <w:tc>
          <w:tcPr>
            <w:tcW w:w="381" w:type="pct"/>
            <w:tcBorders>
              <w:bottom w:val="single" w:color="009EE0" w:sz="2" w:space="0"/>
            </w:tcBorders>
            <w:tcMar>
              <w:top w:w="22" w:type="dxa"/>
              <w:left w:w="28" w:type="dxa"/>
              <w:bottom w:w="22" w:type="dxa"/>
              <w:right w:w="28" w:type="dxa"/>
            </w:tcMar>
          </w:tcPr>
          <w:p w:rsidRPr="006F2FC4" w:rsidR="0084290D" w:rsidRDefault="00CF5B93" w14:paraId="2A83ECBA" w14:textId="77777777">
            <w:pPr>
              <w:pStyle w:val="p-table"/>
              <w:jc w:val="right"/>
              <w:rPr>
                <w:sz w:val="13"/>
                <w:szCs w:val="13"/>
              </w:rPr>
            </w:pPr>
            <w:r w:rsidRPr="006F2FC4">
              <w:rPr>
                <w:b/>
                <w:sz w:val="13"/>
                <w:szCs w:val="13"/>
              </w:rPr>
              <w:t>4.954</w:t>
            </w:r>
          </w:p>
        </w:tc>
        <w:tc>
          <w:tcPr>
            <w:tcW w:w="424" w:type="pct"/>
            <w:tcBorders>
              <w:bottom w:val="single" w:color="009EE0" w:sz="2" w:space="0"/>
            </w:tcBorders>
            <w:tcMar>
              <w:top w:w="22" w:type="dxa"/>
              <w:left w:w="28" w:type="dxa"/>
              <w:bottom w:w="22" w:type="dxa"/>
              <w:right w:w="28" w:type="dxa"/>
            </w:tcMar>
          </w:tcPr>
          <w:p w:rsidRPr="006F2FC4" w:rsidR="0084290D" w:rsidRDefault="00CF5B93" w14:paraId="221D6800"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D2B85F7" w14:textId="77777777">
            <w:pPr>
              <w:pStyle w:val="p-table"/>
              <w:jc w:val="right"/>
              <w:rPr>
                <w:sz w:val="13"/>
                <w:szCs w:val="13"/>
              </w:rPr>
            </w:pPr>
            <w:r w:rsidRPr="006F2FC4">
              <w:rPr>
                <w:b/>
                <w:sz w:val="13"/>
                <w:szCs w:val="13"/>
              </w:rPr>
              <w:t>4.954</w:t>
            </w:r>
          </w:p>
        </w:tc>
        <w:tc>
          <w:tcPr>
            <w:tcW w:w="384" w:type="pct"/>
            <w:tcBorders>
              <w:bottom w:val="single" w:color="009EE0" w:sz="2" w:space="0"/>
            </w:tcBorders>
            <w:tcMar>
              <w:top w:w="22" w:type="dxa"/>
              <w:left w:w="28" w:type="dxa"/>
              <w:bottom w:w="22" w:type="dxa"/>
              <w:right w:w="28" w:type="dxa"/>
            </w:tcMar>
          </w:tcPr>
          <w:p w:rsidRPr="006F2FC4" w:rsidR="0084290D" w:rsidRDefault="00CF5B93" w14:paraId="69BF36E2"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7A97A5B" w14:textId="77777777">
            <w:pPr>
              <w:pStyle w:val="p-table"/>
              <w:jc w:val="right"/>
              <w:rPr>
                <w:sz w:val="13"/>
                <w:szCs w:val="13"/>
              </w:rPr>
            </w:pPr>
            <w:r w:rsidRPr="006F2FC4">
              <w:rPr>
                <w:b/>
                <w:sz w:val="13"/>
                <w:szCs w:val="13"/>
              </w:rPr>
              <w:t>4.954</w:t>
            </w:r>
          </w:p>
        </w:tc>
        <w:tc>
          <w:tcPr>
            <w:tcW w:w="373" w:type="pct"/>
            <w:tcBorders>
              <w:bottom w:val="single" w:color="009EE0" w:sz="2" w:space="0"/>
            </w:tcBorders>
            <w:tcMar>
              <w:top w:w="22" w:type="dxa"/>
              <w:left w:w="28" w:type="dxa"/>
              <w:bottom w:w="22" w:type="dxa"/>
              <w:right w:w="28" w:type="dxa"/>
            </w:tcMar>
          </w:tcPr>
          <w:p w:rsidRPr="006F2FC4" w:rsidR="0084290D" w:rsidRDefault="00CF5B93" w14:paraId="6BC7D15E"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BB7FAF5"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C2373EE"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232CBB"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B77CF69" w14:textId="77777777">
            <w:pPr>
              <w:pStyle w:val="p-table"/>
              <w:jc w:val="right"/>
              <w:rPr>
                <w:sz w:val="13"/>
                <w:szCs w:val="13"/>
              </w:rPr>
            </w:pPr>
            <w:r w:rsidRPr="006F2FC4">
              <w:rPr>
                <w:b/>
                <w:sz w:val="13"/>
                <w:szCs w:val="13"/>
              </w:rPr>
              <w:t>4.954</w:t>
            </w:r>
          </w:p>
        </w:tc>
      </w:tr>
      <w:tr w:rsidR="0084290D" w:rsidTr="007433BE" w14:paraId="5D562985" w14:textId="77777777">
        <w:tc>
          <w:tcPr>
            <w:tcW w:w="1098" w:type="pct"/>
            <w:tcBorders>
              <w:bottom w:val="single" w:color="009EE0" w:sz="2" w:space="0"/>
            </w:tcBorders>
            <w:tcMar>
              <w:top w:w="22" w:type="dxa"/>
              <w:bottom w:w="22" w:type="dxa"/>
              <w:right w:w="28" w:type="dxa"/>
            </w:tcMar>
          </w:tcPr>
          <w:p w:rsidRPr="006F2FC4" w:rsidR="0084290D" w:rsidRDefault="00CF5B93" w14:paraId="37890960" w14:textId="77777777">
            <w:pPr>
              <w:pStyle w:val="p-table"/>
              <w:rPr>
                <w:sz w:val="13"/>
                <w:szCs w:val="13"/>
              </w:rPr>
            </w:pPr>
            <w:r w:rsidRPr="006F2FC4">
              <w:rPr>
                <w:sz w:val="13"/>
                <w:szCs w:val="13"/>
              </w:rPr>
              <w:t>NLFI</w:t>
            </w:r>
          </w:p>
        </w:tc>
        <w:tc>
          <w:tcPr>
            <w:tcW w:w="381" w:type="pct"/>
            <w:tcBorders>
              <w:bottom w:val="single" w:color="009EE0" w:sz="2" w:space="0"/>
            </w:tcBorders>
            <w:tcMar>
              <w:top w:w="22" w:type="dxa"/>
              <w:left w:w="28" w:type="dxa"/>
              <w:bottom w:w="22" w:type="dxa"/>
              <w:right w:w="28" w:type="dxa"/>
            </w:tcMar>
          </w:tcPr>
          <w:p w:rsidRPr="006F2FC4" w:rsidR="0084290D" w:rsidRDefault="00CF5B93" w14:paraId="1F398503" w14:textId="77777777">
            <w:pPr>
              <w:pStyle w:val="p-table"/>
              <w:jc w:val="right"/>
              <w:rPr>
                <w:sz w:val="13"/>
                <w:szCs w:val="13"/>
              </w:rPr>
            </w:pPr>
            <w:r w:rsidRPr="006F2FC4">
              <w:rPr>
                <w:sz w:val="13"/>
                <w:szCs w:val="13"/>
              </w:rPr>
              <w:t>4.954</w:t>
            </w:r>
          </w:p>
        </w:tc>
        <w:tc>
          <w:tcPr>
            <w:tcW w:w="424" w:type="pct"/>
            <w:tcBorders>
              <w:bottom w:val="single" w:color="009EE0" w:sz="2" w:space="0"/>
            </w:tcBorders>
            <w:tcMar>
              <w:top w:w="22" w:type="dxa"/>
              <w:left w:w="28" w:type="dxa"/>
              <w:bottom w:w="22" w:type="dxa"/>
              <w:right w:w="28" w:type="dxa"/>
            </w:tcMar>
          </w:tcPr>
          <w:p w:rsidRPr="006F2FC4" w:rsidR="0084290D" w:rsidRDefault="00CF5B93" w14:paraId="7CB09575"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D62B3C0" w14:textId="77777777">
            <w:pPr>
              <w:pStyle w:val="p-table"/>
              <w:jc w:val="right"/>
              <w:rPr>
                <w:sz w:val="13"/>
                <w:szCs w:val="13"/>
              </w:rPr>
            </w:pPr>
            <w:r w:rsidRPr="006F2FC4">
              <w:rPr>
                <w:sz w:val="13"/>
                <w:szCs w:val="13"/>
              </w:rPr>
              <w:t>4.954</w:t>
            </w:r>
          </w:p>
        </w:tc>
        <w:tc>
          <w:tcPr>
            <w:tcW w:w="384" w:type="pct"/>
            <w:tcBorders>
              <w:bottom w:val="single" w:color="009EE0" w:sz="2" w:space="0"/>
            </w:tcBorders>
            <w:tcMar>
              <w:top w:w="22" w:type="dxa"/>
              <w:left w:w="28" w:type="dxa"/>
              <w:bottom w:w="22" w:type="dxa"/>
              <w:right w:w="28" w:type="dxa"/>
            </w:tcMar>
          </w:tcPr>
          <w:p w:rsidRPr="006F2FC4" w:rsidR="0084290D" w:rsidRDefault="00CF5B93" w14:paraId="6E96852B"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F7FBA35" w14:textId="77777777">
            <w:pPr>
              <w:pStyle w:val="p-table"/>
              <w:jc w:val="right"/>
              <w:rPr>
                <w:sz w:val="13"/>
                <w:szCs w:val="13"/>
              </w:rPr>
            </w:pPr>
            <w:r w:rsidRPr="006F2FC4">
              <w:rPr>
                <w:sz w:val="13"/>
                <w:szCs w:val="13"/>
              </w:rPr>
              <w:t>4.954</w:t>
            </w:r>
          </w:p>
        </w:tc>
        <w:tc>
          <w:tcPr>
            <w:tcW w:w="373" w:type="pct"/>
            <w:tcBorders>
              <w:bottom w:val="single" w:color="009EE0" w:sz="2" w:space="0"/>
            </w:tcBorders>
            <w:tcMar>
              <w:top w:w="22" w:type="dxa"/>
              <w:left w:w="28" w:type="dxa"/>
              <w:bottom w:w="22" w:type="dxa"/>
              <w:right w:w="28" w:type="dxa"/>
            </w:tcMar>
          </w:tcPr>
          <w:p w:rsidRPr="006F2FC4" w:rsidR="0084290D" w:rsidRDefault="00CF5B93" w14:paraId="02175933"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4C5BA1D"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081DA6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A49987"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5A2B066" w14:textId="77777777">
            <w:pPr>
              <w:pStyle w:val="p-table"/>
              <w:jc w:val="right"/>
              <w:rPr>
                <w:sz w:val="13"/>
                <w:szCs w:val="13"/>
              </w:rPr>
            </w:pPr>
            <w:r w:rsidRPr="006F2FC4">
              <w:rPr>
                <w:sz w:val="13"/>
                <w:szCs w:val="13"/>
              </w:rPr>
              <w:t>4.954</w:t>
            </w:r>
          </w:p>
        </w:tc>
      </w:tr>
      <w:tr w:rsidR="0084290D" w:rsidTr="007433BE" w14:paraId="6D1A1383" w14:textId="77777777">
        <w:tc>
          <w:tcPr>
            <w:tcW w:w="1098" w:type="pct"/>
            <w:tcBorders>
              <w:bottom w:val="single" w:color="009EE0" w:sz="2" w:space="0"/>
            </w:tcBorders>
            <w:tcMar>
              <w:top w:w="22" w:type="dxa"/>
              <w:bottom w:w="22" w:type="dxa"/>
              <w:right w:w="28" w:type="dxa"/>
            </w:tcMar>
          </w:tcPr>
          <w:p w:rsidRPr="006F2FC4" w:rsidR="0084290D" w:rsidRDefault="0084290D" w14:paraId="4D83C5CE"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53485EA7"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1A641F50"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0E11F018"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61348CC0"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38089F41"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3DD263F8"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B51F563"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23FBE1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26B699F"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DBFAB43" w14:textId="77777777">
            <w:pPr>
              <w:pStyle w:val="p-table"/>
              <w:rPr>
                <w:sz w:val="13"/>
                <w:szCs w:val="13"/>
              </w:rPr>
            </w:pPr>
          </w:p>
        </w:tc>
      </w:tr>
      <w:tr w:rsidR="0084290D" w:rsidTr="007433BE" w14:paraId="6C13E26E" w14:textId="77777777">
        <w:tc>
          <w:tcPr>
            <w:tcW w:w="1098" w:type="pct"/>
            <w:tcBorders>
              <w:bottom w:val="single" w:color="009EE0" w:sz="2" w:space="0"/>
            </w:tcBorders>
            <w:tcMar>
              <w:top w:w="22" w:type="dxa"/>
              <w:bottom w:w="22" w:type="dxa"/>
              <w:right w:w="28" w:type="dxa"/>
            </w:tcMar>
          </w:tcPr>
          <w:p w:rsidRPr="006F2FC4" w:rsidR="0084290D" w:rsidRDefault="00CF5B93" w14:paraId="1C6B8832" w14:textId="77777777">
            <w:pPr>
              <w:pStyle w:val="p-table"/>
              <w:rPr>
                <w:sz w:val="13"/>
                <w:szCs w:val="13"/>
              </w:rPr>
            </w:pPr>
            <w:r w:rsidRPr="006F2FC4">
              <w:rPr>
                <w:b/>
                <w:sz w:val="13"/>
                <w:szCs w:val="13"/>
              </w:rPr>
              <w:t>Ontvangsten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6454A687" w14:textId="77777777">
            <w:pPr>
              <w:pStyle w:val="p-table"/>
              <w:jc w:val="right"/>
              <w:rPr>
                <w:sz w:val="13"/>
                <w:szCs w:val="13"/>
              </w:rPr>
            </w:pPr>
            <w:r w:rsidRPr="006F2FC4">
              <w:rPr>
                <w:b/>
                <w:sz w:val="13"/>
                <w:szCs w:val="13"/>
              </w:rPr>
              <w:t>1.953.734</w:t>
            </w:r>
          </w:p>
        </w:tc>
        <w:tc>
          <w:tcPr>
            <w:tcW w:w="424" w:type="pct"/>
            <w:tcBorders>
              <w:bottom w:val="single" w:color="009EE0" w:sz="2" w:space="0"/>
            </w:tcBorders>
            <w:tcMar>
              <w:top w:w="22" w:type="dxa"/>
              <w:left w:w="28" w:type="dxa"/>
              <w:bottom w:w="22" w:type="dxa"/>
              <w:right w:w="28" w:type="dxa"/>
            </w:tcMar>
          </w:tcPr>
          <w:p w:rsidRPr="006F2FC4" w:rsidR="0084290D" w:rsidRDefault="00CF5B93" w14:paraId="1E856402"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E5A67D4" w14:textId="77777777">
            <w:pPr>
              <w:pStyle w:val="p-table"/>
              <w:jc w:val="right"/>
              <w:rPr>
                <w:sz w:val="13"/>
                <w:szCs w:val="13"/>
              </w:rPr>
            </w:pPr>
            <w:r w:rsidRPr="006F2FC4">
              <w:rPr>
                <w:b/>
                <w:sz w:val="13"/>
                <w:szCs w:val="13"/>
              </w:rPr>
              <w:t>1.953.734</w:t>
            </w:r>
          </w:p>
        </w:tc>
        <w:tc>
          <w:tcPr>
            <w:tcW w:w="384" w:type="pct"/>
            <w:tcBorders>
              <w:bottom w:val="single" w:color="009EE0" w:sz="2" w:space="0"/>
            </w:tcBorders>
            <w:tcMar>
              <w:top w:w="22" w:type="dxa"/>
              <w:left w:w="28" w:type="dxa"/>
              <w:bottom w:w="22" w:type="dxa"/>
              <w:right w:w="28" w:type="dxa"/>
            </w:tcMar>
          </w:tcPr>
          <w:p w:rsidRPr="006F2FC4" w:rsidR="0084290D" w:rsidRDefault="00CF5B93" w14:paraId="6D4E3EAD" w14:textId="77777777">
            <w:pPr>
              <w:pStyle w:val="p-table"/>
              <w:jc w:val="right"/>
              <w:rPr>
                <w:sz w:val="13"/>
                <w:szCs w:val="13"/>
              </w:rPr>
            </w:pPr>
            <w:r w:rsidRPr="006F2FC4">
              <w:rPr>
                <w:b/>
                <w:sz w:val="13"/>
                <w:szCs w:val="13"/>
              </w:rPr>
              <w:t>3.407.490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DC76D0E" w14:textId="77777777">
            <w:pPr>
              <w:pStyle w:val="p-table"/>
              <w:jc w:val="right"/>
              <w:rPr>
                <w:sz w:val="13"/>
                <w:szCs w:val="13"/>
              </w:rPr>
            </w:pPr>
            <w:r w:rsidRPr="006F2FC4">
              <w:rPr>
                <w:b/>
                <w:sz w:val="13"/>
                <w:szCs w:val="13"/>
              </w:rPr>
              <w:t>5.361.224</w:t>
            </w:r>
          </w:p>
        </w:tc>
        <w:tc>
          <w:tcPr>
            <w:tcW w:w="373" w:type="pct"/>
            <w:tcBorders>
              <w:bottom w:val="single" w:color="009EE0" w:sz="2" w:space="0"/>
            </w:tcBorders>
            <w:tcMar>
              <w:top w:w="22" w:type="dxa"/>
              <w:left w:w="28" w:type="dxa"/>
              <w:bottom w:w="22" w:type="dxa"/>
              <w:right w:w="28" w:type="dxa"/>
            </w:tcMar>
          </w:tcPr>
          <w:p w:rsidRPr="006F2FC4" w:rsidR="0084290D" w:rsidRDefault="00CF5B93" w14:paraId="16AF95D1" w14:textId="77777777">
            <w:pPr>
              <w:pStyle w:val="p-table"/>
              <w:jc w:val="right"/>
              <w:rPr>
                <w:sz w:val="13"/>
                <w:szCs w:val="13"/>
              </w:rPr>
            </w:pPr>
            <w:r w:rsidRPr="006F2FC4">
              <w:rPr>
                <w:b/>
                <w:sz w:val="13"/>
                <w:szCs w:val="13"/>
              </w:rPr>
              <w:t>‒ 204.017</w:t>
            </w:r>
          </w:p>
        </w:tc>
        <w:tc>
          <w:tcPr>
            <w:tcW w:w="373" w:type="pct"/>
            <w:tcBorders>
              <w:bottom w:val="single" w:color="009EE0" w:sz="2" w:space="0"/>
            </w:tcBorders>
            <w:tcMar>
              <w:top w:w="22" w:type="dxa"/>
              <w:left w:w="28" w:type="dxa"/>
              <w:bottom w:w="22" w:type="dxa"/>
              <w:right w:w="28" w:type="dxa"/>
            </w:tcMar>
          </w:tcPr>
          <w:p w:rsidRPr="006F2FC4" w:rsidR="0084290D" w:rsidRDefault="00CF5B93" w14:paraId="691343C5" w14:textId="77777777">
            <w:pPr>
              <w:pStyle w:val="p-table"/>
              <w:jc w:val="right"/>
              <w:rPr>
                <w:sz w:val="13"/>
                <w:szCs w:val="13"/>
              </w:rPr>
            </w:pPr>
            <w:r w:rsidRPr="006F2FC4">
              <w:rPr>
                <w:b/>
                <w:sz w:val="13"/>
                <w:szCs w:val="13"/>
              </w:rPr>
              <w:t>‒ 182.697</w:t>
            </w:r>
          </w:p>
        </w:tc>
        <w:tc>
          <w:tcPr>
            <w:tcW w:w="373" w:type="pct"/>
            <w:tcBorders>
              <w:bottom w:val="single" w:color="009EE0" w:sz="2" w:space="0"/>
            </w:tcBorders>
            <w:tcMar>
              <w:top w:w="22" w:type="dxa"/>
              <w:left w:w="28" w:type="dxa"/>
              <w:bottom w:w="22" w:type="dxa"/>
              <w:right w:w="28" w:type="dxa"/>
            </w:tcMar>
          </w:tcPr>
          <w:p w:rsidRPr="006F2FC4" w:rsidR="0084290D" w:rsidRDefault="00CF5B93" w14:paraId="231BDC65" w14:textId="77777777">
            <w:pPr>
              <w:pStyle w:val="p-table"/>
              <w:jc w:val="right"/>
              <w:rPr>
                <w:sz w:val="13"/>
                <w:szCs w:val="13"/>
              </w:rPr>
            </w:pPr>
            <w:r w:rsidRPr="006F2FC4">
              <w:rPr>
                <w:b/>
                <w:sz w:val="13"/>
                <w:szCs w:val="13"/>
              </w:rPr>
              <w:t>1.275.064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E2E3E2" w14:textId="77777777">
            <w:pPr>
              <w:pStyle w:val="p-table"/>
              <w:jc w:val="right"/>
              <w:rPr>
                <w:sz w:val="13"/>
                <w:szCs w:val="13"/>
              </w:rPr>
            </w:pPr>
            <w:r w:rsidRPr="006F2FC4">
              <w:rPr>
                <w:b/>
                <w:sz w:val="13"/>
                <w:szCs w:val="13"/>
              </w:rPr>
              <w:t>‒ 244.986</w:t>
            </w:r>
          </w:p>
        </w:tc>
        <w:tc>
          <w:tcPr>
            <w:tcW w:w="373" w:type="pct"/>
            <w:tcBorders>
              <w:bottom w:val="single" w:color="009EE0" w:sz="2" w:space="0"/>
            </w:tcBorders>
            <w:tcMar>
              <w:top w:w="22" w:type="dxa"/>
              <w:left w:w="28" w:type="dxa"/>
              <w:bottom w:w="22" w:type="dxa"/>
              <w:right w:w="28" w:type="dxa"/>
            </w:tcMar>
          </w:tcPr>
          <w:p w:rsidRPr="006F2FC4" w:rsidR="0084290D" w:rsidRDefault="00CF5B93" w14:paraId="614D4318" w14:textId="77777777">
            <w:pPr>
              <w:pStyle w:val="p-table"/>
              <w:jc w:val="right"/>
              <w:rPr>
                <w:sz w:val="13"/>
                <w:szCs w:val="13"/>
              </w:rPr>
            </w:pPr>
            <w:r w:rsidRPr="006F2FC4">
              <w:rPr>
                <w:b/>
                <w:sz w:val="13"/>
                <w:szCs w:val="13"/>
              </w:rPr>
              <w:t>2.269.391</w:t>
            </w:r>
          </w:p>
        </w:tc>
      </w:tr>
      <w:tr w:rsidR="0084290D" w:rsidTr="007433BE" w14:paraId="2D33C05F" w14:textId="77777777">
        <w:tc>
          <w:tcPr>
            <w:tcW w:w="1098" w:type="pct"/>
            <w:tcMar>
              <w:top w:w="22" w:type="dxa"/>
              <w:bottom w:w="22" w:type="dxa"/>
              <w:right w:w="28" w:type="dxa"/>
            </w:tcMar>
          </w:tcPr>
          <w:p w:rsidRPr="006F2FC4" w:rsidR="0084290D" w:rsidRDefault="0084290D" w14:paraId="51E299AF" w14:textId="77777777">
            <w:pPr>
              <w:pStyle w:val="p-table"/>
              <w:rPr>
                <w:sz w:val="13"/>
                <w:szCs w:val="13"/>
              </w:rPr>
            </w:pPr>
          </w:p>
        </w:tc>
        <w:tc>
          <w:tcPr>
            <w:tcW w:w="381" w:type="pct"/>
            <w:tcMar>
              <w:top w:w="22" w:type="dxa"/>
              <w:left w:w="28" w:type="dxa"/>
              <w:bottom w:w="22" w:type="dxa"/>
              <w:right w:w="28" w:type="dxa"/>
            </w:tcMar>
          </w:tcPr>
          <w:p w:rsidRPr="006F2FC4" w:rsidR="0084290D" w:rsidRDefault="0084290D" w14:paraId="7D2EB4FF" w14:textId="77777777">
            <w:pPr>
              <w:pStyle w:val="p-table"/>
              <w:rPr>
                <w:sz w:val="13"/>
                <w:szCs w:val="13"/>
              </w:rPr>
            </w:pPr>
          </w:p>
        </w:tc>
        <w:tc>
          <w:tcPr>
            <w:tcW w:w="424" w:type="pct"/>
            <w:tcMar>
              <w:top w:w="22" w:type="dxa"/>
              <w:left w:w="28" w:type="dxa"/>
              <w:bottom w:w="22" w:type="dxa"/>
              <w:right w:w="28" w:type="dxa"/>
            </w:tcMar>
          </w:tcPr>
          <w:p w:rsidRPr="006F2FC4" w:rsidR="0084290D" w:rsidRDefault="0084290D" w14:paraId="03E2A675"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291887E2" w14:textId="77777777">
            <w:pPr>
              <w:pStyle w:val="p-table"/>
              <w:rPr>
                <w:sz w:val="13"/>
                <w:szCs w:val="13"/>
              </w:rPr>
            </w:pPr>
          </w:p>
        </w:tc>
        <w:tc>
          <w:tcPr>
            <w:tcW w:w="384" w:type="pct"/>
            <w:tcMar>
              <w:top w:w="22" w:type="dxa"/>
              <w:left w:w="28" w:type="dxa"/>
              <w:bottom w:w="22" w:type="dxa"/>
              <w:right w:w="28" w:type="dxa"/>
            </w:tcMar>
          </w:tcPr>
          <w:p w:rsidRPr="006F2FC4" w:rsidR="0084290D" w:rsidRDefault="0084290D" w14:paraId="2D21B77A"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01889D03"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70FC3FD3"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1829634A"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06D2C09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E33F963"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0AF32735" w14:textId="77777777">
            <w:pPr>
              <w:pStyle w:val="p-table"/>
              <w:rPr>
                <w:sz w:val="13"/>
                <w:szCs w:val="13"/>
              </w:rPr>
            </w:pPr>
          </w:p>
        </w:tc>
      </w:tr>
      <w:tr w:rsidR="0084290D" w:rsidTr="007433BE" w14:paraId="29FE5073" w14:textId="77777777">
        <w:tc>
          <w:tcPr>
            <w:tcW w:w="1098" w:type="pct"/>
            <w:tcBorders>
              <w:bottom w:val="single" w:color="009EE0" w:sz="2" w:space="0"/>
            </w:tcBorders>
            <w:tcMar>
              <w:top w:w="22" w:type="dxa"/>
              <w:bottom w:w="22" w:type="dxa"/>
              <w:right w:w="28" w:type="dxa"/>
            </w:tcMar>
          </w:tcPr>
          <w:p w:rsidRPr="006F2FC4" w:rsidR="0084290D" w:rsidRDefault="00CF5B93" w14:paraId="3567C51E" w14:textId="77777777">
            <w:pPr>
              <w:pStyle w:val="p-table"/>
              <w:rPr>
                <w:sz w:val="13"/>
                <w:szCs w:val="13"/>
              </w:rPr>
            </w:pPr>
            <w:r w:rsidRPr="006F2FC4">
              <w:rPr>
                <w:b/>
                <w:sz w:val="13"/>
                <w:szCs w:val="13"/>
              </w:rPr>
              <w:t>Garanties</w:t>
            </w:r>
          </w:p>
        </w:tc>
        <w:tc>
          <w:tcPr>
            <w:tcW w:w="381" w:type="pct"/>
            <w:tcBorders>
              <w:bottom w:val="single" w:color="009EE0" w:sz="2" w:space="0"/>
            </w:tcBorders>
            <w:tcMar>
              <w:top w:w="22" w:type="dxa"/>
              <w:left w:w="28" w:type="dxa"/>
              <w:bottom w:w="22" w:type="dxa"/>
              <w:right w:w="28" w:type="dxa"/>
            </w:tcMar>
          </w:tcPr>
          <w:p w:rsidRPr="006F2FC4" w:rsidR="0084290D" w:rsidRDefault="00CF5B93" w14:paraId="6901EA1C" w14:textId="77777777">
            <w:pPr>
              <w:pStyle w:val="p-table"/>
              <w:jc w:val="right"/>
              <w:rPr>
                <w:sz w:val="13"/>
                <w:szCs w:val="13"/>
              </w:rPr>
            </w:pPr>
            <w:r w:rsidRPr="006F2FC4">
              <w:rPr>
                <w:b/>
                <w:sz w:val="13"/>
                <w:szCs w:val="13"/>
              </w:rPr>
              <w:t>34.000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97F28B0"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E48ACB8" w14:textId="77777777">
            <w:pPr>
              <w:pStyle w:val="p-table"/>
              <w:jc w:val="right"/>
              <w:rPr>
                <w:sz w:val="13"/>
                <w:szCs w:val="13"/>
              </w:rPr>
            </w:pPr>
            <w:r w:rsidRPr="006F2FC4">
              <w:rPr>
                <w:b/>
                <w:sz w:val="13"/>
                <w:szCs w:val="13"/>
              </w:rPr>
              <w:t>34.000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517054D" w14:textId="77777777">
            <w:pPr>
              <w:pStyle w:val="p-table"/>
              <w:jc w:val="right"/>
              <w:rPr>
                <w:sz w:val="13"/>
                <w:szCs w:val="13"/>
              </w:rPr>
            </w:pPr>
            <w:r w:rsidRPr="006F2FC4">
              <w:rPr>
                <w:b/>
                <w:sz w:val="13"/>
                <w:szCs w:val="13"/>
              </w:rPr>
              <w:t>‒ 20.047</w:t>
            </w:r>
          </w:p>
        </w:tc>
        <w:tc>
          <w:tcPr>
            <w:tcW w:w="423" w:type="pct"/>
            <w:tcBorders>
              <w:bottom w:val="single" w:color="009EE0" w:sz="2" w:space="0"/>
            </w:tcBorders>
            <w:tcMar>
              <w:top w:w="22" w:type="dxa"/>
              <w:left w:w="28" w:type="dxa"/>
              <w:bottom w:w="22" w:type="dxa"/>
              <w:right w:w="28" w:type="dxa"/>
            </w:tcMar>
          </w:tcPr>
          <w:p w:rsidRPr="006F2FC4" w:rsidR="0084290D" w:rsidRDefault="00CF5B93" w14:paraId="0F3361EC" w14:textId="77777777">
            <w:pPr>
              <w:pStyle w:val="p-table"/>
              <w:jc w:val="right"/>
              <w:rPr>
                <w:sz w:val="13"/>
                <w:szCs w:val="13"/>
              </w:rPr>
            </w:pPr>
            <w:r w:rsidRPr="006F2FC4">
              <w:rPr>
                <w:b/>
                <w:sz w:val="13"/>
                <w:szCs w:val="13"/>
              </w:rPr>
              <w:t>13.953</w:t>
            </w:r>
          </w:p>
        </w:tc>
        <w:tc>
          <w:tcPr>
            <w:tcW w:w="373" w:type="pct"/>
            <w:tcBorders>
              <w:bottom w:val="single" w:color="009EE0" w:sz="2" w:space="0"/>
            </w:tcBorders>
            <w:tcMar>
              <w:top w:w="22" w:type="dxa"/>
              <w:left w:w="28" w:type="dxa"/>
              <w:bottom w:w="22" w:type="dxa"/>
              <w:right w:w="28" w:type="dxa"/>
            </w:tcMar>
          </w:tcPr>
          <w:p w:rsidRPr="006F2FC4" w:rsidR="0084290D" w:rsidRDefault="00CF5B93" w14:paraId="41405375" w14:textId="77777777">
            <w:pPr>
              <w:pStyle w:val="p-table"/>
              <w:jc w:val="right"/>
              <w:rPr>
                <w:sz w:val="13"/>
                <w:szCs w:val="13"/>
              </w:rPr>
            </w:pPr>
            <w:r w:rsidRPr="006F2FC4">
              <w:rPr>
                <w:b/>
                <w:sz w:val="13"/>
                <w:szCs w:val="13"/>
              </w:rPr>
              <w:t>‒ 36.693</w:t>
            </w:r>
          </w:p>
        </w:tc>
        <w:tc>
          <w:tcPr>
            <w:tcW w:w="373" w:type="pct"/>
            <w:tcBorders>
              <w:bottom w:val="single" w:color="009EE0" w:sz="2" w:space="0"/>
            </w:tcBorders>
            <w:tcMar>
              <w:top w:w="22" w:type="dxa"/>
              <w:left w:w="28" w:type="dxa"/>
              <w:bottom w:w="22" w:type="dxa"/>
              <w:right w:w="28" w:type="dxa"/>
            </w:tcMar>
          </w:tcPr>
          <w:p w:rsidRPr="006F2FC4" w:rsidR="0084290D" w:rsidRDefault="00CF5B93" w14:paraId="5BCE763C" w14:textId="77777777">
            <w:pPr>
              <w:pStyle w:val="p-table"/>
              <w:jc w:val="right"/>
              <w:rPr>
                <w:sz w:val="13"/>
                <w:szCs w:val="13"/>
              </w:rPr>
            </w:pPr>
            <w:r w:rsidRPr="006F2FC4">
              <w:rPr>
                <w:b/>
                <w:sz w:val="13"/>
                <w:szCs w:val="13"/>
              </w:rPr>
              <w:t>‒ 51.699</w:t>
            </w:r>
          </w:p>
        </w:tc>
        <w:tc>
          <w:tcPr>
            <w:tcW w:w="373" w:type="pct"/>
            <w:tcBorders>
              <w:bottom w:val="single" w:color="009EE0" w:sz="2" w:space="0"/>
            </w:tcBorders>
            <w:tcMar>
              <w:top w:w="22" w:type="dxa"/>
              <w:left w:w="28" w:type="dxa"/>
              <w:bottom w:w="22" w:type="dxa"/>
              <w:right w:w="28" w:type="dxa"/>
            </w:tcMar>
          </w:tcPr>
          <w:p w:rsidRPr="006F2FC4" w:rsidR="0084290D" w:rsidRDefault="00CF5B93" w14:paraId="1A9AC79F" w14:textId="77777777">
            <w:pPr>
              <w:pStyle w:val="p-table"/>
              <w:jc w:val="right"/>
              <w:rPr>
                <w:sz w:val="13"/>
                <w:szCs w:val="13"/>
              </w:rPr>
            </w:pPr>
            <w:r w:rsidRPr="006F2FC4">
              <w:rPr>
                <w:b/>
                <w:sz w:val="13"/>
                <w:szCs w:val="13"/>
              </w:rPr>
              <w:t>‒ 68.938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E8E0D9" w14:textId="77777777">
            <w:pPr>
              <w:pStyle w:val="p-table"/>
              <w:jc w:val="right"/>
              <w:rPr>
                <w:sz w:val="13"/>
                <w:szCs w:val="13"/>
              </w:rPr>
            </w:pPr>
            <w:r w:rsidRPr="006F2FC4">
              <w:rPr>
                <w:b/>
                <w:sz w:val="13"/>
                <w:szCs w:val="13"/>
              </w:rPr>
              <w:t>‒ 78.988</w:t>
            </w:r>
          </w:p>
        </w:tc>
        <w:tc>
          <w:tcPr>
            <w:tcW w:w="373" w:type="pct"/>
            <w:tcBorders>
              <w:bottom w:val="single" w:color="009EE0" w:sz="2" w:space="0"/>
            </w:tcBorders>
            <w:tcMar>
              <w:top w:w="22" w:type="dxa"/>
              <w:left w:w="28" w:type="dxa"/>
              <w:bottom w:w="22" w:type="dxa"/>
              <w:right w:w="28" w:type="dxa"/>
            </w:tcMar>
          </w:tcPr>
          <w:p w:rsidRPr="006F2FC4" w:rsidR="0084290D" w:rsidRDefault="00CF5B93" w14:paraId="0706C69E" w14:textId="77777777">
            <w:pPr>
              <w:pStyle w:val="p-table"/>
              <w:jc w:val="right"/>
              <w:rPr>
                <w:sz w:val="13"/>
                <w:szCs w:val="13"/>
              </w:rPr>
            </w:pPr>
            <w:r w:rsidRPr="006F2FC4">
              <w:rPr>
                <w:b/>
                <w:sz w:val="13"/>
                <w:szCs w:val="13"/>
              </w:rPr>
              <w:t>125.177</w:t>
            </w:r>
          </w:p>
        </w:tc>
      </w:tr>
      <w:tr w:rsidR="0084290D" w:rsidTr="007433BE" w14:paraId="4C3C816D" w14:textId="77777777">
        <w:tc>
          <w:tcPr>
            <w:tcW w:w="1098" w:type="pct"/>
            <w:tcBorders>
              <w:bottom w:val="single" w:color="009EE0" w:sz="2" w:space="0"/>
            </w:tcBorders>
            <w:tcMar>
              <w:top w:w="22" w:type="dxa"/>
              <w:bottom w:w="22" w:type="dxa"/>
              <w:right w:w="28" w:type="dxa"/>
            </w:tcMar>
          </w:tcPr>
          <w:p w:rsidRPr="006F2FC4" w:rsidR="0084290D" w:rsidRDefault="00CF5B93" w14:paraId="1C611655" w14:textId="77777777">
            <w:pPr>
              <w:pStyle w:val="p-table"/>
              <w:rPr>
                <w:sz w:val="13"/>
                <w:szCs w:val="13"/>
              </w:rPr>
            </w:pPr>
            <w:r w:rsidRPr="006F2FC4">
              <w:rPr>
                <w:sz w:val="13"/>
                <w:szCs w:val="13"/>
              </w:rPr>
              <w:t>Premieontvangsten garantie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53A28A74" w14:textId="77777777">
            <w:pPr>
              <w:pStyle w:val="p-table"/>
              <w:jc w:val="right"/>
              <w:rPr>
                <w:sz w:val="13"/>
                <w:szCs w:val="13"/>
              </w:rPr>
            </w:pPr>
            <w:r w:rsidRPr="006F2FC4">
              <w:rPr>
                <w:sz w:val="13"/>
                <w:szCs w:val="13"/>
              </w:rPr>
              <w:t>33.000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DA65A3C"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1E07E53" w14:textId="77777777">
            <w:pPr>
              <w:pStyle w:val="p-table"/>
              <w:jc w:val="right"/>
              <w:rPr>
                <w:sz w:val="13"/>
                <w:szCs w:val="13"/>
              </w:rPr>
            </w:pPr>
            <w:r w:rsidRPr="006F2FC4">
              <w:rPr>
                <w:sz w:val="13"/>
                <w:szCs w:val="13"/>
              </w:rPr>
              <w:t>33.000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C5AF76A" w14:textId="77777777">
            <w:pPr>
              <w:pStyle w:val="p-table"/>
              <w:jc w:val="right"/>
              <w:rPr>
                <w:sz w:val="13"/>
                <w:szCs w:val="13"/>
              </w:rPr>
            </w:pPr>
            <w:r w:rsidRPr="006F2FC4">
              <w:rPr>
                <w:sz w:val="13"/>
                <w:szCs w:val="13"/>
              </w:rPr>
              <w:t>‒ 20.047</w:t>
            </w:r>
          </w:p>
        </w:tc>
        <w:tc>
          <w:tcPr>
            <w:tcW w:w="423" w:type="pct"/>
            <w:tcBorders>
              <w:bottom w:val="single" w:color="009EE0" w:sz="2" w:space="0"/>
            </w:tcBorders>
            <w:tcMar>
              <w:top w:w="22" w:type="dxa"/>
              <w:left w:w="28" w:type="dxa"/>
              <w:bottom w:w="22" w:type="dxa"/>
              <w:right w:w="28" w:type="dxa"/>
            </w:tcMar>
          </w:tcPr>
          <w:p w:rsidRPr="006F2FC4" w:rsidR="0084290D" w:rsidRDefault="00CF5B93" w14:paraId="78D27F5C" w14:textId="77777777">
            <w:pPr>
              <w:pStyle w:val="p-table"/>
              <w:jc w:val="right"/>
              <w:rPr>
                <w:sz w:val="13"/>
                <w:szCs w:val="13"/>
              </w:rPr>
            </w:pPr>
            <w:r w:rsidRPr="006F2FC4">
              <w:rPr>
                <w:sz w:val="13"/>
                <w:szCs w:val="13"/>
              </w:rPr>
              <w:t>12.953</w:t>
            </w:r>
          </w:p>
        </w:tc>
        <w:tc>
          <w:tcPr>
            <w:tcW w:w="373" w:type="pct"/>
            <w:tcBorders>
              <w:bottom w:val="single" w:color="009EE0" w:sz="2" w:space="0"/>
            </w:tcBorders>
            <w:tcMar>
              <w:top w:w="22" w:type="dxa"/>
              <w:left w:w="28" w:type="dxa"/>
              <w:bottom w:w="22" w:type="dxa"/>
              <w:right w:w="28" w:type="dxa"/>
            </w:tcMar>
          </w:tcPr>
          <w:p w:rsidRPr="006F2FC4" w:rsidR="0084290D" w:rsidRDefault="00CF5B93" w14:paraId="3E6CF551" w14:textId="77777777">
            <w:pPr>
              <w:pStyle w:val="p-table"/>
              <w:jc w:val="right"/>
              <w:rPr>
                <w:sz w:val="13"/>
                <w:szCs w:val="13"/>
              </w:rPr>
            </w:pPr>
            <w:r w:rsidRPr="006F2FC4">
              <w:rPr>
                <w:sz w:val="13"/>
                <w:szCs w:val="13"/>
              </w:rPr>
              <w:t>‒ 36.693</w:t>
            </w:r>
          </w:p>
        </w:tc>
        <w:tc>
          <w:tcPr>
            <w:tcW w:w="373" w:type="pct"/>
            <w:tcBorders>
              <w:bottom w:val="single" w:color="009EE0" w:sz="2" w:space="0"/>
            </w:tcBorders>
            <w:tcMar>
              <w:top w:w="22" w:type="dxa"/>
              <w:left w:w="28" w:type="dxa"/>
              <w:bottom w:w="22" w:type="dxa"/>
              <w:right w:w="28" w:type="dxa"/>
            </w:tcMar>
          </w:tcPr>
          <w:p w:rsidRPr="006F2FC4" w:rsidR="0084290D" w:rsidRDefault="00CF5B93" w14:paraId="750BF8DE" w14:textId="77777777">
            <w:pPr>
              <w:pStyle w:val="p-table"/>
              <w:jc w:val="right"/>
              <w:rPr>
                <w:sz w:val="13"/>
                <w:szCs w:val="13"/>
              </w:rPr>
            </w:pPr>
            <w:r w:rsidRPr="006F2FC4">
              <w:rPr>
                <w:sz w:val="13"/>
                <w:szCs w:val="13"/>
              </w:rPr>
              <w:t>‒ 51.699</w:t>
            </w:r>
          </w:p>
        </w:tc>
        <w:tc>
          <w:tcPr>
            <w:tcW w:w="373" w:type="pct"/>
            <w:tcBorders>
              <w:bottom w:val="single" w:color="009EE0" w:sz="2" w:space="0"/>
            </w:tcBorders>
            <w:tcMar>
              <w:top w:w="22" w:type="dxa"/>
              <w:left w:w="28" w:type="dxa"/>
              <w:bottom w:w="22" w:type="dxa"/>
              <w:right w:w="28" w:type="dxa"/>
            </w:tcMar>
          </w:tcPr>
          <w:p w:rsidRPr="006F2FC4" w:rsidR="0084290D" w:rsidRDefault="00CF5B93" w14:paraId="675751AF" w14:textId="77777777">
            <w:pPr>
              <w:pStyle w:val="p-table"/>
              <w:jc w:val="right"/>
              <w:rPr>
                <w:sz w:val="13"/>
                <w:szCs w:val="13"/>
              </w:rPr>
            </w:pPr>
            <w:r w:rsidRPr="006F2FC4">
              <w:rPr>
                <w:sz w:val="13"/>
                <w:szCs w:val="13"/>
              </w:rPr>
              <w:t>‒ 68.938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E59C4A" w14:textId="77777777">
            <w:pPr>
              <w:pStyle w:val="p-table"/>
              <w:jc w:val="right"/>
              <w:rPr>
                <w:sz w:val="13"/>
                <w:szCs w:val="13"/>
              </w:rPr>
            </w:pPr>
            <w:r w:rsidRPr="006F2FC4">
              <w:rPr>
                <w:sz w:val="13"/>
                <w:szCs w:val="13"/>
              </w:rPr>
              <w:t>‒ 78.988</w:t>
            </w:r>
          </w:p>
        </w:tc>
        <w:tc>
          <w:tcPr>
            <w:tcW w:w="373" w:type="pct"/>
            <w:tcBorders>
              <w:bottom w:val="single" w:color="009EE0" w:sz="2" w:space="0"/>
            </w:tcBorders>
            <w:tcMar>
              <w:top w:w="22" w:type="dxa"/>
              <w:left w:w="28" w:type="dxa"/>
              <w:bottom w:w="22" w:type="dxa"/>
              <w:right w:w="28" w:type="dxa"/>
            </w:tcMar>
          </w:tcPr>
          <w:p w:rsidRPr="006F2FC4" w:rsidR="0084290D" w:rsidRDefault="00CF5B93" w14:paraId="52A98412" w14:textId="77777777">
            <w:pPr>
              <w:pStyle w:val="p-table"/>
              <w:jc w:val="right"/>
              <w:rPr>
                <w:sz w:val="13"/>
                <w:szCs w:val="13"/>
              </w:rPr>
            </w:pPr>
            <w:r w:rsidRPr="006F2FC4">
              <w:rPr>
                <w:sz w:val="13"/>
                <w:szCs w:val="13"/>
              </w:rPr>
              <w:t>124.177</w:t>
            </w:r>
          </w:p>
        </w:tc>
      </w:tr>
      <w:tr w:rsidR="0084290D" w:rsidTr="007433BE" w14:paraId="4BFE8CE5" w14:textId="77777777">
        <w:tc>
          <w:tcPr>
            <w:tcW w:w="1098" w:type="pct"/>
            <w:tcBorders>
              <w:bottom w:val="single" w:color="009EE0" w:sz="2" w:space="0"/>
            </w:tcBorders>
            <w:tcMar>
              <w:top w:w="22" w:type="dxa"/>
              <w:bottom w:w="22" w:type="dxa"/>
              <w:right w:w="28" w:type="dxa"/>
            </w:tcMar>
          </w:tcPr>
          <w:p w:rsidRPr="006F2FC4" w:rsidR="0084290D" w:rsidRDefault="00CF5B93" w14:paraId="483E1919" w14:textId="77777777">
            <w:pPr>
              <w:pStyle w:val="p-table"/>
              <w:rPr>
                <w:sz w:val="13"/>
                <w:szCs w:val="13"/>
              </w:rPr>
            </w:pPr>
            <w:r w:rsidRPr="006F2FC4">
              <w:rPr>
                <w:sz w:val="13"/>
                <w:szCs w:val="13"/>
              </w:rPr>
              <w:t>Premieontvangsten garantie FMO</w:t>
            </w:r>
          </w:p>
        </w:tc>
        <w:tc>
          <w:tcPr>
            <w:tcW w:w="381" w:type="pct"/>
            <w:tcBorders>
              <w:bottom w:val="single" w:color="009EE0" w:sz="2" w:space="0"/>
            </w:tcBorders>
            <w:tcMar>
              <w:top w:w="22" w:type="dxa"/>
              <w:left w:w="28" w:type="dxa"/>
              <w:bottom w:w="22" w:type="dxa"/>
              <w:right w:w="28" w:type="dxa"/>
            </w:tcMar>
          </w:tcPr>
          <w:p w:rsidRPr="006F2FC4" w:rsidR="0084290D" w:rsidRDefault="00CF5B93" w14:paraId="1155C082" w14:textId="77777777">
            <w:pPr>
              <w:pStyle w:val="p-table"/>
              <w:jc w:val="right"/>
              <w:rPr>
                <w:sz w:val="13"/>
                <w:szCs w:val="13"/>
              </w:rPr>
            </w:pPr>
            <w:r w:rsidRPr="006F2FC4">
              <w:rPr>
                <w:sz w:val="13"/>
                <w:szCs w:val="13"/>
              </w:rPr>
              <w:t>1.000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1C6E856"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6CBEC0E" w14:textId="77777777">
            <w:pPr>
              <w:pStyle w:val="p-table"/>
              <w:jc w:val="right"/>
              <w:rPr>
                <w:sz w:val="13"/>
                <w:szCs w:val="13"/>
              </w:rPr>
            </w:pPr>
            <w:r w:rsidRPr="006F2FC4">
              <w:rPr>
                <w:sz w:val="13"/>
                <w:szCs w:val="13"/>
              </w:rPr>
              <w:t>1.000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382BB37F"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F91E3E1" w14:textId="77777777">
            <w:pPr>
              <w:pStyle w:val="p-table"/>
              <w:jc w:val="right"/>
              <w:rPr>
                <w:sz w:val="13"/>
                <w:szCs w:val="13"/>
              </w:rPr>
            </w:pPr>
            <w:r w:rsidRPr="006F2FC4">
              <w:rPr>
                <w:sz w:val="13"/>
                <w:szCs w:val="13"/>
              </w:rPr>
              <w:t>1.000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AE0194A"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236EAC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FD88A7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43B77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DE31738" w14:textId="77777777">
            <w:pPr>
              <w:pStyle w:val="p-table"/>
              <w:jc w:val="right"/>
              <w:rPr>
                <w:sz w:val="13"/>
                <w:szCs w:val="13"/>
              </w:rPr>
            </w:pPr>
            <w:r w:rsidRPr="006F2FC4">
              <w:rPr>
                <w:sz w:val="13"/>
                <w:szCs w:val="13"/>
              </w:rPr>
              <w:t>1.000</w:t>
            </w:r>
          </w:p>
        </w:tc>
      </w:tr>
      <w:tr w:rsidR="0084290D" w:rsidTr="007433BE" w14:paraId="5A6D2759" w14:textId="77777777">
        <w:tc>
          <w:tcPr>
            <w:tcW w:w="1098" w:type="pct"/>
            <w:tcBorders>
              <w:bottom w:val="single" w:color="009EE0" w:sz="2" w:space="0"/>
            </w:tcBorders>
            <w:tcMar>
              <w:top w:w="22" w:type="dxa"/>
              <w:bottom w:w="22" w:type="dxa"/>
              <w:right w:w="28" w:type="dxa"/>
            </w:tcMar>
          </w:tcPr>
          <w:p w:rsidRPr="006F2FC4" w:rsidR="0084290D" w:rsidRDefault="0084290D" w14:paraId="7F7006F4"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07C7AFB6"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12AC9058"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012A2E6E"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4A43D6C0"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279264B6"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362E5AB5"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B5A9B43"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E03141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726530D"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44D095E" w14:textId="77777777">
            <w:pPr>
              <w:pStyle w:val="p-table"/>
              <w:rPr>
                <w:sz w:val="13"/>
                <w:szCs w:val="13"/>
              </w:rPr>
            </w:pPr>
          </w:p>
        </w:tc>
      </w:tr>
      <w:tr w:rsidR="0084290D" w:rsidTr="007433BE" w14:paraId="391D400D" w14:textId="77777777">
        <w:tc>
          <w:tcPr>
            <w:tcW w:w="1098" w:type="pct"/>
            <w:tcBorders>
              <w:bottom w:val="single" w:color="009EE0" w:sz="2" w:space="0"/>
            </w:tcBorders>
            <w:tcMar>
              <w:top w:w="22" w:type="dxa"/>
              <w:bottom w:w="22" w:type="dxa"/>
              <w:right w:w="28" w:type="dxa"/>
            </w:tcMar>
          </w:tcPr>
          <w:p w:rsidRPr="006F2FC4" w:rsidR="0084290D" w:rsidRDefault="00CF5B93" w14:paraId="288B771F" w14:textId="77777777">
            <w:pPr>
              <w:pStyle w:val="p-table"/>
              <w:rPr>
                <w:sz w:val="13"/>
                <w:szCs w:val="13"/>
              </w:rPr>
            </w:pPr>
            <w:r w:rsidRPr="006F2FC4">
              <w:rPr>
                <w:b/>
                <w:sz w:val="13"/>
                <w:szCs w:val="13"/>
              </w:rPr>
              <w:t>Leningen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965A86C" w14:textId="77777777">
            <w:pPr>
              <w:pStyle w:val="p-table"/>
              <w:jc w:val="right"/>
              <w:rPr>
                <w:sz w:val="13"/>
                <w:szCs w:val="13"/>
              </w:rPr>
            </w:pPr>
            <w:r w:rsidRPr="006F2FC4">
              <w:rPr>
                <w:b/>
                <w:sz w:val="13"/>
                <w:szCs w:val="13"/>
              </w:rPr>
              <w:t>1.084.169</w:t>
            </w:r>
          </w:p>
        </w:tc>
        <w:tc>
          <w:tcPr>
            <w:tcW w:w="424" w:type="pct"/>
            <w:tcBorders>
              <w:bottom w:val="single" w:color="009EE0" w:sz="2" w:space="0"/>
            </w:tcBorders>
            <w:tcMar>
              <w:top w:w="22" w:type="dxa"/>
              <w:left w:w="28" w:type="dxa"/>
              <w:bottom w:w="22" w:type="dxa"/>
              <w:right w:w="28" w:type="dxa"/>
            </w:tcMar>
          </w:tcPr>
          <w:p w:rsidRPr="006F2FC4" w:rsidR="0084290D" w:rsidRDefault="00CF5B93" w14:paraId="1BFAE7A4"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3953F18" w14:textId="77777777">
            <w:pPr>
              <w:pStyle w:val="p-table"/>
              <w:jc w:val="right"/>
              <w:rPr>
                <w:sz w:val="13"/>
                <w:szCs w:val="13"/>
              </w:rPr>
            </w:pPr>
            <w:r w:rsidRPr="006F2FC4">
              <w:rPr>
                <w:b/>
                <w:sz w:val="13"/>
                <w:szCs w:val="13"/>
              </w:rPr>
              <w:t>1.084.169</w:t>
            </w:r>
          </w:p>
        </w:tc>
        <w:tc>
          <w:tcPr>
            <w:tcW w:w="384" w:type="pct"/>
            <w:tcBorders>
              <w:bottom w:val="single" w:color="009EE0" w:sz="2" w:space="0"/>
            </w:tcBorders>
            <w:tcMar>
              <w:top w:w="22" w:type="dxa"/>
              <w:left w:w="28" w:type="dxa"/>
              <w:bottom w:w="22" w:type="dxa"/>
              <w:right w:w="28" w:type="dxa"/>
            </w:tcMar>
          </w:tcPr>
          <w:p w:rsidRPr="006F2FC4" w:rsidR="0084290D" w:rsidRDefault="00CF5B93" w14:paraId="0FA23E42" w14:textId="77777777">
            <w:pPr>
              <w:pStyle w:val="p-table"/>
              <w:jc w:val="right"/>
              <w:rPr>
                <w:sz w:val="13"/>
                <w:szCs w:val="13"/>
              </w:rPr>
            </w:pPr>
            <w:r w:rsidRPr="006F2FC4">
              <w:rPr>
                <w:b/>
                <w:sz w:val="13"/>
                <w:szCs w:val="13"/>
              </w:rPr>
              <w:t>3.175.983</w:t>
            </w:r>
          </w:p>
        </w:tc>
        <w:tc>
          <w:tcPr>
            <w:tcW w:w="423" w:type="pct"/>
            <w:tcBorders>
              <w:bottom w:val="single" w:color="009EE0" w:sz="2" w:space="0"/>
            </w:tcBorders>
            <w:tcMar>
              <w:top w:w="22" w:type="dxa"/>
              <w:left w:w="28" w:type="dxa"/>
              <w:bottom w:w="22" w:type="dxa"/>
              <w:right w:w="28" w:type="dxa"/>
            </w:tcMar>
          </w:tcPr>
          <w:p w:rsidRPr="006F2FC4" w:rsidR="0084290D" w:rsidRDefault="00CF5B93" w14:paraId="5E3B28D7" w14:textId="77777777">
            <w:pPr>
              <w:pStyle w:val="p-table"/>
              <w:jc w:val="right"/>
              <w:rPr>
                <w:sz w:val="13"/>
                <w:szCs w:val="13"/>
              </w:rPr>
            </w:pPr>
            <w:r w:rsidRPr="006F2FC4">
              <w:rPr>
                <w:b/>
                <w:sz w:val="13"/>
                <w:szCs w:val="13"/>
              </w:rPr>
              <w:t>4.260.152</w:t>
            </w:r>
          </w:p>
        </w:tc>
        <w:tc>
          <w:tcPr>
            <w:tcW w:w="373" w:type="pct"/>
            <w:tcBorders>
              <w:bottom w:val="single" w:color="009EE0" w:sz="2" w:space="0"/>
            </w:tcBorders>
            <w:tcMar>
              <w:top w:w="22" w:type="dxa"/>
              <w:left w:w="28" w:type="dxa"/>
              <w:bottom w:w="22" w:type="dxa"/>
              <w:right w:w="28" w:type="dxa"/>
            </w:tcMar>
          </w:tcPr>
          <w:p w:rsidRPr="006F2FC4" w:rsidR="0084290D" w:rsidRDefault="00CF5B93" w14:paraId="1E9AA928" w14:textId="77777777">
            <w:pPr>
              <w:pStyle w:val="p-table"/>
              <w:jc w:val="right"/>
              <w:rPr>
                <w:sz w:val="13"/>
                <w:szCs w:val="13"/>
              </w:rPr>
            </w:pPr>
            <w:r w:rsidRPr="006F2FC4">
              <w:rPr>
                <w:b/>
                <w:sz w:val="13"/>
                <w:szCs w:val="13"/>
              </w:rPr>
              <w:t>‒ 167.324</w:t>
            </w:r>
          </w:p>
        </w:tc>
        <w:tc>
          <w:tcPr>
            <w:tcW w:w="373" w:type="pct"/>
            <w:tcBorders>
              <w:bottom w:val="single" w:color="009EE0" w:sz="2" w:space="0"/>
            </w:tcBorders>
            <w:tcMar>
              <w:top w:w="22" w:type="dxa"/>
              <w:left w:w="28" w:type="dxa"/>
              <w:bottom w:w="22" w:type="dxa"/>
              <w:right w:w="28" w:type="dxa"/>
            </w:tcMar>
          </w:tcPr>
          <w:p w:rsidRPr="006F2FC4" w:rsidR="0084290D" w:rsidRDefault="00CF5B93" w14:paraId="2E583056" w14:textId="77777777">
            <w:pPr>
              <w:pStyle w:val="p-table"/>
              <w:jc w:val="right"/>
              <w:rPr>
                <w:sz w:val="13"/>
                <w:szCs w:val="13"/>
              </w:rPr>
            </w:pPr>
            <w:r w:rsidRPr="006F2FC4">
              <w:rPr>
                <w:b/>
                <w:sz w:val="13"/>
                <w:szCs w:val="13"/>
              </w:rPr>
              <w:t>‒ 155.998</w:t>
            </w:r>
          </w:p>
        </w:tc>
        <w:tc>
          <w:tcPr>
            <w:tcW w:w="373" w:type="pct"/>
            <w:tcBorders>
              <w:bottom w:val="single" w:color="009EE0" w:sz="2" w:space="0"/>
            </w:tcBorders>
            <w:tcMar>
              <w:top w:w="22" w:type="dxa"/>
              <w:left w:w="28" w:type="dxa"/>
              <w:bottom w:w="22" w:type="dxa"/>
              <w:right w:w="28" w:type="dxa"/>
            </w:tcMar>
          </w:tcPr>
          <w:p w:rsidRPr="006F2FC4" w:rsidR="0084290D" w:rsidRDefault="00CF5B93" w14:paraId="08430DB1" w14:textId="77777777">
            <w:pPr>
              <w:pStyle w:val="p-table"/>
              <w:jc w:val="right"/>
              <w:rPr>
                <w:sz w:val="13"/>
                <w:szCs w:val="13"/>
              </w:rPr>
            </w:pPr>
            <w:r w:rsidRPr="006F2FC4">
              <w:rPr>
                <w:b/>
                <w:sz w:val="13"/>
                <w:szCs w:val="13"/>
              </w:rPr>
              <w:t>1.344.002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70E67E" w14:textId="77777777">
            <w:pPr>
              <w:pStyle w:val="p-table"/>
              <w:jc w:val="right"/>
              <w:rPr>
                <w:sz w:val="13"/>
                <w:szCs w:val="13"/>
              </w:rPr>
            </w:pPr>
            <w:r w:rsidRPr="006F2FC4">
              <w:rPr>
                <w:b/>
                <w:sz w:val="13"/>
                <w:szCs w:val="13"/>
              </w:rPr>
              <w:t>‒ 155.998</w:t>
            </w:r>
          </w:p>
        </w:tc>
        <w:tc>
          <w:tcPr>
            <w:tcW w:w="373" w:type="pct"/>
            <w:tcBorders>
              <w:bottom w:val="single" w:color="009EE0" w:sz="2" w:space="0"/>
            </w:tcBorders>
            <w:tcMar>
              <w:top w:w="22" w:type="dxa"/>
              <w:left w:w="28" w:type="dxa"/>
              <w:bottom w:w="22" w:type="dxa"/>
              <w:right w:w="28" w:type="dxa"/>
            </w:tcMar>
          </w:tcPr>
          <w:p w:rsidRPr="006F2FC4" w:rsidR="0084290D" w:rsidRDefault="00CF5B93" w14:paraId="7947232C" w14:textId="77777777">
            <w:pPr>
              <w:pStyle w:val="p-table"/>
              <w:jc w:val="right"/>
              <w:rPr>
                <w:sz w:val="13"/>
                <w:szCs w:val="13"/>
              </w:rPr>
            </w:pPr>
            <w:r w:rsidRPr="006F2FC4">
              <w:rPr>
                <w:b/>
                <w:sz w:val="13"/>
                <w:szCs w:val="13"/>
              </w:rPr>
              <w:t>1.197.927</w:t>
            </w:r>
          </w:p>
        </w:tc>
      </w:tr>
      <w:tr w:rsidR="0084290D" w:rsidTr="007433BE" w14:paraId="7B1A1FEA" w14:textId="77777777">
        <w:tc>
          <w:tcPr>
            <w:tcW w:w="1098" w:type="pct"/>
            <w:tcBorders>
              <w:bottom w:val="single" w:color="009EE0" w:sz="2" w:space="0"/>
            </w:tcBorders>
            <w:tcMar>
              <w:top w:w="22" w:type="dxa"/>
              <w:bottom w:w="22" w:type="dxa"/>
              <w:right w:w="28" w:type="dxa"/>
            </w:tcMar>
          </w:tcPr>
          <w:p w:rsidRPr="006F2FC4" w:rsidR="0084290D" w:rsidRDefault="00CF5B93" w14:paraId="322F104F" w14:textId="77777777">
            <w:pPr>
              <w:pStyle w:val="p-table"/>
              <w:rPr>
                <w:sz w:val="13"/>
                <w:szCs w:val="13"/>
              </w:rPr>
            </w:pPr>
            <w:r w:rsidRPr="006F2FC4">
              <w:rPr>
                <w:sz w:val="13"/>
                <w:szCs w:val="13"/>
              </w:rPr>
              <w:t>Renteontvangsten lening KLM</w:t>
            </w:r>
          </w:p>
        </w:tc>
        <w:tc>
          <w:tcPr>
            <w:tcW w:w="381" w:type="pct"/>
            <w:tcBorders>
              <w:bottom w:val="single" w:color="009EE0" w:sz="2" w:space="0"/>
            </w:tcBorders>
            <w:tcMar>
              <w:top w:w="22" w:type="dxa"/>
              <w:left w:w="28" w:type="dxa"/>
              <w:bottom w:w="22" w:type="dxa"/>
              <w:right w:w="28" w:type="dxa"/>
            </w:tcMar>
          </w:tcPr>
          <w:p w:rsidRPr="006F2FC4" w:rsidR="0084290D" w:rsidRDefault="00CF5B93" w14:paraId="52917B84"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23C6878"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280A48D"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C3590B6"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DFD67A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D7DCA09"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DBC6B5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0700CE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AAE6D6"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8666414" w14:textId="77777777">
            <w:pPr>
              <w:pStyle w:val="p-table"/>
              <w:jc w:val="right"/>
              <w:rPr>
                <w:sz w:val="13"/>
                <w:szCs w:val="13"/>
              </w:rPr>
            </w:pPr>
            <w:r w:rsidRPr="006F2FC4">
              <w:rPr>
                <w:sz w:val="13"/>
                <w:szCs w:val="13"/>
              </w:rPr>
              <w:t>0</w:t>
            </w:r>
          </w:p>
        </w:tc>
      </w:tr>
      <w:tr w:rsidR="0084290D" w:rsidTr="007433BE" w14:paraId="073B88AA" w14:textId="77777777">
        <w:tc>
          <w:tcPr>
            <w:tcW w:w="1098" w:type="pct"/>
            <w:tcBorders>
              <w:bottom w:val="single" w:color="009EE0" w:sz="2" w:space="0"/>
            </w:tcBorders>
            <w:tcMar>
              <w:top w:w="22" w:type="dxa"/>
              <w:bottom w:w="22" w:type="dxa"/>
              <w:right w:w="28" w:type="dxa"/>
            </w:tcMar>
          </w:tcPr>
          <w:p w:rsidRPr="006F2FC4" w:rsidR="0084290D" w:rsidRDefault="00CF5B93" w14:paraId="34474D3E" w14:textId="77777777">
            <w:pPr>
              <w:pStyle w:val="p-table"/>
              <w:rPr>
                <w:sz w:val="13"/>
                <w:szCs w:val="13"/>
              </w:rPr>
            </w:pPr>
            <w:r w:rsidRPr="006F2FC4">
              <w:rPr>
                <w:sz w:val="13"/>
                <w:szCs w:val="13"/>
              </w:rPr>
              <w:t>Renteontvangsten lening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2E6B1978" w14:textId="77777777">
            <w:pPr>
              <w:pStyle w:val="p-table"/>
              <w:jc w:val="right"/>
              <w:rPr>
                <w:sz w:val="13"/>
                <w:szCs w:val="13"/>
              </w:rPr>
            </w:pPr>
            <w:r w:rsidRPr="006F2FC4">
              <w:rPr>
                <w:sz w:val="13"/>
                <w:szCs w:val="13"/>
              </w:rPr>
              <w:t>1.084.169</w:t>
            </w:r>
          </w:p>
        </w:tc>
        <w:tc>
          <w:tcPr>
            <w:tcW w:w="424" w:type="pct"/>
            <w:tcBorders>
              <w:bottom w:val="single" w:color="009EE0" w:sz="2" w:space="0"/>
            </w:tcBorders>
            <w:tcMar>
              <w:top w:w="22" w:type="dxa"/>
              <w:left w:w="28" w:type="dxa"/>
              <w:bottom w:w="22" w:type="dxa"/>
              <w:right w:w="28" w:type="dxa"/>
            </w:tcMar>
          </w:tcPr>
          <w:p w:rsidRPr="006F2FC4" w:rsidR="0084290D" w:rsidRDefault="00CF5B93" w14:paraId="5DBCD12E"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FB1C195" w14:textId="77777777">
            <w:pPr>
              <w:pStyle w:val="p-table"/>
              <w:jc w:val="right"/>
              <w:rPr>
                <w:sz w:val="13"/>
                <w:szCs w:val="13"/>
              </w:rPr>
            </w:pPr>
            <w:r w:rsidRPr="006F2FC4">
              <w:rPr>
                <w:sz w:val="13"/>
                <w:szCs w:val="13"/>
              </w:rPr>
              <w:t>1.084.169</w:t>
            </w:r>
          </w:p>
        </w:tc>
        <w:tc>
          <w:tcPr>
            <w:tcW w:w="384" w:type="pct"/>
            <w:tcBorders>
              <w:bottom w:val="single" w:color="009EE0" w:sz="2" w:space="0"/>
            </w:tcBorders>
            <w:tcMar>
              <w:top w:w="22" w:type="dxa"/>
              <w:left w:w="28" w:type="dxa"/>
              <w:bottom w:w="22" w:type="dxa"/>
              <w:right w:w="28" w:type="dxa"/>
            </w:tcMar>
          </w:tcPr>
          <w:p w:rsidRPr="006F2FC4" w:rsidR="0084290D" w:rsidRDefault="00CF5B93" w14:paraId="515C2BDF" w14:textId="77777777">
            <w:pPr>
              <w:pStyle w:val="p-table"/>
              <w:jc w:val="right"/>
              <w:rPr>
                <w:sz w:val="13"/>
                <w:szCs w:val="13"/>
              </w:rPr>
            </w:pPr>
            <w:r w:rsidRPr="006F2FC4">
              <w:rPr>
                <w:sz w:val="13"/>
                <w:szCs w:val="13"/>
              </w:rPr>
              <w:t>‒ 124.017</w:t>
            </w:r>
          </w:p>
        </w:tc>
        <w:tc>
          <w:tcPr>
            <w:tcW w:w="423" w:type="pct"/>
            <w:tcBorders>
              <w:bottom w:val="single" w:color="009EE0" w:sz="2" w:space="0"/>
            </w:tcBorders>
            <w:tcMar>
              <w:top w:w="22" w:type="dxa"/>
              <w:left w:w="28" w:type="dxa"/>
              <w:bottom w:w="22" w:type="dxa"/>
              <w:right w:w="28" w:type="dxa"/>
            </w:tcMar>
          </w:tcPr>
          <w:p w:rsidRPr="006F2FC4" w:rsidR="0084290D" w:rsidRDefault="00CF5B93" w14:paraId="580BF36F" w14:textId="77777777">
            <w:pPr>
              <w:pStyle w:val="p-table"/>
              <w:jc w:val="right"/>
              <w:rPr>
                <w:sz w:val="13"/>
                <w:szCs w:val="13"/>
              </w:rPr>
            </w:pPr>
            <w:r w:rsidRPr="006F2FC4">
              <w:rPr>
                <w:sz w:val="13"/>
                <w:szCs w:val="13"/>
              </w:rPr>
              <w:t>960.152</w:t>
            </w:r>
          </w:p>
        </w:tc>
        <w:tc>
          <w:tcPr>
            <w:tcW w:w="373" w:type="pct"/>
            <w:tcBorders>
              <w:bottom w:val="single" w:color="009EE0" w:sz="2" w:space="0"/>
            </w:tcBorders>
            <w:tcMar>
              <w:top w:w="22" w:type="dxa"/>
              <w:left w:w="28" w:type="dxa"/>
              <w:bottom w:w="22" w:type="dxa"/>
              <w:right w:w="28" w:type="dxa"/>
            </w:tcMar>
          </w:tcPr>
          <w:p w:rsidRPr="006F2FC4" w:rsidR="0084290D" w:rsidRDefault="00CF5B93" w14:paraId="5D86D8F7" w14:textId="77777777">
            <w:pPr>
              <w:pStyle w:val="p-table"/>
              <w:jc w:val="right"/>
              <w:rPr>
                <w:sz w:val="13"/>
                <w:szCs w:val="13"/>
              </w:rPr>
            </w:pPr>
            <w:r w:rsidRPr="006F2FC4">
              <w:rPr>
                <w:sz w:val="13"/>
                <w:szCs w:val="13"/>
              </w:rPr>
              <w:t>‒ 167.324</w:t>
            </w:r>
          </w:p>
        </w:tc>
        <w:tc>
          <w:tcPr>
            <w:tcW w:w="373" w:type="pct"/>
            <w:tcBorders>
              <w:bottom w:val="single" w:color="009EE0" w:sz="2" w:space="0"/>
            </w:tcBorders>
            <w:tcMar>
              <w:top w:w="22" w:type="dxa"/>
              <w:left w:w="28" w:type="dxa"/>
              <w:bottom w:w="22" w:type="dxa"/>
              <w:right w:w="28" w:type="dxa"/>
            </w:tcMar>
          </w:tcPr>
          <w:p w:rsidRPr="006F2FC4" w:rsidR="0084290D" w:rsidRDefault="00CF5B93" w14:paraId="193E6E4C" w14:textId="77777777">
            <w:pPr>
              <w:pStyle w:val="p-table"/>
              <w:jc w:val="right"/>
              <w:rPr>
                <w:sz w:val="13"/>
                <w:szCs w:val="13"/>
              </w:rPr>
            </w:pPr>
            <w:r w:rsidRPr="006F2FC4">
              <w:rPr>
                <w:sz w:val="13"/>
                <w:szCs w:val="13"/>
              </w:rPr>
              <w:t>‒ 155.998</w:t>
            </w:r>
          </w:p>
        </w:tc>
        <w:tc>
          <w:tcPr>
            <w:tcW w:w="373" w:type="pct"/>
            <w:tcBorders>
              <w:bottom w:val="single" w:color="009EE0" w:sz="2" w:space="0"/>
            </w:tcBorders>
            <w:tcMar>
              <w:top w:w="22" w:type="dxa"/>
              <w:left w:w="28" w:type="dxa"/>
              <w:bottom w:w="22" w:type="dxa"/>
              <w:right w:w="28" w:type="dxa"/>
            </w:tcMar>
          </w:tcPr>
          <w:p w:rsidRPr="006F2FC4" w:rsidR="0084290D" w:rsidRDefault="00CF5B93" w14:paraId="0B1A2909" w14:textId="77777777">
            <w:pPr>
              <w:pStyle w:val="p-table"/>
              <w:jc w:val="right"/>
              <w:rPr>
                <w:sz w:val="13"/>
                <w:szCs w:val="13"/>
              </w:rPr>
            </w:pPr>
            <w:r w:rsidRPr="006F2FC4">
              <w:rPr>
                <w:sz w:val="13"/>
                <w:szCs w:val="13"/>
              </w:rPr>
              <w:t>‒ 155.998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A5066E" w14:textId="77777777">
            <w:pPr>
              <w:pStyle w:val="p-table"/>
              <w:jc w:val="right"/>
              <w:rPr>
                <w:sz w:val="13"/>
                <w:szCs w:val="13"/>
              </w:rPr>
            </w:pPr>
            <w:r w:rsidRPr="006F2FC4">
              <w:rPr>
                <w:sz w:val="13"/>
                <w:szCs w:val="13"/>
              </w:rPr>
              <w:t>‒ 155.998</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F45A5E" w14:textId="77777777">
            <w:pPr>
              <w:pStyle w:val="p-table"/>
              <w:jc w:val="right"/>
              <w:rPr>
                <w:sz w:val="13"/>
                <w:szCs w:val="13"/>
              </w:rPr>
            </w:pPr>
            <w:r w:rsidRPr="006F2FC4">
              <w:rPr>
                <w:sz w:val="13"/>
                <w:szCs w:val="13"/>
              </w:rPr>
              <w:t>1.197.927</w:t>
            </w:r>
          </w:p>
        </w:tc>
      </w:tr>
      <w:tr w:rsidR="0084290D" w:rsidTr="007433BE" w14:paraId="118D31CC" w14:textId="77777777">
        <w:tc>
          <w:tcPr>
            <w:tcW w:w="1098" w:type="pct"/>
            <w:tcBorders>
              <w:bottom w:val="single" w:color="009EE0" w:sz="2" w:space="0"/>
            </w:tcBorders>
            <w:tcMar>
              <w:top w:w="22" w:type="dxa"/>
              <w:bottom w:w="22" w:type="dxa"/>
              <w:right w:w="28" w:type="dxa"/>
            </w:tcMar>
          </w:tcPr>
          <w:p w:rsidRPr="006F2FC4" w:rsidR="0084290D" w:rsidRDefault="00CF5B93" w14:paraId="11F6A44C" w14:textId="77777777">
            <w:pPr>
              <w:pStyle w:val="p-table"/>
              <w:rPr>
                <w:sz w:val="13"/>
                <w:szCs w:val="13"/>
              </w:rPr>
            </w:pPr>
            <w:r w:rsidRPr="006F2FC4">
              <w:rPr>
                <w:sz w:val="13"/>
                <w:szCs w:val="13"/>
              </w:rPr>
              <w:t>Aflossing lening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3E09B67A"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5AA2902"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BF3FE87"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A7861DA" w14:textId="77777777">
            <w:pPr>
              <w:pStyle w:val="p-table"/>
              <w:jc w:val="right"/>
              <w:rPr>
                <w:sz w:val="13"/>
                <w:szCs w:val="13"/>
              </w:rPr>
            </w:pPr>
            <w:r w:rsidRPr="006F2FC4">
              <w:rPr>
                <w:sz w:val="13"/>
                <w:szCs w:val="13"/>
              </w:rPr>
              <w:t>3.300.000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74EB5C0" w14:textId="77777777">
            <w:pPr>
              <w:pStyle w:val="p-table"/>
              <w:jc w:val="right"/>
              <w:rPr>
                <w:sz w:val="13"/>
                <w:szCs w:val="13"/>
              </w:rPr>
            </w:pPr>
            <w:r w:rsidRPr="006F2FC4">
              <w:rPr>
                <w:sz w:val="13"/>
                <w:szCs w:val="13"/>
              </w:rPr>
              <w:t>3.300.000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19F3A27"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486B4E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ED5AC87" w14:textId="77777777">
            <w:pPr>
              <w:pStyle w:val="p-table"/>
              <w:jc w:val="right"/>
              <w:rPr>
                <w:sz w:val="13"/>
                <w:szCs w:val="13"/>
              </w:rPr>
            </w:pPr>
            <w:r w:rsidRPr="006F2FC4">
              <w:rPr>
                <w:sz w:val="13"/>
                <w:szCs w:val="13"/>
              </w:rPr>
              <w:t>1.500.000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485E8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15F56AF" w14:textId="77777777">
            <w:pPr>
              <w:pStyle w:val="p-table"/>
              <w:jc w:val="right"/>
              <w:rPr>
                <w:sz w:val="13"/>
                <w:szCs w:val="13"/>
              </w:rPr>
            </w:pPr>
            <w:r w:rsidRPr="006F2FC4">
              <w:rPr>
                <w:sz w:val="13"/>
                <w:szCs w:val="13"/>
              </w:rPr>
              <w:t>0</w:t>
            </w:r>
          </w:p>
        </w:tc>
      </w:tr>
      <w:tr w:rsidR="0084290D" w:rsidTr="007433BE" w14:paraId="4FADD5EC" w14:textId="77777777">
        <w:tc>
          <w:tcPr>
            <w:tcW w:w="1098" w:type="pct"/>
            <w:tcBorders>
              <w:bottom w:val="single" w:color="009EE0" w:sz="2" w:space="0"/>
            </w:tcBorders>
            <w:tcMar>
              <w:top w:w="22" w:type="dxa"/>
              <w:bottom w:w="22" w:type="dxa"/>
              <w:right w:w="28" w:type="dxa"/>
            </w:tcMar>
          </w:tcPr>
          <w:p w:rsidRPr="006F2FC4" w:rsidR="0084290D" w:rsidRDefault="0084290D" w14:paraId="70BC17C1"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7AE82D3D"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381C6D2E"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35954678"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3ABD2B62"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06361483"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3BDAB1F"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7E5AB3AD"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78ABF7D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85101F2"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56C49C52" w14:textId="77777777">
            <w:pPr>
              <w:pStyle w:val="p-table"/>
              <w:rPr>
                <w:sz w:val="13"/>
                <w:szCs w:val="13"/>
              </w:rPr>
            </w:pPr>
          </w:p>
        </w:tc>
      </w:tr>
      <w:tr w:rsidR="0084290D" w:rsidTr="007433BE" w14:paraId="4DCC54D1" w14:textId="77777777">
        <w:tc>
          <w:tcPr>
            <w:tcW w:w="1098" w:type="pct"/>
            <w:tcBorders>
              <w:bottom w:val="single" w:color="009EE0" w:sz="2" w:space="0"/>
            </w:tcBorders>
            <w:tcMar>
              <w:top w:w="22" w:type="dxa"/>
              <w:bottom w:w="22" w:type="dxa"/>
              <w:right w:w="28" w:type="dxa"/>
            </w:tcMar>
          </w:tcPr>
          <w:p w:rsidRPr="006F2FC4" w:rsidR="0084290D" w:rsidRDefault="00CF5B93" w14:paraId="5AF49A4C" w14:textId="77777777">
            <w:pPr>
              <w:pStyle w:val="p-table"/>
              <w:rPr>
                <w:sz w:val="13"/>
                <w:szCs w:val="13"/>
              </w:rPr>
            </w:pPr>
            <w:r w:rsidRPr="006F2FC4">
              <w:rPr>
                <w:b/>
                <w:sz w:val="13"/>
                <w:szCs w:val="13"/>
              </w:rPr>
              <w:t>Vermogensverschaffing/-onttrekking</w:t>
            </w:r>
          </w:p>
        </w:tc>
        <w:tc>
          <w:tcPr>
            <w:tcW w:w="381" w:type="pct"/>
            <w:tcBorders>
              <w:bottom w:val="single" w:color="009EE0" w:sz="2" w:space="0"/>
            </w:tcBorders>
            <w:tcMar>
              <w:top w:w="22" w:type="dxa"/>
              <w:left w:w="28" w:type="dxa"/>
              <w:bottom w:w="22" w:type="dxa"/>
              <w:right w:w="28" w:type="dxa"/>
            </w:tcMar>
          </w:tcPr>
          <w:p w:rsidRPr="006F2FC4" w:rsidR="0084290D" w:rsidRDefault="00CF5B93" w14:paraId="74D02E19" w14:textId="77777777">
            <w:pPr>
              <w:pStyle w:val="p-table"/>
              <w:jc w:val="right"/>
              <w:rPr>
                <w:sz w:val="13"/>
                <w:szCs w:val="13"/>
              </w:rPr>
            </w:pPr>
            <w:r w:rsidRPr="006F2FC4">
              <w:rPr>
                <w:b/>
                <w:sz w:val="13"/>
                <w:szCs w:val="13"/>
              </w:rPr>
              <w:t>831.065</w:t>
            </w:r>
          </w:p>
        </w:tc>
        <w:tc>
          <w:tcPr>
            <w:tcW w:w="424" w:type="pct"/>
            <w:tcBorders>
              <w:bottom w:val="single" w:color="009EE0" w:sz="2" w:space="0"/>
            </w:tcBorders>
            <w:tcMar>
              <w:top w:w="22" w:type="dxa"/>
              <w:left w:w="28" w:type="dxa"/>
              <w:bottom w:w="22" w:type="dxa"/>
              <w:right w:w="28" w:type="dxa"/>
            </w:tcMar>
          </w:tcPr>
          <w:p w:rsidRPr="006F2FC4" w:rsidR="0084290D" w:rsidRDefault="00CF5B93" w14:paraId="718562C6"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52B4323" w14:textId="77777777">
            <w:pPr>
              <w:pStyle w:val="p-table"/>
              <w:jc w:val="right"/>
              <w:rPr>
                <w:sz w:val="13"/>
                <w:szCs w:val="13"/>
              </w:rPr>
            </w:pPr>
            <w:r w:rsidRPr="006F2FC4">
              <w:rPr>
                <w:b/>
                <w:sz w:val="13"/>
                <w:szCs w:val="13"/>
              </w:rPr>
              <w:t>831.065</w:t>
            </w:r>
          </w:p>
        </w:tc>
        <w:tc>
          <w:tcPr>
            <w:tcW w:w="384" w:type="pct"/>
            <w:tcBorders>
              <w:bottom w:val="single" w:color="009EE0" w:sz="2" w:space="0"/>
            </w:tcBorders>
            <w:tcMar>
              <w:top w:w="22" w:type="dxa"/>
              <w:left w:w="28" w:type="dxa"/>
              <w:bottom w:w="22" w:type="dxa"/>
              <w:right w:w="28" w:type="dxa"/>
            </w:tcMar>
          </w:tcPr>
          <w:p w:rsidRPr="006F2FC4" w:rsidR="0084290D" w:rsidRDefault="00CF5B93" w14:paraId="07BB5D46" w14:textId="77777777">
            <w:pPr>
              <w:pStyle w:val="p-table"/>
              <w:jc w:val="right"/>
              <w:rPr>
                <w:sz w:val="13"/>
                <w:szCs w:val="13"/>
              </w:rPr>
            </w:pPr>
            <w:r w:rsidRPr="006F2FC4">
              <w:rPr>
                <w:b/>
                <w:sz w:val="13"/>
                <w:szCs w:val="13"/>
              </w:rPr>
              <w:t>251.554</w:t>
            </w:r>
          </w:p>
        </w:tc>
        <w:tc>
          <w:tcPr>
            <w:tcW w:w="423" w:type="pct"/>
            <w:tcBorders>
              <w:bottom w:val="single" w:color="009EE0" w:sz="2" w:space="0"/>
            </w:tcBorders>
            <w:tcMar>
              <w:top w:w="22" w:type="dxa"/>
              <w:left w:w="28" w:type="dxa"/>
              <w:bottom w:w="22" w:type="dxa"/>
              <w:right w:w="28" w:type="dxa"/>
            </w:tcMar>
          </w:tcPr>
          <w:p w:rsidRPr="006F2FC4" w:rsidR="0084290D" w:rsidRDefault="00CF5B93" w14:paraId="39F60BD0" w14:textId="77777777">
            <w:pPr>
              <w:pStyle w:val="p-table"/>
              <w:jc w:val="right"/>
              <w:rPr>
                <w:sz w:val="13"/>
                <w:szCs w:val="13"/>
              </w:rPr>
            </w:pPr>
            <w:r w:rsidRPr="006F2FC4">
              <w:rPr>
                <w:b/>
                <w:sz w:val="13"/>
                <w:szCs w:val="13"/>
              </w:rPr>
              <w:t>1.082.619</w:t>
            </w:r>
          </w:p>
        </w:tc>
        <w:tc>
          <w:tcPr>
            <w:tcW w:w="373" w:type="pct"/>
            <w:tcBorders>
              <w:bottom w:val="single" w:color="009EE0" w:sz="2" w:space="0"/>
            </w:tcBorders>
            <w:tcMar>
              <w:top w:w="22" w:type="dxa"/>
              <w:left w:w="28" w:type="dxa"/>
              <w:bottom w:w="22" w:type="dxa"/>
              <w:right w:w="28" w:type="dxa"/>
            </w:tcMar>
          </w:tcPr>
          <w:p w:rsidRPr="006F2FC4" w:rsidR="0084290D" w:rsidRDefault="00CF5B93" w14:paraId="2F300C0C"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14AE7E6" w14:textId="77777777">
            <w:pPr>
              <w:pStyle w:val="p-table"/>
              <w:jc w:val="right"/>
              <w:rPr>
                <w:sz w:val="13"/>
                <w:szCs w:val="13"/>
              </w:rPr>
            </w:pPr>
            <w:r w:rsidRPr="006F2FC4">
              <w:rPr>
                <w:b/>
                <w:sz w:val="13"/>
                <w:szCs w:val="13"/>
              </w:rPr>
              <w:t>25.000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1AF3D9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ADABE4C" w14:textId="77777777">
            <w:pPr>
              <w:pStyle w:val="p-table"/>
              <w:jc w:val="right"/>
              <w:rPr>
                <w:sz w:val="13"/>
                <w:szCs w:val="13"/>
              </w:rPr>
            </w:pPr>
            <w:r w:rsidRPr="006F2FC4">
              <w:rPr>
                <w:b/>
                <w:sz w:val="13"/>
                <w:szCs w:val="13"/>
              </w:rPr>
              <w:t>‒ 10.000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4C3276E" w14:textId="77777777">
            <w:pPr>
              <w:pStyle w:val="p-table"/>
              <w:jc w:val="right"/>
              <w:rPr>
                <w:sz w:val="13"/>
                <w:szCs w:val="13"/>
              </w:rPr>
            </w:pPr>
            <w:r w:rsidRPr="006F2FC4">
              <w:rPr>
                <w:b/>
                <w:sz w:val="13"/>
                <w:szCs w:val="13"/>
              </w:rPr>
              <w:t>941.787</w:t>
            </w:r>
          </w:p>
        </w:tc>
      </w:tr>
      <w:tr w:rsidR="0084290D" w:rsidTr="007433BE" w14:paraId="4857F46D" w14:textId="77777777">
        <w:tc>
          <w:tcPr>
            <w:tcW w:w="1098" w:type="pct"/>
            <w:tcBorders>
              <w:bottom w:val="single" w:color="009EE0" w:sz="2" w:space="0"/>
            </w:tcBorders>
            <w:tcMar>
              <w:top w:w="22" w:type="dxa"/>
              <w:bottom w:w="22" w:type="dxa"/>
              <w:right w:w="28" w:type="dxa"/>
            </w:tcMar>
          </w:tcPr>
          <w:p w:rsidRPr="006F2FC4" w:rsidR="0084290D" w:rsidRDefault="00CF5B93" w14:paraId="32DEB60F" w14:textId="77777777">
            <w:pPr>
              <w:pStyle w:val="p-table"/>
              <w:rPr>
                <w:sz w:val="13"/>
                <w:szCs w:val="13"/>
              </w:rPr>
            </w:pPr>
            <w:r w:rsidRPr="006F2FC4">
              <w:rPr>
                <w:sz w:val="13"/>
                <w:szCs w:val="13"/>
              </w:rPr>
              <w:t>Aan-/verkoop vermogenstitels</w:t>
            </w:r>
          </w:p>
        </w:tc>
        <w:tc>
          <w:tcPr>
            <w:tcW w:w="381" w:type="pct"/>
            <w:tcBorders>
              <w:bottom w:val="single" w:color="009EE0" w:sz="2" w:space="0"/>
            </w:tcBorders>
            <w:tcMar>
              <w:top w:w="22" w:type="dxa"/>
              <w:left w:w="28" w:type="dxa"/>
              <w:bottom w:w="22" w:type="dxa"/>
              <w:right w:w="28" w:type="dxa"/>
            </w:tcMar>
          </w:tcPr>
          <w:p w:rsidRPr="006F2FC4" w:rsidR="0084290D" w:rsidRDefault="00CF5B93" w14:paraId="24FB3903"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54C70094"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16E1B75"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82054B6" w14:textId="77777777">
            <w:pPr>
              <w:pStyle w:val="p-table"/>
              <w:jc w:val="right"/>
              <w:rPr>
                <w:sz w:val="13"/>
                <w:szCs w:val="13"/>
              </w:rPr>
            </w:pPr>
            <w:r w:rsidRPr="006F2FC4">
              <w:rPr>
                <w:sz w:val="13"/>
                <w:szCs w:val="13"/>
              </w:rPr>
              <w:t>182.619</w:t>
            </w:r>
          </w:p>
        </w:tc>
        <w:tc>
          <w:tcPr>
            <w:tcW w:w="423" w:type="pct"/>
            <w:tcBorders>
              <w:bottom w:val="single" w:color="009EE0" w:sz="2" w:space="0"/>
            </w:tcBorders>
            <w:tcMar>
              <w:top w:w="22" w:type="dxa"/>
              <w:left w:w="28" w:type="dxa"/>
              <w:bottom w:w="22" w:type="dxa"/>
              <w:right w:w="28" w:type="dxa"/>
            </w:tcMar>
          </w:tcPr>
          <w:p w:rsidRPr="006F2FC4" w:rsidR="0084290D" w:rsidRDefault="00CF5B93" w14:paraId="7B5E91AC" w14:textId="77777777">
            <w:pPr>
              <w:pStyle w:val="p-table"/>
              <w:jc w:val="right"/>
              <w:rPr>
                <w:sz w:val="13"/>
                <w:szCs w:val="13"/>
              </w:rPr>
            </w:pPr>
            <w:r w:rsidRPr="006F2FC4">
              <w:rPr>
                <w:sz w:val="13"/>
                <w:szCs w:val="13"/>
              </w:rPr>
              <w:t>182.619</w:t>
            </w:r>
          </w:p>
        </w:tc>
        <w:tc>
          <w:tcPr>
            <w:tcW w:w="373" w:type="pct"/>
            <w:tcBorders>
              <w:bottom w:val="single" w:color="009EE0" w:sz="2" w:space="0"/>
            </w:tcBorders>
            <w:tcMar>
              <w:top w:w="22" w:type="dxa"/>
              <w:left w:w="28" w:type="dxa"/>
              <w:bottom w:w="22" w:type="dxa"/>
              <w:right w:w="28" w:type="dxa"/>
            </w:tcMar>
          </w:tcPr>
          <w:p w:rsidRPr="006F2FC4" w:rsidR="0084290D" w:rsidRDefault="00CF5B93" w14:paraId="76075F3A"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3DD3C1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95625B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8F22A55"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D4EEFF2" w14:textId="77777777">
            <w:pPr>
              <w:pStyle w:val="p-table"/>
              <w:jc w:val="right"/>
              <w:rPr>
                <w:sz w:val="13"/>
                <w:szCs w:val="13"/>
              </w:rPr>
            </w:pPr>
            <w:r w:rsidRPr="006F2FC4">
              <w:rPr>
                <w:sz w:val="13"/>
                <w:szCs w:val="13"/>
              </w:rPr>
              <w:t>0</w:t>
            </w:r>
          </w:p>
        </w:tc>
      </w:tr>
      <w:tr w:rsidR="0084290D" w:rsidTr="007433BE" w14:paraId="08E1C27E" w14:textId="77777777">
        <w:tc>
          <w:tcPr>
            <w:tcW w:w="1098" w:type="pct"/>
            <w:tcBorders>
              <w:bottom w:val="single" w:color="009EE0" w:sz="2" w:space="0"/>
            </w:tcBorders>
            <w:tcMar>
              <w:top w:w="22" w:type="dxa"/>
              <w:bottom w:w="22" w:type="dxa"/>
              <w:right w:w="28" w:type="dxa"/>
            </w:tcMar>
          </w:tcPr>
          <w:p w:rsidRPr="006F2FC4" w:rsidR="0084290D" w:rsidRDefault="00CF5B93" w14:paraId="7148C772" w14:textId="77777777">
            <w:pPr>
              <w:pStyle w:val="p-table"/>
              <w:rPr>
                <w:sz w:val="13"/>
                <w:szCs w:val="13"/>
              </w:rPr>
            </w:pPr>
            <w:r w:rsidRPr="006F2FC4">
              <w:rPr>
                <w:sz w:val="13"/>
                <w:szCs w:val="13"/>
              </w:rPr>
              <w:t>Afdrachten Staatsloterij</w:t>
            </w:r>
          </w:p>
        </w:tc>
        <w:tc>
          <w:tcPr>
            <w:tcW w:w="381" w:type="pct"/>
            <w:tcBorders>
              <w:bottom w:val="single" w:color="009EE0" w:sz="2" w:space="0"/>
            </w:tcBorders>
            <w:tcMar>
              <w:top w:w="22" w:type="dxa"/>
              <w:left w:w="28" w:type="dxa"/>
              <w:bottom w:w="22" w:type="dxa"/>
              <w:right w:w="28" w:type="dxa"/>
            </w:tcMar>
          </w:tcPr>
          <w:p w:rsidRPr="006F2FC4" w:rsidR="0084290D" w:rsidRDefault="00CF5B93" w14:paraId="1018560E" w14:textId="77777777">
            <w:pPr>
              <w:pStyle w:val="p-table"/>
              <w:jc w:val="right"/>
              <w:rPr>
                <w:sz w:val="13"/>
                <w:szCs w:val="13"/>
              </w:rPr>
            </w:pPr>
            <w:r w:rsidRPr="006F2FC4">
              <w:rPr>
                <w:sz w:val="13"/>
                <w:szCs w:val="13"/>
              </w:rPr>
              <w:t>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0AA1175"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76C7C16" w14:textId="77777777">
            <w:pPr>
              <w:pStyle w:val="p-table"/>
              <w:jc w:val="right"/>
              <w:rPr>
                <w:sz w:val="13"/>
                <w:szCs w:val="13"/>
              </w:rPr>
            </w:pPr>
            <w:r w:rsidRPr="006F2FC4">
              <w:rPr>
                <w:sz w:val="13"/>
                <w:szCs w:val="13"/>
              </w:rPr>
              <w:t>100.000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47E135E1"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5DCC312" w14:textId="77777777">
            <w:pPr>
              <w:pStyle w:val="p-table"/>
              <w:jc w:val="right"/>
              <w:rPr>
                <w:sz w:val="13"/>
                <w:szCs w:val="13"/>
              </w:rPr>
            </w:pPr>
            <w:r w:rsidRPr="006F2FC4">
              <w:rPr>
                <w:sz w:val="13"/>
                <w:szCs w:val="13"/>
              </w:rPr>
              <w:t>100.000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1344436"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D2987B5"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D481E8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C7A039"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F5A5E55" w14:textId="77777777">
            <w:pPr>
              <w:pStyle w:val="p-table"/>
              <w:jc w:val="right"/>
              <w:rPr>
                <w:sz w:val="13"/>
                <w:szCs w:val="13"/>
              </w:rPr>
            </w:pPr>
            <w:r w:rsidRPr="006F2FC4">
              <w:rPr>
                <w:sz w:val="13"/>
                <w:szCs w:val="13"/>
              </w:rPr>
              <w:t>100.000</w:t>
            </w:r>
          </w:p>
        </w:tc>
      </w:tr>
      <w:tr w:rsidR="0084290D" w:rsidTr="007433BE" w14:paraId="66053332" w14:textId="77777777">
        <w:tc>
          <w:tcPr>
            <w:tcW w:w="1098" w:type="pct"/>
            <w:tcBorders>
              <w:bottom w:val="single" w:color="009EE0" w:sz="2" w:space="0"/>
            </w:tcBorders>
            <w:tcMar>
              <w:top w:w="22" w:type="dxa"/>
              <w:bottom w:w="22" w:type="dxa"/>
              <w:right w:w="28" w:type="dxa"/>
            </w:tcMar>
          </w:tcPr>
          <w:p w:rsidRPr="006F2FC4" w:rsidR="0084290D" w:rsidRDefault="00CF5B93" w14:paraId="57EF1D8F" w14:textId="77777777">
            <w:pPr>
              <w:pStyle w:val="p-table"/>
              <w:rPr>
                <w:sz w:val="13"/>
                <w:szCs w:val="13"/>
              </w:rPr>
            </w:pPr>
            <w:r w:rsidRPr="006F2FC4">
              <w:rPr>
                <w:sz w:val="13"/>
                <w:szCs w:val="13"/>
              </w:rPr>
              <w:t>Dividenden staatsdeelnemingen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B4DE339" w14:textId="77777777">
            <w:pPr>
              <w:pStyle w:val="p-table"/>
              <w:jc w:val="right"/>
              <w:rPr>
                <w:sz w:val="13"/>
                <w:szCs w:val="13"/>
              </w:rPr>
            </w:pPr>
            <w:r w:rsidRPr="006F2FC4">
              <w:rPr>
                <w:sz w:val="13"/>
                <w:szCs w:val="13"/>
              </w:rPr>
              <w:t>731.065</w:t>
            </w:r>
          </w:p>
        </w:tc>
        <w:tc>
          <w:tcPr>
            <w:tcW w:w="424" w:type="pct"/>
            <w:tcBorders>
              <w:bottom w:val="single" w:color="009EE0" w:sz="2" w:space="0"/>
            </w:tcBorders>
            <w:tcMar>
              <w:top w:w="22" w:type="dxa"/>
              <w:left w:w="28" w:type="dxa"/>
              <w:bottom w:w="22" w:type="dxa"/>
              <w:right w:w="28" w:type="dxa"/>
            </w:tcMar>
          </w:tcPr>
          <w:p w:rsidRPr="006F2FC4" w:rsidR="0084290D" w:rsidRDefault="00CF5B93" w14:paraId="4612C73E"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9725E94" w14:textId="77777777">
            <w:pPr>
              <w:pStyle w:val="p-table"/>
              <w:jc w:val="right"/>
              <w:rPr>
                <w:sz w:val="13"/>
                <w:szCs w:val="13"/>
              </w:rPr>
            </w:pPr>
            <w:r w:rsidRPr="006F2FC4">
              <w:rPr>
                <w:sz w:val="13"/>
                <w:szCs w:val="13"/>
              </w:rPr>
              <w:t>731.065</w:t>
            </w:r>
          </w:p>
        </w:tc>
        <w:tc>
          <w:tcPr>
            <w:tcW w:w="384" w:type="pct"/>
            <w:tcBorders>
              <w:bottom w:val="single" w:color="009EE0" w:sz="2" w:space="0"/>
            </w:tcBorders>
            <w:tcMar>
              <w:top w:w="22" w:type="dxa"/>
              <w:left w:w="28" w:type="dxa"/>
              <w:bottom w:w="22" w:type="dxa"/>
              <w:right w:w="28" w:type="dxa"/>
            </w:tcMar>
          </w:tcPr>
          <w:p w:rsidRPr="006F2FC4" w:rsidR="0084290D" w:rsidRDefault="00CF5B93" w14:paraId="13A3316E" w14:textId="77777777">
            <w:pPr>
              <w:pStyle w:val="p-table"/>
              <w:jc w:val="right"/>
              <w:rPr>
                <w:sz w:val="13"/>
                <w:szCs w:val="13"/>
              </w:rPr>
            </w:pPr>
            <w:r w:rsidRPr="006F2FC4">
              <w:rPr>
                <w:sz w:val="13"/>
                <w:szCs w:val="13"/>
              </w:rPr>
              <w:t>68.935</w:t>
            </w:r>
          </w:p>
        </w:tc>
        <w:tc>
          <w:tcPr>
            <w:tcW w:w="423" w:type="pct"/>
            <w:tcBorders>
              <w:bottom w:val="single" w:color="009EE0" w:sz="2" w:space="0"/>
            </w:tcBorders>
            <w:tcMar>
              <w:top w:w="22" w:type="dxa"/>
              <w:left w:w="28" w:type="dxa"/>
              <w:bottom w:w="22" w:type="dxa"/>
              <w:right w:w="28" w:type="dxa"/>
            </w:tcMar>
          </w:tcPr>
          <w:p w:rsidRPr="006F2FC4" w:rsidR="0084290D" w:rsidRDefault="00CF5B93" w14:paraId="76ABFE62" w14:textId="77777777">
            <w:pPr>
              <w:pStyle w:val="p-table"/>
              <w:jc w:val="right"/>
              <w:rPr>
                <w:sz w:val="13"/>
                <w:szCs w:val="13"/>
              </w:rPr>
            </w:pPr>
            <w:r w:rsidRPr="006F2FC4">
              <w:rPr>
                <w:sz w:val="13"/>
                <w:szCs w:val="13"/>
              </w:rPr>
              <w:t>800.000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F4AE2F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6F331F8" w14:textId="77777777">
            <w:pPr>
              <w:pStyle w:val="p-table"/>
              <w:jc w:val="right"/>
              <w:rPr>
                <w:sz w:val="13"/>
                <w:szCs w:val="13"/>
              </w:rPr>
            </w:pPr>
            <w:r w:rsidRPr="006F2FC4">
              <w:rPr>
                <w:sz w:val="13"/>
                <w:szCs w:val="13"/>
              </w:rPr>
              <w:t>25.000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AD0CF1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A455BB" w14:textId="77777777">
            <w:pPr>
              <w:pStyle w:val="p-table"/>
              <w:jc w:val="right"/>
              <w:rPr>
                <w:sz w:val="13"/>
                <w:szCs w:val="13"/>
              </w:rPr>
            </w:pPr>
            <w:r w:rsidRPr="006F2FC4">
              <w:rPr>
                <w:sz w:val="13"/>
                <w:szCs w:val="13"/>
              </w:rPr>
              <w:t>‒ 10.000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679B442" w14:textId="77777777">
            <w:pPr>
              <w:pStyle w:val="p-table"/>
              <w:jc w:val="right"/>
              <w:rPr>
                <w:sz w:val="13"/>
                <w:szCs w:val="13"/>
              </w:rPr>
            </w:pPr>
            <w:r w:rsidRPr="006F2FC4">
              <w:rPr>
                <w:sz w:val="13"/>
                <w:szCs w:val="13"/>
              </w:rPr>
              <w:t>841.787</w:t>
            </w:r>
          </w:p>
        </w:tc>
      </w:tr>
      <w:tr w:rsidR="0084290D" w:rsidTr="007433BE" w14:paraId="2C1C1265" w14:textId="77777777">
        <w:tc>
          <w:tcPr>
            <w:tcW w:w="1098" w:type="pct"/>
            <w:tcBorders>
              <w:bottom w:val="single" w:color="009EE0" w:sz="2" w:space="0"/>
            </w:tcBorders>
            <w:tcMar>
              <w:top w:w="22" w:type="dxa"/>
              <w:bottom w:w="22" w:type="dxa"/>
              <w:right w:w="28" w:type="dxa"/>
            </w:tcMar>
          </w:tcPr>
          <w:p w:rsidRPr="006F2FC4" w:rsidR="0084290D" w:rsidRDefault="00CF5B93" w14:paraId="708A0297" w14:textId="77777777">
            <w:pPr>
              <w:pStyle w:val="p-table"/>
              <w:rPr>
                <w:sz w:val="13"/>
                <w:szCs w:val="13"/>
              </w:rPr>
            </w:pPr>
            <w:r w:rsidRPr="006F2FC4">
              <w:rPr>
                <w:sz w:val="13"/>
                <w:szCs w:val="13"/>
              </w:rPr>
              <w:t>Winstafdracht DNB</w:t>
            </w:r>
          </w:p>
        </w:tc>
        <w:tc>
          <w:tcPr>
            <w:tcW w:w="381" w:type="pct"/>
            <w:tcBorders>
              <w:bottom w:val="single" w:color="009EE0" w:sz="2" w:space="0"/>
            </w:tcBorders>
            <w:tcMar>
              <w:top w:w="22" w:type="dxa"/>
              <w:left w:w="28" w:type="dxa"/>
              <w:bottom w:w="22" w:type="dxa"/>
              <w:right w:w="28" w:type="dxa"/>
            </w:tcMar>
          </w:tcPr>
          <w:p w:rsidRPr="006F2FC4" w:rsidR="0084290D" w:rsidRDefault="00CF5B93" w14:paraId="79925D9A"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F1DDBCC"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7860EE1"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CF5ABA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7C5E37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DB3BA2D"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2FA0C7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DBC187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402E5F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E3D2E0B" w14:textId="77777777">
            <w:pPr>
              <w:pStyle w:val="p-table"/>
              <w:jc w:val="right"/>
              <w:rPr>
                <w:sz w:val="13"/>
                <w:szCs w:val="13"/>
              </w:rPr>
            </w:pPr>
            <w:r w:rsidRPr="006F2FC4">
              <w:rPr>
                <w:sz w:val="13"/>
                <w:szCs w:val="13"/>
              </w:rPr>
              <w:t>0</w:t>
            </w:r>
          </w:p>
        </w:tc>
      </w:tr>
      <w:tr w:rsidR="0084290D" w:rsidTr="007433BE" w14:paraId="2EC92639" w14:textId="77777777">
        <w:tc>
          <w:tcPr>
            <w:tcW w:w="1098" w:type="pct"/>
            <w:tcBorders>
              <w:bottom w:val="single" w:color="009EE0" w:sz="2" w:space="0"/>
            </w:tcBorders>
            <w:tcMar>
              <w:top w:w="22" w:type="dxa"/>
              <w:bottom w:w="22" w:type="dxa"/>
              <w:right w:w="28" w:type="dxa"/>
            </w:tcMar>
          </w:tcPr>
          <w:p w:rsidRPr="006F2FC4" w:rsidR="0084290D" w:rsidRDefault="00CF5B93" w14:paraId="4BFA8196" w14:textId="77777777">
            <w:pPr>
              <w:pStyle w:val="p-table"/>
              <w:rPr>
                <w:sz w:val="13"/>
                <w:szCs w:val="13"/>
              </w:rPr>
            </w:pPr>
            <w:r w:rsidRPr="006F2FC4">
              <w:rPr>
                <w:i/>
                <w:sz w:val="13"/>
                <w:szCs w:val="13"/>
              </w:rPr>
              <w:t>waarvan: Griekse inkomsten SMP</w:t>
            </w:r>
          </w:p>
        </w:tc>
        <w:tc>
          <w:tcPr>
            <w:tcW w:w="381" w:type="pct"/>
            <w:tcBorders>
              <w:bottom w:val="single" w:color="009EE0" w:sz="2" w:space="0"/>
            </w:tcBorders>
            <w:tcMar>
              <w:top w:w="22" w:type="dxa"/>
              <w:left w:w="28" w:type="dxa"/>
              <w:bottom w:w="22" w:type="dxa"/>
              <w:right w:w="28" w:type="dxa"/>
            </w:tcMar>
          </w:tcPr>
          <w:p w:rsidRPr="006F2FC4" w:rsidR="0084290D" w:rsidRDefault="00CF5B93" w14:paraId="644A299D"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C2B48E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3976EDF"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3855561"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D29212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DEA013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53D038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0BD318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20E513"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A00E11F" w14:textId="77777777">
            <w:pPr>
              <w:pStyle w:val="p-table"/>
              <w:jc w:val="right"/>
              <w:rPr>
                <w:sz w:val="13"/>
                <w:szCs w:val="13"/>
              </w:rPr>
            </w:pPr>
            <w:r w:rsidRPr="006F2FC4">
              <w:rPr>
                <w:sz w:val="13"/>
                <w:szCs w:val="13"/>
              </w:rPr>
              <w:t>0</w:t>
            </w:r>
          </w:p>
        </w:tc>
      </w:tr>
      <w:tr w:rsidR="0084290D" w:rsidTr="007433BE" w14:paraId="30235836" w14:textId="77777777">
        <w:tc>
          <w:tcPr>
            <w:tcW w:w="1098" w:type="pct"/>
            <w:tcBorders>
              <w:bottom w:val="single" w:color="009EE0" w:sz="2" w:space="0"/>
            </w:tcBorders>
            <w:tcMar>
              <w:top w:w="22" w:type="dxa"/>
              <w:bottom w:w="22" w:type="dxa"/>
              <w:right w:w="28" w:type="dxa"/>
            </w:tcMar>
          </w:tcPr>
          <w:p w:rsidRPr="006F2FC4" w:rsidR="0084290D" w:rsidRDefault="00CF5B93" w14:paraId="75CC28E1" w14:textId="77777777">
            <w:pPr>
              <w:pStyle w:val="p-table"/>
              <w:rPr>
                <w:sz w:val="13"/>
                <w:szCs w:val="13"/>
              </w:rPr>
            </w:pPr>
            <w:r w:rsidRPr="006F2FC4">
              <w:rPr>
                <w:i/>
                <w:sz w:val="13"/>
                <w:szCs w:val="13"/>
              </w:rPr>
              <w:t>waarvan: rente-inkomsten ESM</w:t>
            </w:r>
          </w:p>
        </w:tc>
        <w:tc>
          <w:tcPr>
            <w:tcW w:w="381" w:type="pct"/>
            <w:tcBorders>
              <w:bottom w:val="single" w:color="009EE0" w:sz="2" w:space="0"/>
            </w:tcBorders>
            <w:tcMar>
              <w:top w:w="22" w:type="dxa"/>
              <w:left w:w="28" w:type="dxa"/>
              <w:bottom w:w="22" w:type="dxa"/>
              <w:right w:w="28" w:type="dxa"/>
            </w:tcMar>
          </w:tcPr>
          <w:p w:rsidRPr="006F2FC4" w:rsidR="0084290D" w:rsidRDefault="00CF5B93" w14:paraId="34492737"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5723CF9"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A9A0E0D"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4319CA49"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4F7229E3"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9BDBB5C"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EC9A6B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90DA2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27C6A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FFBF643" w14:textId="77777777">
            <w:pPr>
              <w:pStyle w:val="p-table"/>
              <w:jc w:val="right"/>
              <w:rPr>
                <w:sz w:val="13"/>
                <w:szCs w:val="13"/>
              </w:rPr>
            </w:pPr>
            <w:r w:rsidRPr="006F2FC4">
              <w:rPr>
                <w:sz w:val="13"/>
                <w:szCs w:val="13"/>
              </w:rPr>
              <w:t>0</w:t>
            </w:r>
          </w:p>
        </w:tc>
      </w:tr>
      <w:tr w:rsidR="0084290D" w:rsidTr="007433BE" w14:paraId="48A8EEE9" w14:textId="77777777">
        <w:tc>
          <w:tcPr>
            <w:tcW w:w="1098" w:type="pct"/>
            <w:tcBorders>
              <w:bottom w:val="single" w:color="009EE0" w:sz="2" w:space="0"/>
            </w:tcBorders>
            <w:tcMar>
              <w:top w:w="22" w:type="dxa"/>
              <w:bottom w:w="22" w:type="dxa"/>
              <w:right w:w="28" w:type="dxa"/>
            </w:tcMar>
          </w:tcPr>
          <w:p w:rsidRPr="006F2FC4" w:rsidR="0084290D" w:rsidRDefault="0084290D" w14:paraId="56FBCA6F"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1491F4B8"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3E65FC01"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69817EF0"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27EFAF74"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312ACF0E"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525624BA"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DCBC8D7"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1DE4AEB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90F1DFC"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03FE2A49" w14:textId="77777777">
            <w:pPr>
              <w:pStyle w:val="p-table"/>
              <w:rPr>
                <w:sz w:val="13"/>
                <w:szCs w:val="13"/>
              </w:rPr>
            </w:pPr>
          </w:p>
        </w:tc>
      </w:tr>
      <w:tr w:rsidR="0084290D" w:rsidTr="007433BE" w14:paraId="6ABC906D" w14:textId="77777777">
        <w:tc>
          <w:tcPr>
            <w:tcW w:w="1098" w:type="pct"/>
            <w:tcBorders>
              <w:bottom w:val="single" w:color="009EE0" w:sz="2" w:space="0"/>
            </w:tcBorders>
            <w:tcMar>
              <w:top w:w="22" w:type="dxa"/>
              <w:bottom w:w="22" w:type="dxa"/>
              <w:right w:w="28" w:type="dxa"/>
            </w:tcMar>
          </w:tcPr>
          <w:p w:rsidRPr="006F2FC4" w:rsidR="0084290D" w:rsidRDefault="00CF5B93" w14:paraId="13E249EC" w14:textId="77777777">
            <w:pPr>
              <w:pStyle w:val="p-table"/>
              <w:rPr>
                <w:sz w:val="13"/>
                <w:szCs w:val="13"/>
              </w:rPr>
            </w:pPr>
            <w:r w:rsidRPr="006F2FC4">
              <w:rPr>
                <w:b/>
                <w:sz w:val="13"/>
                <w:szCs w:val="13"/>
              </w:rPr>
              <w:t>Bijdrage aan ZBO's/RWT's</w:t>
            </w:r>
          </w:p>
        </w:tc>
        <w:tc>
          <w:tcPr>
            <w:tcW w:w="381" w:type="pct"/>
            <w:tcBorders>
              <w:bottom w:val="single" w:color="009EE0" w:sz="2" w:space="0"/>
            </w:tcBorders>
            <w:tcMar>
              <w:top w:w="22" w:type="dxa"/>
              <w:left w:w="28" w:type="dxa"/>
              <w:bottom w:w="22" w:type="dxa"/>
              <w:right w:w="28" w:type="dxa"/>
            </w:tcMar>
          </w:tcPr>
          <w:p w:rsidRPr="006F2FC4" w:rsidR="0084290D" w:rsidRDefault="00CF5B93" w14:paraId="6B3A9E13" w14:textId="77777777">
            <w:pPr>
              <w:pStyle w:val="p-table"/>
              <w:jc w:val="right"/>
              <w:rPr>
                <w:sz w:val="13"/>
                <w:szCs w:val="13"/>
              </w:rPr>
            </w:pPr>
            <w:r w:rsidRPr="006F2FC4">
              <w:rPr>
                <w:b/>
                <w:sz w:val="13"/>
                <w:szCs w:val="13"/>
              </w:rPr>
              <w:t>4.500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42CF39B6"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2E5C9DE" w14:textId="77777777">
            <w:pPr>
              <w:pStyle w:val="p-table"/>
              <w:jc w:val="right"/>
              <w:rPr>
                <w:sz w:val="13"/>
                <w:szCs w:val="13"/>
              </w:rPr>
            </w:pPr>
            <w:r w:rsidRPr="006F2FC4">
              <w:rPr>
                <w:b/>
                <w:sz w:val="13"/>
                <w:szCs w:val="13"/>
              </w:rPr>
              <w:t>4.500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47E1FD0"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5976A6B" w14:textId="77777777">
            <w:pPr>
              <w:pStyle w:val="p-table"/>
              <w:jc w:val="right"/>
              <w:rPr>
                <w:sz w:val="13"/>
                <w:szCs w:val="13"/>
              </w:rPr>
            </w:pPr>
            <w:r w:rsidRPr="006F2FC4">
              <w:rPr>
                <w:b/>
                <w:sz w:val="13"/>
                <w:szCs w:val="13"/>
              </w:rPr>
              <w:t>4.500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CDA6E61"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2C93B1B"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CED59AC"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95CD51"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5F247E2" w14:textId="77777777">
            <w:pPr>
              <w:pStyle w:val="p-table"/>
              <w:jc w:val="right"/>
              <w:rPr>
                <w:sz w:val="13"/>
                <w:szCs w:val="13"/>
              </w:rPr>
            </w:pPr>
            <w:r w:rsidRPr="006F2FC4">
              <w:rPr>
                <w:b/>
                <w:sz w:val="13"/>
                <w:szCs w:val="13"/>
              </w:rPr>
              <w:t>4.500</w:t>
            </w:r>
          </w:p>
        </w:tc>
      </w:tr>
      <w:tr w:rsidR="0084290D" w:rsidTr="007433BE" w14:paraId="65215538" w14:textId="77777777">
        <w:tc>
          <w:tcPr>
            <w:tcW w:w="1098" w:type="pct"/>
            <w:tcBorders>
              <w:bottom w:val="single" w:color="009EE0" w:sz="2" w:space="0"/>
            </w:tcBorders>
            <w:tcMar>
              <w:top w:w="22" w:type="dxa"/>
              <w:bottom w:w="22" w:type="dxa"/>
              <w:right w:w="28" w:type="dxa"/>
            </w:tcMar>
          </w:tcPr>
          <w:p w:rsidRPr="006F2FC4" w:rsidR="0084290D" w:rsidRDefault="00CF5B93" w14:paraId="5EFD9204" w14:textId="77777777">
            <w:pPr>
              <w:pStyle w:val="p-table"/>
              <w:rPr>
                <w:sz w:val="13"/>
                <w:szCs w:val="13"/>
              </w:rPr>
            </w:pPr>
            <w:r w:rsidRPr="006F2FC4">
              <w:rPr>
                <w:sz w:val="13"/>
                <w:szCs w:val="13"/>
              </w:rPr>
              <w:t>NLFI</w:t>
            </w:r>
          </w:p>
        </w:tc>
        <w:tc>
          <w:tcPr>
            <w:tcW w:w="381" w:type="pct"/>
            <w:tcBorders>
              <w:bottom w:val="single" w:color="009EE0" w:sz="2" w:space="0"/>
            </w:tcBorders>
            <w:tcMar>
              <w:top w:w="22" w:type="dxa"/>
              <w:left w:w="28" w:type="dxa"/>
              <w:bottom w:w="22" w:type="dxa"/>
              <w:right w:w="28" w:type="dxa"/>
            </w:tcMar>
          </w:tcPr>
          <w:p w:rsidRPr="006F2FC4" w:rsidR="0084290D" w:rsidRDefault="00CF5B93" w14:paraId="40D79D49" w14:textId="77777777">
            <w:pPr>
              <w:pStyle w:val="p-table"/>
              <w:jc w:val="right"/>
              <w:rPr>
                <w:sz w:val="13"/>
                <w:szCs w:val="13"/>
              </w:rPr>
            </w:pPr>
            <w:r w:rsidRPr="006F2FC4">
              <w:rPr>
                <w:sz w:val="13"/>
                <w:szCs w:val="13"/>
              </w:rPr>
              <w:t>4.500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AB9E0B3"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7EDEB13" w14:textId="77777777">
            <w:pPr>
              <w:pStyle w:val="p-table"/>
              <w:jc w:val="right"/>
              <w:rPr>
                <w:sz w:val="13"/>
                <w:szCs w:val="13"/>
              </w:rPr>
            </w:pPr>
            <w:r w:rsidRPr="006F2FC4">
              <w:rPr>
                <w:sz w:val="13"/>
                <w:szCs w:val="13"/>
              </w:rPr>
              <w:t>4.500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3D600CA6"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8D2007E" w14:textId="77777777">
            <w:pPr>
              <w:pStyle w:val="p-table"/>
              <w:jc w:val="right"/>
              <w:rPr>
                <w:sz w:val="13"/>
                <w:szCs w:val="13"/>
              </w:rPr>
            </w:pPr>
            <w:r w:rsidRPr="006F2FC4">
              <w:rPr>
                <w:sz w:val="13"/>
                <w:szCs w:val="13"/>
              </w:rPr>
              <w:t>4.500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B69A07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E3EB686"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6ED07B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4E244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D2194D" w14:textId="77777777">
            <w:pPr>
              <w:pStyle w:val="p-table"/>
              <w:jc w:val="right"/>
              <w:rPr>
                <w:sz w:val="13"/>
                <w:szCs w:val="13"/>
              </w:rPr>
            </w:pPr>
            <w:r w:rsidRPr="006F2FC4">
              <w:rPr>
                <w:sz w:val="13"/>
                <w:szCs w:val="13"/>
              </w:rPr>
              <w:t>4.500</w:t>
            </w:r>
          </w:p>
        </w:tc>
      </w:tr>
    </w:tbl>
    <w:p w:rsidR="0084290D" w:rsidRDefault="0084290D" w14:paraId="4ACF32AA" w14:textId="77777777">
      <w:pPr>
        <w:pStyle w:val="p-marginbottom"/>
      </w:pPr>
    </w:p>
    <w:tbl>
      <w:tblPr>
        <w:tblW w:w="5000" w:type="pct"/>
        <w:tblCellMar>
          <w:left w:w="10" w:type="dxa"/>
          <w:right w:w="10" w:type="dxa"/>
        </w:tblCellMar>
        <w:tblLook w:val="0000" w:firstRow="0" w:lastRow="0" w:firstColumn="0" w:lastColumn="0" w:noHBand="0" w:noVBand="0"/>
      </w:tblPr>
      <w:tblGrid>
        <w:gridCol w:w="2124"/>
        <w:gridCol w:w="723"/>
        <w:gridCol w:w="820"/>
        <w:gridCol w:w="820"/>
        <w:gridCol w:w="742"/>
        <w:gridCol w:w="820"/>
        <w:gridCol w:w="723"/>
        <w:gridCol w:w="723"/>
        <w:gridCol w:w="723"/>
        <w:gridCol w:w="723"/>
        <w:gridCol w:w="725"/>
      </w:tblGrid>
      <w:tr w:rsidR="0084290D" w:rsidTr="007433BE" w14:paraId="2B0E475A" w14:textId="77777777">
        <w:trPr>
          <w:tblHeader/>
        </w:trPr>
        <w:tc>
          <w:tcPr>
            <w:tcW w:w="5000" w:type="pct"/>
            <w:gridSpan w:val="11"/>
            <w:tcMar>
              <w:top w:w="22" w:type="dxa"/>
              <w:left w:w="113" w:type="dxa"/>
              <w:bottom w:w="22" w:type="dxa"/>
            </w:tcMar>
          </w:tcPr>
          <w:p w:rsidR="0084290D" w:rsidRDefault="00CF5B93" w14:paraId="09D77E20" w14:textId="77777777">
            <w:pPr>
              <w:pStyle w:val="kio2-table-title"/>
            </w:pPr>
            <w:r>
              <w:lastRenderedPageBreak/>
              <w:t>Tabel 14 Uitsplitsing verplichtingen (bedragen x € 1.000)</w:t>
            </w:r>
          </w:p>
        </w:tc>
      </w:tr>
      <w:tr w:rsidR="0084290D" w:rsidTr="007433BE" w14:paraId="10EB4218" w14:textId="77777777">
        <w:trPr>
          <w:tblHeader/>
        </w:trPr>
        <w:tc>
          <w:tcPr>
            <w:tcW w:w="1099" w:type="pct"/>
            <w:tcBorders>
              <w:top w:val="single" w:color="000000" w:sz="2" w:space="0"/>
              <w:bottom w:val="single" w:color="009EE0" w:sz="2" w:space="0"/>
            </w:tcBorders>
            <w:tcMar>
              <w:top w:w="28" w:type="dxa"/>
              <w:bottom w:w="28" w:type="dxa"/>
              <w:right w:w="28" w:type="dxa"/>
            </w:tcMar>
          </w:tcPr>
          <w:p w:rsidRPr="006F2FC4" w:rsidR="0084290D" w:rsidRDefault="00CF5B93" w14:paraId="5DD4043C" w14:textId="77777777">
            <w:pPr>
              <w:pStyle w:val="p-table"/>
              <w:rPr>
                <w:color w:val="000000"/>
                <w:sz w:val="13"/>
                <w:szCs w:val="13"/>
              </w:rPr>
            </w:pPr>
            <w:r w:rsidRPr="006F2FC4">
              <w:rPr>
                <w:color w:val="000000"/>
                <w:sz w:val="13"/>
                <w:szCs w:val="13"/>
              </w:rPr>
              <w:t>Omschrijving</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9B36902" w14:textId="77777777">
            <w:pPr>
              <w:pStyle w:val="p-table"/>
              <w:jc w:val="right"/>
              <w:rPr>
                <w:color w:val="000000"/>
                <w:sz w:val="13"/>
                <w:szCs w:val="13"/>
              </w:rPr>
            </w:pPr>
            <w:r w:rsidRPr="006F2FC4">
              <w:rPr>
                <w:color w:val="000000"/>
                <w:sz w:val="13"/>
                <w:szCs w:val="13"/>
              </w:rPr>
              <w:t>Ontwerpbegroting 2026 (1)</w:t>
            </w:r>
          </w:p>
        </w:tc>
        <w:tc>
          <w:tcPr>
            <w:tcW w:w="4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2D04B30" w14:textId="77777777">
            <w:pPr>
              <w:pStyle w:val="p-table"/>
              <w:jc w:val="right"/>
              <w:rPr>
                <w:color w:val="000000"/>
                <w:sz w:val="13"/>
                <w:szCs w:val="13"/>
              </w:rPr>
            </w:pPr>
            <w:r w:rsidRPr="006F2FC4">
              <w:rPr>
                <w:color w:val="000000"/>
                <w:sz w:val="13"/>
                <w:szCs w:val="13"/>
              </w:rPr>
              <w:t>Mutaties via NvW, moties, amendementen en ISB (2)</w:t>
            </w:r>
          </w:p>
        </w:tc>
        <w:tc>
          <w:tcPr>
            <w:tcW w:w="4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BE16BFE" w14:textId="77777777">
            <w:pPr>
              <w:pStyle w:val="p-table"/>
              <w:jc w:val="right"/>
              <w:rPr>
                <w:color w:val="000000"/>
                <w:sz w:val="13"/>
                <w:szCs w:val="13"/>
              </w:rPr>
            </w:pPr>
            <w:r w:rsidRPr="006F2FC4">
              <w:rPr>
                <w:color w:val="000000"/>
                <w:sz w:val="13"/>
                <w:szCs w:val="13"/>
              </w:rPr>
              <w:t>Vastgestelde begroting 2026 (3)=(1)+(2)</w:t>
            </w:r>
          </w:p>
        </w:tc>
        <w:tc>
          <w:tcPr>
            <w:tcW w:w="38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1F8DD45"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34D6C6C"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C45223B" w14:textId="77777777">
            <w:pPr>
              <w:pStyle w:val="p-table"/>
              <w:jc w:val="right"/>
              <w:rPr>
                <w:color w:val="000000"/>
                <w:sz w:val="13"/>
                <w:szCs w:val="13"/>
              </w:rPr>
            </w:pPr>
            <w:r w:rsidRPr="006F2FC4">
              <w:rPr>
                <w:color w:val="000000"/>
                <w:sz w:val="13"/>
                <w:szCs w:val="13"/>
              </w:rPr>
              <w:t>Mutatie 2027</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33F17B7" w14:textId="77777777">
            <w:pPr>
              <w:pStyle w:val="p-table"/>
              <w:jc w:val="right"/>
              <w:rPr>
                <w:color w:val="000000"/>
                <w:sz w:val="13"/>
                <w:szCs w:val="13"/>
              </w:rPr>
            </w:pPr>
            <w:r w:rsidRPr="006F2FC4">
              <w:rPr>
                <w:color w:val="000000"/>
                <w:sz w:val="13"/>
                <w:szCs w:val="13"/>
              </w:rPr>
              <w:t>Mutatie 2028</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67D8FA2" w14:textId="77777777">
            <w:pPr>
              <w:pStyle w:val="p-table"/>
              <w:jc w:val="right"/>
              <w:rPr>
                <w:color w:val="000000"/>
                <w:sz w:val="13"/>
                <w:szCs w:val="13"/>
              </w:rPr>
            </w:pPr>
            <w:r w:rsidRPr="006F2FC4">
              <w:rPr>
                <w:color w:val="000000"/>
                <w:sz w:val="13"/>
                <w:szCs w:val="13"/>
              </w:rPr>
              <w:t>Mutatie 2029</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9FC36FB" w14:textId="77777777">
            <w:pPr>
              <w:pStyle w:val="p-table"/>
              <w:jc w:val="right"/>
              <w:rPr>
                <w:color w:val="000000"/>
                <w:sz w:val="13"/>
                <w:szCs w:val="13"/>
              </w:rPr>
            </w:pPr>
            <w:r w:rsidRPr="006F2FC4">
              <w:rPr>
                <w:color w:val="000000"/>
                <w:sz w:val="13"/>
                <w:szCs w:val="13"/>
              </w:rPr>
              <w:t>Mutatie 2030</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BD62235" w14:textId="77777777">
            <w:pPr>
              <w:pStyle w:val="p-table"/>
              <w:jc w:val="right"/>
              <w:rPr>
                <w:color w:val="000000"/>
                <w:sz w:val="13"/>
                <w:szCs w:val="13"/>
              </w:rPr>
            </w:pPr>
            <w:r w:rsidRPr="006F2FC4">
              <w:rPr>
                <w:color w:val="000000"/>
                <w:sz w:val="13"/>
                <w:szCs w:val="13"/>
              </w:rPr>
              <w:t>Mutatie 2031</w:t>
            </w:r>
          </w:p>
        </w:tc>
      </w:tr>
      <w:tr w:rsidR="0084290D" w:rsidTr="007433BE" w14:paraId="122F888A" w14:textId="77777777">
        <w:tc>
          <w:tcPr>
            <w:tcW w:w="1099" w:type="pct"/>
            <w:tcBorders>
              <w:bottom w:val="single" w:color="009EE0" w:sz="2" w:space="0"/>
            </w:tcBorders>
            <w:tcMar>
              <w:top w:w="22" w:type="dxa"/>
              <w:bottom w:w="22" w:type="dxa"/>
              <w:right w:w="28" w:type="dxa"/>
            </w:tcMar>
          </w:tcPr>
          <w:p w:rsidRPr="006F2FC4" w:rsidR="0084290D" w:rsidRDefault="00CF5B93" w14:paraId="2C53497E" w14:textId="77777777">
            <w:pPr>
              <w:pStyle w:val="p-table"/>
              <w:rPr>
                <w:sz w:val="13"/>
                <w:szCs w:val="13"/>
              </w:rPr>
            </w:pPr>
            <w:r w:rsidRPr="006F2FC4">
              <w:rPr>
                <w:b/>
                <w:sz w:val="13"/>
                <w:szCs w:val="13"/>
              </w:rPr>
              <w:t>Verplichtingen</w:t>
            </w:r>
          </w:p>
        </w:tc>
        <w:tc>
          <w:tcPr>
            <w:tcW w:w="374" w:type="pct"/>
            <w:tcBorders>
              <w:bottom w:val="single" w:color="009EE0" w:sz="2" w:space="0"/>
            </w:tcBorders>
            <w:tcMar>
              <w:top w:w="22" w:type="dxa"/>
              <w:left w:w="28" w:type="dxa"/>
              <w:bottom w:w="22" w:type="dxa"/>
              <w:right w:w="28" w:type="dxa"/>
            </w:tcMar>
          </w:tcPr>
          <w:p w:rsidRPr="006F2FC4" w:rsidR="0084290D" w:rsidRDefault="00CF5B93" w14:paraId="12373826" w14:textId="77777777">
            <w:pPr>
              <w:pStyle w:val="p-table"/>
              <w:jc w:val="right"/>
              <w:rPr>
                <w:sz w:val="13"/>
                <w:szCs w:val="13"/>
              </w:rPr>
            </w:pPr>
            <w:r w:rsidRPr="006F2FC4">
              <w:rPr>
                <w:b/>
                <w:sz w:val="13"/>
                <w:szCs w:val="13"/>
              </w:rPr>
              <w:t>‒ 5.640.641</w:t>
            </w:r>
          </w:p>
        </w:tc>
        <w:tc>
          <w:tcPr>
            <w:tcW w:w="424" w:type="pct"/>
            <w:tcBorders>
              <w:bottom w:val="single" w:color="009EE0" w:sz="2" w:space="0"/>
            </w:tcBorders>
            <w:tcMar>
              <w:top w:w="22" w:type="dxa"/>
              <w:left w:w="28" w:type="dxa"/>
              <w:bottom w:w="22" w:type="dxa"/>
              <w:right w:w="28" w:type="dxa"/>
            </w:tcMar>
          </w:tcPr>
          <w:p w:rsidRPr="006F2FC4" w:rsidR="0084290D" w:rsidRDefault="00CF5B93" w14:paraId="6B71C752" w14:textId="77777777">
            <w:pPr>
              <w:pStyle w:val="p-table"/>
              <w:jc w:val="right"/>
              <w:rPr>
                <w:sz w:val="13"/>
                <w:szCs w:val="13"/>
              </w:rPr>
            </w:pPr>
            <w:r w:rsidRPr="006F2FC4">
              <w:rPr>
                <w:b/>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6F87381" w14:textId="77777777">
            <w:pPr>
              <w:pStyle w:val="p-table"/>
              <w:jc w:val="right"/>
              <w:rPr>
                <w:sz w:val="13"/>
                <w:szCs w:val="13"/>
              </w:rPr>
            </w:pPr>
            <w:r w:rsidRPr="006F2FC4">
              <w:rPr>
                <w:b/>
                <w:sz w:val="13"/>
                <w:szCs w:val="13"/>
              </w:rPr>
              <w:t>‒ 5.640.641</w:t>
            </w:r>
          </w:p>
        </w:tc>
        <w:tc>
          <w:tcPr>
            <w:tcW w:w="384" w:type="pct"/>
            <w:tcBorders>
              <w:bottom w:val="single" w:color="009EE0" w:sz="2" w:space="0"/>
            </w:tcBorders>
            <w:tcMar>
              <w:top w:w="22" w:type="dxa"/>
              <w:left w:w="28" w:type="dxa"/>
              <w:bottom w:w="22" w:type="dxa"/>
              <w:right w:w="28" w:type="dxa"/>
            </w:tcMar>
          </w:tcPr>
          <w:p w:rsidRPr="006F2FC4" w:rsidR="0084290D" w:rsidRDefault="00CF5B93" w14:paraId="0473BFC2" w14:textId="77777777">
            <w:pPr>
              <w:pStyle w:val="p-table"/>
              <w:jc w:val="right"/>
              <w:rPr>
                <w:sz w:val="13"/>
                <w:szCs w:val="13"/>
              </w:rPr>
            </w:pPr>
            <w:r w:rsidRPr="006F2FC4">
              <w:rPr>
                <w:b/>
                <w:sz w:val="13"/>
                <w:szCs w:val="13"/>
              </w:rPr>
              <w:t>14.873.580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790292D" w14:textId="77777777">
            <w:pPr>
              <w:pStyle w:val="p-table"/>
              <w:jc w:val="right"/>
              <w:rPr>
                <w:sz w:val="13"/>
                <w:szCs w:val="13"/>
              </w:rPr>
            </w:pPr>
            <w:r w:rsidRPr="006F2FC4">
              <w:rPr>
                <w:b/>
                <w:sz w:val="13"/>
                <w:szCs w:val="13"/>
              </w:rPr>
              <w:t>9.232.939</w:t>
            </w:r>
          </w:p>
        </w:tc>
        <w:tc>
          <w:tcPr>
            <w:tcW w:w="374" w:type="pct"/>
            <w:tcBorders>
              <w:bottom w:val="single" w:color="009EE0" w:sz="2" w:space="0"/>
            </w:tcBorders>
            <w:tcMar>
              <w:top w:w="22" w:type="dxa"/>
              <w:left w:w="28" w:type="dxa"/>
              <w:bottom w:w="22" w:type="dxa"/>
              <w:right w:w="28" w:type="dxa"/>
            </w:tcMar>
          </w:tcPr>
          <w:p w:rsidRPr="006F2FC4" w:rsidR="0084290D" w:rsidRDefault="00CF5B93" w14:paraId="208889ED" w14:textId="77777777">
            <w:pPr>
              <w:pStyle w:val="p-table"/>
              <w:jc w:val="right"/>
              <w:rPr>
                <w:sz w:val="13"/>
                <w:szCs w:val="13"/>
              </w:rPr>
            </w:pPr>
            <w:r w:rsidRPr="006F2FC4">
              <w:rPr>
                <w:b/>
                <w:sz w:val="13"/>
                <w:szCs w:val="13"/>
              </w:rPr>
              <w:t>37.822</w:t>
            </w:r>
          </w:p>
        </w:tc>
        <w:tc>
          <w:tcPr>
            <w:tcW w:w="374" w:type="pct"/>
            <w:tcBorders>
              <w:bottom w:val="single" w:color="009EE0" w:sz="2" w:space="0"/>
            </w:tcBorders>
            <w:tcMar>
              <w:top w:w="22" w:type="dxa"/>
              <w:left w:w="28" w:type="dxa"/>
              <w:bottom w:w="22" w:type="dxa"/>
              <w:right w:w="28" w:type="dxa"/>
            </w:tcMar>
          </w:tcPr>
          <w:p w:rsidRPr="006F2FC4" w:rsidR="0084290D" w:rsidRDefault="00CF5B93" w14:paraId="31201620" w14:textId="77777777">
            <w:pPr>
              <w:pStyle w:val="p-table"/>
              <w:jc w:val="right"/>
              <w:rPr>
                <w:sz w:val="13"/>
                <w:szCs w:val="13"/>
              </w:rPr>
            </w:pPr>
            <w:r w:rsidRPr="006F2FC4">
              <w:rPr>
                <w:b/>
                <w:sz w:val="13"/>
                <w:szCs w:val="13"/>
              </w:rPr>
              <w:t>28.630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6FD98FA" w14:textId="77777777">
            <w:pPr>
              <w:pStyle w:val="p-table"/>
              <w:jc w:val="right"/>
              <w:rPr>
                <w:sz w:val="13"/>
                <w:szCs w:val="13"/>
              </w:rPr>
            </w:pPr>
            <w:r w:rsidRPr="006F2FC4">
              <w:rPr>
                <w:b/>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9E27002" w14:textId="77777777">
            <w:pPr>
              <w:pStyle w:val="p-table"/>
              <w:jc w:val="right"/>
              <w:rPr>
                <w:sz w:val="13"/>
                <w:szCs w:val="13"/>
              </w:rPr>
            </w:pPr>
            <w:r w:rsidRPr="006F2FC4">
              <w:rPr>
                <w:b/>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EEFD79D" w14:textId="77777777">
            <w:pPr>
              <w:pStyle w:val="p-table"/>
              <w:jc w:val="right"/>
              <w:rPr>
                <w:sz w:val="13"/>
                <w:szCs w:val="13"/>
              </w:rPr>
            </w:pPr>
            <w:r w:rsidRPr="006F2FC4">
              <w:rPr>
                <w:b/>
                <w:sz w:val="13"/>
                <w:szCs w:val="13"/>
              </w:rPr>
              <w:t>109.259</w:t>
            </w:r>
          </w:p>
        </w:tc>
      </w:tr>
      <w:tr w:rsidR="0084290D" w:rsidTr="007433BE" w14:paraId="08671779" w14:textId="77777777">
        <w:tc>
          <w:tcPr>
            <w:tcW w:w="1099" w:type="pct"/>
            <w:tcBorders>
              <w:bottom w:val="single" w:color="009EE0" w:sz="2" w:space="0"/>
            </w:tcBorders>
            <w:tcMar>
              <w:top w:w="22" w:type="dxa"/>
              <w:bottom w:w="22" w:type="dxa"/>
              <w:right w:w="28" w:type="dxa"/>
            </w:tcMar>
          </w:tcPr>
          <w:p w:rsidRPr="006F2FC4" w:rsidR="0084290D" w:rsidRDefault="00CF5B93" w14:paraId="4495DC31" w14:textId="77777777">
            <w:pPr>
              <w:pStyle w:val="p-table"/>
              <w:rPr>
                <w:sz w:val="13"/>
                <w:szCs w:val="13"/>
              </w:rPr>
            </w:pPr>
            <w:r w:rsidRPr="006F2FC4">
              <w:rPr>
                <w:i/>
                <w:sz w:val="13"/>
                <w:szCs w:val="13"/>
              </w:rPr>
              <w:t>waarvan</w:t>
            </w:r>
            <w:r w:rsidRPr="006F2FC4">
              <w:rPr>
                <w:sz w:val="13"/>
                <w:szCs w:val="13"/>
              </w:rPr>
              <w:t xml:space="preserve"> garantieverplichtingen</w:t>
            </w:r>
          </w:p>
        </w:tc>
        <w:tc>
          <w:tcPr>
            <w:tcW w:w="374" w:type="pct"/>
            <w:tcBorders>
              <w:bottom w:val="single" w:color="009EE0" w:sz="2" w:space="0"/>
            </w:tcBorders>
            <w:tcMar>
              <w:top w:w="22" w:type="dxa"/>
              <w:left w:w="28" w:type="dxa"/>
              <w:bottom w:w="22" w:type="dxa"/>
              <w:right w:w="28" w:type="dxa"/>
            </w:tcMar>
          </w:tcPr>
          <w:p w:rsidRPr="006F2FC4" w:rsidR="0084290D" w:rsidRDefault="00CF5B93" w14:paraId="442D1745"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0E2993F"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01DBDEE"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00C4E91" w14:textId="77777777">
            <w:pPr>
              <w:pStyle w:val="p-table"/>
              <w:jc w:val="right"/>
              <w:rPr>
                <w:sz w:val="13"/>
                <w:szCs w:val="13"/>
              </w:rPr>
            </w:pPr>
            <w:r w:rsidRPr="006F2FC4">
              <w:rPr>
                <w:sz w:val="13"/>
                <w:szCs w:val="13"/>
              </w:rPr>
              <w:t>8.736.558</w:t>
            </w:r>
          </w:p>
        </w:tc>
        <w:tc>
          <w:tcPr>
            <w:tcW w:w="424" w:type="pct"/>
            <w:tcBorders>
              <w:bottom w:val="single" w:color="009EE0" w:sz="2" w:space="0"/>
            </w:tcBorders>
            <w:tcMar>
              <w:top w:w="22" w:type="dxa"/>
              <w:left w:w="28" w:type="dxa"/>
              <w:bottom w:w="22" w:type="dxa"/>
              <w:right w:w="28" w:type="dxa"/>
            </w:tcMar>
          </w:tcPr>
          <w:p w:rsidRPr="006F2FC4" w:rsidR="0084290D" w:rsidRDefault="00CF5B93" w14:paraId="232EFB3A" w14:textId="77777777">
            <w:pPr>
              <w:pStyle w:val="p-table"/>
              <w:jc w:val="right"/>
              <w:rPr>
                <w:sz w:val="13"/>
                <w:szCs w:val="13"/>
              </w:rPr>
            </w:pPr>
            <w:r w:rsidRPr="006F2FC4">
              <w:rPr>
                <w:sz w:val="13"/>
                <w:szCs w:val="13"/>
              </w:rPr>
              <w:t>8.736.558</w:t>
            </w:r>
          </w:p>
        </w:tc>
        <w:tc>
          <w:tcPr>
            <w:tcW w:w="374" w:type="pct"/>
            <w:tcBorders>
              <w:bottom w:val="single" w:color="009EE0" w:sz="2" w:space="0"/>
            </w:tcBorders>
            <w:tcMar>
              <w:top w:w="22" w:type="dxa"/>
              <w:left w:w="28" w:type="dxa"/>
              <w:bottom w:w="22" w:type="dxa"/>
              <w:right w:w="28" w:type="dxa"/>
            </w:tcMar>
          </w:tcPr>
          <w:p w:rsidRPr="006F2FC4" w:rsidR="0084290D" w:rsidRDefault="00CF5B93" w14:paraId="5C689EEF"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4A61FE0"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6421A12D"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9311C27"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6C11F814" w14:textId="77777777">
            <w:pPr>
              <w:pStyle w:val="p-table"/>
              <w:jc w:val="right"/>
              <w:rPr>
                <w:sz w:val="13"/>
                <w:szCs w:val="13"/>
              </w:rPr>
            </w:pPr>
            <w:r w:rsidRPr="006F2FC4">
              <w:rPr>
                <w:sz w:val="13"/>
                <w:szCs w:val="13"/>
              </w:rPr>
              <w:t>0</w:t>
            </w:r>
          </w:p>
        </w:tc>
      </w:tr>
      <w:tr w:rsidR="0084290D" w:rsidTr="007433BE" w14:paraId="191084AB" w14:textId="77777777">
        <w:tc>
          <w:tcPr>
            <w:tcW w:w="1099" w:type="pct"/>
            <w:tcBorders>
              <w:bottom w:val="single" w:color="009EE0" w:sz="2" w:space="0"/>
            </w:tcBorders>
            <w:tcMar>
              <w:top w:w="22" w:type="dxa"/>
              <w:bottom w:w="22" w:type="dxa"/>
              <w:right w:w="28" w:type="dxa"/>
            </w:tcMar>
          </w:tcPr>
          <w:p w:rsidRPr="006F2FC4" w:rsidR="0084290D" w:rsidRDefault="00CF5B93" w14:paraId="75FC2856" w14:textId="77777777">
            <w:pPr>
              <w:pStyle w:val="p-table"/>
              <w:rPr>
                <w:sz w:val="13"/>
                <w:szCs w:val="13"/>
              </w:rPr>
            </w:pPr>
            <w:r w:rsidRPr="006F2FC4">
              <w:rPr>
                <w:sz w:val="13"/>
                <w:szCs w:val="13"/>
              </w:rPr>
              <w:t>Garantie FMO</w:t>
            </w:r>
          </w:p>
        </w:tc>
        <w:tc>
          <w:tcPr>
            <w:tcW w:w="374" w:type="pct"/>
            <w:tcBorders>
              <w:bottom w:val="single" w:color="009EE0" w:sz="2" w:space="0"/>
            </w:tcBorders>
            <w:tcMar>
              <w:top w:w="22" w:type="dxa"/>
              <w:left w:w="28" w:type="dxa"/>
              <w:bottom w:w="22" w:type="dxa"/>
              <w:right w:w="28" w:type="dxa"/>
            </w:tcMar>
          </w:tcPr>
          <w:p w:rsidRPr="006F2FC4" w:rsidR="0084290D" w:rsidRDefault="00CF5B93" w14:paraId="65A471F6"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0B4DAFB"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541CF9C"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8C67A66" w14:textId="77777777">
            <w:pPr>
              <w:pStyle w:val="p-table"/>
              <w:jc w:val="right"/>
              <w:rPr>
                <w:sz w:val="13"/>
                <w:szCs w:val="13"/>
              </w:rPr>
            </w:pPr>
            <w:r w:rsidRPr="006F2FC4">
              <w:rPr>
                <w:sz w:val="13"/>
                <w:szCs w:val="13"/>
              </w:rPr>
              <w:t>‒ 63.442</w:t>
            </w:r>
          </w:p>
        </w:tc>
        <w:tc>
          <w:tcPr>
            <w:tcW w:w="424" w:type="pct"/>
            <w:tcBorders>
              <w:bottom w:val="single" w:color="009EE0" w:sz="2" w:space="0"/>
            </w:tcBorders>
            <w:tcMar>
              <w:top w:w="22" w:type="dxa"/>
              <w:left w:w="28" w:type="dxa"/>
              <w:bottom w:w="22" w:type="dxa"/>
              <w:right w:w="28" w:type="dxa"/>
            </w:tcMar>
          </w:tcPr>
          <w:p w:rsidRPr="006F2FC4" w:rsidR="0084290D" w:rsidRDefault="00CF5B93" w14:paraId="61527604" w14:textId="77777777">
            <w:pPr>
              <w:pStyle w:val="p-table"/>
              <w:jc w:val="right"/>
              <w:rPr>
                <w:sz w:val="13"/>
                <w:szCs w:val="13"/>
              </w:rPr>
            </w:pPr>
            <w:r w:rsidRPr="006F2FC4">
              <w:rPr>
                <w:sz w:val="13"/>
                <w:szCs w:val="13"/>
              </w:rPr>
              <w:t>‒ 63.442</w:t>
            </w:r>
          </w:p>
        </w:tc>
        <w:tc>
          <w:tcPr>
            <w:tcW w:w="374" w:type="pct"/>
            <w:tcBorders>
              <w:bottom w:val="single" w:color="009EE0" w:sz="2" w:space="0"/>
            </w:tcBorders>
            <w:tcMar>
              <w:top w:w="22" w:type="dxa"/>
              <w:left w:w="28" w:type="dxa"/>
              <w:bottom w:w="22" w:type="dxa"/>
              <w:right w:w="28" w:type="dxa"/>
            </w:tcMar>
          </w:tcPr>
          <w:p w:rsidRPr="006F2FC4" w:rsidR="0084290D" w:rsidRDefault="00CF5B93" w14:paraId="338664ED"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5DA9A09"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6E541F1D"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C3A7F31"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B2E44C1" w14:textId="77777777">
            <w:pPr>
              <w:pStyle w:val="p-table"/>
              <w:jc w:val="right"/>
              <w:rPr>
                <w:sz w:val="13"/>
                <w:szCs w:val="13"/>
              </w:rPr>
            </w:pPr>
            <w:r w:rsidRPr="006F2FC4">
              <w:rPr>
                <w:sz w:val="13"/>
                <w:szCs w:val="13"/>
              </w:rPr>
              <w:t>0</w:t>
            </w:r>
          </w:p>
        </w:tc>
      </w:tr>
      <w:tr w:rsidR="0084290D" w:rsidTr="007433BE" w14:paraId="21AB38DC" w14:textId="77777777">
        <w:tc>
          <w:tcPr>
            <w:tcW w:w="1099" w:type="pct"/>
            <w:tcBorders>
              <w:bottom w:val="single" w:color="009EE0" w:sz="2" w:space="0"/>
            </w:tcBorders>
            <w:tcMar>
              <w:top w:w="22" w:type="dxa"/>
              <w:bottom w:w="22" w:type="dxa"/>
              <w:right w:w="28" w:type="dxa"/>
            </w:tcMar>
          </w:tcPr>
          <w:p w:rsidRPr="006F2FC4" w:rsidR="0084290D" w:rsidRDefault="00CF5B93" w14:paraId="29BE64D2" w14:textId="77777777">
            <w:pPr>
              <w:pStyle w:val="p-table"/>
              <w:rPr>
                <w:sz w:val="13"/>
                <w:szCs w:val="13"/>
              </w:rPr>
            </w:pPr>
            <w:r w:rsidRPr="006F2FC4">
              <w:rPr>
                <w:sz w:val="13"/>
                <w:szCs w:val="13"/>
              </w:rPr>
              <w:t>Garantie TenneT</w:t>
            </w:r>
          </w:p>
        </w:tc>
        <w:tc>
          <w:tcPr>
            <w:tcW w:w="374" w:type="pct"/>
            <w:tcBorders>
              <w:bottom w:val="single" w:color="009EE0" w:sz="2" w:space="0"/>
            </w:tcBorders>
            <w:tcMar>
              <w:top w:w="22" w:type="dxa"/>
              <w:left w:w="28" w:type="dxa"/>
              <w:bottom w:w="22" w:type="dxa"/>
              <w:right w:w="28" w:type="dxa"/>
            </w:tcMar>
          </w:tcPr>
          <w:p w:rsidRPr="006F2FC4" w:rsidR="0084290D" w:rsidRDefault="00CF5B93" w14:paraId="082E97D2"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E830A5C"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43158AC"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4236BAA" w14:textId="77777777">
            <w:pPr>
              <w:pStyle w:val="p-table"/>
              <w:jc w:val="right"/>
              <w:rPr>
                <w:sz w:val="13"/>
                <w:szCs w:val="13"/>
              </w:rPr>
            </w:pPr>
            <w:r w:rsidRPr="006F2FC4">
              <w:rPr>
                <w:sz w:val="13"/>
                <w:szCs w:val="13"/>
              </w:rPr>
              <w:t>8.800.000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DE646E8" w14:textId="77777777">
            <w:pPr>
              <w:pStyle w:val="p-table"/>
              <w:jc w:val="right"/>
              <w:rPr>
                <w:sz w:val="13"/>
                <w:szCs w:val="13"/>
              </w:rPr>
            </w:pPr>
            <w:r w:rsidRPr="006F2FC4">
              <w:rPr>
                <w:sz w:val="13"/>
                <w:szCs w:val="13"/>
              </w:rPr>
              <w:t>8.800.000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63AE65B"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CA4141E"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DA47B52"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1A1BCA04"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721AB09" w14:textId="77777777">
            <w:pPr>
              <w:pStyle w:val="p-table"/>
              <w:jc w:val="right"/>
              <w:rPr>
                <w:sz w:val="13"/>
                <w:szCs w:val="13"/>
              </w:rPr>
            </w:pPr>
            <w:r w:rsidRPr="006F2FC4">
              <w:rPr>
                <w:sz w:val="13"/>
                <w:szCs w:val="13"/>
              </w:rPr>
              <w:t>0</w:t>
            </w:r>
          </w:p>
        </w:tc>
      </w:tr>
      <w:tr w:rsidR="0084290D" w:rsidTr="007433BE" w14:paraId="3A674608" w14:textId="77777777">
        <w:tc>
          <w:tcPr>
            <w:tcW w:w="1099" w:type="pct"/>
            <w:tcBorders>
              <w:bottom w:val="single" w:color="009EE0" w:sz="2" w:space="0"/>
            </w:tcBorders>
            <w:tcMar>
              <w:top w:w="22" w:type="dxa"/>
              <w:bottom w:w="22" w:type="dxa"/>
              <w:right w:w="28" w:type="dxa"/>
            </w:tcMar>
          </w:tcPr>
          <w:p w:rsidRPr="006F2FC4" w:rsidR="0084290D" w:rsidRDefault="0084290D" w14:paraId="40B1196D"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65294BB4"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7C4A21D0"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43001835"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75AD759A"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1A8598AC"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123EBE8D"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0C20E651"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653062A7"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0C458779"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626AE886" w14:textId="77777777">
            <w:pPr>
              <w:pStyle w:val="p-table"/>
              <w:rPr>
                <w:sz w:val="13"/>
                <w:szCs w:val="13"/>
              </w:rPr>
            </w:pPr>
          </w:p>
        </w:tc>
      </w:tr>
      <w:tr w:rsidR="0084290D" w:rsidTr="007433BE" w14:paraId="25B3EA42" w14:textId="77777777">
        <w:tc>
          <w:tcPr>
            <w:tcW w:w="1099" w:type="pct"/>
            <w:tcBorders>
              <w:bottom w:val="single" w:color="009EE0" w:sz="2" w:space="0"/>
            </w:tcBorders>
            <w:tcMar>
              <w:top w:w="22" w:type="dxa"/>
              <w:bottom w:w="22" w:type="dxa"/>
              <w:right w:w="28" w:type="dxa"/>
            </w:tcMar>
          </w:tcPr>
          <w:p w:rsidRPr="006F2FC4" w:rsidR="0084290D" w:rsidRDefault="00CF5B93" w14:paraId="26F66338"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374" w:type="pct"/>
            <w:tcBorders>
              <w:bottom w:val="single" w:color="009EE0" w:sz="2" w:space="0"/>
            </w:tcBorders>
            <w:tcMar>
              <w:top w:w="22" w:type="dxa"/>
              <w:left w:w="28" w:type="dxa"/>
              <w:bottom w:w="22" w:type="dxa"/>
              <w:right w:w="28" w:type="dxa"/>
            </w:tcMar>
          </w:tcPr>
          <w:p w:rsidRPr="006F2FC4" w:rsidR="0084290D" w:rsidRDefault="00CF5B93" w14:paraId="55492BAA" w14:textId="77777777">
            <w:pPr>
              <w:pStyle w:val="p-table"/>
              <w:jc w:val="right"/>
              <w:rPr>
                <w:sz w:val="13"/>
                <w:szCs w:val="13"/>
              </w:rPr>
            </w:pPr>
            <w:r w:rsidRPr="006F2FC4">
              <w:rPr>
                <w:sz w:val="13"/>
                <w:szCs w:val="13"/>
              </w:rPr>
              <w:t>‒ 5.640.641</w:t>
            </w:r>
          </w:p>
        </w:tc>
        <w:tc>
          <w:tcPr>
            <w:tcW w:w="424" w:type="pct"/>
            <w:tcBorders>
              <w:bottom w:val="single" w:color="009EE0" w:sz="2" w:space="0"/>
            </w:tcBorders>
            <w:tcMar>
              <w:top w:w="22" w:type="dxa"/>
              <w:left w:w="28" w:type="dxa"/>
              <w:bottom w:w="22" w:type="dxa"/>
              <w:right w:w="28" w:type="dxa"/>
            </w:tcMar>
          </w:tcPr>
          <w:p w:rsidRPr="006F2FC4" w:rsidR="0084290D" w:rsidRDefault="00CF5B93" w14:paraId="731D0E2B"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CB579AA" w14:textId="77777777">
            <w:pPr>
              <w:pStyle w:val="p-table"/>
              <w:jc w:val="right"/>
              <w:rPr>
                <w:sz w:val="13"/>
                <w:szCs w:val="13"/>
              </w:rPr>
            </w:pPr>
            <w:r w:rsidRPr="006F2FC4">
              <w:rPr>
                <w:sz w:val="13"/>
                <w:szCs w:val="13"/>
              </w:rPr>
              <w:t>‒ 5.640.641</w:t>
            </w:r>
          </w:p>
        </w:tc>
        <w:tc>
          <w:tcPr>
            <w:tcW w:w="384" w:type="pct"/>
            <w:tcBorders>
              <w:bottom w:val="single" w:color="009EE0" w:sz="2" w:space="0"/>
            </w:tcBorders>
            <w:tcMar>
              <w:top w:w="22" w:type="dxa"/>
              <w:left w:w="28" w:type="dxa"/>
              <w:bottom w:w="22" w:type="dxa"/>
              <w:right w:w="28" w:type="dxa"/>
            </w:tcMar>
          </w:tcPr>
          <w:p w:rsidRPr="006F2FC4" w:rsidR="0084290D" w:rsidRDefault="00CF5B93" w14:paraId="190933EB" w14:textId="77777777">
            <w:pPr>
              <w:pStyle w:val="p-table"/>
              <w:jc w:val="right"/>
              <w:rPr>
                <w:sz w:val="13"/>
                <w:szCs w:val="13"/>
              </w:rPr>
            </w:pPr>
            <w:r w:rsidRPr="006F2FC4">
              <w:rPr>
                <w:sz w:val="13"/>
                <w:szCs w:val="13"/>
              </w:rPr>
              <w:t>6.137.022</w:t>
            </w:r>
          </w:p>
        </w:tc>
        <w:tc>
          <w:tcPr>
            <w:tcW w:w="424" w:type="pct"/>
            <w:tcBorders>
              <w:bottom w:val="single" w:color="009EE0" w:sz="2" w:space="0"/>
            </w:tcBorders>
            <w:tcMar>
              <w:top w:w="22" w:type="dxa"/>
              <w:left w:w="28" w:type="dxa"/>
              <w:bottom w:w="22" w:type="dxa"/>
              <w:right w:w="28" w:type="dxa"/>
            </w:tcMar>
          </w:tcPr>
          <w:p w:rsidRPr="006F2FC4" w:rsidR="0084290D" w:rsidRDefault="00CF5B93" w14:paraId="11198AF3" w14:textId="77777777">
            <w:pPr>
              <w:pStyle w:val="p-table"/>
              <w:jc w:val="right"/>
              <w:rPr>
                <w:sz w:val="13"/>
                <w:szCs w:val="13"/>
              </w:rPr>
            </w:pPr>
            <w:r w:rsidRPr="006F2FC4">
              <w:rPr>
                <w:sz w:val="13"/>
                <w:szCs w:val="13"/>
              </w:rPr>
              <w:t>496.381</w:t>
            </w:r>
          </w:p>
        </w:tc>
        <w:tc>
          <w:tcPr>
            <w:tcW w:w="374" w:type="pct"/>
            <w:tcBorders>
              <w:bottom w:val="single" w:color="009EE0" w:sz="2" w:space="0"/>
            </w:tcBorders>
            <w:tcMar>
              <w:top w:w="22" w:type="dxa"/>
              <w:left w:w="28" w:type="dxa"/>
              <w:bottom w:w="22" w:type="dxa"/>
              <w:right w:w="28" w:type="dxa"/>
            </w:tcMar>
          </w:tcPr>
          <w:p w:rsidRPr="006F2FC4" w:rsidR="0084290D" w:rsidRDefault="00CF5B93" w14:paraId="1BF4582F" w14:textId="77777777">
            <w:pPr>
              <w:pStyle w:val="p-table"/>
              <w:jc w:val="right"/>
              <w:rPr>
                <w:sz w:val="13"/>
                <w:szCs w:val="13"/>
              </w:rPr>
            </w:pPr>
            <w:r w:rsidRPr="006F2FC4">
              <w:rPr>
                <w:sz w:val="13"/>
                <w:szCs w:val="13"/>
              </w:rPr>
              <w:t>37.822</w:t>
            </w:r>
          </w:p>
        </w:tc>
        <w:tc>
          <w:tcPr>
            <w:tcW w:w="374" w:type="pct"/>
            <w:tcBorders>
              <w:bottom w:val="single" w:color="009EE0" w:sz="2" w:space="0"/>
            </w:tcBorders>
            <w:tcMar>
              <w:top w:w="22" w:type="dxa"/>
              <w:left w:w="28" w:type="dxa"/>
              <w:bottom w:w="22" w:type="dxa"/>
              <w:right w:w="28" w:type="dxa"/>
            </w:tcMar>
          </w:tcPr>
          <w:p w:rsidRPr="006F2FC4" w:rsidR="0084290D" w:rsidRDefault="00CF5B93" w14:paraId="07E7B6A1" w14:textId="77777777">
            <w:pPr>
              <w:pStyle w:val="p-table"/>
              <w:jc w:val="right"/>
              <w:rPr>
                <w:sz w:val="13"/>
                <w:szCs w:val="13"/>
              </w:rPr>
            </w:pPr>
            <w:r w:rsidRPr="006F2FC4">
              <w:rPr>
                <w:sz w:val="13"/>
                <w:szCs w:val="13"/>
              </w:rPr>
              <w:t>28.630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F55F0C3"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F026478"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19D5448F" w14:textId="77777777">
            <w:pPr>
              <w:pStyle w:val="p-table"/>
              <w:jc w:val="right"/>
              <w:rPr>
                <w:sz w:val="13"/>
                <w:szCs w:val="13"/>
              </w:rPr>
            </w:pPr>
            <w:r w:rsidRPr="006F2FC4">
              <w:rPr>
                <w:sz w:val="13"/>
                <w:szCs w:val="13"/>
              </w:rPr>
              <w:t>109.259</w:t>
            </w:r>
          </w:p>
        </w:tc>
      </w:tr>
      <w:tr w:rsidR="0084290D" w:rsidTr="007433BE" w14:paraId="1792400E" w14:textId="77777777">
        <w:tc>
          <w:tcPr>
            <w:tcW w:w="1099" w:type="pct"/>
            <w:tcBorders>
              <w:bottom w:val="single" w:color="009EE0" w:sz="2" w:space="0"/>
            </w:tcBorders>
            <w:tcMar>
              <w:top w:w="22" w:type="dxa"/>
              <w:bottom w:w="22" w:type="dxa"/>
              <w:right w:w="28" w:type="dxa"/>
            </w:tcMar>
          </w:tcPr>
          <w:p w:rsidRPr="006F2FC4" w:rsidR="0084290D" w:rsidRDefault="00CF5B93" w14:paraId="022EA452" w14:textId="77777777">
            <w:pPr>
              <w:pStyle w:val="p-table"/>
              <w:rPr>
                <w:sz w:val="13"/>
                <w:szCs w:val="13"/>
              </w:rPr>
            </w:pPr>
            <w:r w:rsidRPr="006F2FC4">
              <w:rPr>
                <w:sz w:val="13"/>
                <w:szCs w:val="13"/>
              </w:rPr>
              <w:t>Lening SRH</w:t>
            </w:r>
          </w:p>
        </w:tc>
        <w:tc>
          <w:tcPr>
            <w:tcW w:w="374" w:type="pct"/>
            <w:tcBorders>
              <w:bottom w:val="single" w:color="009EE0" w:sz="2" w:space="0"/>
            </w:tcBorders>
            <w:tcMar>
              <w:top w:w="22" w:type="dxa"/>
              <w:left w:w="28" w:type="dxa"/>
              <w:bottom w:w="22" w:type="dxa"/>
              <w:right w:w="28" w:type="dxa"/>
            </w:tcMar>
          </w:tcPr>
          <w:p w:rsidRPr="006F2FC4" w:rsidR="0084290D" w:rsidRDefault="00CF5B93" w14:paraId="5262960F"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B23A71A"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1CE5F46"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3529B734" w14:textId="77777777">
            <w:pPr>
              <w:pStyle w:val="p-table"/>
              <w:jc w:val="right"/>
              <w:rPr>
                <w:sz w:val="13"/>
                <w:szCs w:val="13"/>
              </w:rPr>
            </w:pPr>
            <w:r w:rsidRPr="006F2FC4">
              <w:rPr>
                <w:sz w:val="13"/>
                <w:szCs w:val="13"/>
              </w:rPr>
              <w:t>37.722</w:t>
            </w:r>
          </w:p>
        </w:tc>
        <w:tc>
          <w:tcPr>
            <w:tcW w:w="424" w:type="pct"/>
            <w:tcBorders>
              <w:bottom w:val="single" w:color="009EE0" w:sz="2" w:space="0"/>
            </w:tcBorders>
            <w:tcMar>
              <w:top w:w="22" w:type="dxa"/>
              <w:left w:w="28" w:type="dxa"/>
              <w:bottom w:w="22" w:type="dxa"/>
              <w:right w:w="28" w:type="dxa"/>
            </w:tcMar>
          </w:tcPr>
          <w:p w:rsidRPr="006F2FC4" w:rsidR="0084290D" w:rsidRDefault="00CF5B93" w14:paraId="1C661744" w14:textId="77777777">
            <w:pPr>
              <w:pStyle w:val="p-table"/>
              <w:jc w:val="right"/>
              <w:rPr>
                <w:sz w:val="13"/>
                <w:szCs w:val="13"/>
              </w:rPr>
            </w:pPr>
            <w:r w:rsidRPr="006F2FC4">
              <w:rPr>
                <w:sz w:val="13"/>
                <w:szCs w:val="13"/>
              </w:rPr>
              <w:t>37.722</w:t>
            </w:r>
          </w:p>
        </w:tc>
        <w:tc>
          <w:tcPr>
            <w:tcW w:w="374" w:type="pct"/>
            <w:tcBorders>
              <w:bottom w:val="single" w:color="009EE0" w:sz="2" w:space="0"/>
            </w:tcBorders>
            <w:tcMar>
              <w:top w:w="22" w:type="dxa"/>
              <w:left w:w="28" w:type="dxa"/>
              <w:bottom w:w="22" w:type="dxa"/>
              <w:right w:w="28" w:type="dxa"/>
            </w:tcMar>
          </w:tcPr>
          <w:p w:rsidRPr="006F2FC4" w:rsidR="0084290D" w:rsidRDefault="00CF5B93" w14:paraId="13974939" w14:textId="77777777">
            <w:pPr>
              <w:pStyle w:val="p-table"/>
              <w:jc w:val="right"/>
              <w:rPr>
                <w:sz w:val="13"/>
                <w:szCs w:val="13"/>
              </w:rPr>
            </w:pPr>
            <w:r w:rsidRPr="006F2FC4">
              <w:rPr>
                <w:sz w:val="13"/>
                <w:szCs w:val="13"/>
              </w:rPr>
              <w:t>38.522</w:t>
            </w:r>
          </w:p>
        </w:tc>
        <w:tc>
          <w:tcPr>
            <w:tcW w:w="374" w:type="pct"/>
            <w:tcBorders>
              <w:bottom w:val="single" w:color="009EE0" w:sz="2" w:space="0"/>
            </w:tcBorders>
            <w:tcMar>
              <w:top w:w="22" w:type="dxa"/>
              <w:left w:w="28" w:type="dxa"/>
              <w:bottom w:w="22" w:type="dxa"/>
              <w:right w:w="28" w:type="dxa"/>
            </w:tcMar>
          </w:tcPr>
          <w:p w:rsidRPr="006F2FC4" w:rsidR="0084290D" w:rsidRDefault="00CF5B93" w14:paraId="2DE0C80E" w14:textId="77777777">
            <w:pPr>
              <w:pStyle w:val="p-table"/>
              <w:jc w:val="right"/>
              <w:rPr>
                <w:sz w:val="13"/>
                <w:szCs w:val="13"/>
              </w:rPr>
            </w:pPr>
            <w:r w:rsidRPr="006F2FC4">
              <w:rPr>
                <w:sz w:val="13"/>
                <w:szCs w:val="13"/>
              </w:rPr>
              <w:t>29.330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3678B58"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65962AB"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E2B20B3" w14:textId="77777777">
            <w:pPr>
              <w:pStyle w:val="p-table"/>
              <w:jc w:val="right"/>
              <w:rPr>
                <w:sz w:val="13"/>
                <w:szCs w:val="13"/>
              </w:rPr>
            </w:pPr>
            <w:r w:rsidRPr="006F2FC4">
              <w:rPr>
                <w:sz w:val="13"/>
                <w:szCs w:val="13"/>
              </w:rPr>
              <w:t>0</w:t>
            </w:r>
          </w:p>
        </w:tc>
      </w:tr>
      <w:tr w:rsidR="0084290D" w:rsidTr="007433BE" w14:paraId="1DCD3581" w14:textId="77777777">
        <w:tc>
          <w:tcPr>
            <w:tcW w:w="1099" w:type="pct"/>
            <w:tcBorders>
              <w:bottom w:val="single" w:color="009EE0" w:sz="2" w:space="0"/>
            </w:tcBorders>
            <w:tcMar>
              <w:top w:w="22" w:type="dxa"/>
              <w:bottom w:w="22" w:type="dxa"/>
              <w:right w:w="28" w:type="dxa"/>
            </w:tcMar>
          </w:tcPr>
          <w:p w:rsidRPr="006F2FC4" w:rsidR="0084290D" w:rsidRDefault="00CF5B93" w14:paraId="60B0286F" w14:textId="77777777">
            <w:pPr>
              <w:pStyle w:val="p-table"/>
              <w:rPr>
                <w:sz w:val="13"/>
                <w:szCs w:val="13"/>
              </w:rPr>
            </w:pPr>
            <w:r w:rsidRPr="006F2FC4">
              <w:rPr>
                <w:sz w:val="13"/>
                <w:szCs w:val="13"/>
              </w:rPr>
              <w:t>Lening TenneT</w:t>
            </w:r>
          </w:p>
        </w:tc>
        <w:tc>
          <w:tcPr>
            <w:tcW w:w="374" w:type="pct"/>
            <w:tcBorders>
              <w:bottom w:val="single" w:color="009EE0" w:sz="2" w:space="0"/>
            </w:tcBorders>
            <w:tcMar>
              <w:top w:w="22" w:type="dxa"/>
              <w:left w:w="28" w:type="dxa"/>
              <w:bottom w:w="22" w:type="dxa"/>
              <w:right w:w="28" w:type="dxa"/>
            </w:tcMar>
          </w:tcPr>
          <w:p w:rsidRPr="006F2FC4" w:rsidR="0084290D" w:rsidRDefault="00CF5B93" w14:paraId="610C11E0" w14:textId="77777777">
            <w:pPr>
              <w:pStyle w:val="p-table"/>
              <w:jc w:val="right"/>
              <w:rPr>
                <w:sz w:val="13"/>
                <w:szCs w:val="13"/>
              </w:rPr>
            </w:pPr>
            <w:r w:rsidRPr="006F2FC4">
              <w:rPr>
                <w:sz w:val="13"/>
                <w:szCs w:val="13"/>
              </w:rPr>
              <w:t>‒ 6.100.000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7169944"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90285D8" w14:textId="77777777">
            <w:pPr>
              <w:pStyle w:val="p-table"/>
              <w:jc w:val="right"/>
              <w:rPr>
                <w:sz w:val="13"/>
                <w:szCs w:val="13"/>
              </w:rPr>
            </w:pPr>
            <w:r w:rsidRPr="006F2FC4">
              <w:rPr>
                <w:sz w:val="13"/>
                <w:szCs w:val="13"/>
              </w:rPr>
              <w:t>‒ 6.100.000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0D57586" w14:textId="77777777">
            <w:pPr>
              <w:pStyle w:val="p-table"/>
              <w:jc w:val="right"/>
              <w:rPr>
                <w:sz w:val="13"/>
                <w:szCs w:val="13"/>
              </w:rPr>
            </w:pPr>
            <w:r w:rsidRPr="006F2FC4">
              <w:rPr>
                <w:sz w:val="13"/>
                <w:szCs w:val="13"/>
              </w:rPr>
              <w:t>6.100.000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80A8F83"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8307BC4"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708ECB1"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C6CF7A5"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B6581BA"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02EC877" w14:textId="77777777">
            <w:pPr>
              <w:pStyle w:val="p-table"/>
              <w:jc w:val="right"/>
              <w:rPr>
                <w:sz w:val="13"/>
                <w:szCs w:val="13"/>
              </w:rPr>
            </w:pPr>
            <w:r w:rsidRPr="006F2FC4">
              <w:rPr>
                <w:sz w:val="13"/>
                <w:szCs w:val="13"/>
              </w:rPr>
              <w:t>0</w:t>
            </w:r>
          </w:p>
        </w:tc>
      </w:tr>
      <w:tr w:rsidR="0084290D" w:rsidTr="007433BE" w14:paraId="3FF2F90C" w14:textId="77777777">
        <w:tc>
          <w:tcPr>
            <w:tcW w:w="1099" w:type="pct"/>
            <w:tcBorders>
              <w:bottom w:val="single" w:color="009EE0" w:sz="2" w:space="0"/>
            </w:tcBorders>
            <w:tcMar>
              <w:top w:w="22" w:type="dxa"/>
              <w:bottom w:w="22" w:type="dxa"/>
              <w:right w:w="28" w:type="dxa"/>
            </w:tcMar>
          </w:tcPr>
          <w:p w:rsidRPr="006F2FC4" w:rsidR="0084290D" w:rsidRDefault="00CF5B93" w14:paraId="648A5926" w14:textId="77777777">
            <w:pPr>
              <w:pStyle w:val="p-table"/>
              <w:rPr>
                <w:sz w:val="13"/>
                <w:szCs w:val="13"/>
              </w:rPr>
            </w:pPr>
            <w:r w:rsidRPr="006F2FC4">
              <w:rPr>
                <w:sz w:val="13"/>
                <w:szCs w:val="13"/>
              </w:rPr>
              <w:t>Kapitaalinjectie TenneT</w:t>
            </w:r>
          </w:p>
        </w:tc>
        <w:tc>
          <w:tcPr>
            <w:tcW w:w="374" w:type="pct"/>
            <w:tcBorders>
              <w:bottom w:val="single" w:color="009EE0" w:sz="2" w:space="0"/>
            </w:tcBorders>
            <w:tcMar>
              <w:top w:w="22" w:type="dxa"/>
              <w:left w:w="28" w:type="dxa"/>
              <w:bottom w:w="22" w:type="dxa"/>
              <w:right w:w="28" w:type="dxa"/>
            </w:tcMar>
          </w:tcPr>
          <w:p w:rsidRPr="006F2FC4" w:rsidR="0084290D" w:rsidRDefault="00CF5B93" w14:paraId="2A8AF361"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FA78B48"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49972817"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46E9D984"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44A6AA8"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5EA705F"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DE5AEFA"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F7664B8"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C02ADA7"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DCCAC18" w14:textId="77777777">
            <w:pPr>
              <w:pStyle w:val="p-table"/>
              <w:jc w:val="right"/>
              <w:rPr>
                <w:sz w:val="13"/>
                <w:szCs w:val="13"/>
              </w:rPr>
            </w:pPr>
            <w:r w:rsidRPr="006F2FC4">
              <w:rPr>
                <w:sz w:val="13"/>
                <w:szCs w:val="13"/>
              </w:rPr>
              <w:t>0</w:t>
            </w:r>
          </w:p>
        </w:tc>
      </w:tr>
      <w:tr w:rsidR="0084290D" w:rsidTr="007433BE" w14:paraId="207A95CD" w14:textId="77777777">
        <w:tc>
          <w:tcPr>
            <w:tcW w:w="1099" w:type="pct"/>
            <w:tcBorders>
              <w:bottom w:val="single" w:color="009EE0" w:sz="2" w:space="0"/>
            </w:tcBorders>
            <w:tcMar>
              <w:top w:w="22" w:type="dxa"/>
              <w:bottom w:w="22" w:type="dxa"/>
              <w:right w:w="28" w:type="dxa"/>
            </w:tcMar>
          </w:tcPr>
          <w:p w:rsidRPr="006F2FC4" w:rsidR="0084290D" w:rsidRDefault="00CF5B93" w14:paraId="67492383" w14:textId="77777777">
            <w:pPr>
              <w:pStyle w:val="p-table"/>
              <w:rPr>
                <w:sz w:val="13"/>
                <w:szCs w:val="13"/>
              </w:rPr>
            </w:pPr>
            <w:r w:rsidRPr="006F2FC4">
              <w:rPr>
                <w:sz w:val="13"/>
                <w:szCs w:val="13"/>
              </w:rPr>
              <w:t>Afdrachten Staatsloterij</w:t>
            </w:r>
          </w:p>
        </w:tc>
        <w:tc>
          <w:tcPr>
            <w:tcW w:w="374" w:type="pct"/>
            <w:tcBorders>
              <w:bottom w:val="single" w:color="009EE0" w:sz="2" w:space="0"/>
            </w:tcBorders>
            <w:tcMar>
              <w:top w:w="22" w:type="dxa"/>
              <w:left w:w="28" w:type="dxa"/>
              <w:bottom w:w="22" w:type="dxa"/>
              <w:right w:w="28" w:type="dxa"/>
            </w:tcMar>
          </w:tcPr>
          <w:p w:rsidRPr="006F2FC4" w:rsidR="0084290D" w:rsidRDefault="00CF5B93" w14:paraId="7BE456D7" w14:textId="77777777">
            <w:pPr>
              <w:pStyle w:val="p-table"/>
              <w:jc w:val="right"/>
              <w:rPr>
                <w:sz w:val="13"/>
                <w:szCs w:val="13"/>
              </w:rPr>
            </w:pPr>
            <w:r w:rsidRPr="006F2FC4">
              <w:rPr>
                <w:sz w:val="13"/>
                <w:szCs w:val="13"/>
              </w:rPr>
              <w:t>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1E478C9"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4FA621B" w14:textId="77777777">
            <w:pPr>
              <w:pStyle w:val="p-table"/>
              <w:jc w:val="right"/>
              <w:rPr>
                <w:sz w:val="13"/>
                <w:szCs w:val="13"/>
              </w:rPr>
            </w:pPr>
            <w:r w:rsidRPr="006F2FC4">
              <w:rPr>
                <w:sz w:val="13"/>
                <w:szCs w:val="13"/>
              </w:rPr>
              <w:t>100.000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04926A4D"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004B0D7" w14:textId="77777777">
            <w:pPr>
              <w:pStyle w:val="p-table"/>
              <w:jc w:val="right"/>
              <w:rPr>
                <w:sz w:val="13"/>
                <w:szCs w:val="13"/>
              </w:rPr>
            </w:pPr>
            <w:r w:rsidRPr="006F2FC4">
              <w:rPr>
                <w:sz w:val="13"/>
                <w:szCs w:val="13"/>
              </w:rPr>
              <w:t>100.000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F00E9AB"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1111C7C"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87EC72B"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2AB9BDA"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C86F53A" w14:textId="77777777">
            <w:pPr>
              <w:pStyle w:val="p-table"/>
              <w:jc w:val="right"/>
              <w:rPr>
                <w:sz w:val="13"/>
                <w:szCs w:val="13"/>
              </w:rPr>
            </w:pPr>
            <w:r w:rsidRPr="006F2FC4">
              <w:rPr>
                <w:sz w:val="13"/>
                <w:szCs w:val="13"/>
              </w:rPr>
              <w:t>100.000</w:t>
            </w:r>
          </w:p>
        </w:tc>
      </w:tr>
      <w:tr w:rsidR="0084290D" w:rsidTr="007433BE" w14:paraId="58C9FE86" w14:textId="77777777">
        <w:tc>
          <w:tcPr>
            <w:tcW w:w="1099" w:type="pct"/>
            <w:tcBorders>
              <w:bottom w:val="single" w:color="009EE0" w:sz="2" w:space="0"/>
            </w:tcBorders>
            <w:tcMar>
              <w:top w:w="22" w:type="dxa"/>
              <w:bottom w:w="22" w:type="dxa"/>
              <w:right w:w="28" w:type="dxa"/>
            </w:tcMar>
          </w:tcPr>
          <w:p w:rsidRPr="006F2FC4" w:rsidR="0084290D" w:rsidRDefault="00CF5B93" w14:paraId="19D1AA3F" w14:textId="77777777">
            <w:pPr>
              <w:pStyle w:val="p-table"/>
              <w:rPr>
                <w:sz w:val="13"/>
                <w:szCs w:val="13"/>
              </w:rPr>
            </w:pPr>
            <w:r w:rsidRPr="006F2FC4">
              <w:rPr>
                <w:sz w:val="13"/>
                <w:szCs w:val="13"/>
              </w:rPr>
              <w:t>Kapitaalinjectie Invest-NL</w:t>
            </w:r>
          </w:p>
        </w:tc>
        <w:tc>
          <w:tcPr>
            <w:tcW w:w="374" w:type="pct"/>
            <w:tcBorders>
              <w:bottom w:val="single" w:color="009EE0" w:sz="2" w:space="0"/>
            </w:tcBorders>
            <w:tcMar>
              <w:top w:w="22" w:type="dxa"/>
              <w:left w:w="28" w:type="dxa"/>
              <w:bottom w:w="22" w:type="dxa"/>
              <w:right w:w="28" w:type="dxa"/>
            </w:tcMar>
          </w:tcPr>
          <w:p w:rsidRPr="006F2FC4" w:rsidR="0084290D" w:rsidRDefault="00CF5B93" w14:paraId="1B7D0563" w14:textId="77777777">
            <w:pPr>
              <w:pStyle w:val="p-table"/>
              <w:jc w:val="right"/>
              <w:rPr>
                <w:sz w:val="13"/>
                <w:szCs w:val="13"/>
              </w:rPr>
            </w:pPr>
            <w:r w:rsidRPr="006F2FC4">
              <w:rPr>
                <w:sz w:val="13"/>
                <w:szCs w:val="13"/>
              </w:rPr>
              <w:t>99.400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64459EB"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73A53A1" w14:textId="77777777">
            <w:pPr>
              <w:pStyle w:val="p-table"/>
              <w:jc w:val="right"/>
              <w:rPr>
                <w:sz w:val="13"/>
                <w:szCs w:val="13"/>
              </w:rPr>
            </w:pPr>
            <w:r w:rsidRPr="006F2FC4">
              <w:rPr>
                <w:sz w:val="13"/>
                <w:szCs w:val="13"/>
              </w:rPr>
              <w:t>99.400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03A7175E"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C381663" w14:textId="77777777">
            <w:pPr>
              <w:pStyle w:val="p-table"/>
              <w:jc w:val="right"/>
              <w:rPr>
                <w:sz w:val="13"/>
                <w:szCs w:val="13"/>
              </w:rPr>
            </w:pPr>
            <w:r w:rsidRPr="006F2FC4">
              <w:rPr>
                <w:sz w:val="13"/>
                <w:szCs w:val="13"/>
              </w:rPr>
              <w:t>99.400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EBFB85E"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C10D746"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1D1F6C34"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986BD36"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115B4E8" w14:textId="77777777">
            <w:pPr>
              <w:pStyle w:val="p-table"/>
              <w:jc w:val="right"/>
              <w:rPr>
                <w:sz w:val="13"/>
                <w:szCs w:val="13"/>
              </w:rPr>
            </w:pPr>
            <w:r w:rsidRPr="006F2FC4">
              <w:rPr>
                <w:sz w:val="13"/>
                <w:szCs w:val="13"/>
              </w:rPr>
              <w:t>0</w:t>
            </w:r>
          </w:p>
        </w:tc>
      </w:tr>
      <w:tr w:rsidR="0084290D" w:rsidTr="007433BE" w14:paraId="61C28499" w14:textId="77777777">
        <w:tc>
          <w:tcPr>
            <w:tcW w:w="1099" w:type="pct"/>
            <w:tcBorders>
              <w:bottom w:val="single" w:color="009EE0" w:sz="2" w:space="0"/>
            </w:tcBorders>
            <w:tcMar>
              <w:top w:w="22" w:type="dxa"/>
              <w:bottom w:w="22" w:type="dxa"/>
              <w:right w:w="28" w:type="dxa"/>
            </w:tcMar>
          </w:tcPr>
          <w:p w:rsidRPr="006F2FC4" w:rsidR="0084290D" w:rsidRDefault="00CF5B93" w14:paraId="58363724" w14:textId="77777777">
            <w:pPr>
              <w:pStyle w:val="p-table"/>
              <w:rPr>
                <w:sz w:val="13"/>
                <w:szCs w:val="13"/>
              </w:rPr>
            </w:pPr>
            <w:r w:rsidRPr="006F2FC4">
              <w:rPr>
                <w:sz w:val="13"/>
                <w:szCs w:val="13"/>
              </w:rPr>
              <w:t>Kapitaalinjectie Invest International</w:t>
            </w:r>
          </w:p>
        </w:tc>
        <w:tc>
          <w:tcPr>
            <w:tcW w:w="374" w:type="pct"/>
            <w:tcBorders>
              <w:bottom w:val="single" w:color="009EE0" w:sz="2" w:space="0"/>
            </w:tcBorders>
            <w:tcMar>
              <w:top w:w="22" w:type="dxa"/>
              <w:left w:w="28" w:type="dxa"/>
              <w:bottom w:w="22" w:type="dxa"/>
              <w:right w:w="28" w:type="dxa"/>
            </w:tcMar>
          </w:tcPr>
          <w:p w:rsidRPr="006F2FC4" w:rsidR="0084290D" w:rsidRDefault="00CF5B93" w14:paraId="32EE3F77" w14:textId="77777777">
            <w:pPr>
              <w:pStyle w:val="p-table"/>
              <w:jc w:val="right"/>
              <w:rPr>
                <w:sz w:val="13"/>
                <w:szCs w:val="13"/>
              </w:rPr>
            </w:pPr>
            <w:r w:rsidRPr="006F2FC4">
              <w:rPr>
                <w:sz w:val="13"/>
                <w:szCs w:val="13"/>
              </w:rPr>
              <w:t>250.000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9057478"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152214B" w14:textId="77777777">
            <w:pPr>
              <w:pStyle w:val="p-table"/>
              <w:jc w:val="right"/>
              <w:rPr>
                <w:sz w:val="13"/>
                <w:szCs w:val="13"/>
              </w:rPr>
            </w:pPr>
            <w:r w:rsidRPr="006F2FC4">
              <w:rPr>
                <w:sz w:val="13"/>
                <w:szCs w:val="13"/>
              </w:rPr>
              <w:t>250.000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6D42446"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38045BB" w14:textId="77777777">
            <w:pPr>
              <w:pStyle w:val="p-table"/>
              <w:jc w:val="right"/>
              <w:rPr>
                <w:sz w:val="13"/>
                <w:szCs w:val="13"/>
              </w:rPr>
            </w:pPr>
            <w:r w:rsidRPr="006F2FC4">
              <w:rPr>
                <w:sz w:val="13"/>
                <w:szCs w:val="13"/>
              </w:rPr>
              <w:t>250.000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AFFE887"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6887BD4"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D03465C"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61AF2929"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17CAFFC2" w14:textId="77777777">
            <w:pPr>
              <w:pStyle w:val="p-table"/>
              <w:jc w:val="right"/>
              <w:rPr>
                <w:sz w:val="13"/>
                <w:szCs w:val="13"/>
              </w:rPr>
            </w:pPr>
            <w:r w:rsidRPr="006F2FC4">
              <w:rPr>
                <w:sz w:val="13"/>
                <w:szCs w:val="13"/>
              </w:rPr>
              <w:t>0</w:t>
            </w:r>
          </w:p>
        </w:tc>
      </w:tr>
      <w:tr w:rsidR="0084290D" w:rsidTr="007433BE" w14:paraId="7E3CEAE4" w14:textId="77777777">
        <w:tc>
          <w:tcPr>
            <w:tcW w:w="1099" w:type="pct"/>
            <w:tcBorders>
              <w:bottom w:val="single" w:color="009EE0" w:sz="2" w:space="0"/>
            </w:tcBorders>
            <w:tcMar>
              <w:top w:w="22" w:type="dxa"/>
              <w:bottom w:w="22" w:type="dxa"/>
              <w:right w:w="28" w:type="dxa"/>
            </w:tcMar>
          </w:tcPr>
          <w:p w:rsidRPr="006F2FC4" w:rsidR="0084290D" w:rsidRDefault="00CF5B93" w14:paraId="7E65DA96" w14:textId="77777777">
            <w:pPr>
              <w:pStyle w:val="p-table"/>
              <w:rPr>
                <w:sz w:val="13"/>
                <w:szCs w:val="13"/>
              </w:rPr>
            </w:pPr>
            <w:r w:rsidRPr="006F2FC4">
              <w:rPr>
                <w:sz w:val="13"/>
                <w:szCs w:val="13"/>
              </w:rPr>
              <w:t>Overige betalingsverplichtingen</w:t>
            </w:r>
          </w:p>
        </w:tc>
        <w:tc>
          <w:tcPr>
            <w:tcW w:w="374" w:type="pct"/>
            <w:tcBorders>
              <w:bottom w:val="single" w:color="009EE0" w:sz="2" w:space="0"/>
            </w:tcBorders>
            <w:tcMar>
              <w:top w:w="22" w:type="dxa"/>
              <w:left w:w="28" w:type="dxa"/>
              <w:bottom w:w="22" w:type="dxa"/>
              <w:right w:w="28" w:type="dxa"/>
            </w:tcMar>
          </w:tcPr>
          <w:p w:rsidRPr="006F2FC4" w:rsidR="0084290D" w:rsidRDefault="00CF5B93" w14:paraId="247FBA1C" w14:textId="77777777">
            <w:pPr>
              <w:pStyle w:val="p-table"/>
              <w:jc w:val="right"/>
              <w:rPr>
                <w:sz w:val="13"/>
                <w:szCs w:val="13"/>
              </w:rPr>
            </w:pPr>
            <w:r w:rsidRPr="006F2FC4">
              <w:rPr>
                <w:sz w:val="13"/>
                <w:szCs w:val="13"/>
              </w:rPr>
              <w:t>9.959</w:t>
            </w:r>
          </w:p>
        </w:tc>
        <w:tc>
          <w:tcPr>
            <w:tcW w:w="424" w:type="pct"/>
            <w:tcBorders>
              <w:bottom w:val="single" w:color="009EE0" w:sz="2" w:space="0"/>
            </w:tcBorders>
            <w:tcMar>
              <w:top w:w="22" w:type="dxa"/>
              <w:left w:w="28" w:type="dxa"/>
              <w:bottom w:w="22" w:type="dxa"/>
              <w:right w:w="28" w:type="dxa"/>
            </w:tcMar>
          </w:tcPr>
          <w:p w:rsidRPr="006F2FC4" w:rsidR="0084290D" w:rsidRDefault="00CF5B93" w14:paraId="53138356"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EA258CE" w14:textId="77777777">
            <w:pPr>
              <w:pStyle w:val="p-table"/>
              <w:jc w:val="right"/>
              <w:rPr>
                <w:sz w:val="13"/>
                <w:szCs w:val="13"/>
              </w:rPr>
            </w:pPr>
            <w:r w:rsidRPr="006F2FC4">
              <w:rPr>
                <w:sz w:val="13"/>
                <w:szCs w:val="13"/>
              </w:rPr>
              <w:t>9.959</w:t>
            </w:r>
          </w:p>
        </w:tc>
        <w:tc>
          <w:tcPr>
            <w:tcW w:w="384" w:type="pct"/>
            <w:tcBorders>
              <w:bottom w:val="single" w:color="009EE0" w:sz="2" w:space="0"/>
            </w:tcBorders>
            <w:tcMar>
              <w:top w:w="22" w:type="dxa"/>
              <w:left w:w="28" w:type="dxa"/>
              <w:bottom w:w="22" w:type="dxa"/>
              <w:right w:w="28" w:type="dxa"/>
            </w:tcMar>
          </w:tcPr>
          <w:p w:rsidRPr="006F2FC4" w:rsidR="0084290D" w:rsidRDefault="00CF5B93" w14:paraId="25359328" w14:textId="77777777">
            <w:pPr>
              <w:pStyle w:val="p-table"/>
              <w:jc w:val="right"/>
              <w:rPr>
                <w:sz w:val="13"/>
                <w:szCs w:val="13"/>
              </w:rPr>
            </w:pPr>
            <w:r w:rsidRPr="006F2FC4">
              <w:rPr>
                <w:sz w:val="13"/>
                <w:szCs w:val="13"/>
              </w:rPr>
              <w:t>‒ 700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35B217A" w14:textId="77777777">
            <w:pPr>
              <w:pStyle w:val="p-table"/>
              <w:jc w:val="right"/>
              <w:rPr>
                <w:sz w:val="13"/>
                <w:szCs w:val="13"/>
              </w:rPr>
            </w:pPr>
            <w:r w:rsidRPr="006F2FC4">
              <w:rPr>
                <w:sz w:val="13"/>
                <w:szCs w:val="13"/>
              </w:rPr>
              <w:t>9.259</w:t>
            </w:r>
          </w:p>
        </w:tc>
        <w:tc>
          <w:tcPr>
            <w:tcW w:w="374" w:type="pct"/>
            <w:tcBorders>
              <w:bottom w:val="single" w:color="009EE0" w:sz="2" w:space="0"/>
            </w:tcBorders>
            <w:tcMar>
              <w:top w:w="22" w:type="dxa"/>
              <w:left w:w="28" w:type="dxa"/>
              <w:bottom w:w="22" w:type="dxa"/>
              <w:right w:w="28" w:type="dxa"/>
            </w:tcMar>
          </w:tcPr>
          <w:p w:rsidRPr="006F2FC4" w:rsidR="0084290D" w:rsidRDefault="00CF5B93" w14:paraId="2A2004C9"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9646717"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BD3AF8E"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3029807"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58F1C49" w14:textId="77777777">
            <w:pPr>
              <w:pStyle w:val="p-table"/>
              <w:jc w:val="right"/>
              <w:rPr>
                <w:sz w:val="13"/>
                <w:szCs w:val="13"/>
              </w:rPr>
            </w:pPr>
            <w:r w:rsidRPr="006F2FC4">
              <w:rPr>
                <w:sz w:val="13"/>
                <w:szCs w:val="13"/>
              </w:rPr>
              <w:t>9.259</w:t>
            </w:r>
          </w:p>
        </w:tc>
      </w:tr>
    </w:tbl>
    <w:p w:rsidR="0084290D" w:rsidRDefault="0084290D" w14:paraId="020C2CE2"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5310DC3F" w14:textId="77777777">
        <w:trPr>
          <w:tblHeader/>
        </w:trPr>
        <w:tc>
          <w:tcPr>
            <w:tcW w:w="5508" w:type="dxa"/>
            <w:gridSpan w:val="2"/>
            <w:tcMar>
              <w:top w:w="22" w:type="dxa"/>
              <w:left w:w="113" w:type="dxa"/>
              <w:bottom w:w="22" w:type="dxa"/>
            </w:tcMar>
          </w:tcPr>
          <w:p w:rsidR="0084290D" w:rsidRDefault="00CF5B93" w14:paraId="28229DEA" w14:textId="77777777">
            <w:pPr>
              <w:pStyle w:val="kio2-table-title"/>
            </w:pPr>
            <w:r>
              <w:t>Tabel 15 Geschatte budgetflexibiliteit</w:t>
            </w:r>
          </w:p>
        </w:tc>
      </w:tr>
      <w:tr w:rsidR="0084290D" w14:paraId="0B68D367" w14:textId="77777777">
        <w:trPr>
          <w:tblHeader/>
        </w:trPr>
        <w:tc>
          <w:tcPr>
            <w:tcW w:w="2754" w:type="dxa"/>
            <w:tcBorders>
              <w:top w:val="single" w:color="000000" w:sz="2" w:space="0"/>
              <w:bottom w:val="single" w:color="009EE0" w:sz="2" w:space="0"/>
            </w:tcBorders>
            <w:tcMar>
              <w:top w:w="28" w:type="dxa"/>
              <w:bottom w:w="28" w:type="dxa"/>
              <w:right w:w="28" w:type="dxa"/>
            </w:tcMar>
          </w:tcPr>
          <w:p w:rsidRPr="006F2FC4" w:rsidR="0084290D" w:rsidRDefault="0084290D" w14:paraId="48DE3D3F"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10E063FE" w14:textId="77777777">
            <w:pPr>
              <w:pStyle w:val="p-table"/>
              <w:jc w:val="right"/>
              <w:rPr>
                <w:color w:val="000000"/>
                <w:sz w:val="13"/>
                <w:szCs w:val="13"/>
              </w:rPr>
            </w:pPr>
            <w:r w:rsidRPr="006F2FC4">
              <w:rPr>
                <w:color w:val="000000"/>
                <w:sz w:val="13"/>
                <w:szCs w:val="13"/>
              </w:rPr>
              <w:t>2026</w:t>
            </w:r>
          </w:p>
        </w:tc>
      </w:tr>
      <w:tr w:rsidR="0084290D" w14:paraId="0A71F410" w14:textId="77777777">
        <w:tc>
          <w:tcPr>
            <w:tcW w:w="2754" w:type="dxa"/>
            <w:tcBorders>
              <w:bottom w:val="single" w:color="009EE0" w:sz="2" w:space="0"/>
            </w:tcBorders>
            <w:tcMar>
              <w:top w:w="22" w:type="dxa"/>
              <w:bottom w:w="22" w:type="dxa"/>
              <w:right w:w="28" w:type="dxa"/>
            </w:tcMar>
          </w:tcPr>
          <w:p w:rsidRPr="006F2FC4" w:rsidR="0084290D" w:rsidRDefault="00CF5B93" w14:paraId="4F82DEDF" w14:textId="77777777">
            <w:pPr>
              <w:pStyle w:val="p-table"/>
              <w:rPr>
                <w:sz w:val="13"/>
                <w:szCs w:val="13"/>
              </w:rPr>
            </w:pPr>
            <w:r w:rsidRPr="006F2FC4">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6F2FC4" w:rsidR="0084290D" w:rsidRDefault="00CF5B93" w14:paraId="6AAD03A6" w14:textId="77777777">
            <w:pPr>
              <w:pStyle w:val="p-table"/>
              <w:jc w:val="right"/>
              <w:rPr>
                <w:sz w:val="13"/>
                <w:szCs w:val="13"/>
              </w:rPr>
            </w:pPr>
            <w:r w:rsidRPr="006F2FC4">
              <w:rPr>
                <w:sz w:val="13"/>
                <w:szCs w:val="13"/>
              </w:rPr>
              <w:t>97,6%</w:t>
            </w:r>
          </w:p>
        </w:tc>
      </w:tr>
      <w:tr w:rsidR="0084290D" w14:paraId="143437D1" w14:textId="77777777">
        <w:tc>
          <w:tcPr>
            <w:tcW w:w="2754" w:type="dxa"/>
            <w:tcBorders>
              <w:bottom w:val="single" w:color="009EE0" w:sz="2" w:space="0"/>
            </w:tcBorders>
            <w:tcMar>
              <w:top w:w="22" w:type="dxa"/>
              <w:bottom w:w="22" w:type="dxa"/>
              <w:right w:w="28" w:type="dxa"/>
            </w:tcMar>
          </w:tcPr>
          <w:p w:rsidRPr="006F2FC4" w:rsidR="0084290D" w:rsidRDefault="00CF5B93" w14:paraId="50ACCDD9" w14:textId="77777777">
            <w:pPr>
              <w:pStyle w:val="p-table"/>
              <w:rPr>
                <w:sz w:val="13"/>
                <w:szCs w:val="13"/>
              </w:rPr>
            </w:pPr>
            <w:r w:rsidRPr="006F2FC4">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061D4FA" w14:textId="77777777">
            <w:pPr>
              <w:pStyle w:val="p-table"/>
              <w:jc w:val="right"/>
              <w:rPr>
                <w:sz w:val="13"/>
                <w:szCs w:val="13"/>
              </w:rPr>
            </w:pPr>
            <w:r w:rsidRPr="006F2FC4">
              <w:rPr>
                <w:sz w:val="13"/>
                <w:szCs w:val="13"/>
              </w:rPr>
              <w:t>2,3%</w:t>
            </w:r>
          </w:p>
        </w:tc>
      </w:tr>
      <w:tr w:rsidR="0084290D" w14:paraId="5ADD4CD6" w14:textId="77777777">
        <w:tc>
          <w:tcPr>
            <w:tcW w:w="2754" w:type="dxa"/>
            <w:tcBorders>
              <w:bottom w:val="single" w:color="009EE0" w:sz="2" w:space="0"/>
            </w:tcBorders>
            <w:tcMar>
              <w:top w:w="22" w:type="dxa"/>
              <w:bottom w:w="22" w:type="dxa"/>
              <w:right w:w="28" w:type="dxa"/>
            </w:tcMar>
          </w:tcPr>
          <w:p w:rsidRPr="006F2FC4" w:rsidR="0084290D" w:rsidRDefault="00CF5B93" w14:paraId="324DFADC" w14:textId="77777777">
            <w:pPr>
              <w:pStyle w:val="p-table"/>
              <w:rPr>
                <w:sz w:val="13"/>
                <w:szCs w:val="13"/>
              </w:rPr>
            </w:pPr>
            <w:r w:rsidRPr="006F2FC4">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6F2FC4" w:rsidR="0084290D" w:rsidRDefault="00CF5B93" w14:paraId="749D8AA8" w14:textId="77777777">
            <w:pPr>
              <w:pStyle w:val="p-table"/>
              <w:jc w:val="right"/>
              <w:rPr>
                <w:sz w:val="13"/>
                <w:szCs w:val="13"/>
              </w:rPr>
            </w:pPr>
            <w:r w:rsidRPr="006F2FC4">
              <w:rPr>
                <w:sz w:val="13"/>
                <w:szCs w:val="13"/>
              </w:rPr>
              <w:t>0,0%</w:t>
            </w:r>
          </w:p>
        </w:tc>
      </w:tr>
      <w:tr w:rsidR="0084290D" w14:paraId="25970B53" w14:textId="77777777">
        <w:tc>
          <w:tcPr>
            <w:tcW w:w="2754" w:type="dxa"/>
            <w:tcBorders>
              <w:bottom w:val="single" w:color="009EE0" w:sz="2" w:space="0"/>
            </w:tcBorders>
            <w:tcMar>
              <w:top w:w="22" w:type="dxa"/>
              <w:bottom w:w="22" w:type="dxa"/>
              <w:right w:w="28" w:type="dxa"/>
            </w:tcMar>
          </w:tcPr>
          <w:p w:rsidRPr="006F2FC4" w:rsidR="0084290D" w:rsidRDefault="00CF5B93" w14:paraId="76D986AE"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210B25B" w14:textId="77777777">
            <w:pPr>
              <w:pStyle w:val="p-table"/>
              <w:jc w:val="right"/>
              <w:rPr>
                <w:sz w:val="13"/>
                <w:szCs w:val="13"/>
              </w:rPr>
            </w:pPr>
            <w:r w:rsidRPr="006F2FC4">
              <w:rPr>
                <w:sz w:val="13"/>
                <w:szCs w:val="13"/>
              </w:rPr>
              <w:t>0,0%</w:t>
            </w:r>
          </w:p>
        </w:tc>
      </w:tr>
    </w:tbl>
    <w:p w:rsidR="0084290D" w:rsidRDefault="0084290D" w14:paraId="2E9A46D2" w14:textId="77777777">
      <w:pPr>
        <w:pStyle w:val="p-marginbottom"/>
      </w:pPr>
    </w:p>
    <w:p w:rsidR="0084290D" w:rsidRDefault="00CF5B93" w14:paraId="6F9BADB1" w14:textId="77777777">
      <w:pPr>
        <w:pStyle w:val="header-h1"/>
      </w:pPr>
      <w:r>
        <w:t>Toelichting</w:t>
      </w:r>
    </w:p>
    <w:p w:rsidR="0084290D" w:rsidRDefault="0084290D" w14:paraId="42636379" w14:textId="77777777">
      <w:pPr>
        <w:pStyle w:val="p-marginbottom"/>
      </w:pPr>
    </w:p>
    <w:p w:rsidR="0084290D" w:rsidRDefault="00CF5B93" w14:paraId="79EC02AD" w14:textId="77777777">
      <w:pPr>
        <w:pStyle w:val="header-h1"/>
      </w:pPr>
      <w:r>
        <w:t>Budgetflexibiliteit</w:t>
      </w:r>
    </w:p>
    <w:p w:rsidR="0084290D" w:rsidRDefault="00CF5B93" w14:paraId="6E2FB25D" w14:textId="77777777">
      <w:pPr>
        <w:pStyle w:val="p"/>
      </w:pPr>
      <w:r>
        <w:t>De uitgaven op artikel 3 zijn in 2026 voor 97,6% juridisch verplicht en voor 2,3% bestuurlijk gebonden. De juridisch verplichte uitgaven bestaan voornamelijk uit de lening aan TenneT, (een groot deel van) de kapitaalinjecties aan Invest-NL en de afdrachten Staatsloterij. De bestuurlijk gebonden uitgaven hebben met name betrekking op de kapitaalinjectie aan Invest International.</w:t>
      </w:r>
    </w:p>
    <w:p w:rsidR="0084290D" w:rsidRDefault="00CF5B93" w14:paraId="36DA7C04" w14:textId="77777777">
      <w:pPr>
        <w:pStyle w:val="header-h2"/>
      </w:pPr>
      <w:r>
        <w:t>Kapitaalinjectie Invest International en Invest-NL</w:t>
      </w:r>
    </w:p>
    <w:p w:rsidR="0084290D" w:rsidRDefault="00CF5B93" w14:paraId="76D48462" w14:textId="77777777">
      <w:pPr>
        <w:pStyle w:val="p"/>
      </w:pPr>
      <w:r>
        <w:t>De kapitaalinjectie voor Invest International is bestuurlijk gebonden. Na goedkeuring van de concrete aanvragen voor de kapitaalinjecties door Invest International wordt de verplichting juridisch vastgelegd. De kapitaalinjecties voor Invest-NL zijn grotendeels juridisch verplicht. Voor beide instellingen geldt dat de kapitaalinjecties nodig zijn om hun investeringsactiviteiten uit te voeren.</w:t>
      </w:r>
    </w:p>
    <w:p w:rsidR="0084290D" w:rsidRDefault="00CF5B93" w14:paraId="51E7A91F" w14:textId="77777777">
      <w:pPr>
        <w:pStyle w:val="header-h2"/>
      </w:pPr>
      <w:r>
        <w:t>Afdrachten Staatsloterij</w:t>
      </w:r>
    </w:p>
    <w:p w:rsidR="0084290D" w:rsidRDefault="00CF5B93" w14:paraId="3F4FFE7A" w14:textId="77777777">
      <w:pPr>
        <w:pStyle w:val="p"/>
      </w:pPr>
      <w:r>
        <w:t>De afdrachten Staatsloterij (uitgaven en ontvangsten) zijn 100% juridisch verplicht op basis van de Wet op de Kansspelen (WOK).</w:t>
      </w:r>
    </w:p>
    <w:p w:rsidR="0084290D" w:rsidRDefault="00CF5B93" w14:paraId="7AE25D97" w14:textId="77777777">
      <w:pPr>
        <w:pStyle w:val="header-h1"/>
      </w:pPr>
      <w:r>
        <w:t>Verplichtingen</w:t>
      </w:r>
    </w:p>
    <w:p w:rsidR="0084290D" w:rsidRDefault="0084290D" w14:paraId="592D70CD" w14:textId="77777777">
      <w:pPr>
        <w:pStyle w:val="p-marginbottom"/>
      </w:pPr>
    </w:p>
    <w:p w:rsidR="0084290D" w:rsidRDefault="00CF5B93" w14:paraId="3F4D478F" w14:textId="77777777">
      <w:pPr>
        <w:pStyle w:val="header-h2"/>
      </w:pPr>
      <w:r>
        <w:t>Garantieverplichtingen</w:t>
      </w:r>
    </w:p>
    <w:p w:rsidR="0084290D" w:rsidRDefault="0084290D" w14:paraId="12BEFFAF" w14:textId="77777777">
      <w:pPr>
        <w:pStyle w:val="p-marginbottom"/>
      </w:pPr>
    </w:p>
    <w:p w:rsidR="0084290D" w:rsidRDefault="00CF5B93" w14:paraId="4463A208" w14:textId="77777777">
      <w:pPr>
        <w:pStyle w:val="header-h5"/>
      </w:pPr>
      <w:r>
        <w:t>Garantie FMO</w:t>
      </w:r>
    </w:p>
    <w:p w:rsidR="0084290D" w:rsidRDefault="00CF5B93" w14:paraId="3D4BF55B" w14:textId="77777777">
      <w:pPr>
        <w:pStyle w:val="p"/>
      </w:pPr>
      <w:r>
        <w:t>De uitstaande garantie (USD 16 mld.) wordt naar beneden bijgesteld met € 63,4 mln. aan de hand van de EUR-USD wisselkoers per 27 februari 2026</w:t>
      </w:r>
      <w:r>
        <w:rPr>
          <w:b/>
        </w:rPr>
        <w:t>.</w:t>
      </w:r>
      <w:r>
        <w:t xml:space="preserve"> De garantie is in USD ten opzichte van de Rijksbegroting in EUR. Aangezien de koers van de euro ten opzichte van de dollar is gestegen, daalt de waarde van deze garantie.</w:t>
      </w:r>
    </w:p>
    <w:p w:rsidR="009665F5" w:rsidRDefault="009665F5" w14:paraId="7B93739C" w14:textId="77777777">
      <w:pPr>
        <w:rPr>
          <w:sz w:val="17"/>
          <w:u w:val="single"/>
        </w:rPr>
      </w:pPr>
      <w:r>
        <w:br w:type="page"/>
      </w:r>
    </w:p>
    <w:p w:rsidR="0084290D" w:rsidRDefault="00CF5B93" w14:paraId="261085D8" w14:textId="6C686263">
      <w:pPr>
        <w:pStyle w:val="header-h5"/>
      </w:pPr>
      <w:r>
        <w:lastRenderedPageBreak/>
        <w:t xml:space="preserve">Garantie </w:t>
      </w:r>
      <w:proofErr w:type="spellStart"/>
      <w:r>
        <w:t>TenneT</w:t>
      </w:r>
      <w:proofErr w:type="spellEnd"/>
    </w:p>
    <w:p w:rsidR="0084290D" w:rsidRDefault="00CF5B93" w14:paraId="62EB6484" w14:textId="77777777">
      <w:pPr>
        <w:pStyle w:val="p"/>
      </w:pPr>
      <w:r>
        <w:t>Door de grote investeringsagenda neemt de financieringsbehoefte van TenneT Nederland (hierna: TenneT) fors toe. Om te zorgen dat TenneT deze investeringsopgave kan financieren, heeft het kabinet in 2025 besloten een garantie af te geven. Als gevolg hiervan kan TenneT meer en goedkoper schuld ophalen op de kapitaalmarkt. TenneT heeft het gedaan om het plafond van de garantie op te hogen tot € 60,4 mld. De bestaande garantie van € 51,6 mld. wordt daarom met € 8,8 mld. opgehoogd.</w:t>
      </w:r>
    </w:p>
    <w:p w:rsidR="0084290D" w:rsidRDefault="00CF5B93" w14:paraId="7B7C0CDE" w14:textId="77777777">
      <w:pPr>
        <w:pStyle w:val="header-h2"/>
      </w:pPr>
      <w:r>
        <w:t>Overige verplichtingen</w:t>
      </w:r>
    </w:p>
    <w:p w:rsidR="0084290D" w:rsidRDefault="0084290D" w14:paraId="61069695" w14:textId="77777777">
      <w:pPr>
        <w:pStyle w:val="p-marginbottom"/>
      </w:pPr>
    </w:p>
    <w:p w:rsidR="0084290D" w:rsidRDefault="00CF5B93" w14:paraId="54CBCEBC" w14:textId="77777777">
      <w:pPr>
        <w:pStyle w:val="header-h5"/>
      </w:pPr>
      <w:r>
        <w:t>Lening SRH</w:t>
      </w:r>
    </w:p>
    <w:p w:rsidR="0084290D" w:rsidRDefault="00CF5B93" w14:paraId="29C6DEC3" w14:textId="77777777">
      <w:pPr>
        <w:pStyle w:val="p"/>
      </w:pPr>
      <w:r>
        <w:t>SRH heeft een vordering op de Nederlandse staat, waarop de (positieve) rente niet wordt betaald maar jaarlijks wordt bijgeboekt op de vordering. Voor de periode 1 oktober 2025 tot en met 30 september 2028 is een nieuw (marktconform)rentepercentage vastgesteld. De verplichting voor de lening SRH wordt naar aanleiding hiervan in 2026 met € 37,7 mln. omhoog bijgesteld</w:t>
      </w:r>
    </w:p>
    <w:p w:rsidR="0084290D" w:rsidRDefault="00CF5B93" w14:paraId="4D5C97DC" w14:textId="77777777">
      <w:pPr>
        <w:pStyle w:val="header-h5"/>
      </w:pPr>
      <w:r>
        <w:t>Lening TenneT</w:t>
      </w:r>
    </w:p>
    <w:p w:rsidR="0084290D" w:rsidRDefault="00CF5B93" w14:paraId="743AB586" w14:textId="77777777">
      <w:pPr>
        <w:pStyle w:val="p"/>
      </w:pPr>
      <w:r>
        <w:t>Bij de gedeeltelijke afboeking van de lening aan TenneT in de Ontwerpbegroting 2026 is ook het verplichtingenbudget afgeboekt, waardoor er een negatieve verplichtingenstand is ontstaan. Als gevolg van gewijzigde regelgeving moet deze afboeking in 2025 plaatsvinden in plaats van in 2026. Daarom wordt de afboeking gecorrigeerd. Deze correctie op het verplichtingenbudget is puur technisch van aard en heeft geen gevolgen voor de trekkingsrechten van TenneT op de lening zelf en ook geen gevolgen voor geraamde EMU-saldo en -schuld.</w:t>
      </w:r>
    </w:p>
    <w:p w:rsidR="0084290D" w:rsidRDefault="00CF5B93" w14:paraId="0B52D762" w14:textId="77777777">
      <w:pPr>
        <w:pStyle w:val="header-h1"/>
      </w:pPr>
      <w:r>
        <w:t>Ontvangsten</w:t>
      </w:r>
    </w:p>
    <w:p w:rsidR="0084290D" w:rsidRDefault="0084290D" w14:paraId="041D8E44" w14:textId="77777777">
      <w:pPr>
        <w:pStyle w:val="p-marginbottom"/>
      </w:pPr>
    </w:p>
    <w:p w:rsidR="0084290D" w:rsidRDefault="00CF5B93" w14:paraId="7CE77B00" w14:textId="77777777">
      <w:pPr>
        <w:pStyle w:val="header-h2"/>
      </w:pPr>
      <w:r>
        <w:t>Garanties</w:t>
      </w:r>
    </w:p>
    <w:p w:rsidR="0084290D" w:rsidRDefault="0084290D" w14:paraId="5766A6F6" w14:textId="77777777">
      <w:pPr>
        <w:pStyle w:val="p-marginbottom"/>
      </w:pPr>
    </w:p>
    <w:p w:rsidR="0084290D" w:rsidRDefault="00CF5B93" w14:paraId="181FFDDE" w14:textId="77777777">
      <w:pPr>
        <w:pStyle w:val="header-h5"/>
      </w:pPr>
      <w:r>
        <w:t>Premieontvangsten TenneT</w:t>
      </w:r>
    </w:p>
    <w:p w:rsidR="0084290D" w:rsidRDefault="00CF5B93" w14:paraId="1E5AE09A" w14:textId="77777777">
      <w:pPr>
        <w:pStyle w:val="p"/>
      </w:pPr>
      <w:r>
        <w:t>De Staat ontvangt als garantieverstrekker garantiepremie voor het verstrekken van de garantie aan TenneT Nederland. Op basis van de meest recente marktconforme rentepercentages worden de premieontvangsten van de garantie aan TenneT meerjarig naar beneden bijgesteld.</w:t>
      </w:r>
    </w:p>
    <w:p w:rsidR="0084290D" w:rsidRDefault="00CF5B93" w14:paraId="1F673B34" w14:textId="77777777">
      <w:pPr>
        <w:pStyle w:val="header-h2"/>
      </w:pPr>
      <w:r>
        <w:t>Leningen</w:t>
      </w:r>
    </w:p>
    <w:p w:rsidR="0084290D" w:rsidRDefault="0084290D" w14:paraId="565709C3" w14:textId="77777777">
      <w:pPr>
        <w:pStyle w:val="p-marginbottom"/>
      </w:pPr>
    </w:p>
    <w:p w:rsidR="0084290D" w:rsidRDefault="00CF5B93" w14:paraId="641E6FCE" w14:textId="77777777">
      <w:pPr>
        <w:pStyle w:val="header-h5"/>
      </w:pPr>
      <w:r>
        <w:t>Renteontvangsten lening TenneT</w:t>
      </w:r>
    </w:p>
    <w:p w:rsidR="0084290D" w:rsidRDefault="00CF5B93" w14:paraId="7EB4163D" w14:textId="7A97C79C">
      <w:pPr>
        <w:pStyle w:val="p"/>
      </w:pPr>
      <w:r>
        <w:t xml:space="preserve">Op basis van de meest recente inzichten in de verwachte door </w:t>
      </w:r>
      <w:proofErr w:type="spellStart"/>
      <w:r>
        <w:t>TenneT</w:t>
      </w:r>
      <w:proofErr w:type="spellEnd"/>
      <w:r>
        <w:t xml:space="preserve"> te trekken </w:t>
      </w:r>
      <w:proofErr w:type="spellStart"/>
      <w:r>
        <w:t>leningdelen</w:t>
      </w:r>
      <w:proofErr w:type="spellEnd"/>
      <w:r>
        <w:t xml:space="preserve"> worden de verwachte ontvangsten op de lening aan TenneT meerjarig naar beneden bijgesteld. Met de garantie voor TenneT is inmiddels een structurele oplossing geïmplementeerd voor de financiering van TenneT Nederland. Tevens is met de deelname van private investeerders in TenneT Duitsland voor TenneT Duitsland in de kapitaalbehoefte voorzien. Dit maakt dat TenneT minder uit de </w:t>
      </w:r>
      <w:r w:rsidR="008F1CDA">
        <w:t>leningsfaciliteit</w:t>
      </w:r>
      <w:r>
        <w:t xml:space="preserve"> hoeft op te nemen, en daarom ook minder rente hoeft te betalen.</w:t>
      </w:r>
    </w:p>
    <w:p w:rsidR="0084290D" w:rsidRDefault="00CF5B93" w14:paraId="5DC60B48" w14:textId="77777777">
      <w:pPr>
        <w:pStyle w:val="header-h5"/>
      </w:pPr>
      <w:r>
        <w:t>Aflossing lening TenneT</w:t>
      </w:r>
    </w:p>
    <w:p w:rsidR="0084290D" w:rsidRDefault="00CF5B93" w14:paraId="11ABC35E" w14:textId="77777777">
      <w:pPr>
        <w:pStyle w:val="p"/>
      </w:pPr>
      <w:r>
        <w:t>Verder verkrijgt de Duitse staat in 2026 voor een bedrag van circa € 3,3 mld. aandelen in TenneT Duitsland. Dit gebeurt via een verkoop van aandelen die TenneT houdt in TenneT Duitsland. De Nederlandse staat heeft een aandeelhouderslening verstrekt aan TenneT. Met de opbrengsten door de deelname van de Duitse staat in TenneT Duitsland gaat TenneT een gedeelte van deze lening aflossen. Hiermee komen de opbrengsten toe aan de Nederlandse staat. Het betreft een niet-saldorelevante opbrengst van € 3,3 mld. in 2026 en bij een gelijkblijvende kapitaalbehoefte wordt uiterlijk in 2029 nogmaals circa € 1,5 mld. aan opbrengsten gerealiseerd.</w:t>
      </w:r>
    </w:p>
    <w:p w:rsidR="009665F5" w:rsidRDefault="009665F5" w14:paraId="0E26448E" w14:textId="77777777">
      <w:pPr>
        <w:rPr>
          <w:i/>
          <w:sz w:val="17"/>
        </w:rPr>
      </w:pPr>
      <w:r>
        <w:br w:type="page"/>
      </w:r>
    </w:p>
    <w:p w:rsidR="0084290D" w:rsidRDefault="00CF5B93" w14:paraId="0572AA72" w14:textId="62C72D6B">
      <w:pPr>
        <w:pStyle w:val="header-h2"/>
      </w:pPr>
      <w:r>
        <w:lastRenderedPageBreak/>
        <w:t>Vermogensverschaffing/-onttrekking</w:t>
      </w:r>
    </w:p>
    <w:p w:rsidR="0084290D" w:rsidRDefault="0084290D" w14:paraId="1B017ADC" w14:textId="77777777">
      <w:pPr>
        <w:pStyle w:val="p-marginbottom"/>
      </w:pPr>
    </w:p>
    <w:p w:rsidR="0084290D" w:rsidRDefault="00CF5B93" w14:paraId="22D2FA2E" w14:textId="77777777">
      <w:pPr>
        <w:pStyle w:val="header-h5"/>
      </w:pPr>
      <w:r>
        <w:t>Aan-/verkoop vermogenstitels</w:t>
      </w:r>
    </w:p>
    <w:p w:rsidR="0084290D" w:rsidRDefault="00CF5B93" w14:paraId="12D4694A" w14:textId="77777777">
      <w:pPr>
        <w:pStyle w:val="p"/>
      </w:pPr>
      <w:r>
        <w:t>De verwachte verkoopopbrengsten van aandelen ABN AMRO worden met € 182,6 mln. omhoog bijgesteld als gevolg van het lopende verkoopprogramma van aandelen ABN AMRO van de Staat.</w:t>
      </w:r>
    </w:p>
    <w:p w:rsidR="0084290D" w:rsidRDefault="00CF5B93" w14:paraId="79D806A8" w14:textId="77777777">
      <w:pPr>
        <w:pStyle w:val="header-h5"/>
      </w:pPr>
      <w:r>
        <w:t>Dividenden staatsdeelnemingen</w:t>
      </w:r>
    </w:p>
    <w:p w:rsidR="0084290D" w:rsidRDefault="00CF5B93" w14:paraId="6F8465DF" w14:textId="77777777">
      <w:pPr>
        <w:pStyle w:val="p"/>
      </w:pPr>
      <w:r>
        <w:t>De dividendraming wordt aangepast aan de meest recente informatie over het verwachte dividend van zowel de financiële staatsdeelnemingen als de financiële staatsdeelnemingen, als gevolg van de huidige marktomstandigheden. Met betrekking tot Havenbedrijf Rotterdam is het dividendbeleid aangepast waardoor hogere dividenden worden verwacht.</w:t>
      </w:r>
    </w:p>
    <w:p w:rsidR="0084290D" w:rsidRDefault="00CF5B93" w14:paraId="45450C2E" w14:textId="77777777">
      <w:pPr>
        <w:pStyle w:val="p"/>
      </w:pPr>
      <w:r>
        <w:t>In 2026 betreft het voor de financiële staatsdeelnemingen een verhoging van circa € 48,9 mln. en voor de niet-financiële staatsdeelnemingen betreft het een verhoging van circa € 20 mln.</w:t>
      </w:r>
    </w:p>
    <w:p w:rsidR="0084290D" w:rsidRDefault="0084290D" w14:paraId="04F11768" w14:textId="77777777">
      <w:pPr>
        <w:pStyle w:val="page-break"/>
      </w:pPr>
    </w:p>
    <w:p w:rsidR="0084290D" w:rsidRDefault="00CF5B93" w14:paraId="301BAA54" w14:textId="77777777">
      <w:pPr>
        <w:pStyle w:val="section-title-3"/>
      </w:pPr>
      <w:r>
        <w:t>Artikel 4 Internationale financiële betrekkingen</w:t>
      </w:r>
    </w:p>
    <w:p w:rsidR="0084290D" w:rsidRDefault="00CF5B93" w14:paraId="30621F2D"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319"/>
        <w:gridCol w:w="725"/>
        <w:gridCol w:w="725"/>
        <w:gridCol w:w="725"/>
        <w:gridCol w:w="822"/>
        <w:gridCol w:w="725"/>
        <w:gridCol w:w="725"/>
        <w:gridCol w:w="725"/>
        <w:gridCol w:w="725"/>
        <w:gridCol w:w="725"/>
        <w:gridCol w:w="725"/>
      </w:tblGrid>
      <w:tr w:rsidR="0084290D" w:rsidTr="007433BE" w14:paraId="64966150" w14:textId="77777777">
        <w:trPr>
          <w:tblHeader/>
        </w:trPr>
        <w:tc>
          <w:tcPr>
            <w:tcW w:w="5000" w:type="pct"/>
            <w:gridSpan w:val="11"/>
            <w:tcMar>
              <w:top w:w="22" w:type="dxa"/>
              <w:left w:w="113" w:type="dxa"/>
              <w:bottom w:w="22" w:type="dxa"/>
            </w:tcMar>
          </w:tcPr>
          <w:p w:rsidR="0084290D" w:rsidRDefault="00CF5B93" w14:paraId="3F52BFD7" w14:textId="77777777">
            <w:pPr>
              <w:pStyle w:val="kio2-table-title"/>
            </w:pPr>
            <w:r>
              <w:t>Tabel 16 Budgettaire gevolgen van beleid artikel 4 Internationale financiële betrekkingen (bedragen x € 1.000)</w:t>
            </w:r>
          </w:p>
        </w:tc>
      </w:tr>
      <w:tr w:rsidR="0084290D" w:rsidTr="007433BE" w14:paraId="680CC985" w14:textId="77777777">
        <w:trPr>
          <w:tblHeader/>
        </w:trPr>
        <w:tc>
          <w:tcPr>
            <w:tcW w:w="1200" w:type="pct"/>
            <w:tcBorders>
              <w:top w:val="single" w:color="000000" w:sz="2" w:space="0"/>
              <w:bottom w:val="single" w:color="009EE0" w:sz="2" w:space="0"/>
            </w:tcBorders>
            <w:tcMar>
              <w:top w:w="28" w:type="dxa"/>
              <w:bottom w:w="28" w:type="dxa"/>
              <w:right w:w="28" w:type="dxa"/>
            </w:tcMar>
          </w:tcPr>
          <w:p w:rsidRPr="006F2FC4" w:rsidR="0084290D" w:rsidRDefault="00CF5B93" w14:paraId="78201B77" w14:textId="77777777">
            <w:pPr>
              <w:pStyle w:val="p-table"/>
              <w:rPr>
                <w:color w:val="000000"/>
                <w:sz w:val="13"/>
                <w:szCs w:val="13"/>
              </w:rPr>
            </w:pPr>
            <w:r w:rsidRPr="006F2FC4">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2CAA988"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3D67F47" w14:textId="77777777">
            <w:pPr>
              <w:pStyle w:val="p-table"/>
              <w:jc w:val="right"/>
              <w:rPr>
                <w:color w:val="000000"/>
                <w:sz w:val="13"/>
                <w:szCs w:val="13"/>
              </w:rPr>
            </w:pPr>
            <w:r w:rsidRPr="006F2FC4">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6DD9B77" w14:textId="77777777">
            <w:pPr>
              <w:pStyle w:val="p-table"/>
              <w:jc w:val="right"/>
              <w:rPr>
                <w:color w:val="000000"/>
                <w:sz w:val="13"/>
                <w:szCs w:val="13"/>
              </w:rPr>
            </w:pPr>
            <w:r w:rsidRPr="006F2FC4">
              <w:rPr>
                <w:color w:val="000000"/>
                <w:sz w:val="13"/>
                <w:szCs w:val="13"/>
              </w:rPr>
              <w:t>Vastgestelde begroting 2026 (3)=(1)+(2)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EA1F873"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6C533E9"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6654D35"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74FC2BE"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9EEE0B7"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C2FC9AF"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0592C7F" w14:textId="77777777">
            <w:pPr>
              <w:pStyle w:val="p-table"/>
              <w:jc w:val="right"/>
              <w:rPr>
                <w:color w:val="000000"/>
                <w:sz w:val="13"/>
                <w:szCs w:val="13"/>
              </w:rPr>
            </w:pPr>
            <w:r w:rsidRPr="006F2FC4">
              <w:rPr>
                <w:color w:val="000000"/>
                <w:sz w:val="13"/>
                <w:szCs w:val="13"/>
              </w:rPr>
              <w:t>Mutatie 2031</w:t>
            </w:r>
          </w:p>
        </w:tc>
      </w:tr>
      <w:tr w:rsidR="0084290D" w:rsidTr="007433BE" w14:paraId="14855A21" w14:textId="77777777">
        <w:tc>
          <w:tcPr>
            <w:tcW w:w="4625" w:type="pct"/>
            <w:gridSpan w:val="10"/>
            <w:tcBorders>
              <w:bottom w:val="single" w:color="009EE0" w:sz="2" w:space="0"/>
            </w:tcBorders>
            <w:tcMar>
              <w:top w:w="22" w:type="dxa"/>
              <w:bottom w:w="22" w:type="dxa"/>
              <w:right w:w="28" w:type="dxa"/>
            </w:tcMar>
          </w:tcPr>
          <w:p w:rsidRPr="006F2FC4" w:rsidR="0084290D" w:rsidRDefault="0084290D" w14:paraId="4D9BD4C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E3F7C02" w14:textId="77777777">
            <w:pPr>
              <w:pStyle w:val="p-table"/>
              <w:rPr>
                <w:sz w:val="13"/>
                <w:szCs w:val="13"/>
              </w:rPr>
            </w:pPr>
          </w:p>
        </w:tc>
      </w:tr>
      <w:tr w:rsidR="0084290D" w:rsidTr="007433BE" w14:paraId="31581955" w14:textId="77777777">
        <w:tc>
          <w:tcPr>
            <w:tcW w:w="1200" w:type="pct"/>
            <w:tcBorders>
              <w:bottom w:val="single" w:color="009EE0" w:sz="2" w:space="0"/>
            </w:tcBorders>
            <w:tcMar>
              <w:top w:w="22" w:type="dxa"/>
              <w:bottom w:w="22" w:type="dxa"/>
              <w:right w:w="28" w:type="dxa"/>
            </w:tcMar>
          </w:tcPr>
          <w:p w:rsidRPr="006F2FC4" w:rsidR="0084290D" w:rsidRDefault="00CF5B93" w14:paraId="5ADF7223" w14:textId="77777777">
            <w:pPr>
              <w:pStyle w:val="p-table"/>
              <w:rPr>
                <w:sz w:val="13"/>
                <w:szCs w:val="13"/>
              </w:rPr>
            </w:pPr>
            <w:r w:rsidRPr="006F2FC4">
              <w:rPr>
                <w:b/>
                <w:sz w:val="13"/>
                <w:szCs w:val="13"/>
              </w:rPr>
              <w:t>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2A93DD" w14:textId="77777777">
            <w:pPr>
              <w:pStyle w:val="p-table"/>
              <w:jc w:val="right"/>
              <w:rPr>
                <w:sz w:val="13"/>
                <w:szCs w:val="13"/>
              </w:rPr>
            </w:pPr>
            <w:r w:rsidRPr="006F2FC4">
              <w:rPr>
                <w:b/>
                <w:sz w:val="13"/>
                <w:szCs w:val="13"/>
              </w:rPr>
              <w:t>2.215.341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77556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13711C" w14:textId="77777777">
            <w:pPr>
              <w:pStyle w:val="p-table"/>
              <w:jc w:val="right"/>
              <w:rPr>
                <w:sz w:val="13"/>
                <w:szCs w:val="13"/>
              </w:rPr>
            </w:pPr>
            <w:r w:rsidRPr="006F2FC4">
              <w:rPr>
                <w:b/>
                <w:sz w:val="13"/>
                <w:szCs w:val="13"/>
              </w:rPr>
              <w:t>2.215.341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E71737" w14:textId="77777777">
            <w:pPr>
              <w:pStyle w:val="p-table"/>
              <w:jc w:val="right"/>
              <w:rPr>
                <w:sz w:val="13"/>
                <w:szCs w:val="13"/>
              </w:rPr>
            </w:pPr>
            <w:r w:rsidRPr="006F2FC4">
              <w:rPr>
                <w:b/>
                <w:sz w:val="13"/>
                <w:szCs w:val="13"/>
              </w:rPr>
              <w:t>5.648.351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726854" w14:textId="77777777">
            <w:pPr>
              <w:pStyle w:val="p-table"/>
              <w:jc w:val="right"/>
              <w:rPr>
                <w:sz w:val="13"/>
                <w:szCs w:val="13"/>
              </w:rPr>
            </w:pPr>
            <w:r w:rsidRPr="006F2FC4">
              <w:rPr>
                <w:b/>
                <w:sz w:val="13"/>
                <w:szCs w:val="13"/>
              </w:rPr>
              <w:t>7.863.692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194610" w14:textId="77777777">
            <w:pPr>
              <w:pStyle w:val="p-table"/>
              <w:jc w:val="right"/>
              <w:rPr>
                <w:sz w:val="13"/>
                <w:szCs w:val="13"/>
              </w:rPr>
            </w:pPr>
            <w:r w:rsidRPr="006F2FC4">
              <w:rPr>
                <w:b/>
                <w:sz w:val="13"/>
                <w:szCs w:val="13"/>
              </w:rPr>
              <w:t>252.975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A1D510"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77AD64"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43A25A"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B84C68" w14:textId="77777777">
            <w:pPr>
              <w:pStyle w:val="p-table"/>
              <w:jc w:val="right"/>
              <w:rPr>
                <w:sz w:val="13"/>
                <w:szCs w:val="13"/>
              </w:rPr>
            </w:pPr>
            <w:r w:rsidRPr="006F2FC4">
              <w:rPr>
                <w:b/>
                <w:sz w:val="13"/>
                <w:szCs w:val="13"/>
              </w:rPr>
              <w:t>1.137.657</w:t>
            </w:r>
          </w:p>
        </w:tc>
      </w:tr>
      <w:tr w:rsidR="0084290D" w:rsidTr="007433BE" w14:paraId="451A8320" w14:textId="77777777">
        <w:tc>
          <w:tcPr>
            <w:tcW w:w="1200" w:type="pct"/>
            <w:tcMar>
              <w:top w:w="22" w:type="dxa"/>
              <w:bottom w:w="22" w:type="dxa"/>
              <w:right w:w="28" w:type="dxa"/>
            </w:tcMar>
          </w:tcPr>
          <w:p w:rsidRPr="006F2FC4" w:rsidR="0084290D" w:rsidRDefault="0084290D" w14:paraId="1BD0ACC5"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F80C1B5"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9402C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E3CB908"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3A934F3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05376C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D00A32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C8020D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A78430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2B1221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0749F91" w14:textId="77777777">
            <w:pPr>
              <w:pStyle w:val="p-table"/>
              <w:rPr>
                <w:sz w:val="13"/>
                <w:szCs w:val="13"/>
              </w:rPr>
            </w:pPr>
          </w:p>
        </w:tc>
      </w:tr>
      <w:tr w:rsidR="0084290D" w:rsidTr="007433BE" w14:paraId="1E79C6F7" w14:textId="77777777">
        <w:tc>
          <w:tcPr>
            <w:tcW w:w="1200" w:type="pct"/>
            <w:tcBorders>
              <w:bottom w:val="single" w:color="009EE0" w:sz="2" w:space="0"/>
            </w:tcBorders>
            <w:tcMar>
              <w:top w:w="22" w:type="dxa"/>
              <w:bottom w:w="22" w:type="dxa"/>
              <w:right w:w="28" w:type="dxa"/>
            </w:tcMar>
          </w:tcPr>
          <w:p w:rsidRPr="006F2FC4" w:rsidR="0084290D" w:rsidRDefault="00CF5B93" w14:paraId="2525296F" w14:textId="77777777">
            <w:pPr>
              <w:pStyle w:val="p-table"/>
              <w:rPr>
                <w:sz w:val="13"/>
                <w:szCs w:val="13"/>
              </w:rPr>
            </w:pPr>
            <w:r w:rsidRPr="006F2FC4">
              <w:rPr>
                <w:b/>
                <w:sz w:val="13"/>
                <w:szCs w:val="13"/>
              </w:rPr>
              <w:t>Uitgaven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1DB353C1" w14:textId="77777777">
            <w:pPr>
              <w:pStyle w:val="p-table"/>
              <w:jc w:val="right"/>
              <w:rPr>
                <w:sz w:val="13"/>
                <w:szCs w:val="13"/>
              </w:rPr>
            </w:pPr>
            <w:r w:rsidRPr="006F2FC4">
              <w:rPr>
                <w:b/>
                <w:sz w:val="13"/>
                <w:szCs w:val="13"/>
              </w:rPr>
              <w:t>323.516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A0D115"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B81CE6C" w14:textId="77777777">
            <w:pPr>
              <w:pStyle w:val="p-table"/>
              <w:jc w:val="right"/>
              <w:rPr>
                <w:sz w:val="13"/>
                <w:szCs w:val="13"/>
              </w:rPr>
            </w:pPr>
            <w:r w:rsidRPr="006F2FC4">
              <w:rPr>
                <w:b/>
                <w:sz w:val="13"/>
                <w:szCs w:val="13"/>
              </w:rPr>
              <w:t>323.516</w:t>
            </w:r>
          </w:p>
        </w:tc>
        <w:tc>
          <w:tcPr>
            <w:tcW w:w="425" w:type="pct"/>
            <w:tcBorders>
              <w:bottom w:val="single" w:color="009EE0" w:sz="2" w:space="0"/>
            </w:tcBorders>
            <w:tcMar>
              <w:top w:w="22" w:type="dxa"/>
              <w:left w:w="28" w:type="dxa"/>
              <w:bottom w:w="22" w:type="dxa"/>
              <w:right w:w="28" w:type="dxa"/>
            </w:tcMar>
          </w:tcPr>
          <w:p w:rsidRPr="006F2FC4" w:rsidR="0084290D" w:rsidRDefault="00CF5B93" w14:paraId="4DD8DD20" w14:textId="77777777">
            <w:pPr>
              <w:pStyle w:val="p-table"/>
              <w:jc w:val="right"/>
              <w:rPr>
                <w:sz w:val="13"/>
                <w:szCs w:val="13"/>
              </w:rPr>
            </w:pPr>
            <w:r w:rsidRPr="006F2FC4">
              <w:rPr>
                <w:b/>
                <w:sz w:val="13"/>
                <w:szCs w:val="13"/>
              </w:rPr>
              <w:t>‒ 249.265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A7F0F1" w14:textId="77777777">
            <w:pPr>
              <w:pStyle w:val="p-table"/>
              <w:jc w:val="right"/>
              <w:rPr>
                <w:sz w:val="13"/>
                <w:szCs w:val="13"/>
              </w:rPr>
            </w:pPr>
            <w:r w:rsidRPr="006F2FC4">
              <w:rPr>
                <w:b/>
                <w:sz w:val="13"/>
                <w:szCs w:val="13"/>
              </w:rPr>
              <w:t>74.251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D2F8A3" w14:textId="77777777">
            <w:pPr>
              <w:pStyle w:val="p-table"/>
              <w:jc w:val="right"/>
              <w:rPr>
                <w:sz w:val="13"/>
                <w:szCs w:val="13"/>
              </w:rPr>
            </w:pPr>
            <w:r w:rsidRPr="006F2FC4">
              <w:rPr>
                <w:b/>
                <w:sz w:val="13"/>
                <w:szCs w:val="13"/>
              </w:rPr>
              <w:t>256.535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9949B3" w14:textId="77777777">
            <w:pPr>
              <w:pStyle w:val="p-table"/>
              <w:jc w:val="right"/>
              <w:rPr>
                <w:sz w:val="13"/>
                <w:szCs w:val="13"/>
              </w:rPr>
            </w:pPr>
            <w:r w:rsidRPr="006F2FC4">
              <w:rPr>
                <w:b/>
                <w:sz w:val="13"/>
                <w:szCs w:val="13"/>
              </w:rPr>
              <w:t>3.635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AD329D"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7BA207"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03BD17" w14:textId="77777777">
            <w:pPr>
              <w:pStyle w:val="p-table"/>
              <w:jc w:val="right"/>
              <w:rPr>
                <w:sz w:val="13"/>
                <w:szCs w:val="13"/>
              </w:rPr>
            </w:pPr>
            <w:r w:rsidRPr="006F2FC4">
              <w:rPr>
                <w:b/>
                <w:sz w:val="13"/>
                <w:szCs w:val="13"/>
              </w:rPr>
              <w:t>537.321</w:t>
            </w:r>
          </w:p>
        </w:tc>
      </w:tr>
      <w:tr w:rsidR="0084290D" w:rsidTr="007433BE" w14:paraId="783F3DE8" w14:textId="77777777">
        <w:tc>
          <w:tcPr>
            <w:tcW w:w="1200" w:type="pct"/>
            <w:tcMar>
              <w:top w:w="22" w:type="dxa"/>
              <w:bottom w:w="22" w:type="dxa"/>
              <w:right w:w="28" w:type="dxa"/>
            </w:tcMar>
          </w:tcPr>
          <w:p w:rsidRPr="006F2FC4" w:rsidR="0084290D" w:rsidRDefault="0084290D" w14:paraId="40D2C0A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034C49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366C87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92587ED"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7FDC4AE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131E4B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220433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AC006D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3D3998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7B6DDE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D6C211E" w14:textId="77777777">
            <w:pPr>
              <w:pStyle w:val="p-table"/>
              <w:rPr>
                <w:sz w:val="13"/>
                <w:szCs w:val="13"/>
              </w:rPr>
            </w:pPr>
          </w:p>
        </w:tc>
      </w:tr>
      <w:tr w:rsidR="0084290D" w:rsidTr="007433BE" w14:paraId="6CABFB65" w14:textId="77777777">
        <w:tc>
          <w:tcPr>
            <w:tcW w:w="1200" w:type="pct"/>
            <w:tcBorders>
              <w:bottom w:val="single" w:color="009EE0" w:sz="2" w:space="0"/>
            </w:tcBorders>
            <w:tcMar>
              <w:top w:w="22" w:type="dxa"/>
              <w:bottom w:w="22" w:type="dxa"/>
              <w:right w:w="28" w:type="dxa"/>
            </w:tcMar>
          </w:tcPr>
          <w:p w:rsidRPr="006F2FC4" w:rsidR="0084290D" w:rsidRDefault="00CF5B93" w14:paraId="2D36EE76" w14:textId="77777777">
            <w:pPr>
              <w:pStyle w:val="p-table"/>
              <w:rPr>
                <w:sz w:val="13"/>
                <w:szCs w:val="13"/>
              </w:rPr>
            </w:pPr>
            <w:r w:rsidRPr="006F2FC4">
              <w:rPr>
                <w:b/>
                <w:sz w:val="13"/>
                <w:szCs w:val="13"/>
              </w:rPr>
              <w:t>Garanties</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66DE0A" w14:textId="77777777">
            <w:pPr>
              <w:pStyle w:val="p-table"/>
              <w:jc w:val="right"/>
              <w:rPr>
                <w:sz w:val="13"/>
                <w:szCs w:val="13"/>
              </w:rPr>
            </w:pPr>
            <w:r w:rsidRPr="006F2FC4">
              <w:rPr>
                <w:b/>
                <w:sz w:val="13"/>
                <w:szCs w:val="13"/>
              </w:rPr>
              <w:t>26.720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60EFD1"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DCD1A8" w14:textId="77777777">
            <w:pPr>
              <w:pStyle w:val="p-table"/>
              <w:jc w:val="right"/>
              <w:rPr>
                <w:sz w:val="13"/>
                <w:szCs w:val="13"/>
              </w:rPr>
            </w:pPr>
            <w:r w:rsidRPr="006F2FC4">
              <w:rPr>
                <w:b/>
                <w:sz w:val="13"/>
                <w:szCs w:val="13"/>
              </w:rPr>
              <w:t>26.720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6404BC"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3164696" w14:textId="77777777">
            <w:pPr>
              <w:pStyle w:val="p-table"/>
              <w:jc w:val="right"/>
              <w:rPr>
                <w:sz w:val="13"/>
                <w:szCs w:val="13"/>
              </w:rPr>
            </w:pPr>
            <w:r w:rsidRPr="006F2FC4">
              <w:rPr>
                <w:b/>
                <w:sz w:val="13"/>
                <w:szCs w:val="13"/>
              </w:rPr>
              <w:t>26.720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9EBB5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C86B49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CA6AC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6F4C6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D2EBC7" w14:textId="77777777">
            <w:pPr>
              <w:pStyle w:val="p-table"/>
              <w:jc w:val="right"/>
              <w:rPr>
                <w:sz w:val="13"/>
                <w:szCs w:val="13"/>
              </w:rPr>
            </w:pPr>
            <w:r w:rsidRPr="006F2FC4">
              <w:rPr>
                <w:b/>
                <w:sz w:val="13"/>
                <w:szCs w:val="13"/>
              </w:rPr>
              <w:t>0</w:t>
            </w:r>
          </w:p>
        </w:tc>
      </w:tr>
      <w:tr w:rsidR="0084290D" w:rsidTr="007433BE" w14:paraId="2EC8CF77" w14:textId="77777777">
        <w:tc>
          <w:tcPr>
            <w:tcW w:w="1200" w:type="pct"/>
            <w:tcBorders>
              <w:bottom w:val="single" w:color="009EE0" w:sz="2" w:space="0"/>
            </w:tcBorders>
            <w:tcMar>
              <w:top w:w="22" w:type="dxa"/>
              <w:bottom w:w="22" w:type="dxa"/>
              <w:right w:w="28" w:type="dxa"/>
            </w:tcMar>
          </w:tcPr>
          <w:p w:rsidRPr="006F2FC4" w:rsidR="0084290D" w:rsidRDefault="00CF5B93" w14:paraId="1CD8442F" w14:textId="77777777">
            <w:pPr>
              <w:pStyle w:val="p-table"/>
              <w:rPr>
                <w:sz w:val="13"/>
                <w:szCs w:val="13"/>
              </w:rPr>
            </w:pPr>
            <w:r w:rsidRPr="006F2FC4">
              <w:rPr>
                <w:sz w:val="13"/>
                <w:szCs w:val="13"/>
              </w:rPr>
              <w:t>EIB pan-Europees garantiefonds</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BC8788" w14:textId="77777777">
            <w:pPr>
              <w:pStyle w:val="p-table"/>
              <w:jc w:val="right"/>
              <w:rPr>
                <w:sz w:val="13"/>
                <w:szCs w:val="13"/>
              </w:rPr>
            </w:pPr>
            <w:r w:rsidRPr="006F2FC4">
              <w:rPr>
                <w:sz w:val="13"/>
                <w:szCs w:val="13"/>
              </w:rPr>
              <w:t>26.720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A838A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9367F7" w14:textId="77777777">
            <w:pPr>
              <w:pStyle w:val="p-table"/>
              <w:jc w:val="right"/>
              <w:rPr>
                <w:sz w:val="13"/>
                <w:szCs w:val="13"/>
              </w:rPr>
            </w:pPr>
            <w:r w:rsidRPr="006F2FC4">
              <w:rPr>
                <w:sz w:val="13"/>
                <w:szCs w:val="13"/>
              </w:rPr>
              <w:t>26.720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008593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52FDFF" w14:textId="77777777">
            <w:pPr>
              <w:pStyle w:val="p-table"/>
              <w:jc w:val="right"/>
              <w:rPr>
                <w:sz w:val="13"/>
                <w:szCs w:val="13"/>
              </w:rPr>
            </w:pPr>
            <w:r w:rsidRPr="006F2FC4">
              <w:rPr>
                <w:sz w:val="13"/>
                <w:szCs w:val="13"/>
              </w:rPr>
              <w:t>26.720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E7253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8C438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07EFA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82CB7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C370BC" w14:textId="77777777">
            <w:pPr>
              <w:pStyle w:val="p-table"/>
              <w:jc w:val="right"/>
              <w:rPr>
                <w:sz w:val="13"/>
                <w:szCs w:val="13"/>
              </w:rPr>
            </w:pPr>
            <w:r w:rsidRPr="006F2FC4">
              <w:rPr>
                <w:sz w:val="13"/>
                <w:szCs w:val="13"/>
              </w:rPr>
              <w:t>0</w:t>
            </w:r>
          </w:p>
        </w:tc>
      </w:tr>
      <w:tr w:rsidR="0084290D" w:rsidTr="007433BE" w14:paraId="10A77A21" w14:textId="77777777">
        <w:tc>
          <w:tcPr>
            <w:tcW w:w="1200" w:type="pct"/>
            <w:tcBorders>
              <w:bottom w:val="single" w:color="009EE0" w:sz="2" w:space="0"/>
            </w:tcBorders>
            <w:tcMar>
              <w:top w:w="22" w:type="dxa"/>
              <w:bottom w:w="22" w:type="dxa"/>
              <w:right w:w="28" w:type="dxa"/>
            </w:tcMar>
          </w:tcPr>
          <w:p w:rsidRPr="006F2FC4" w:rsidR="0084290D" w:rsidRDefault="0084290D" w14:paraId="68CBC2A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BF8346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BFF06D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1B571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8C25D8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38AC9C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E6C9B6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793C29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A9E2AB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0DACB3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4B1B632" w14:textId="77777777">
            <w:pPr>
              <w:pStyle w:val="p-table"/>
              <w:rPr>
                <w:sz w:val="13"/>
                <w:szCs w:val="13"/>
              </w:rPr>
            </w:pPr>
          </w:p>
        </w:tc>
      </w:tr>
      <w:tr w:rsidR="0084290D" w:rsidTr="007433BE" w14:paraId="2024F3B5" w14:textId="77777777">
        <w:tc>
          <w:tcPr>
            <w:tcW w:w="1200" w:type="pct"/>
            <w:tcBorders>
              <w:bottom w:val="single" w:color="009EE0" w:sz="2" w:space="0"/>
            </w:tcBorders>
            <w:tcMar>
              <w:top w:w="22" w:type="dxa"/>
              <w:bottom w:w="22" w:type="dxa"/>
              <w:right w:w="28" w:type="dxa"/>
            </w:tcMar>
          </w:tcPr>
          <w:p w:rsidRPr="006F2FC4" w:rsidR="0084290D" w:rsidRDefault="00CF5B93" w14:paraId="0404FA64" w14:textId="77777777">
            <w:pPr>
              <w:pStyle w:val="p-table"/>
              <w:rPr>
                <w:sz w:val="13"/>
                <w:szCs w:val="13"/>
              </w:rPr>
            </w:pPr>
            <w:r w:rsidRPr="006F2FC4">
              <w:rPr>
                <w:b/>
                <w:sz w:val="13"/>
                <w:szCs w:val="13"/>
              </w:rPr>
              <w:t>Bijdrage aan (inter-)nationale organisaties</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067CDC" w14:textId="77777777">
            <w:pPr>
              <w:pStyle w:val="p-table"/>
              <w:jc w:val="right"/>
              <w:rPr>
                <w:sz w:val="13"/>
                <w:szCs w:val="13"/>
              </w:rPr>
            </w:pPr>
            <w:r w:rsidRPr="006F2FC4">
              <w:rPr>
                <w:b/>
                <w:sz w:val="13"/>
                <w:szCs w:val="13"/>
              </w:rPr>
              <w:t>294.355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F0D60B"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5040D5" w14:textId="77777777">
            <w:pPr>
              <w:pStyle w:val="p-table"/>
              <w:jc w:val="right"/>
              <w:rPr>
                <w:sz w:val="13"/>
                <w:szCs w:val="13"/>
              </w:rPr>
            </w:pPr>
            <w:r w:rsidRPr="006F2FC4">
              <w:rPr>
                <w:b/>
                <w:sz w:val="13"/>
                <w:szCs w:val="13"/>
              </w:rPr>
              <w:t>294.355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D4073E" w14:textId="77777777">
            <w:pPr>
              <w:pStyle w:val="p-table"/>
              <w:jc w:val="right"/>
              <w:rPr>
                <w:sz w:val="13"/>
                <w:szCs w:val="13"/>
              </w:rPr>
            </w:pPr>
            <w:r w:rsidRPr="006F2FC4">
              <w:rPr>
                <w:b/>
                <w:sz w:val="13"/>
                <w:szCs w:val="13"/>
              </w:rPr>
              <w:t>‒ 249.340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26A386" w14:textId="77777777">
            <w:pPr>
              <w:pStyle w:val="p-table"/>
              <w:jc w:val="right"/>
              <w:rPr>
                <w:sz w:val="13"/>
                <w:szCs w:val="13"/>
              </w:rPr>
            </w:pPr>
            <w:r w:rsidRPr="006F2FC4">
              <w:rPr>
                <w:b/>
                <w:sz w:val="13"/>
                <w:szCs w:val="13"/>
              </w:rPr>
              <w:t>45.015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5C28E4" w14:textId="77777777">
            <w:pPr>
              <w:pStyle w:val="p-table"/>
              <w:jc w:val="right"/>
              <w:rPr>
                <w:sz w:val="13"/>
                <w:szCs w:val="13"/>
              </w:rPr>
            </w:pPr>
            <w:r w:rsidRPr="006F2FC4">
              <w:rPr>
                <w:b/>
                <w:sz w:val="13"/>
                <w:szCs w:val="13"/>
              </w:rPr>
              <w:t>256.460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998B2A" w14:textId="77777777">
            <w:pPr>
              <w:pStyle w:val="p-table"/>
              <w:jc w:val="right"/>
              <w:rPr>
                <w:sz w:val="13"/>
                <w:szCs w:val="13"/>
              </w:rPr>
            </w:pPr>
            <w:r w:rsidRPr="006F2FC4">
              <w:rPr>
                <w:b/>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D7CD061"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52F87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130EA1" w14:textId="77777777">
            <w:pPr>
              <w:pStyle w:val="p-table"/>
              <w:jc w:val="right"/>
              <w:rPr>
                <w:sz w:val="13"/>
                <w:szCs w:val="13"/>
              </w:rPr>
            </w:pPr>
            <w:r w:rsidRPr="006F2FC4">
              <w:rPr>
                <w:b/>
                <w:sz w:val="13"/>
                <w:szCs w:val="13"/>
              </w:rPr>
              <w:t>535.117</w:t>
            </w:r>
          </w:p>
        </w:tc>
      </w:tr>
      <w:tr w:rsidR="0084290D" w:rsidTr="007433BE" w14:paraId="7A3EAD11" w14:textId="77777777">
        <w:tc>
          <w:tcPr>
            <w:tcW w:w="1200" w:type="pct"/>
            <w:tcBorders>
              <w:bottom w:val="single" w:color="009EE0" w:sz="2" w:space="0"/>
            </w:tcBorders>
            <w:tcMar>
              <w:top w:w="22" w:type="dxa"/>
              <w:bottom w:w="22" w:type="dxa"/>
              <w:right w:w="28" w:type="dxa"/>
            </w:tcMar>
          </w:tcPr>
          <w:p w:rsidRPr="006F2FC4" w:rsidR="0084290D" w:rsidRDefault="00CF5B93" w14:paraId="44A62997" w14:textId="77777777">
            <w:pPr>
              <w:pStyle w:val="p-table"/>
              <w:rPr>
                <w:sz w:val="13"/>
                <w:szCs w:val="13"/>
              </w:rPr>
            </w:pPr>
            <w:r w:rsidRPr="006F2FC4">
              <w:rPr>
                <w:sz w:val="13"/>
                <w:szCs w:val="13"/>
              </w:rPr>
              <w:t>Multilaterale ontwikkelingsbanken en fondsen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966098" w14:textId="77777777">
            <w:pPr>
              <w:pStyle w:val="p-table"/>
              <w:jc w:val="right"/>
              <w:rPr>
                <w:sz w:val="13"/>
                <w:szCs w:val="13"/>
              </w:rPr>
            </w:pPr>
            <w:r w:rsidRPr="006F2FC4">
              <w:rPr>
                <w:sz w:val="13"/>
                <w:szCs w:val="13"/>
              </w:rPr>
              <w:t>19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047FC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A71051" w14:textId="77777777">
            <w:pPr>
              <w:pStyle w:val="p-table"/>
              <w:jc w:val="right"/>
              <w:rPr>
                <w:sz w:val="13"/>
                <w:szCs w:val="13"/>
              </w:rPr>
            </w:pPr>
            <w:r w:rsidRPr="006F2FC4">
              <w:rPr>
                <w:sz w:val="13"/>
                <w:szCs w:val="13"/>
              </w:rPr>
              <w:t>19</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29EC8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632573" w14:textId="77777777">
            <w:pPr>
              <w:pStyle w:val="p-table"/>
              <w:jc w:val="right"/>
              <w:rPr>
                <w:sz w:val="13"/>
                <w:szCs w:val="13"/>
              </w:rPr>
            </w:pPr>
            <w:r w:rsidRPr="006F2FC4">
              <w:rPr>
                <w:sz w:val="13"/>
                <w:szCs w:val="13"/>
              </w:rPr>
              <w:t>19</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A067A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B6027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8A101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997E8F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3D0544B" w14:textId="77777777">
            <w:pPr>
              <w:pStyle w:val="p-table"/>
              <w:jc w:val="right"/>
              <w:rPr>
                <w:sz w:val="13"/>
                <w:szCs w:val="13"/>
              </w:rPr>
            </w:pPr>
            <w:r w:rsidRPr="006F2FC4">
              <w:rPr>
                <w:sz w:val="13"/>
                <w:szCs w:val="13"/>
              </w:rPr>
              <w:t>19</w:t>
            </w:r>
          </w:p>
        </w:tc>
      </w:tr>
      <w:tr w:rsidR="0084290D" w:rsidTr="007433BE" w14:paraId="41FF5DCF" w14:textId="77777777">
        <w:tc>
          <w:tcPr>
            <w:tcW w:w="1200" w:type="pct"/>
            <w:tcBorders>
              <w:bottom w:val="single" w:color="009EE0" w:sz="2" w:space="0"/>
            </w:tcBorders>
            <w:tcMar>
              <w:top w:w="22" w:type="dxa"/>
              <w:bottom w:w="22" w:type="dxa"/>
              <w:right w:w="28" w:type="dxa"/>
            </w:tcMar>
          </w:tcPr>
          <w:p w:rsidRPr="006F2FC4" w:rsidR="0084290D" w:rsidRDefault="00CF5B93" w14:paraId="51824DA0" w14:textId="77777777">
            <w:pPr>
              <w:pStyle w:val="p-table"/>
              <w:rPr>
                <w:sz w:val="13"/>
                <w:szCs w:val="13"/>
              </w:rPr>
            </w:pPr>
            <w:r w:rsidRPr="006F2FC4">
              <w:rPr>
                <w:sz w:val="13"/>
                <w:szCs w:val="13"/>
              </w:rPr>
              <w:t>Wereldbank</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E8D50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42637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ED820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A10A52" w14:textId="77777777">
            <w:pPr>
              <w:pStyle w:val="p-table"/>
              <w:jc w:val="right"/>
              <w:rPr>
                <w:sz w:val="13"/>
                <w:szCs w:val="13"/>
              </w:rPr>
            </w:pPr>
            <w:r w:rsidRPr="006F2FC4">
              <w:rPr>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15E135" w14:textId="77777777">
            <w:pPr>
              <w:pStyle w:val="p-table"/>
              <w:jc w:val="right"/>
              <w:rPr>
                <w:sz w:val="13"/>
                <w:szCs w:val="13"/>
              </w:rPr>
            </w:pPr>
            <w:r w:rsidRPr="006F2FC4">
              <w:rPr>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6D5392" w14:textId="77777777">
            <w:pPr>
              <w:pStyle w:val="p-table"/>
              <w:jc w:val="right"/>
              <w:rPr>
                <w:sz w:val="13"/>
                <w:szCs w:val="13"/>
              </w:rPr>
            </w:pPr>
            <w:r w:rsidRPr="006F2FC4">
              <w:rPr>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2BCD0D" w14:textId="77777777">
            <w:pPr>
              <w:pStyle w:val="p-table"/>
              <w:jc w:val="right"/>
              <w:rPr>
                <w:sz w:val="13"/>
                <w:szCs w:val="13"/>
              </w:rPr>
            </w:pPr>
            <w:r w:rsidRPr="006F2FC4">
              <w:rPr>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F662A5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7405E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1454A0" w14:textId="77777777">
            <w:pPr>
              <w:pStyle w:val="p-table"/>
              <w:jc w:val="right"/>
              <w:rPr>
                <w:sz w:val="13"/>
                <w:szCs w:val="13"/>
              </w:rPr>
            </w:pPr>
            <w:r w:rsidRPr="006F2FC4">
              <w:rPr>
                <w:sz w:val="13"/>
                <w:szCs w:val="13"/>
              </w:rPr>
              <w:t>535.098</w:t>
            </w:r>
          </w:p>
        </w:tc>
      </w:tr>
      <w:tr w:rsidR="0084290D" w:rsidTr="007433BE" w14:paraId="68819961" w14:textId="77777777">
        <w:tc>
          <w:tcPr>
            <w:tcW w:w="1200" w:type="pct"/>
            <w:tcBorders>
              <w:bottom w:val="single" w:color="009EE0" w:sz="2" w:space="0"/>
            </w:tcBorders>
            <w:tcMar>
              <w:top w:w="22" w:type="dxa"/>
              <w:bottom w:w="22" w:type="dxa"/>
              <w:right w:w="28" w:type="dxa"/>
            </w:tcMar>
          </w:tcPr>
          <w:p w:rsidRPr="006F2FC4" w:rsidR="0084290D" w:rsidRDefault="00CF5B93" w14:paraId="7CBEA650" w14:textId="77777777">
            <w:pPr>
              <w:pStyle w:val="p-table"/>
              <w:rPr>
                <w:sz w:val="13"/>
                <w:szCs w:val="13"/>
              </w:rPr>
            </w:pPr>
            <w:r w:rsidRPr="006F2FC4">
              <w:rPr>
                <w:sz w:val="13"/>
                <w:szCs w:val="13"/>
              </w:rPr>
              <w:t>EBRD</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FF3C4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B85B5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93FF0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AA954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2D2B9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EF250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6CC5E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BF0FDA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405F4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946F60" w14:textId="77777777">
            <w:pPr>
              <w:pStyle w:val="p-table"/>
              <w:jc w:val="right"/>
              <w:rPr>
                <w:sz w:val="13"/>
                <w:szCs w:val="13"/>
              </w:rPr>
            </w:pPr>
            <w:r w:rsidRPr="006F2FC4">
              <w:rPr>
                <w:sz w:val="13"/>
                <w:szCs w:val="13"/>
              </w:rPr>
              <w:t>0</w:t>
            </w:r>
          </w:p>
        </w:tc>
      </w:tr>
      <w:tr w:rsidR="0084290D" w:rsidTr="007433BE" w14:paraId="2F777DC7" w14:textId="77777777">
        <w:tc>
          <w:tcPr>
            <w:tcW w:w="1200" w:type="pct"/>
            <w:tcBorders>
              <w:bottom w:val="single" w:color="009EE0" w:sz="2" w:space="0"/>
            </w:tcBorders>
            <w:tcMar>
              <w:top w:w="22" w:type="dxa"/>
              <w:bottom w:w="22" w:type="dxa"/>
              <w:right w:w="28" w:type="dxa"/>
            </w:tcMar>
          </w:tcPr>
          <w:p w:rsidRPr="006F2FC4" w:rsidR="0084290D" w:rsidRDefault="00CF5B93" w14:paraId="4EE60078" w14:textId="77777777">
            <w:pPr>
              <w:pStyle w:val="p-table"/>
              <w:rPr>
                <w:sz w:val="13"/>
                <w:szCs w:val="13"/>
              </w:rPr>
            </w:pPr>
            <w:r w:rsidRPr="006F2FC4">
              <w:rPr>
                <w:sz w:val="13"/>
                <w:szCs w:val="13"/>
              </w:rPr>
              <w:t>Kapitaalinleg ESM</w:t>
            </w:r>
          </w:p>
        </w:tc>
        <w:tc>
          <w:tcPr>
            <w:tcW w:w="375" w:type="pct"/>
            <w:tcBorders>
              <w:bottom w:val="single" w:color="009EE0" w:sz="2" w:space="0"/>
            </w:tcBorders>
            <w:tcMar>
              <w:top w:w="22" w:type="dxa"/>
              <w:left w:w="28" w:type="dxa"/>
              <w:bottom w:w="22" w:type="dxa"/>
              <w:right w:w="28" w:type="dxa"/>
            </w:tcMar>
          </w:tcPr>
          <w:p w:rsidRPr="006F2FC4" w:rsidR="0084290D" w:rsidRDefault="00CF5B93" w14:paraId="68ACDA73" w14:textId="77777777">
            <w:pPr>
              <w:pStyle w:val="p-table"/>
              <w:jc w:val="right"/>
              <w:rPr>
                <w:sz w:val="13"/>
                <w:szCs w:val="13"/>
              </w:rPr>
            </w:pPr>
            <w:r w:rsidRPr="006F2FC4">
              <w:rPr>
                <w:sz w:val="13"/>
                <w:szCs w:val="13"/>
              </w:rPr>
              <w:t>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456C5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59CAB3" w14:textId="77777777">
            <w:pPr>
              <w:pStyle w:val="p-table"/>
              <w:jc w:val="right"/>
              <w:rPr>
                <w:sz w:val="13"/>
                <w:szCs w:val="13"/>
              </w:rPr>
            </w:pPr>
            <w:r w:rsidRPr="006F2FC4">
              <w:rPr>
                <w:sz w:val="13"/>
                <w:szCs w:val="13"/>
              </w:rPr>
              <w:t>252.900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3C21C5A" w14:textId="77777777">
            <w:pPr>
              <w:pStyle w:val="p-table"/>
              <w:jc w:val="right"/>
              <w:rPr>
                <w:sz w:val="13"/>
                <w:szCs w:val="13"/>
              </w:rPr>
            </w:pPr>
            <w:r w:rsidRPr="006F2FC4">
              <w:rPr>
                <w:sz w:val="13"/>
                <w:szCs w:val="13"/>
              </w:rPr>
              <w:t>‒ 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C6950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50937F" w14:textId="77777777">
            <w:pPr>
              <w:pStyle w:val="p-table"/>
              <w:jc w:val="right"/>
              <w:rPr>
                <w:sz w:val="13"/>
                <w:szCs w:val="13"/>
              </w:rPr>
            </w:pPr>
            <w:r w:rsidRPr="006F2FC4">
              <w:rPr>
                <w:sz w:val="13"/>
                <w:szCs w:val="13"/>
              </w:rPr>
              <w:t>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375A6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95325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B9CBB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C7F7BA" w14:textId="77777777">
            <w:pPr>
              <w:pStyle w:val="p-table"/>
              <w:jc w:val="right"/>
              <w:rPr>
                <w:sz w:val="13"/>
                <w:szCs w:val="13"/>
              </w:rPr>
            </w:pPr>
            <w:r w:rsidRPr="006F2FC4">
              <w:rPr>
                <w:sz w:val="13"/>
                <w:szCs w:val="13"/>
              </w:rPr>
              <w:t>0</w:t>
            </w:r>
          </w:p>
        </w:tc>
      </w:tr>
      <w:tr w:rsidR="0084290D" w:rsidTr="007433BE" w14:paraId="02247085" w14:textId="77777777">
        <w:tc>
          <w:tcPr>
            <w:tcW w:w="1200" w:type="pct"/>
            <w:tcBorders>
              <w:bottom w:val="single" w:color="009EE0" w:sz="2" w:space="0"/>
            </w:tcBorders>
            <w:tcMar>
              <w:top w:w="22" w:type="dxa"/>
              <w:bottom w:w="22" w:type="dxa"/>
              <w:right w:w="28" w:type="dxa"/>
            </w:tcMar>
          </w:tcPr>
          <w:p w:rsidRPr="006F2FC4" w:rsidR="0084290D" w:rsidRDefault="00CF5B93" w14:paraId="162101A7" w14:textId="77777777">
            <w:pPr>
              <w:pStyle w:val="p-table"/>
              <w:rPr>
                <w:sz w:val="13"/>
                <w:szCs w:val="13"/>
              </w:rPr>
            </w:pPr>
            <w:r w:rsidRPr="006F2FC4">
              <w:rPr>
                <w:sz w:val="13"/>
                <w:szCs w:val="13"/>
              </w:rPr>
              <w:t>Bijdrage EU voor rente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492CA7" w14:textId="77777777">
            <w:pPr>
              <w:pStyle w:val="p-table"/>
              <w:jc w:val="right"/>
              <w:rPr>
                <w:sz w:val="13"/>
                <w:szCs w:val="13"/>
              </w:rPr>
            </w:pPr>
            <w:r w:rsidRPr="006F2FC4">
              <w:rPr>
                <w:sz w:val="13"/>
                <w:szCs w:val="13"/>
              </w:rPr>
              <w:t>41.436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42B30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D9C08B" w14:textId="77777777">
            <w:pPr>
              <w:pStyle w:val="p-table"/>
              <w:jc w:val="right"/>
              <w:rPr>
                <w:sz w:val="13"/>
                <w:szCs w:val="13"/>
              </w:rPr>
            </w:pPr>
            <w:r w:rsidRPr="006F2FC4">
              <w:rPr>
                <w:sz w:val="13"/>
                <w:szCs w:val="13"/>
              </w:rPr>
              <w:t>41.436</w:t>
            </w:r>
          </w:p>
        </w:tc>
        <w:tc>
          <w:tcPr>
            <w:tcW w:w="425" w:type="pct"/>
            <w:tcBorders>
              <w:bottom w:val="single" w:color="009EE0" w:sz="2" w:space="0"/>
            </w:tcBorders>
            <w:tcMar>
              <w:top w:w="22" w:type="dxa"/>
              <w:left w:w="28" w:type="dxa"/>
              <w:bottom w:w="22" w:type="dxa"/>
              <w:right w:w="28" w:type="dxa"/>
            </w:tcMar>
          </w:tcPr>
          <w:p w:rsidRPr="006F2FC4" w:rsidR="0084290D" w:rsidRDefault="00CF5B93" w14:paraId="2ABC818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CC189CF" w14:textId="77777777">
            <w:pPr>
              <w:pStyle w:val="p-table"/>
              <w:jc w:val="right"/>
              <w:rPr>
                <w:sz w:val="13"/>
                <w:szCs w:val="13"/>
              </w:rPr>
            </w:pPr>
            <w:r w:rsidRPr="006F2FC4">
              <w:rPr>
                <w:sz w:val="13"/>
                <w:szCs w:val="13"/>
              </w:rPr>
              <w:t>41.436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D0906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40C73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265B5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8C2AA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4DD655" w14:textId="77777777">
            <w:pPr>
              <w:pStyle w:val="p-table"/>
              <w:jc w:val="right"/>
              <w:rPr>
                <w:sz w:val="13"/>
                <w:szCs w:val="13"/>
              </w:rPr>
            </w:pPr>
            <w:r w:rsidRPr="006F2FC4">
              <w:rPr>
                <w:sz w:val="13"/>
                <w:szCs w:val="13"/>
              </w:rPr>
              <w:t>0</w:t>
            </w:r>
          </w:p>
        </w:tc>
      </w:tr>
      <w:tr w:rsidR="0084290D" w:rsidTr="007433BE" w14:paraId="42445187" w14:textId="77777777">
        <w:tc>
          <w:tcPr>
            <w:tcW w:w="1200" w:type="pct"/>
            <w:tcBorders>
              <w:bottom w:val="single" w:color="009EE0" w:sz="2" w:space="0"/>
            </w:tcBorders>
            <w:tcMar>
              <w:top w:w="22" w:type="dxa"/>
              <w:bottom w:w="22" w:type="dxa"/>
              <w:right w:w="28" w:type="dxa"/>
            </w:tcMar>
          </w:tcPr>
          <w:p w:rsidRPr="006F2FC4" w:rsidR="0084290D" w:rsidRDefault="0084290D" w14:paraId="4AFD588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43A5EC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E52F56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F9E174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EEF35E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9F3296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088D3B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C2E4E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776E74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793729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EA02F52" w14:textId="77777777">
            <w:pPr>
              <w:pStyle w:val="p-table"/>
              <w:rPr>
                <w:sz w:val="13"/>
                <w:szCs w:val="13"/>
              </w:rPr>
            </w:pPr>
          </w:p>
        </w:tc>
      </w:tr>
      <w:tr w:rsidR="0084290D" w:rsidTr="007433BE" w14:paraId="63541C61" w14:textId="77777777">
        <w:tc>
          <w:tcPr>
            <w:tcW w:w="1200" w:type="pct"/>
            <w:tcBorders>
              <w:bottom w:val="single" w:color="009EE0" w:sz="2" w:space="0"/>
            </w:tcBorders>
            <w:tcMar>
              <w:top w:w="22" w:type="dxa"/>
              <w:bottom w:w="22" w:type="dxa"/>
              <w:right w:w="28" w:type="dxa"/>
            </w:tcMar>
          </w:tcPr>
          <w:p w:rsidRPr="006F2FC4" w:rsidR="0084290D" w:rsidRDefault="00CF5B93" w14:paraId="51F881BB" w14:textId="77777777">
            <w:pPr>
              <w:pStyle w:val="p-table"/>
              <w:rPr>
                <w:sz w:val="13"/>
                <w:szCs w:val="13"/>
              </w:rPr>
            </w:pPr>
            <w:r w:rsidRPr="006F2FC4">
              <w:rPr>
                <w:b/>
                <w:sz w:val="13"/>
                <w:szCs w:val="13"/>
              </w:rPr>
              <w:t>Leningen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95CD0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E78D8A"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2DB49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76977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9DA56B"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DFD70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48391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C357F5"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125714"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A36485" w14:textId="77777777">
            <w:pPr>
              <w:pStyle w:val="p-table"/>
              <w:jc w:val="right"/>
              <w:rPr>
                <w:sz w:val="13"/>
                <w:szCs w:val="13"/>
              </w:rPr>
            </w:pPr>
            <w:r w:rsidRPr="006F2FC4">
              <w:rPr>
                <w:b/>
                <w:sz w:val="13"/>
                <w:szCs w:val="13"/>
              </w:rPr>
              <w:t>0</w:t>
            </w:r>
          </w:p>
        </w:tc>
      </w:tr>
      <w:tr w:rsidR="0084290D" w:rsidTr="007433BE" w14:paraId="5452AE91" w14:textId="77777777">
        <w:tc>
          <w:tcPr>
            <w:tcW w:w="1200" w:type="pct"/>
            <w:tcBorders>
              <w:bottom w:val="single" w:color="009EE0" w:sz="2" w:space="0"/>
            </w:tcBorders>
            <w:tcMar>
              <w:top w:w="22" w:type="dxa"/>
              <w:bottom w:w="22" w:type="dxa"/>
              <w:right w:w="28" w:type="dxa"/>
            </w:tcMar>
          </w:tcPr>
          <w:p w:rsidRPr="006F2FC4" w:rsidR="0084290D" w:rsidRDefault="00CF5B93" w14:paraId="2CD19BD1" w14:textId="77777777">
            <w:pPr>
              <w:pStyle w:val="p-table"/>
              <w:rPr>
                <w:sz w:val="13"/>
                <w:szCs w:val="13"/>
              </w:rPr>
            </w:pPr>
            <w:r w:rsidRPr="006F2FC4">
              <w:rPr>
                <w:sz w:val="13"/>
                <w:szCs w:val="13"/>
              </w:rPr>
              <w:t>Lening aan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536DF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ADF8F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35E97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B4A3D2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186FD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88265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0337BC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2110A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89DFA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5671A6" w14:textId="77777777">
            <w:pPr>
              <w:pStyle w:val="p-table"/>
              <w:jc w:val="right"/>
              <w:rPr>
                <w:sz w:val="13"/>
                <w:szCs w:val="13"/>
              </w:rPr>
            </w:pPr>
            <w:r w:rsidRPr="006F2FC4">
              <w:rPr>
                <w:sz w:val="13"/>
                <w:szCs w:val="13"/>
              </w:rPr>
              <w:t>0</w:t>
            </w:r>
          </w:p>
        </w:tc>
      </w:tr>
      <w:tr w:rsidR="0084290D" w:rsidTr="007433BE" w14:paraId="5D9DF54F" w14:textId="77777777">
        <w:tc>
          <w:tcPr>
            <w:tcW w:w="1200" w:type="pct"/>
            <w:tcBorders>
              <w:bottom w:val="single" w:color="009EE0" w:sz="2" w:space="0"/>
            </w:tcBorders>
            <w:tcMar>
              <w:top w:w="22" w:type="dxa"/>
              <w:bottom w:w="22" w:type="dxa"/>
              <w:right w:w="28" w:type="dxa"/>
            </w:tcMar>
          </w:tcPr>
          <w:p w:rsidRPr="006F2FC4" w:rsidR="0084290D" w:rsidRDefault="0084290D" w14:paraId="02FFD28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B3C8DC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D1844D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714ECE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8D03D3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7CA54A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81D8DE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0DA134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922CA1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6AF7D6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56B3A06" w14:textId="77777777">
            <w:pPr>
              <w:pStyle w:val="p-table"/>
              <w:rPr>
                <w:sz w:val="13"/>
                <w:szCs w:val="13"/>
              </w:rPr>
            </w:pPr>
          </w:p>
        </w:tc>
      </w:tr>
      <w:tr w:rsidR="0084290D" w:rsidTr="007433BE" w14:paraId="5B829FA7" w14:textId="77777777">
        <w:tc>
          <w:tcPr>
            <w:tcW w:w="1200" w:type="pct"/>
            <w:tcBorders>
              <w:bottom w:val="single" w:color="009EE0" w:sz="2" w:space="0"/>
            </w:tcBorders>
            <w:tcMar>
              <w:top w:w="22" w:type="dxa"/>
              <w:bottom w:w="22" w:type="dxa"/>
              <w:right w:w="28" w:type="dxa"/>
            </w:tcMar>
          </w:tcPr>
          <w:p w:rsidRPr="006F2FC4" w:rsidR="0084290D" w:rsidRDefault="00CF5B93" w14:paraId="0FD8BE94" w14:textId="77777777">
            <w:pPr>
              <w:pStyle w:val="p-table"/>
              <w:rPr>
                <w:sz w:val="13"/>
                <w:szCs w:val="13"/>
              </w:rPr>
            </w:pPr>
            <w:r w:rsidRPr="006F2FC4">
              <w:rPr>
                <w:b/>
                <w:sz w:val="13"/>
                <w:szCs w:val="13"/>
              </w:rPr>
              <w:t>Opdrachten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13F64E" w14:textId="77777777">
            <w:pPr>
              <w:pStyle w:val="p-table"/>
              <w:jc w:val="right"/>
              <w:rPr>
                <w:sz w:val="13"/>
                <w:szCs w:val="13"/>
              </w:rPr>
            </w:pPr>
            <w:r w:rsidRPr="006F2FC4">
              <w:rPr>
                <w:b/>
                <w:sz w:val="13"/>
                <w:szCs w:val="13"/>
              </w:rPr>
              <w:t>2.441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DCCD3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B90693" w14:textId="77777777">
            <w:pPr>
              <w:pStyle w:val="p-table"/>
              <w:jc w:val="right"/>
              <w:rPr>
                <w:sz w:val="13"/>
                <w:szCs w:val="13"/>
              </w:rPr>
            </w:pPr>
            <w:r w:rsidRPr="006F2FC4">
              <w:rPr>
                <w:b/>
                <w:sz w:val="13"/>
                <w:szCs w:val="13"/>
              </w:rPr>
              <w:t>2.441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273E2892"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A72390" w14:textId="77777777">
            <w:pPr>
              <w:pStyle w:val="p-table"/>
              <w:jc w:val="right"/>
              <w:rPr>
                <w:sz w:val="13"/>
                <w:szCs w:val="13"/>
              </w:rPr>
            </w:pPr>
            <w:r w:rsidRPr="006F2FC4">
              <w:rPr>
                <w:b/>
                <w:sz w:val="13"/>
                <w:szCs w:val="13"/>
              </w:rPr>
              <w:t>2.516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0BF978"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6E463C"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895D3D"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CAC725"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A46DC6B" w14:textId="77777777">
            <w:pPr>
              <w:pStyle w:val="p-table"/>
              <w:jc w:val="right"/>
              <w:rPr>
                <w:sz w:val="13"/>
                <w:szCs w:val="13"/>
              </w:rPr>
            </w:pPr>
            <w:r w:rsidRPr="006F2FC4">
              <w:rPr>
                <w:b/>
                <w:sz w:val="13"/>
                <w:szCs w:val="13"/>
              </w:rPr>
              <w:t>2.204</w:t>
            </w:r>
          </w:p>
        </w:tc>
      </w:tr>
      <w:tr w:rsidR="0084290D" w:rsidTr="007433BE" w14:paraId="070CCEE4" w14:textId="77777777">
        <w:tc>
          <w:tcPr>
            <w:tcW w:w="1200" w:type="pct"/>
            <w:tcBorders>
              <w:bottom w:val="single" w:color="009EE0" w:sz="2" w:space="0"/>
            </w:tcBorders>
            <w:tcMar>
              <w:top w:w="22" w:type="dxa"/>
              <w:bottom w:w="22" w:type="dxa"/>
              <w:right w:w="28" w:type="dxa"/>
            </w:tcMar>
          </w:tcPr>
          <w:p w:rsidRPr="006F2FC4" w:rsidR="0084290D" w:rsidRDefault="00CF5B93" w14:paraId="3D33BF02" w14:textId="77777777">
            <w:pPr>
              <w:pStyle w:val="p-table"/>
              <w:rPr>
                <w:sz w:val="13"/>
                <w:szCs w:val="13"/>
              </w:rPr>
            </w:pPr>
            <w:r w:rsidRPr="006F2FC4">
              <w:rPr>
                <w:sz w:val="13"/>
                <w:szCs w:val="13"/>
              </w:rPr>
              <w:t>Technische assistentie</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337471" w14:textId="77777777">
            <w:pPr>
              <w:pStyle w:val="p-table"/>
              <w:jc w:val="right"/>
              <w:rPr>
                <w:sz w:val="13"/>
                <w:szCs w:val="13"/>
              </w:rPr>
            </w:pPr>
            <w:r w:rsidRPr="006F2FC4">
              <w:rPr>
                <w:sz w:val="13"/>
                <w:szCs w:val="13"/>
              </w:rPr>
              <w:t>2.341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06B5D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79F78D" w14:textId="77777777">
            <w:pPr>
              <w:pStyle w:val="p-table"/>
              <w:jc w:val="right"/>
              <w:rPr>
                <w:sz w:val="13"/>
                <w:szCs w:val="13"/>
              </w:rPr>
            </w:pPr>
            <w:r w:rsidRPr="006F2FC4">
              <w:rPr>
                <w:sz w:val="13"/>
                <w:szCs w:val="13"/>
              </w:rPr>
              <w:t>2.341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401ADA4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33B72B" w14:textId="77777777">
            <w:pPr>
              <w:pStyle w:val="p-table"/>
              <w:jc w:val="right"/>
              <w:rPr>
                <w:sz w:val="13"/>
                <w:szCs w:val="13"/>
              </w:rPr>
            </w:pPr>
            <w:r w:rsidRPr="006F2FC4">
              <w:rPr>
                <w:sz w:val="13"/>
                <w:szCs w:val="13"/>
              </w:rPr>
              <w:t>2.341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06D85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A76FA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72596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DC2C5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9EE039" w14:textId="77777777">
            <w:pPr>
              <w:pStyle w:val="p-table"/>
              <w:jc w:val="right"/>
              <w:rPr>
                <w:sz w:val="13"/>
                <w:szCs w:val="13"/>
              </w:rPr>
            </w:pPr>
            <w:r w:rsidRPr="006F2FC4">
              <w:rPr>
                <w:sz w:val="13"/>
                <w:szCs w:val="13"/>
              </w:rPr>
              <w:t>2.029</w:t>
            </w:r>
          </w:p>
        </w:tc>
      </w:tr>
      <w:tr w:rsidR="0084290D" w:rsidTr="007433BE" w14:paraId="46977CBC" w14:textId="77777777">
        <w:tc>
          <w:tcPr>
            <w:tcW w:w="1200" w:type="pct"/>
            <w:tcBorders>
              <w:bottom w:val="single" w:color="009EE0" w:sz="2" w:space="0"/>
            </w:tcBorders>
            <w:tcMar>
              <w:top w:w="22" w:type="dxa"/>
              <w:bottom w:w="22" w:type="dxa"/>
              <w:right w:w="28" w:type="dxa"/>
            </w:tcMar>
          </w:tcPr>
          <w:p w:rsidRPr="006F2FC4" w:rsidR="0084290D" w:rsidRDefault="00CF5B93" w14:paraId="1169AEB0" w14:textId="77777777">
            <w:pPr>
              <w:pStyle w:val="p-table"/>
              <w:rPr>
                <w:sz w:val="13"/>
                <w:szCs w:val="13"/>
              </w:rPr>
            </w:pPr>
            <w:r w:rsidRPr="006F2FC4">
              <w:rPr>
                <w:sz w:val="13"/>
                <w:szCs w:val="13"/>
              </w:rPr>
              <w:t>Overige opdrachten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5F4FB6" w14:textId="77777777">
            <w:pPr>
              <w:pStyle w:val="p-table"/>
              <w:jc w:val="right"/>
              <w:rPr>
                <w:sz w:val="13"/>
                <w:szCs w:val="13"/>
              </w:rPr>
            </w:pPr>
            <w:r w:rsidRPr="006F2FC4">
              <w:rPr>
                <w:sz w:val="13"/>
                <w:szCs w:val="13"/>
              </w:rPr>
              <w:t>100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81AE5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0931EB" w14:textId="77777777">
            <w:pPr>
              <w:pStyle w:val="p-table"/>
              <w:jc w:val="right"/>
              <w:rPr>
                <w:sz w:val="13"/>
                <w:szCs w:val="13"/>
              </w:rPr>
            </w:pPr>
            <w:r w:rsidRPr="006F2FC4">
              <w:rPr>
                <w:sz w:val="13"/>
                <w:szCs w:val="13"/>
              </w:rPr>
              <w:t>100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CCCBB3"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AF8F3C" w14:textId="77777777">
            <w:pPr>
              <w:pStyle w:val="p-table"/>
              <w:jc w:val="right"/>
              <w:rPr>
                <w:sz w:val="13"/>
                <w:szCs w:val="13"/>
              </w:rPr>
            </w:pPr>
            <w:r w:rsidRPr="006F2FC4">
              <w:rPr>
                <w:sz w:val="13"/>
                <w:szCs w:val="13"/>
              </w:rPr>
              <w:t>175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16B85B"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AB4072"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D41087"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B8B174F"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0A0CBD" w14:textId="77777777">
            <w:pPr>
              <w:pStyle w:val="p-table"/>
              <w:jc w:val="right"/>
              <w:rPr>
                <w:sz w:val="13"/>
                <w:szCs w:val="13"/>
              </w:rPr>
            </w:pPr>
            <w:r w:rsidRPr="006F2FC4">
              <w:rPr>
                <w:sz w:val="13"/>
                <w:szCs w:val="13"/>
              </w:rPr>
              <w:t>175</w:t>
            </w:r>
          </w:p>
        </w:tc>
      </w:tr>
      <w:tr w:rsidR="0084290D" w:rsidTr="007433BE" w14:paraId="25ABF159" w14:textId="77777777">
        <w:tc>
          <w:tcPr>
            <w:tcW w:w="1200" w:type="pct"/>
            <w:tcMar>
              <w:top w:w="22" w:type="dxa"/>
              <w:bottom w:w="22" w:type="dxa"/>
              <w:right w:w="28" w:type="dxa"/>
            </w:tcMar>
          </w:tcPr>
          <w:p w:rsidRPr="006F2FC4" w:rsidR="0084290D" w:rsidRDefault="0084290D" w14:paraId="3C991C7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8E6488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579B645"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522A43"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02C4B3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E4D849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EE3B2D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051188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227E4B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F7F08B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77F31F2" w14:textId="77777777">
            <w:pPr>
              <w:pStyle w:val="p-table"/>
              <w:rPr>
                <w:sz w:val="13"/>
                <w:szCs w:val="13"/>
              </w:rPr>
            </w:pPr>
          </w:p>
        </w:tc>
      </w:tr>
      <w:tr w:rsidR="0084290D" w:rsidTr="007433BE" w14:paraId="07F68780" w14:textId="77777777">
        <w:tc>
          <w:tcPr>
            <w:tcW w:w="1200" w:type="pct"/>
            <w:tcBorders>
              <w:bottom w:val="single" w:color="009EE0" w:sz="2" w:space="0"/>
            </w:tcBorders>
            <w:tcMar>
              <w:top w:w="22" w:type="dxa"/>
              <w:bottom w:w="22" w:type="dxa"/>
              <w:right w:w="28" w:type="dxa"/>
            </w:tcMar>
          </w:tcPr>
          <w:p w:rsidRPr="006F2FC4" w:rsidR="0084290D" w:rsidRDefault="00CF5B93" w14:paraId="5056B467" w14:textId="77777777">
            <w:pPr>
              <w:pStyle w:val="p-table"/>
              <w:rPr>
                <w:sz w:val="13"/>
                <w:szCs w:val="13"/>
              </w:rPr>
            </w:pPr>
            <w:r w:rsidRPr="006F2FC4">
              <w:rPr>
                <w:b/>
                <w:sz w:val="13"/>
                <w:szCs w:val="13"/>
              </w:rPr>
              <w:t>Ontvangsten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53C1CA" w14:textId="77777777">
            <w:pPr>
              <w:pStyle w:val="p-table"/>
              <w:jc w:val="right"/>
              <w:rPr>
                <w:sz w:val="13"/>
                <w:szCs w:val="13"/>
              </w:rPr>
            </w:pPr>
            <w:r w:rsidRPr="006F2FC4">
              <w:rPr>
                <w:b/>
                <w:sz w:val="13"/>
                <w:szCs w:val="13"/>
              </w:rPr>
              <w:t>52.593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3E2B3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0CA5BD" w14:textId="77777777">
            <w:pPr>
              <w:pStyle w:val="p-table"/>
              <w:jc w:val="right"/>
              <w:rPr>
                <w:sz w:val="13"/>
                <w:szCs w:val="13"/>
              </w:rPr>
            </w:pPr>
            <w:r w:rsidRPr="006F2FC4">
              <w:rPr>
                <w:b/>
                <w:sz w:val="13"/>
                <w:szCs w:val="13"/>
              </w:rPr>
              <w:t>52.593</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3F0572" w14:textId="77777777">
            <w:pPr>
              <w:pStyle w:val="p-table"/>
              <w:jc w:val="right"/>
              <w:rPr>
                <w:sz w:val="13"/>
                <w:szCs w:val="13"/>
              </w:rPr>
            </w:pPr>
            <w:r w:rsidRPr="006F2FC4">
              <w:rPr>
                <w:b/>
                <w:sz w:val="13"/>
                <w:szCs w:val="13"/>
              </w:rPr>
              <w:t>‒ 7.308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C0D2B0" w14:textId="77777777">
            <w:pPr>
              <w:pStyle w:val="p-table"/>
              <w:jc w:val="right"/>
              <w:rPr>
                <w:sz w:val="13"/>
                <w:szCs w:val="13"/>
              </w:rPr>
            </w:pPr>
            <w:r w:rsidRPr="006F2FC4">
              <w:rPr>
                <w:b/>
                <w:sz w:val="13"/>
                <w:szCs w:val="13"/>
              </w:rPr>
              <w:t>45.285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5F6F8C" w14:textId="77777777">
            <w:pPr>
              <w:pStyle w:val="p-table"/>
              <w:jc w:val="right"/>
              <w:rPr>
                <w:sz w:val="13"/>
                <w:szCs w:val="13"/>
              </w:rPr>
            </w:pPr>
            <w:r w:rsidRPr="006F2FC4">
              <w:rPr>
                <w:b/>
                <w:sz w:val="13"/>
                <w:szCs w:val="13"/>
              </w:rPr>
              <w:t>‒ 44.594</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471DE3" w14:textId="77777777">
            <w:pPr>
              <w:pStyle w:val="p-table"/>
              <w:jc w:val="right"/>
              <w:rPr>
                <w:sz w:val="13"/>
                <w:szCs w:val="13"/>
              </w:rPr>
            </w:pPr>
            <w:r w:rsidRPr="006F2FC4">
              <w:rPr>
                <w:b/>
                <w:sz w:val="13"/>
                <w:szCs w:val="13"/>
              </w:rPr>
              <w:t>‒ 47.322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5240A5" w14:textId="77777777">
            <w:pPr>
              <w:pStyle w:val="p-table"/>
              <w:jc w:val="right"/>
              <w:rPr>
                <w:sz w:val="13"/>
                <w:szCs w:val="13"/>
              </w:rPr>
            </w:pPr>
            <w:r w:rsidRPr="006F2FC4">
              <w:rPr>
                <w:b/>
                <w:sz w:val="13"/>
                <w:szCs w:val="13"/>
              </w:rPr>
              <w:t>‒ 46.653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86AFBD" w14:textId="77777777">
            <w:pPr>
              <w:pStyle w:val="p-table"/>
              <w:jc w:val="right"/>
              <w:rPr>
                <w:sz w:val="13"/>
                <w:szCs w:val="13"/>
              </w:rPr>
            </w:pPr>
            <w:r w:rsidRPr="006F2FC4">
              <w:rPr>
                <w:b/>
                <w:sz w:val="13"/>
                <w:szCs w:val="13"/>
              </w:rPr>
              <w:t>27.506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10CF8A" w14:textId="77777777">
            <w:pPr>
              <w:pStyle w:val="p-table"/>
              <w:jc w:val="right"/>
              <w:rPr>
                <w:sz w:val="13"/>
                <w:szCs w:val="13"/>
              </w:rPr>
            </w:pPr>
            <w:r w:rsidRPr="006F2FC4">
              <w:rPr>
                <w:b/>
                <w:sz w:val="13"/>
                <w:szCs w:val="13"/>
              </w:rPr>
              <w:t>314.369</w:t>
            </w:r>
          </w:p>
        </w:tc>
      </w:tr>
      <w:tr w:rsidR="0084290D" w:rsidTr="007433BE" w14:paraId="0A9C874D" w14:textId="77777777">
        <w:tc>
          <w:tcPr>
            <w:tcW w:w="1200" w:type="pct"/>
            <w:tcMar>
              <w:top w:w="22" w:type="dxa"/>
              <w:bottom w:w="22" w:type="dxa"/>
              <w:right w:w="28" w:type="dxa"/>
            </w:tcMar>
          </w:tcPr>
          <w:p w:rsidRPr="006F2FC4" w:rsidR="0084290D" w:rsidRDefault="0084290D" w14:paraId="17B8ECF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C68047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D812F2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FFB2C7B"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71E65CC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D82F074"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34F4CD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44283A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6C1916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AF51B2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81F7A1E" w14:textId="77777777">
            <w:pPr>
              <w:pStyle w:val="p-table"/>
              <w:rPr>
                <w:sz w:val="13"/>
                <w:szCs w:val="13"/>
              </w:rPr>
            </w:pPr>
          </w:p>
        </w:tc>
      </w:tr>
      <w:tr w:rsidR="0084290D" w:rsidTr="007433BE" w14:paraId="7B0D3797" w14:textId="77777777">
        <w:tc>
          <w:tcPr>
            <w:tcW w:w="1200" w:type="pct"/>
            <w:tcBorders>
              <w:bottom w:val="single" w:color="009EE0" w:sz="2" w:space="0"/>
            </w:tcBorders>
            <w:tcMar>
              <w:top w:w="22" w:type="dxa"/>
              <w:bottom w:w="22" w:type="dxa"/>
              <w:right w:w="28" w:type="dxa"/>
            </w:tcMar>
          </w:tcPr>
          <w:p w:rsidRPr="006F2FC4" w:rsidR="0084290D" w:rsidRDefault="00CF5B93" w14:paraId="31FF4381" w14:textId="77777777">
            <w:pPr>
              <w:pStyle w:val="p-table"/>
              <w:rPr>
                <w:sz w:val="13"/>
                <w:szCs w:val="13"/>
              </w:rPr>
            </w:pPr>
            <w:r w:rsidRPr="006F2FC4">
              <w:rPr>
                <w:b/>
                <w:sz w:val="13"/>
                <w:szCs w:val="13"/>
              </w:rPr>
              <w:t>Bijdrage aan (inter-)nationale organisaties</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CD7DFD" w14:textId="77777777">
            <w:pPr>
              <w:pStyle w:val="p-table"/>
              <w:jc w:val="right"/>
              <w:rPr>
                <w:sz w:val="13"/>
                <w:szCs w:val="13"/>
              </w:rPr>
            </w:pPr>
            <w:r w:rsidRPr="006F2FC4">
              <w:rPr>
                <w:b/>
                <w:sz w:val="13"/>
                <w:szCs w:val="13"/>
              </w:rPr>
              <w:t>3.213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670961"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DFD078" w14:textId="77777777">
            <w:pPr>
              <w:pStyle w:val="p-table"/>
              <w:jc w:val="right"/>
              <w:rPr>
                <w:sz w:val="13"/>
                <w:szCs w:val="13"/>
              </w:rPr>
            </w:pPr>
            <w:r w:rsidRPr="006F2FC4">
              <w:rPr>
                <w:b/>
                <w:sz w:val="13"/>
                <w:szCs w:val="13"/>
              </w:rPr>
              <w:t>3.213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24D3363" w14:textId="77777777">
            <w:pPr>
              <w:pStyle w:val="p-table"/>
              <w:jc w:val="right"/>
              <w:rPr>
                <w:sz w:val="13"/>
                <w:szCs w:val="13"/>
              </w:rPr>
            </w:pPr>
            <w:r w:rsidRPr="006F2FC4">
              <w:rPr>
                <w:b/>
                <w:sz w:val="13"/>
                <w:szCs w:val="13"/>
              </w:rPr>
              <w:t>1.056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6B8FB63" w14:textId="77777777">
            <w:pPr>
              <w:pStyle w:val="p-table"/>
              <w:jc w:val="right"/>
              <w:rPr>
                <w:sz w:val="13"/>
                <w:szCs w:val="13"/>
              </w:rPr>
            </w:pPr>
            <w:r w:rsidRPr="006F2FC4">
              <w:rPr>
                <w:b/>
                <w:sz w:val="13"/>
                <w:szCs w:val="13"/>
              </w:rPr>
              <w:t>4.269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90EC0F" w14:textId="77777777">
            <w:pPr>
              <w:pStyle w:val="p-table"/>
              <w:jc w:val="right"/>
              <w:rPr>
                <w:sz w:val="13"/>
                <w:szCs w:val="13"/>
              </w:rPr>
            </w:pPr>
            <w:r w:rsidRPr="006F2FC4">
              <w:rPr>
                <w:b/>
                <w:sz w:val="13"/>
                <w:szCs w:val="13"/>
              </w:rPr>
              <w:t>697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BCF19D" w14:textId="77777777">
            <w:pPr>
              <w:pStyle w:val="p-table"/>
              <w:jc w:val="right"/>
              <w:rPr>
                <w:sz w:val="13"/>
                <w:szCs w:val="13"/>
              </w:rPr>
            </w:pPr>
            <w:r w:rsidRPr="006F2FC4">
              <w:rPr>
                <w:b/>
                <w:sz w:val="13"/>
                <w:szCs w:val="13"/>
              </w:rPr>
              <w:t>746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E8DD8AB" w14:textId="77777777">
            <w:pPr>
              <w:pStyle w:val="p-table"/>
              <w:jc w:val="right"/>
              <w:rPr>
                <w:sz w:val="13"/>
                <w:szCs w:val="13"/>
              </w:rPr>
            </w:pPr>
            <w:r w:rsidRPr="006F2FC4">
              <w:rPr>
                <w:b/>
                <w:sz w:val="13"/>
                <w:szCs w:val="13"/>
              </w:rPr>
              <w:t>470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BE00A6" w14:textId="77777777">
            <w:pPr>
              <w:pStyle w:val="p-table"/>
              <w:jc w:val="right"/>
              <w:rPr>
                <w:sz w:val="13"/>
                <w:szCs w:val="13"/>
              </w:rPr>
            </w:pPr>
            <w:r w:rsidRPr="006F2FC4">
              <w:rPr>
                <w:b/>
                <w:sz w:val="13"/>
                <w:szCs w:val="13"/>
              </w:rPr>
              <w:t>74</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2BA2B1" w14:textId="77777777">
            <w:pPr>
              <w:pStyle w:val="p-table"/>
              <w:jc w:val="right"/>
              <w:rPr>
                <w:sz w:val="13"/>
                <w:szCs w:val="13"/>
              </w:rPr>
            </w:pPr>
            <w:r w:rsidRPr="006F2FC4">
              <w:rPr>
                <w:b/>
                <w:sz w:val="13"/>
                <w:szCs w:val="13"/>
              </w:rPr>
              <w:t>3.039</w:t>
            </w:r>
          </w:p>
        </w:tc>
      </w:tr>
      <w:tr w:rsidR="0084290D" w:rsidTr="007433BE" w14:paraId="60F3698F" w14:textId="77777777">
        <w:tc>
          <w:tcPr>
            <w:tcW w:w="1200" w:type="pct"/>
            <w:tcBorders>
              <w:bottom w:val="single" w:color="009EE0" w:sz="2" w:space="0"/>
            </w:tcBorders>
            <w:tcMar>
              <w:top w:w="22" w:type="dxa"/>
              <w:bottom w:w="22" w:type="dxa"/>
              <w:right w:w="28" w:type="dxa"/>
            </w:tcMar>
          </w:tcPr>
          <w:p w:rsidRPr="006F2FC4" w:rsidR="0084290D" w:rsidRDefault="00CF5B93" w14:paraId="451AA426" w14:textId="77777777">
            <w:pPr>
              <w:pStyle w:val="p-table"/>
              <w:rPr>
                <w:sz w:val="13"/>
                <w:szCs w:val="13"/>
              </w:rPr>
            </w:pPr>
            <w:r w:rsidRPr="006F2FC4">
              <w:rPr>
                <w:sz w:val="13"/>
                <w:szCs w:val="13"/>
              </w:rPr>
              <w:t xml:space="preserve">Ontvangsten </w:t>
            </w:r>
            <w:proofErr w:type="spellStart"/>
            <w:r w:rsidRPr="006F2FC4">
              <w:rPr>
                <w:sz w:val="13"/>
                <w:szCs w:val="13"/>
              </w:rPr>
              <w:t>IFI's</w:t>
            </w:r>
            <w:proofErr w:type="spellEnd"/>
          </w:p>
        </w:tc>
        <w:tc>
          <w:tcPr>
            <w:tcW w:w="375" w:type="pct"/>
            <w:tcBorders>
              <w:bottom w:val="single" w:color="009EE0" w:sz="2" w:space="0"/>
            </w:tcBorders>
            <w:tcMar>
              <w:top w:w="22" w:type="dxa"/>
              <w:left w:w="28" w:type="dxa"/>
              <w:bottom w:w="22" w:type="dxa"/>
              <w:right w:w="28" w:type="dxa"/>
            </w:tcMar>
          </w:tcPr>
          <w:p w:rsidRPr="006F2FC4" w:rsidR="0084290D" w:rsidRDefault="00CF5B93" w14:paraId="2A182F3B" w14:textId="77777777">
            <w:pPr>
              <w:pStyle w:val="p-table"/>
              <w:jc w:val="right"/>
              <w:rPr>
                <w:sz w:val="13"/>
                <w:szCs w:val="13"/>
              </w:rPr>
            </w:pPr>
            <w:r w:rsidRPr="006F2FC4">
              <w:rPr>
                <w:sz w:val="13"/>
                <w:szCs w:val="13"/>
              </w:rPr>
              <w:t>3.213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D8B3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733FAF" w14:textId="77777777">
            <w:pPr>
              <w:pStyle w:val="p-table"/>
              <w:jc w:val="right"/>
              <w:rPr>
                <w:sz w:val="13"/>
                <w:szCs w:val="13"/>
              </w:rPr>
            </w:pPr>
            <w:r w:rsidRPr="006F2FC4">
              <w:rPr>
                <w:sz w:val="13"/>
                <w:szCs w:val="13"/>
              </w:rPr>
              <w:t>3.213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05EEC14" w14:textId="77777777">
            <w:pPr>
              <w:pStyle w:val="p-table"/>
              <w:jc w:val="right"/>
              <w:rPr>
                <w:sz w:val="13"/>
                <w:szCs w:val="13"/>
              </w:rPr>
            </w:pPr>
            <w:r w:rsidRPr="006F2FC4">
              <w:rPr>
                <w:sz w:val="13"/>
                <w:szCs w:val="13"/>
              </w:rPr>
              <w:t>1.056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936407" w14:textId="77777777">
            <w:pPr>
              <w:pStyle w:val="p-table"/>
              <w:jc w:val="right"/>
              <w:rPr>
                <w:sz w:val="13"/>
                <w:szCs w:val="13"/>
              </w:rPr>
            </w:pPr>
            <w:r w:rsidRPr="006F2FC4">
              <w:rPr>
                <w:sz w:val="13"/>
                <w:szCs w:val="13"/>
              </w:rPr>
              <w:t>4.269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713331" w14:textId="77777777">
            <w:pPr>
              <w:pStyle w:val="p-table"/>
              <w:jc w:val="right"/>
              <w:rPr>
                <w:sz w:val="13"/>
                <w:szCs w:val="13"/>
              </w:rPr>
            </w:pPr>
            <w:r w:rsidRPr="006F2FC4">
              <w:rPr>
                <w:sz w:val="13"/>
                <w:szCs w:val="13"/>
              </w:rPr>
              <w:t>697</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C5AE13" w14:textId="77777777">
            <w:pPr>
              <w:pStyle w:val="p-table"/>
              <w:jc w:val="right"/>
              <w:rPr>
                <w:sz w:val="13"/>
                <w:szCs w:val="13"/>
              </w:rPr>
            </w:pPr>
            <w:r w:rsidRPr="006F2FC4">
              <w:rPr>
                <w:sz w:val="13"/>
                <w:szCs w:val="13"/>
              </w:rPr>
              <w:t>746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B3EF7D" w14:textId="77777777">
            <w:pPr>
              <w:pStyle w:val="p-table"/>
              <w:jc w:val="right"/>
              <w:rPr>
                <w:sz w:val="13"/>
                <w:szCs w:val="13"/>
              </w:rPr>
            </w:pPr>
            <w:r w:rsidRPr="006F2FC4">
              <w:rPr>
                <w:sz w:val="13"/>
                <w:szCs w:val="13"/>
              </w:rPr>
              <w:t>470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F7470F" w14:textId="77777777">
            <w:pPr>
              <w:pStyle w:val="p-table"/>
              <w:jc w:val="right"/>
              <w:rPr>
                <w:sz w:val="13"/>
                <w:szCs w:val="13"/>
              </w:rPr>
            </w:pPr>
            <w:r w:rsidRPr="006F2FC4">
              <w:rPr>
                <w:sz w:val="13"/>
                <w:szCs w:val="13"/>
              </w:rPr>
              <w:t>74</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6DCA36" w14:textId="77777777">
            <w:pPr>
              <w:pStyle w:val="p-table"/>
              <w:jc w:val="right"/>
              <w:rPr>
                <w:sz w:val="13"/>
                <w:szCs w:val="13"/>
              </w:rPr>
            </w:pPr>
            <w:r w:rsidRPr="006F2FC4">
              <w:rPr>
                <w:sz w:val="13"/>
                <w:szCs w:val="13"/>
              </w:rPr>
              <w:t>3.039</w:t>
            </w:r>
          </w:p>
        </w:tc>
      </w:tr>
      <w:tr w:rsidR="0084290D" w:rsidTr="007433BE" w14:paraId="67974091" w14:textId="77777777">
        <w:tc>
          <w:tcPr>
            <w:tcW w:w="1200" w:type="pct"/>
            <w:tcBorders>
              <w:bottom w:val="single" w:color="009EE0" w:sz="2" w:space="0"/>
            </w:tcBorders>
            <w:tcMar>
              <w:top w:w="22" w:type="dxa"/>
              <w:bottom w:w="22" w:type="dxa"/>
              <w:right w:w="28" w:type="dxa"/>
            </w:tcMar>
          </w:tcPr>
          <w:p w:rsidRPr="006F2FC4" w:rsidR="0084290D" w:rsidRDefault="0084290D" w14:paraId="75257B2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9F33A3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30D84A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8A6123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615C03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B7CD28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EA5743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6910E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5BAC92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9C3EFC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CD3775E" w14:textId="77777777">
            <w:pPr>
              <w:pStyle w:val="p-table"/>
              <w:rPr>
                <w:sz w:val="13"/>
                <w:szCs w:val="13"/>
              </w:rPr>
            </w:pPr>
          </w:p>
        </w:tc>
      </w:tr>
      <w:tr w:rsidR="0084290D" w:rsidTr="007433BE" w14:paraId="6A76B688" w14:textId="77777777">
        <w:tc>
          <w:tcPr>
            <w:tcW w:w="1200" w:type="pct"/>
            <w:tcBorders>
              <w:bottom w:val="single" w:color="009EE0" w:sz="2" w:space="0"/>
            </w:tcBorders>
            <w:tcMar>
              <w:top w:w="22" w:type="dxa"/>
              <w:bottom w:w="22" w:type="dxa"/>
              <w:right w:w="28" w:type="dxa"/>
            </w:tcMar>
          </w:tcPr>
          <w:p w:rsidRPr="006F2FC4" w:rsidR="0084290D" w:rsidRDefault="00CF5B93" w14:paraId="3094D856" w14:textId="77777777">
            <w:pPr>
              <w:pStyle w:val="p-table"/>
              <w:rPr>
                <w:sz w:val="13"/>
                <w:szCs w:val="13"/>
              </w:rPr>
            </w:pPr>
            <w:r w:rsidRPr="006F2FC4">
              <w:rPr>
                <w:b/>
                <w:sz w:val="13"/>
                <w:szCs w:val="13"/>
              </w:rPr>
              <w:t>Leningen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3C3707" w14:textId="77777777">
            <w:pPr>
              <w:pStyle w:val="p-table"/>
              <w:jc w:val="right"/>
              <w:rPr>
                <w:sz w:val="13"/>
                <w:szCs w:val="13"/>
              </w:rPr>
            </w:pPr>
            <w:r w:rsidRPr="006F2FC4">
              <w:rPr>
                <w:b/>
                <w:sz w:val="13"/>
                <w:szCs w:val="13"/>
              </w:rPr>
              <w:t>49.380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17F4EF"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01C7C86" w14:textId="77777777">
            <w:pPr>
              <w:pStyle w:val="p-table"/>
              <w:jc w:val="right"/>
              <w:rPr>
                <w:sz w:val="13"/>
                <w:szCs w:val="13"/>
              </w:rPr>
            </w:pPr>
            <w:r w:rsidRPr="006F2FC4">
              <w:rPr>
                <w:b/>
                <w:sz w:val="13"/>
                <w:szCs w:val="13"/>
              </w:rPr>
              <w:t>49.380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FE1D25C" w14:textId="77777777">
            <w:pPr>
              <w:pStyle w:val="p-table"/>
              <w:jc w:val="right"/>
              <w:rPr>
                <w:sz w:val="13"/>
                <w:szCs w:val="13"/>
              </w:rPr>
            </w:pPr>
            <w:r w:rsidRPr="006F2FC4">
              <w:rPr>
                <w:b/>
                <w:sz w:val="13"/>
                <w:szCs w:val="13"/>
              </w:rPr>
              <w:t>‒ 8.364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4FD750" w14:textId="77777777">
            <w:pPr>
              <w:pStyle w:val="p-table"/>
              <w:jc w:val="right"/>
              <w:rPr>
                <w:sz w:val="13"/>
                <w:szCs w:val="13"/>
              </w:rPr>
            </w:pPr>
            <w:r w:rsidRPr="006F2FC4">
              <w:rPr>
                <w:b/>
                <w:sz w:val="13"/>
                <w:szCs w:val="13"/>
              </w:rPr>
              <w:t>41.016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03BAE7" w14:textId="77777777">
            <w:pPr>
              <w:pStyle w:val="p-table"/>
              <w:jc w:val="right"/>
              <w:rPr>
                <w:sz w:val="13"/>
                <w:szCs w:val="13"/>
              </w:rPr>
            </w:pPr>
            <w:r w:rsidRPr="006F2FC4">
              <w:rPr>
                <w:b/>
                <w:sz w:val="13"/>
                <w:szCs w:val="13"/>
              </w:rPr>
              <w:t>‒ 45.291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261B84" w14:textId="77777777">
            <w:pPr>
              <w:pStyle w:val="p-table"/>
              <w:jc w:val="right"/>
              <w:rPr>
                <w:sz w:val="13"/>
                <w:szCs w:val="13"/>
              </w:rPr>
            </w:pPr>
            <w:r w:rsidRPr="006F2FC4">
              <w:rPr>
                <w:b/>
                <w:sz w:val="13"/>
                <w:szCs w:val="13"/>
              </w:rPr>
              <w:t>‒ 48.068</w:t>
            </w:r>
          </w:p>
        </w:tc>
        <w:tc>
          <w:tcPr>
            <w:tcW w:w="375" w:type="pct"/>
            <w:tcBorders>
              <w:bottom w:val="single" w:color="009EE0" w:sz="2" w:space="0"/>
            </w:tcBorders>
            <w:tcMar>
              <w:top w:w="22" w:type="dxa"/>
              <w:left w:w="28" w:type="dxa"/>
              <w:bottom w:w="22" w:type="dxa"/>
              <w:right w:w="28" w:type="dxa"/>
            </w:tcMar>
          </w:tcPr>
          <w:p w:rsidRPr="006F2FC4" w:rsidR="0084290D" w:rsidRDefault="00CF5B93" w14:paraId="4DFA6A7F" w14:textId="77777777">
            <w:pPr>
              <w:pStyle w:val="p-table"/>
              <w:jc w:val="right"/>
              <w:rPr>
                <w:sz w:val="13"/>
                <w:szCs w:val="13"/>
              </w:rPr>
            </w:pPr>
            <w:r w:rsidRPr="006F2FC4">
              <w:rPr>
                <w:b/>
                <w:sz w:val="13"/>
                <w:szCs w:val="13"/>
              </w:rPr>
              <w:t>‒ 47.123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D47849" w14:textId="77777777">
            <w:pPr>
              <w:pStyle w:val="p-table"/>
              <w:jc w:val="right"/>
              <w:rPr>
                <w:sz w:val="13"/>
                <w:szCs w:val="13"/>
              </w:rPr>
            </w:pPr>
            <w:r w:rsidRPr="006F2FC4">
              <w:rPr>
                <w:b/>
                <w:sz w:val="13"/>
                <w:szCs w:val="13"/>
              </w:rPr>
              <w:t>27.432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173C71" w14:textId="77777777">
            <w:pPr>
              <w:pStyle w:val="p-table"/>
              <w:jc w:val="right"/>
              <w:rPr>
                <w:sz w:val="13"/>
                <w:szCs w:val="13"/>
              </w:rPr>
            </w:pPr>
            <w:r w:rsidRPr="006F2FC4">
              <w:rPr>
                <w:b/>
                <w:sz w:val="13"/>
                <w:szCs w:val="13"/>
              </w:rPr>
              <w:t>311.330</w:t>
            </w:r>
          </w:p>
        </w:tc>
      </w:tr>
      <w:tr w:rsidR="0084290D" w:rsidTr="007433BE" w14:paraId="550B4418" w14:textId="77777777">
        <w:tc>
          <w:tcPr>
            <w:tcW w:w="1200" w:type="pct"/>
            <w:tcBorders>
              <w:bottom w:val="single" w:color="009EE0" w:sz="2" w:space="0"/>
            </w:tcBorders>
            <w:tcMar>
              <w:top w:w="22" w:type="dxa"/>
              <w:bottom w:w="22" w:type="dxa"/>
              <w:right w:w="28" w:type="dxa"/>
            </w:tcMar>
          </w:tcPr>
          <w:p w:rsidRPr="006F2FC4" w:rsidR="0084290D" w:rsidRDefault="00CF5B93" w14:paraId="6745666E" w14:textId="77777777">
            <w:pPr>
              <w:pStyle w:val="p-table"/>
              <w:rPr>
                <w:sz w:val="13"/>
                <w:szCs w:val="13"/>
              </w:rPr>
            </w:pPr>
            <w:r w:rsidRPr="006F2FC4">
              <w:rPr>
                <w:sz w:val="13"/>
                <w:szCs w:val="13"/>
              </w:rPr>
              <w:t>Aflossing lening Griekenland</w:t>
            </w:r>
          </w:p>
        </w:tc>
        <w:tc>
          <w:tcPr>
            <w:tcW w:w="375" w:type="pct"/>
            <w:tcBorders>
              <w:bottom w:val="single" w:color="009EE0" w:sz="2" w:space="0"/>
            </w:tcBorders>
            <w:tcMar>
              <w:top w:w="22" w:type="dxa"/>
              <w:left w:w="28" w:type="dxa"/>
              <w:bottom w:w="22" w:type="dxa"/>
              <w:right w:w="28" w:type="dxa"/>
            </w:tcMar>
          </w:tcPr>
          <w:p w:rsidRPr="006F2FC4" w:rsidR="0084290D" w:rsidRDefault="00CF5B93" w14:paraId="6C7780C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94EF1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A5559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D174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8041C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D675AC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12AA6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204C5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1EA44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9090AE" w14:textId="77777777">
            <w:pPr>
              <w:pStyle w:val="p-table"/>
              <w:jc w:val="right"/>
              <w:rPr>
                <w:sz w:val="13"/>
                <w:szCs w:val="13"/>
              </w:rPr>
            </w:pPr>
            <w:r w:rsidRPr="006F2FC4">
              <w:rPr>
                <w:sz w:val="13"/>
                <w:szCs w:val="13"/>
              </w:rPr>
              <w:t>159.919</w:t>
            </w:r>
          </w:p>
        </w:tc>
      </w:tr>
      <w:tr w:rsidR="0084290D" w:rsidTr="007433BE" w14:paraId="783E726A" w14:textId="77777777">
        <w:tc>
          <w:tcPr>
            <w:tcW w:w="1200" w:type="pct"/>
            <w:tcBorders>
              <w:bottom w:val="single" w:color="009EE0" w:sz="2" w:space="0"/>
            </w:tcBorders>
            <w:tcMar>
              <w:top w:w="22" w:type="dxa"/>
              <w:bottom w:w="22" w:type="dxa"/>
              <w:right w:w="28" w:type="dxa"/>
            </w:tcMar>
          </w:tcPr>
          <w:p w:rsidRPr="006F2FC4" w:rsidR="0084290D" w:rsidRDefault="00CF5B93" w14:paraId="2C40213D" w14:textId="77777777">
            <w:pPr>
              <w:pStyle w:val="p-table"/>
              <w:rPr>
                <w:sz w:val="13"/>
                <w:szCs w:val="13"/>
              </w:rPr>
            </w:pPr>
            <w:r w:rsidRPr="006F2FC4">
              <w:rPr>
                <w:sz w:val="13"/>
                <w:szCs w:val="13"/>
              </w:rPr>
              <w:t>Renteontvangsten lening Griekenland</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47F6CE" w14:textId="77777777">
            <w:pPr>
              <w:pStyle w:val="p-table"/>
              <w:jc w:val="right"/>
              <w:rPr>
                <w:sz w:val="13"/>
                <w:szCs w:val="13"/>
              </w:rPr>
            </w:pPr>
            <w:r w:rsidRPr="006F2FC4">
              <w:rPr>
                <w:sz w:val="13"/>
                <w:szCs w:val="13"/>
              </w:rPr>
              <w:t>49.380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D407E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4075FF" w14:textId="77777777">
            <w:pPr>
              <w:pStyle w:val="p-table"/>
              <w:jc w:val="right"/>
              <w:rPr>
                <w:sz w:val="13"/>
                <w:szCs w:val="13"/>
              </w:rPr>
            </w:pPr>
            <w:r w:rsidRPr="006F2FC4">
              <w:rPr>
                <w:sz w:val="13"/>
                <w:szCs w:val="13"/>
              </w:rPr>
              <w:t>49.380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AFB9752" w14:textId="77777777">
            <w:pPr>
              <w:pStyle w:val="p-table"/>
              <w:jc w:val="right"/>
              <w:rPr>
                <w:sz w:val="13"/>
                <w:szCs w:val="13"/>
              </w:rPr>
            </w:pPr>
            <w:r w:rsidRPr="006F2FC4">
              <w:rPr>
                <w:sz w:val="13"/>
                <w:szCs w:val="13"/>
              </w:rPr>
              <w:t>‒ 8.364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E8FCE7" w14:textId="77777777">
            <w:pPr>
              <w:pStyle w:val="p-table"/>
              <w:jc w:val="right"/>
              <w:rPr>
                <w:sz w:val="13"/>
                <w:szCs w:val="13"/>
              </w:rPr>
            </w:pPr>
            <w:r w:rsidRPr="006F2FC4">
              <w:rPr>
                <w:sz w:val="13"/>
                <w:szCs w:val="13"/>
              </w:rPr>
              <w:t>41.016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3B1B22" w14:textId="77777777">
            <w:pPr>
              <w:pStyle w:val="p-table"/>
              <w:jc w:val="right"/>
              <w:rPr>
                <w:sz w:val="13"/>
                <w:szCs w:val="13"/>
              </w:rPr>
            </w:pPr>
            <w:r w:rsidRPr="006F2FC4">
              <w:rPr>
                <w:sz w:val="13"/>
                <w:szCs w:val="13"/>
              </w:rPr>
              <w:t>‒ 8.620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8CD2CD" w14:textId="77777777">
            <w:pPr>
              <w:pStyle w:val="p-table"/>
              <w:jc w:val="right"/>
              <w:rPr>
                <w:sz w:val="13"/>
                <w:szCs w:val="13"/>
              </w:rPr>
            </w:pPr>
            <w:r w:rsidRPr="006F2FC4">
              <w:rPr>
                <w:sz w:val="13"/>
                <w:szCs w:val="13"/>
              </w:rPr>
              <w:t>‒ 8.970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7FC814" w14:textId="77777777">
            <w:pPr>
              <w:pStyle w:val="p-table"/>
              <w:jc w:val="right"/>
              <w:rPr>
                <w:sz w:val="13"/>
                <w:szCs w:val="13"/>
              </w:rPr>
            </w:pPr>
            <w:r w:rsidRPr="006F2FC4">
              <w:rPr>
                <w:sz w:val="13"/>
                <w:szCs w:val="13"/>
              </w:rPr>
              <w:t>‒ 9.239</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2B9DA8" w14:textId="77777777">
            <w:pPr>
              <w:pStyle w:val="p-table"/>
              <w:jc w:val="right"/>
              <w:rPr>
                <w:sz w:val="13"/>
                <w:szCs w:val="13"/>
              </w:rPr>
            </w:pPr>
            <w:r w:rsidRPr="006F2FC4">
              <w:rPr>
                <w:sz w:val="13"/>
                <w:szCs w:val="13"/>
              </w:rPr>
              <w:t>‒ 9.239</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4BE936" w14:textId="77777777">
            <w:pPr>
              <w:pStyle w:val="p-table"/>
              <w:jc w:val="right"/>
              <w:rPr>
                <w:sz w:val="13"/>
                <w:szCs w:val="13"/>
              </w:rPr>
            </w:pPr>
            <w:r w:rsidRPr="006F2FC4">
              <w:rPr>
                <w:sz w:val="13"/>
                <w:szCs w:val="13"/>
              </w:rPr>
              <w:t>38.972</w:t>
            </w:r>
          </w:p>
        </w:tc>
      </w:tr>
      <w:tr w:rsidR="0084290D" w:rsidTr="007433BE" w14:paraId="34436B2A" w14:textId="77777777">
        <w:tc>
          <w:tcPr>
            <w:tcW w:w="1200" w:type="pct"/>
            <w:tcBorders>
              <w:bottom w:val="single" w:color="009EE0" w:sz="2" w:space="0"/>
            </w:tcBorders>
            <w:tcMar>
              <w:top w:w="22" w:type="dxa"/>
              <w:bottom w:w="22" w:type="dxa"/>
              <w:right w:w="28" w:type="dxa"/>
            </w:tcMar>
          </w:tcPr>
          <w:p w:rsidRPr="006F2FC4" w:rsidR="0084290D" w:rsidRDefault="00CF5B93" w14:paraId="0EB83663" w14:textId="77777777">
            <w:pPr>
              <w:pStyle w:val="p-table"/>
              <w:rPr>
                <w:sz w:val="13"/>
                <w:szCs w:val="13"/>
              </w:rPr>
            </w:pPr>
            <w:r w:rsidRPr="006F2FC4">
              <w:rPr>
                <w:sz w:val="13"/>
                <w:szCs w:val="13"/>
              </w:rPr>
              <w:t>Aflossing lening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4C0B1A6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00C23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27F89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979C58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9B96E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F8BAA4" w14:textId="77777777">
            <w:pPr>
              <w:pStyle w:val="p-table"/>
              <w:jc w:val="right"/>
              <w:rPr>
                <w:sz w:val="13"/>
                <w:szCs w:val="13"/>
              </w:rPr>
            </w:pPr>
            <w:r w:rsidRPr="006F2FC4">
              <w:rPr>
                <w:sz w:val="13"/>
                <w:szCs w:val="13"/>
              </w:rPr>
              <w:t>‒ 33.333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1CEB56" w14:textId="77777777">
            <w:pPr>
              <w:pStyle w:val="p-table"/>
              <w:jc w:val="right"/>
              <w:rPr>
                <w:sz w:val="13"/>
                <w:szCs w:val="13"/>
              </w:rPr>
            </w:pPr>
            <w:r w:rsidRPr="006F2FC4">
              <w:rPr>
                <w:sz w:val="13"/>
                <w:szCs w:val="13"/>
              </w:rPr>
              <w:t>‒ 33.333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7D2033" w14:textId="77777777">
            <w:pPr>
              <w:pStyle w:val="p-table"/>
              <w:jc w:val="right"/>
              <w:rPr>
                <w:sz w:val="13"/>
                <w:szCs w:val="13"/>
              </w:rPr>
            </w:pPr>
            <w:r w:rsidRPr="006F2FC4">
              <w:rPr>
                <w:sz w:val="13"/>
                <w:szCs w:val="13"/>
              </w:rPr>
              <w:t>‒ 33.333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493C30" w14:textId="77777777">
            <w:pPr>
              <w:pStyle w:val="p-table"/>
              <w:jc w:val="right"/>
              <w:rPr>
                <w:sz w:val="13"/>
                <w:szCs w:val="13"/>
              </w:rPr>
            </w:pPr>
            <w:r w:rsidRPr="006F2FC4">
              <w:rPr>
                <w:sz w:val="13"/>
                <w:szCs w:val="13"/>
              </w:rPr>
              <w:t>33.333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96DA5A" w14:textId="77777777">
            <w:pPr>
              <w:pStyle w:val="p-table"/>
              <w:jc w:val="right"/>
              <w:rPr>
                <w:sz w:val="13"/>
                <w:szCs w:val="13"/>
              </w:rPr>
            </w:pPr>
            <w:r w:rsidRPr="006F2FC4">
              <w:rPr>
                <w:sz w:val="13"/>
                <w:szCs w:val="13"/>
              </w:rPr>
              <w:t>99.999</w:t>
            </w:r>
          </w:p>
        </w:tc>
      </w:tr>
      <w:tr w:rsidR="0084290D" w:rsidTr="007433BE" w14:paraId="07584DD9" w14:textId="77777777">
        <w:tc>
          <w:tcPr>
            <w:tcW w:w="1200" w:type="pct"/>
            <w:tcBorders>
              <w:bottom w:val="single" w:color="009EE0" w:sz="2" w:space="0"/>
            </w:tcBorders>
            <w:tcMar>
              <w:top w:w="22" w:type="dxa"/>
              <w:bottom w:w="22" w:type="dxa"/>
              <w:right w:w="28" w:type="dxa"/>
            </w:tcMar>
          </w:tcPr>
          <w:p w:rsidRPr="006F2FC4" w:rsidR="0084290D" w:rsidRDefault="00CF5B93" w14:paraId="1972F424" w14:textId="77777777">
            <w:pPr>
              <w:pStyle w:val="p-table"/>
              <w:rPr>
                <w:sz w:val="13"/>
                <w:szCs w:val="13"/>
              </w:rPr>
            </w:pPr>
            <w:r w:rsidRPr="006F2FC4">
              <w:rPr>
                <w:sz w:val="13"/>
                <w:szCs w:val="13"/>
              </w:rPr>
              <w:t>Renteontvangsten lening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0CC04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3A1EC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BC1CE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1AD848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C1713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219D87" w14:textId="77777777">
            <w:pPr>
              <w:pStyle w:val="p-table"/>
              <w:jc w:val="right"/>
              <w:rPr>
                <w:sz w:val="13"/>
                <w:szCs w:val="13"/>
              </w:rPr>
            </w:pPr>
            <w:r w:rsidRPr="006F2FC4">
              <w:rPr>
                <w:sz w:val="13"/>
                <w:szCs w:val="13"/>
              </w:rPr>
              <w:t>‒ 3.338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A52D9D" w14:textId="77777777">
            <w:pPr>
              <w:pStyle w:val="p-table"/>
              <w:jc w:val="right"/>
              <w:rPr>
                <w:sz w:val="13"/>
                <w:szCs w:val="13"/>
              </w:rPr>
            </w:pPr>
            <w:r w:rsidRPr="006F2FC4">
              <w:rPr>
                <w:sz w:val="13"/>
                <w:szCs w:val="13"/>
              </w:rPr>
              <w:t>‒ 5.765</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D3DD9E" w14:textId="77777777">
            <w:pPr>
              <w:pStyle w:val="p-table"/>
              <w:jc w:val="right"/>
              <w:rPr>
                <w:sz w:val="13"/>
                <w:szCs w:val="13"/>
              </w:rPr>
            </w:pPr>
            <w:r w:rsidRPr="006F2FC4">
              <w:rPr>
                <w:sz w:val="13"/>
                <w:szCs w:val="13"/>
              </w:rPr>
              <w:t>‒ 4.551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E9BA5B" w14:textId="77777777">
            <w:pPr>
              <w:pStyle w:val="p-table"/>
              <w:jc w:val="right"/>
              <w:rPr>
                <w:sz w:val="13"/>
                <w:szCs w:val="13"/>
              </w:rPr>
            </w:pPr>
            <w:r w:rsidRPr="006F2FC4">
              <w:rPr>
                <w:sz w:val="13"/>
                <w:szCs w:val="13"/>
              </w:rPr>
              <w:t>3.338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9F2B99" w14:textId="77777777">
            <w:pPr>
              <w:pStyle w:val="p-table"/>
              <w:jc w:val="right"/>
              <w:rPr>
                <w:sz w:val="13"/>
                <w:szCs w:val="13"/>
              </w:rPr>
            </w:pPr>
            <w:r w:rsidRPr="006F2FC4">
              <w:rPr>
                <w:sz w:val="13"/>
                <w:szCs w:val="13"/>
              </w:rPr>
              <w:t>12.440</w:t>
            </w:r>
          </w:p>
        </w:tc>
      </w:tr>
    </w:tbl>
    <w:p w:rsidR="0084290D" w:rsidRDefault="0084290D" w14:paraId="61AF3953" w14:textId="77777777">
      <w:pPr>
        <w:pStyle w:val="p-marginbottom"/>
      </w:pPr>
    </w:p>
    <w:tbl>
      <w:tblPr>
        <w:tblW w:w="5000" w:type="pct"/>
        <w:tblCellMar>
          <w:left w:w="10" w:type="dxa"/>
          <w:right w:w="10" w:type="dxa"/>
        </w:tblCellMar>
        <w:tblLook w:val="0000" w:firstRow="0" w:lastRow="0" w:firstColumn="0" w:lastColumn="0" w:noHBand="0" w:noVBand="0"/>
      </w:tblPr>
      <w:tblGrid>
        <w:gridCol w:w="2319"/>
        <w:gridCol w:w="725"/>
        <w:gridCol w:w="725"/>
        <w:gridCol w:w="725"/>
        <w:gridCol w:w="822"/>
        <w:gridCol w:w="725"/>
        <w:gridCol w:w="725"/>
        <w:gridCol w:w="725"/>
        <w:gridCol w:w="725"/>
        <w:gridCol w:w="725"/>
        <w:gridCol w:w="725"/>
      </w:tblGrid>
      <w:tr w:rsidR="0084290D" w:rsidTr="007433BE" w14:paraId="4C28D934" w14:textId="77777777">
        <w:trPr>
          <w:tblHeader/>
        </w:trPr>
        <w:tc>
          <w:tcPr>
            <w:tcW w:w="5000" w:type="pct"/>
            <w:gridSpan w:val="11"/>
            <w:tcMar>
              <w:top w:w="22" w:type="dxa"/>
              <w:left w:w="113" w:type="dxa"/>
              <w:bottom w:w="22" w:type="dxa"/>
            </w:tcMar>
          </w:tcPr>
          <w:p w:rsidR="0084290D" w:rsidRDefault="00CF5B93" w14:paraId="1A370789" w14:textId="77777777">
            <w:pPr>
              <w:pStyle w:val="kio2-table-title"/>
            </w:pPr>
            <w:r>
              <w:t>Tabel 17 Uitsplitsing verplichtingen (bedragen x € 1.000)</w:t>
            </w:r>
          </w:p>
        </w:tc>
      </w:tr>
      <w:tr w:rsidR="0084290D" w:rsidTr="007433BE" w14:paraId="1A85AE80" w14:textId="77777777">
        <w:trPr>
          <w:tblHeader/>
        </w:trPr>
        <w:tc>
          <w:tcPr>
            <w:tcW w:w="1200" w:type="pct"/>
            <w:tcBorders>
              <w:top w:val="single" w:color="000000" w:sz="2" w:space="0"/>
              <w:bottom w:val="single" w:color="009EE0" w:sz="2" w:space="0"/>
            </w:tcBorders>
            <w:tcMar>
              <w:top w:w="28" w:type="dxa"/>
              <w:bottom w:w="28" w:type="dxa"/>
              <w:right w:w="28" w:type="dxa"/>
            </w:tcMar>
          </w:tcPr>
          <w:p w:rsidRPr="006F2FC4" w:rsidR="0084290D" w:rsidRDefault="00CF5B93" w14:paraId="56216FD7" w14:textId="77777777">
            <w:pPr>
              <w:pStyle w:val="p-table"/>
              <w:rPr>
                <w:color w:val="000000"/>
                <w:sz w:val="13"/>
                <w:szCs w:val="13"/>
              </w:rPr>
            </w:pPr>
            <w:r w:rsidRPr="006F2FC4">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BCC5DAD"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A329621" w14:textId="77777777">
            <w:pPr>
              <w:pStyle w:val="p-table"/>
              <w:jc w:val="right"/>
              <w:rPr>
                <w:color w:val="000000"/>
                <w:sz w:val="13"/>
                <w:szCs w:val="13"/>
              </w:rPr>
            </w:pPr>
            <w:r w:rsidRPr="006F2FC4">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1B6597E" w14:textId="77777777">
            <w:pPr>
              <w:pStyle w:val="p-table"/>
              <w:jc w:val="right"/>
              <w:rPr>
                <w:color w:val="000000"/>
                <w:sz w:val="13"/>
                <w:szCs w:val="13"/>
              </w:rPr>
            </w:pPr>
            <w:r w:rsidRPr="006F2FC4">
              <w:rPr>
                <w:color w:val="000000"/>
                <w:sz w:val="13"/>
                <w:szCs w:val="13"/>
              </w:rPr>
              <w:t>Vastgestelde begroting 2026 (3)=(1)+(2)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B93E0A9"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31E7B7B"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373C71F"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BAAB4E5"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EEA9DB7"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9B15E3B"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478D4BA" w14:textId="77777777">
            <w:pPr>
              <w:pStyle w:val="p-table"/>
              <w:jc w:val="right"/>
              <w:rPr>
                <w:color w:val="000000"/>
                <w:sz w:val="13"/>
                <w:szCs w:val="13"/>
              </w:rPr>
            </w:pPr>
            <w:r w:rsidRPr="006F2FC4">
              <w:rPr>
                <w:color w:val="000000"/>
                <w:sz w:val="13"/>
                <w:szCs w:val="13"/>
              </w:rPr>
              <w:t>Mutatie 2031</w:t>
            </w:r>
          </w:p>
        </w:tc>
      </w:tr>
      <w:tr w:rsidR="0084290D" w:rsidTr="007433BE" w14:paraId="6B90688C" w14:textId="77777777">
        <w:tc>
          <w:tcPr>
            <w:tcW w:w="1200" w:type="pct"/>
            <w:tcBorders>
              <w:bottom w:val="single" w:color="009EE0" w:sz="2" w:space="0"/>
            </w:tcBorders>
            <w:tcMar>
              <w:top w:w="22" w:type="dxa"/>
              <w:bottom w:w="22" w:type="dxa"/>
              <w:right w:w="28" w:type="dxa"/>
            </w:tcMar>
          </w:tcPr>
          <w:p w:rsidRPr="006F2FC4" w:rsidR="0084290D" w:rsidRDefault="00CF5B93" w14:paraId="1584308E" w14:textId="77777777">
            <w:pPr>
              <w:pStyle w:val="p-table"/>
              <w:rPr>
                <w:sz w:val="13"/>
                <w:szCs w:val="13"/>
              </w:rPr>
            </w:pPr>
            <w:r w:rsidRPr="006F2FC4">
              <w:rPr>
                <w:b/>
                <w:sz w:val="13"/>
                <w:szCs w:val="13"/>
              </w:rPr>
              <w:t>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477914" w14:textId="77777777">
            <w:pPr>
              <w:pStyle w:val="p-table"/>
              <w:jc w:val="right"/>
              <w:rPr>
                <w:sz w:val="13"/>
                <w:szCs w:val="13"/>
              </w:rPr>
            </w:pPr>
            <w:r w:rsidRPr="006F2FC4">
              <w:rPr>
                <w:b/>
                <w:sz w:val="13"/>
                <w:szCs w:val="13"/>
              </w:rPr>
              <w:t>2.215.341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FC9E4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51C5FE" w14:textId="77777777">
            <w:pPr>
              <w:pStyle w:val="p-table"/>
              <w:jc w:val="right"/>
              <w:rPr>
                <w:sz w:val="13"/>
                <w:szCs w:val="13"/>
              </w:rPr>
            </w:pPr>
            <w:r w:rsidRPr="006F2FC4">
              <w:rPr>
                <w:b/>
                <w:sz w:val="13"/>
                <w:szCs w:val="13"/>
              </w:rPr>
              <w:t>2.215.341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412568D5" w14:textId="77777777">
            <w:pPr>
              <w:pStyle w:val="p-table"/>
              <w:jc w:val="right"/>
              <w:rPr>
                <w:sz w:val="13"/>
                <w:szCs w:val="13"/>
              </w:rPr>
            </w:pPr>
            <w:r w:rsidRPr="006F2FC4">
              <w:rPr>
                <w:b/>
                <w:sz w:val="13"/>
                <w:szCs w:val="13"/>
              </w:rPr>
              <w:t>5.648.351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33378C3" w14:textId="77777777">
            <w:pPr>
              <w:pStyle w:val="p-table"/>
              <w:jc w:val="right"/>
              <w:rPr>
                <w:sz w:val="13"/>
                <w:szCs w:val="13"/>
              </w:rPr>
            </w:pPr>
            <w:r w:rsidRPr="006F2FC4">
              <w:rPr>
                <w:b/>
                <w:sz w:val="13"/>
                <w:szCs w:val="13"/>
              </w:rPr>
              <w:t>7.863.692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ACB252" w14:textId="77777777">
            <w:pPr>
              <w:pStyle w:val="p-table"/>
              <w:jc w:val="right"/>
              <w:rPr>
                <w:sz w:val="13"/>
                <w:szCs w:val="13"/>
              </w:rPr>
            </w:pPr>
            <w:r w:rsidRPr="006F2FC4">
              <w:rPr>
                <w:b/>
                <w:sz w:val="13"/>
                <w:szCs w:val="13"/>
              </w:rPr>
              <w:t>252.975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41D9B2"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493657"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B675AE"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CD7864" w14:textId="77777777">
            <w:pPr>
              <w:pStyle w:val="p-table"/>
              <w:jc w:val="right"/>
              <w:rPr>
                <w:sz w:val="13"/>
                <w:szCs w:val="13"/>
              </w:rPr>
            </w:pPr>
            <w:r w:rsidRPr="006F2FC4">
              <w:rPr>
                <w:b/>
                <w:sz w:val="13"/>
                <w:szCs w:val="13"/>
              </w:rPr>
              <w:t>1.137.657</w:t>
            </w:r>
          </w:p>
        </w:tc>
      </w:tr>
      <w:tr w:rsidR="0084290D" w:rsidTr="007433BE" w14:paraId="1F7A450D" w14:textId="77777777">
        <w:tc>
          <w:tcPr>
            <w:tcW w:w="1200" w:type="pct"/>
            <w:tcBorders>
              <w:bottom w:val="single" w:color="009EE0" w:sz="2" w:space="0"/>
            </w:tcBorders>
            <w:tcMar>
              <w:top w:w="22" w:type="dxa"/>
              <w:bottom w:w="22" w:type="dxa"/>
              <w:right w:w="28" w:type="dxa"/>
            </w:tcMar>
          </w:tcPr>
          <w:p w:rsidRPr="006F2FC4" w:rsidR="0084290D" w:rsidRDefault="00CF5B93" w14:paraId="1E07A2FF" w14:textId="77777777">
            <w:pPr>
              <w:pStyle w:val="p-table"/>
              <w:rPr>
                <w:sz w:val="13"/>
                <w:szCs w:val="13"/>
              </w:rPr>
            </w:pPr>
            <w:r w:rsidRPr="006F2FC4">
              <w:rPr>
                <w:i/>
                <w:sz w:val="13"/>
                <w:szCs w:val="13"/>
              </w:rPr>
              <w:t>waarvan</w:t>
            </w:r>
            <w:r w:rsidRPr="006F2FC4">
              <w:rPr>
                <w:sz w:val="13"/>
                <w:szCs w:val="13"/>
              </w:rPr>
              <w:t xml:space="preserve"> garantieverplichtingen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2604C5EA" w14:textId="77777777">
            <w:pPr>
              <w:pStyle w:val="p-table"/>
              <w:jc w:val="right"/>
              <w:rPr>
                <w:sz w:val="13"/>
                <w:szCs w:val="13"/>
              </w:rPr>
            </w:pPr>
            <w:r w:rsidRPr="006F2FC4">
              <w:rPr>
                <w:sz w:val="13"/>
                <w:szCs w:val="13"/>
              </w:rPr>
              <w:t>1.960.000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295B1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98DE04" w14:textId="77777777">
            <w:pPr>
              <w:pStyle w:val="p-table"/>
              <w:jc w:val="right"/>
              <w:rPr>
                <w:sz w:val="13"/>
                <w:szCs w:val="13"/>
              </w:rPr>
            </w:pPr>
            <w:r w:rsidRPr="006F2FC4">
              <w:rPr>
                <w:sz w:val="13"/>
                <w:szCs w:val="13"/>
              </w:rPr>
              <w:t>1.960.000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C8A3D09" w14:textId="77777777">
            <w:pPr>
              <w:pStyle w:val="p-table"/>
              <w:jc w:val="right"/>
              <w:rPr>
                <w:sz w:val="13"/>
                <w:szCs w:val="13"/>
              </w:rPr>
            </w:pPr>
            <w:r w:rsidRPr="006F2FC4">
              <w:rPr>
                <w:sz w:val="13"/>
                <w:szCs w:val="13"/>
              </w:rPr>
              <w:t>5.890.496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54463A" w14:textId="77777777">
            <w:pPr>
              <w:pStyle w:val="p-table"/>
              <w:jc w:val="right"/>
              <w:rPr>
                <w:sz w:val="13"/>
                <w:szCs w:val="13"/>
              </w:rPr>
            </w:pPr>
            <w:r w:rsidRPr="006F2FC4">
              <w:rPr>
                <w:sz w:val="13"/>
                <w:szCs w:val="13"/>
              </w:rPr>
              <w:t>7.850.496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17159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A4C2E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D72CA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DA089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8892F2" w14:textId="77777777">
            <w:pPr>
              <w:pStyle w:val="p-table"/>
              <w:jc w:val="right"/>
              <w:rPr>
                <w:sz w:val="13"/>
                <w:szCs w:val="13"/>
              </w:rPr>
            </w:pPr>
            <w:r w:rsidRPr="006F2FC4">
              <w:rPr>
                <w:sz w:val="13"/>
                <w:szCs w:val="13"/>
              </w:rPr>
              <w:t>0</w:t>
            </w:r>
          </w:p>
        </w:tc>
      </w:tr>
      <w:tr w:rsidR="0084290D" w:rsidTr="007433BE" w14:paraId="5350E213" w14:textId="77777777">
        <w:tc>
          <w:tcPr>
            <w:tcW w:w="1200" w:type="pct"/>
            <w:tcBorders>
              <w:bottom w:val="single" w:color="009EE0" w:sz="2" w:space="0"/>
            </w:tcBorders>
            <w:tcMar>
              <w:top w:w="22" w:type="dxa"/>
              <w:bottom w:w="22" w:type="dxa"/>
              <w:right w:w="28" w:type="dxa"/>
            </w:tcMar>
          </w:tcPr>
          <w:p w:rsidRPr="006F2FC4" w:rsidR="0084290D" w:rsidRDefault="00CF5B93" w14:paraId="30B7D65F" w14:textId="77777777">
            <w:pPr>
              <w:pStyle w:val="p-table"/>
              <w:rPr>
                <w:sz w:val="13"/>
                <w:szCs w:val="13"/>
              </w:rPr>
            </w:pPr>
            <w:r w:rsidRPr="006F2FC4">
              <w:rPr>
                <w:sz w:val="13"/>
                <w:szCs w:val="13"/>
              </w:rPr>
              <w:t>Garantie aan DNB inzake IMF</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A7BB6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CD1D6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EEFBF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445DD6" w14:textId="77777777">
            <w:pPr>
              <w:pStyle w:val="p-table"/>
              <w:jc w:val="right"/>
              <w:rPr>
                <w:sz w:val="13"/>
                <w:szCs w:val="13"/>
              </w:rPr>
            </w:pPr>
            <w:r w:rsidRPr="006F2FC4">
              <w:rPr>
                <w:sz w:val="13"/>
                <w:szCs w:val="13"/>
              </w:rPr>
              <w:t>‒ 22.102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D0BC4C" w14:textId="77777777">
            <w:pPr>
              <w:pStyle w:val="p-table"/>
              <w:jc w:val="right"/>
              <w:rPr>
                <w:sz w:val="13"/>
                <w:szCs w:val="13"/>
              </w:rPr>
            </w:pPr>
            <w:r w:rsidRPr="006F2FC4">
              <w:rPr>
                <w:sz w:val="13"/>
                <w:szCs w:val="13"/>
              </w:rPr>
              <w:t>‒ 22.102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D49C7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83F1A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DB4F4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7CC03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E7CA84" w14:textId="77777777">
            <w:pPr>
              <w:pStyle w:val="p-table"/>
              <w:jc w:val="right"/>
              <w:rPr>
                <w:sz w:val="13"/>
                <w:szCs w:val="13"/>
              </w:rPr>
            </w:pPr>
            <w:r w:rsidRPr="006F2FC4">
              <w:rPr>
                <w:sz w:val="13"/>
                <w:szCs w:val="13"/>
              </w:rPr>
              <w:t>0</w:t>
            </w:r>
          </w:p>
        </w:tc>
      </w:tr>
      <w:tr w:rsidR="0084290D" w:rsidTr="007433BE" w14:paraId="1F4ED5BF" w14:textId="77777777">
        <w:tc>
          <w:tcPr>
            <w:tcW w:w="1200" w:type="pct"/>
            <w:tcBorders>
              <w:bottom w:val="single" w:color="009EE0" w:sz="2" w:space="0"/>
            </w:tcBorders>
            <w:tcMar>
              <w:top w:w="22" w:type="dxa"/>
              <w:bottom w:w="22" w:type="dxa"/>
              <w:right w:w="28" w:type="dxa"/>
            </w:tcMar>
          </w:tcPr>
          <w:p w:rsidRPr="006F2FC4" w:rsidR="0084290D" w:rsidRDefault="00CF5B93" w14:paraId="60FDCE9D" w14:textId="77777777">
            <w:pPr>
              <w:pStyle w:val="p-table"/>
              <w:rPr>
                <w:sz w:val="13"/>
                <w:szCs w:val="13"/>
              </w:rPr>
            </w:pPr>
            <w:r w:rsidRPr="006F2FC4">
              <w:rPr>
                <w:sz w:val="13"/>
                <w:szCs w:val="13"/>
              </w:rPr>
              <w:t>ESM</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EC4377" w14:textId="77777777">
            <w:pPr>
              <w:pStyle w:val="p-table"/>
              <w:jc w:val="right"/>
              <w:rPr>
                <w:sz w:val="13"/>
                <w:szCs w:val="13"/>
              </w:rPr>
            </w:pPr>
            <w:r w:rsidRPr="006F2FC4">
              <w:rPr>
                <w:sz w:val="13"/>
                <w:szCs w:val="13"/>
              </w:rPr>
              <w:t>1.960.000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E4EB5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248060" w14:textId="77777777">
            <w:pPr>
              <w:pStyle w:val="p-table"/>
              <w:jc w:val="right"/>
              <w:rPr>
                <w:sz w:val="13"/>
                <w:szCs w:val="13"/>
              </w:rPr>
            </w:pPr>
            <w:r w:rsidRPr="006F2FC4">
              <w:rPr>
                <w:sz w:val="13"/>
                <w:szCs w:val="13"/>
              </w:rPr>
              <w:t>1.960.000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95DF00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CE9191" w14:textId="77777777">
            <w:pPr>
              <w:pStyle w:val="p-table"/>
              <w:jc w:val="right"/>
              <w:rPr>
                <w:sz w:val="13"/>
                <w:szCs w:val="13"/>
              </w:rPr>
            </w:pPr>
            <w:r w:rsidRPr="006F2FC4">
              <w:rPr>
                <w:sz w:val="13"/>
                <w:szCs w:val="13"/>
              </w:rPr>
              <w:t>1.960.000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6B32AA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787E1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38948D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BD155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4E84FEB" w14:textId="77777777">
            <w:pPr>
              <w:pStyle w:val="p-table"/>
              <w:jc w:val="right"/>
              <w:rPr>
                <w:sz w:val="13"/>
                <w:szCs w:val="13"/>
              </w:rPr>
            </w:pPr>
            <w:r w:rsidRPr="006F2FC4">
              <w:rPr>
                <w:sz w:val="13"/>
                <w:szCs w:val="13"/>
              </w:rPr>
              <w:t>0</w:t>
            </w:r>
          </w:p>
        </w:tc>
      </w:tr>
      <w:tr w:rsidR="0084290D" w:rsidTr="007433BE" w14:paraId="68084078" w14:textId="77777777">
        <w:tc>
          <w:tcPr>
            <w:tcW w:w="1200" w:type="pct"/>
            <w:tcBorders>
              <w:bottom w:val="single" w:color="009EE0" w:sz="2" w:space="0"/>
            </w:tcBorders>
            <w:tcMar>
              <w:top w:w="22" w:type="dxa"/>
              <w:bottom w:w="22" w:type="dxa"/>
              <w:right w:w="28" w:type="dxa"/>
            </w:tcMar>
          </w:tcPr>
          <w:p w:rsidRPr="006F2FC4" w:rsidR="0084290D" w:rsidRDefault="00CF5B93" w14:paraId="2E6ABF07" w14:textId="77777777">
            <w:pPr>
              <w:pStyle w:val="p-table"/>
              <w:rPr>
                <w:sz w:val="13"/>
                <w:szCs w:val="13"/>
              </w:rPr>
            </w:pPr>
            <w:r w:rsidRPr="006F2FC4">
              <w:rPr>
                <w:sz w:val="13"/>
                <w:szCs w:val="13"/>
              </w:rPr>
              <w:t>AIIB</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2F43B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44901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59152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8C6B1A" w14:textId="77777777">
            <w:pPr>
              <w:pStyle w:val="p-table"/>
              <w:jc w:val="right"/>
              <w:rPr>
                <w:sz w:val="13"/>
                <w:szCs w:val="13"/>
              </w:rPr>
            </w:pPr>
            <w:r w:rsidRPr="006F2FC4">
              <w:rPr>
                <w:sz w:val="13"/>
                <w:szCs w:val="13"/>
              </w:rPr>
              <w:t>‒ 3.271</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F5B5AA" w14:textId="77777777">
            <w:pPr>
              <w:pStyle w:val="p-table"/>
              <w:jc w:val="right"/>
              <w:rPr>
                <w:sz w:val="13"/>
                <w:szCs w:val="13"/>
              </w:rPr>
            </w:pPr>
            <w:r w:rsidRPr="006F2FC4">
              <w:rPr>
                <w:sz w:val="13"/>
                <w:szCs w:val="13"/>
              </w:rPr>
              <w:t>‒ 3.271</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46FFE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D4A6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15842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7CB29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CDD7CC4" w14:textId="77777777">
            <w:pPr>
              <w:pStyle w:val="p-table"/>
              <w:jc w:val="right"/>
              <w:rPr>
                <w:sz w:val="13"/>
                <w:szCs w:val="13"/>
              </w:rPr>
            </w:pPr>
            <w:r w:rsidRPr="006F2FC4">
              <w:rPr>
                <w:sz w:val="13"/>
                <w:szCs w:val="13"/>
              </w:rPr>
              <w:t>0</w:t>
            </w:r>
          </w:p>
        </w:tc>
      </w:tr>
      <w:tr w:rsidR="0084290D" w:rsidTr="007433BE" w14:paraId="6F45D065" w14:textId="77777777">
        <w:tc>
          <w:tcPr>
            <w:tcW w:w="1200" w:type="pct"/>
            <w:tcBorders>
              <w:bottom w:val="single" w:color="009EE0" w:sz="2" w:space="0"/>
            </w:tcBorders>
            <w:tcMar>
              <w:top w:w="22" w:type="dxa"/>
              <w:bottom w:w="22" w:type="dxa"/>
              <w:right w:w="28" w:type="dxa"/>
            </w:tcMar>
          </w:tcPr>
          <w:p w:rsidRPr="006F2FC4" w:rsidR="0084290D" w:rsidRDefault="00CF5B93" w14:paraId="1F9E308F" w14:textId="77777777">
            <w:pPr>
              <w:pStyle w:val="p-table"/>
              <w:rPr>
                <w:sz w:val="13"/>
                <w:szCs w:val="13"/>
              </w:rPr>
            </w:pPr>
            <w:r w:rsidRPr="006F2FC4">
              <w:rPr>
                <w:sz w:val="13"/>
                <w:szCs w:val="13"/>
              </w:rPr>
              <w:t>Wereldbank</w:t>
            </w:r>
          </w:p>
        </w:tc>
        <w:tc>
          <w:tcPr>
            <w:tcW w:w="375" w:type="pct"/>
            <w:tcBorders>
              <w:bottom w:val="single" w:color="009EE0" w:sz="2" w:space="0"/>
            </w:tcBorders>
            <w:tcMar>
              <w:top w:w="22" w:type="dxa"/>
              <w:left w:w="28" w:type="dxa"/>
              <w:bottom w:w="22" w:type="dxa"/>
              <w:right w:w="28" w:type="dxa"/>
            </w:tcMar>
          </w:tcPr>
          <w:p w:rsidRPr="006F2FC4" w:rsidR="0084290D" w:rsidRDefault="00CF5B93" w14:paraId="12B9A62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29107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68C82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D4030C" w14:textId="77777777">
            <w:pPr>
              <w:pStyle w:val="p-table"/>
              <w:jc w:val="right"/>
              <w:rPr>
                <w:sz w:val="13"/>
                <w:szCs w:val="13"/>
              </w:rPr>
            </w:pPr>
            <w:r w:rsidRPr="006F2FC4">
              <w:rPr>
                <w:sz w:val="13"/>
                <w:szCs w:val="13"/>
              </w:rPr>
              <w:t>‒ 24.131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85ACB6" w14:textId="77777777">
            <w:pPr>
              <w:pStyle w:val="p-table"/>
              <w:jc w:val="right"/>
              <w:rPr>
                <w:sz w:val="13"/>
                <w:szCs w:val="13"/>
              </w:rPr>
            </w:pPr>
            <w:r w:rsidRPr="006F2FC4">
              <w:rPr>
                <w:sz w:val="13"/>
                <w:szCs w:val="13"/>
              </w:rPr>
              <w:t>‒ 24.131</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3FBBA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0EC0F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0DD8F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4A352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E611CE" w14:textId="77777777">
            <w:pPr>
              <w:pStyle w:val="p-table"/>
              <w:jc w:val="right"/>
              <w:rPr>
                <w:sz w:val="13"/>
                <w:szCs w:val="13"/>
              </w:rPr>
            </w:pPr>
            <w:r w:rsidRPr="006F2FC4">
              <w:rPr>
                <w:sz w:val="13"/>
                <w:szCs w:val="13"/>
              </w:rPr>
              <w:t>0</w:t>
            </w:r>
          </w:p>
        </w:tc>
      </w:tr>
      <w:tr w:rsidR="0084290D" w:rsidTr="007433BE" w14:paraId="646F279A" w14:textId="77777777">
        <w:tc>
          <w:tcPr>
            <w:tcW w:w="1200" w:type="pct"/>
            <w:tcBorders>
              <w:bottom w:val="single" w:color="009EE0" w:sz="2" w:space="0"/>
            </w:tcBorders>
            <w:tcMar>
              <w:top w:w="22" w:type="dxa"/>
              <w:bottom w:w="22" w:type="dxa"/>
              <w:right w:w="28" w:type="dxa"/>
            </w:tcMar>
          </w:tcPr>
          <w:p w:rsidRPr="006F2FC4" w:rsidR="0084290D" w:rsidRDefault="00CF5B93" w14:paraId="6458943F" w14:textId="77777777">
            <w:pPr>
              <w:pStyle w:val="p-table"/>
              <w:rPr>
                <w:sz w:val="13"/>
                <w:szCs w:val="13"/>
              </w:rPr>
            </w:pPr>
            <w:r w:rsidRPr="006F2FC4">
              <w:rPr>
                <w:sz w:val="13"/>
                <w:szCs w:val="13"/>
              </w:rPr>
              <w:t>Headroomgarantie Steunlening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3C21E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EEDA62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E0B52E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3790923" w14:textId="77777777">
            <w:pPr>
              <w:pStyle w:val="p-table"/>
              <w:jc w:val="right"/>
              <w:rPr>
                <w:sz w:val="13"/>
                <w:szCs w:val="13"/>
              </w:rPr>
            </w:pPr>
            <w:r w:rsidRPr="006F2FC4">
              <w:rPr>
                <w:sz w:val="13"/>
                <w:szCs w:val="13"/>
              </w:rPr>
              <w:t>5.940.000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608904" w14:textId="77777777">
            <w:pPr>
              <w:pStyle w:val="p-table"/>
              <w:jc w:val="right"/>
              <w:rPr>
                <w:sz w:val="13"/>
                <w:szCs w:val="13"/>
              </w:rPr>
            </w:pPr>
            <w:r w:rsidRPr="006F2FC4">
              <w:rPr>
                <w:sz w:val="13"/>
                <w:szCs w:val="13"/>
              </w:rPr>
              <w:t>5.940.000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75175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0C9FD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5C1ED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1913D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1B4692" w14:textId="77777777">
            <w:pPr>
              <w:pStyle w:val="p-table"/>
              <w:jc w:val="right"/>
              <w:rPr>
                <w:sz w:val="13"/>
                <w:szCs w:val="13"/>
              </w:rPr>
            </w:pPr>
            <w:r w:rsidRPr="006F2FC4">
              <w:rPr>
                <w:sz w:val="13"/>
                <w:szCs w:val="13"/>
              </w:rPr>
              <w:t>0</w:t>
            </w:r>
          </w:p>
        </w:tc>
      </w:tr>
      <w:tr w:rsidR="0084290D" w:rsidTr="007433BE" w14:paraId="7ACEFAFB" w14:textId="77777777">
        <w:tc>
          <w:tcPr>
            <w:tcW w:w="1200" w:type="pct"/>
            <w:tcBorders>
              <w:bottom w:val="single" w:color="009EE0" w:sz="2" w:space="0"/>
            </w:tcBorders>
            <w:tcMar>
              <w:top w:w="22" w:type="dxa"/>
              <w:bottom w:w="22" w:type="dxa"/>
              <w:right w:w="28" w:type="dxa"/>
            </w:tcMar>
          </w:tcPr>
          <w:p w:rsidRPr="006F2FC4" w:rsidR="0084290D" w:rsidRDefault="0084290D" w14:paraId="174F339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47BBA6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9AA7C8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78E81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56D97E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869139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2217B2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97F0F5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A7D4E7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437B90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8C1B87A" w14:textId="77777777">
            <w:pPr>
              <w:pStyle w:val="p-table"/>
              <w:rPr>
                <w:sz w:val="13"/>
                <w:szCs w:val="13"/>
              </w:rPr>
            </w:pPr>
          </w:p>
        </w:tc>
      </w:tr>
      <w:tr w:rsidR="0084290D" w:rsidTr="007433BE" w14:paraId="2DE4CA3E" w14:textId="77777777">
        <w:tc>
          <w:tcPr>
            <w:tcW w:w="1200" w:type="pct"/>
            <w:tcBorders>
              <w:bottom w:val="single" w:color="009EE0" w:sz="2" w:space="0"/>
            </w:tcBorders>
            <w:tcMar>
              <w:top w:w="22" w:type="dxa"/>
              <w:bottom w:w="22" w:type="dxa"/>
              <w:right w:w="28" w:type="dxa"/>
            </w:tcMar>
          </w:tcPr>
          <w:p w:rsidRPr="006F2FC4" w:rsidR="0084290D" w:rsidRDefault="00CF5B93" w14:paraId="717F6724"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A4C8F0" w14:textId="77777777">
            <w:pPr>
              <w:pStyle w:val="p-table"/>
              <w:jc w:val="right"/>
              <w:rPr>
                <w:sz w:val="13"/>
                <w:szCs w:val="13"/>
              </w:rPr>
            </w:pPr>
            <w:r w:rsidRPr="006F2FC4">
              <w:rPr>
                <w:sz w:val="13"/>
                <w:szCs w:val="13"/>
              </w:rPr>
              <w:t>255.341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BD789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2C793FE" w14:textId="77777777">
            <w:pPr>
              <w:pStyle w:val="p-table"/>
              <w:jc w:val="right"/>
              <w:rPr>
                <w:sz w:val="13"/>
                <w:szCs w:val="13"/>
              </w:rPr>
            </w:pPr>
            <w:r w:rsidRPr="006F2FC4">
              <w:rPr>
                <w:sz w:val="13"/>
                <w:szCs w:val="13"/>
              </w:rPr>
              <w:t>255.341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854308" w14:textId="77777777">
            <w:pPr>
              <w:pStyle w:val="p-table"/>
              <w:jc w:val="right"/>
              <w:rPr>
                <w:sz w:val="13"/>
                <w:szCs w:val="13"/>
              </w:rPr>
            </w:pPr>
            <w:r w:rsidRPr="006F2FC4">
              <w:rPr>
                <w:sz w:val="13"/>
                <w:szCs w:val="13"/>
              </w:rPr>
              <w:t>‒ 242.145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C692F85" w14:textId="77777777">
            <w:pPr>
              <w:pStyle w:val="p-table"/>
              <w:jc w:val="right"/>
              <w:rPr>
                <w:sz w:val="13"/>
                <w:szCs w:val="13"/>
              </w:rPr>
            </w:pPr>
            <w:r w:rsidRPr="006F2FC4">
              <w:rPr>
                <w:sz w:val="13"/>
                <w:szCs w:val="13"/>
              </w:rPr>
              <w:t>13.196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50E232" w14:textId="77777777">
            <w:pPr>
              <w:pStyle w:val="p-table"/>
              <w:jc w:val="right"/>
              <w:rPr>
                <w:sz w:val="13"/>
                <w:szCs w:val="13"/>
              </w:rPr>
            </w:pPr>
            <w:r w:rsidRPr="006F2FC4">
              <w:rPr>
                <w:sz w:val="13"/>
                <w:szCs w:val="13"/>
              </w:rPr>
              <w:t>252.975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C02930D"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D00900"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CF63672"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93670B" w14:textId="77777777">
            <w:pPr>
              <w:pStyle w:val="p-table"/>
              <w:jc w:val="right"/>
              <w:rPr>
                <w:sz w:val="13"/>
                <w:szCs w:val="13"/>
              </w:rPr>
            </w:pPr>
            <w:r w:rsidRPr="006F2FC4">
              <w:rPr>
                <w:sz w:val="13"/>
                <w:szCs w:val="13"/>
              </w:rPr>
              <w:t>1.137.657</w:t>
            </w:r>
          </w:p>
        </w:tc>
      </w:tr>
      <w:tr w:rsidR="0084290D" w:rsidTr="007433BE" w14:paraId="4C363CBB" w14:textId="77777777">
        <w:tc>
          <w:tcPr>
            <w:tcW w:w="1200" w:type="pct"/>
            <w:tcBorders>
              <w:bottom w:val="single" w:color="009EE0" w:sz="2" w:space="0"/>
            </w:tcBorders>
            <w:tcMar>
              <w:top w:w="22" w:type="dxa"/>
              <w:bottom w:w="22" w:type="dxa"/>
              <w:right w:w="28" w:type="dxa"/>
            </w:tcMar>
          </w:tcPr>
          <w:p w:rsidRPr="006F2FC4" w:rsidR="0084290D" w:rsidRDefault="00CF5B93" w14:paraId="3D2F7DAC" w14:textId="77777777">
            <w:pPr>
              <w:pStyle w:val="p-table"/>
              <w:rPr>
                <w:sz w:val="13"/>
                <w:szCs w:val="13"/>
              </w:rPr>
            </w:pPr>
            <w:r w:rsidRPr="006F2FC4">
              <w:rPr>
                <w:sz w:val="13"/>
                <w:szCs w:val="13"/>
              </w:rPr>
              <w:t>Wereldbank</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F4FE7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D2B99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262BE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6ED4D1" w14:textId="77777777">
            <w:pPr>
              <w:pStyle w:val="p-table"/>
              <w:jc w:val="right"/>
              <w:rPr>
                <w:sz w:val="13"/>
                <w:szCs w:val="13"/>
              </w:rPr>
            </w:pPr>
            <w:r w:rsidRPr="006F2FC4">
              <w:rPr>
                <w:sz w:val="13"/>
                <w:szCs w:val="13"/>
              </w:rPr>
              <w:t>10.680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AE753F5" w14:textId="77777777">
            <w:pPr>
              <w:pStyle w:val="p-table"/>
              <w:jc w:val="right"/>
              <w:rPr>
                <w:sz w:val="13"/>
                <w:szCs w:val="13"/>
              </w:rPr>
            </w:pPr>
            <w:r w:rsidRPr="006F2FC4">
              <w:rPr>
                <w:sz w:val="13"/>
                <w:szCs w:val="13"/>
              </w:rPr>
              <w:t>10.680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8CA56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B28AF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899C5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4080F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09F596C" w14:textId="77777777">
            <w:pPr>
              <w:pStyle w:val="p-table"/>
              <w:jc w:val="right"/>
              <w:rPr>
                <w:sz w:val="13"/>
                <w:szCs w:val="13"/>
              </w:rPr>
            </w:pPr>
            <w:r w:rsidRPr="006F2FC4">
              <w:rPr>
                <w:sz w:val="13"/>
                <w:szCs w:val="13"/>
              </w:rPr>
              <w:t>0</w:t>
            </w:r>
          </w:p>
        </w:tc>
      </w:tr>
      <w:tr w:rsidR="0084290D" w:rsidTr="007433BE" w14:paraId="6BABD5D5" w14:textId="77777777">
        <w:tc>
          <w:tcPr>
            <w:tcW w:w="1200" w:type="pct"/>
            <w:tcBorders>
              <w:bottom w:val="single" w:color="009EE0" w:sz="2" w:space="0"/>
            </w:tcBorders>
            <w:tcMar>
              <w:top w:w="22" w:type="dxa"/>
              <w:bottom w:w="22" w:type="dxa"/>
              <w:right w:w="28" w:type="dxa"/>
            </w:tcMar>
          </w:tcPr>
          <w:p w:rsidRPr="006F2FC4" w:rsidR="0084290D" w:rsidRDefault="00CF5B93" w14:paraId="57C4AA20" w14:textId="77777777">
            <w:pPr>
              <w:pStyle w:val="p-table"/>
              <w:rPr>
                <w:sz w:val="13"/>
                <w:szCs w:val="13"/>
              </w:rPr>
            </w:pPr>
            <w:r w:rsidRPr="006F2FC4">
              <w:rPr>
                <w:sz w:val="13"/>
                <w:szCs w:val="13"/>
              </w:rPr>
              <w:t>Kapitaalinleg ESM</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BF5F73" w14:textId="77777777">
            <w:pPr>
              <w:pStyle w:val="p-table"/>
              <w:jc w:val="right"/>
              <w:rPr>
                <w:sz w:val="13"/>
                <w:szCs w:val="13"/>
              </w:rPr>
            </w:pPr>
            <w:r w:rsidRPr="006F2FC4">
              <w:rPr>
                <w:sz w:val="13"/>
                <w:szCs w:val="13"/>
              </w:rPr>
              <w:t>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BD7FB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DA6202" w14:textId="77777777">
            <w:pPr>
              <w:pStyle w:val="p-table"/>
              <w:jc w:val="right"/>
              <w:rPr>
                <w:sz w:val="13"/>
                <w:szCs w:val="13"/>
              </w:rPr>
            </w:pPr>
            <w:r w:rsidRPr="006F2FC4">
              <w:rPr>
                <w:sz w:val="13"/>
                <w:szCs w:val="13"/>
              </w:rPr>
              <w:t>252.900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EEB361" w14:textId="77777777">
            <w:pPr>
              <w:pStyle w:val="p-table"/>
              <w:jc w:val="right"/>
              <w:rPr>
                <w:sz w:val="13"/>
                <w:szCs w:val="13"/>
              </w:rPr>
            </w:pPr>
            <w:r w:rsidRPr="006F2FC4">
              <w:rPr>
                <w:sz w:val="13"/>
                <w:szCs w:val="13"/>
              </w:rPr>
              <w:t>‒ 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64631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3AFEF7" w14:textId="77777777">
            <w:pPr>
              <w:pStyle w:val="p-table"/>
              <w:jc w:val="right"/>
              <w:rPr>
                <w:sz w:val="13"/>
                <w:szCs w:val="13"/>
              </w:rPr>
            </w:pPr>
            <w:r w:rsidRPr="006F2FC4">
              <w:rPr>
                <w:sz w:val="13"/>
                <w:szCs w:val="13"/>
              </w:rPr>
              <w:t>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5422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C5CB2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0EB7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AA8B39" w14:textId="77777777">
            <w:pPr>
              <w:pStyle w:val="p-table"/>
              <w:jc w:val="right"/>
              <w:rPr>
                <w:sz w:val="13"/>
                <w:szCs w:val="13"/>
              </w:rPr>
            </w:pPr>
            <w:r w:rsidRPr="006F2FC4">
              <w:rPr>
                <w:sz w:val="13"/>
                <w:szCs w:val="13"/>
              </w:rPr>
              <w:t>0</w:t>
            </w:r>
          </w:p>
        </w:tc>
      </w:tr>
      <w:tr w:rsidR="0084290D" w:rsidTr="007433BE" w14:paraId="0F3F0D14" w14:textId="77777777">
        <w:tc>
          <w:tcPr>
            <w:tcW w:w="1200" w:type="pct"/>
            <w:tcBorders>
              <w:bottom w:val="single" w:color="009EE0" w:sz="2" w:space="0"/>
            </w:tcBorders>
            <w:tcMar>
              <w:top w:w="22" w:type="dxa"/>
              <w:bottom w:w="22" w:type="dxa"/>
              <w:right w:w="28" w:type="dxa"/>
            </w:tcMar>
          </w:tcPr>
          <w:p w:rsidRPr="006F2FC4" w:rsidR="0084290D" w:rsidRDefault="00CF5B93" w14:paraId="3A373B33" w14:textId="77777777">
            <w:pPr>
              <w:pStyle w:val="p-table"/>
              <w:rPr>
                <w:sz w:val="13"/>
                <w:szCs w:val="13"/>
              </w:rPr>
            </w:pPr>
            <w:r w:rsidRPr="006F2FC4">
              <w:rPr>
                <w:sz w:val="13"/>
                <w:szCs w:val="13"/>
              </w:rPr>
              <w:t>Technische assistentie</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E6DFE0" w14:textId="77777777">
            <w:pPr>
              <w:pStyle w:val="p-table"/>
              <w:jc w:val="right"/>
              <w:rPr>
                <w:sz w:val="13"/>
                <w:szCs w:val="13"/>
              </w:rPr>
            </w:pPr>
            <w:r w:rsidRPr="006F2FC4">
              <w:rPr>
                <w:sz w:val="13"/>
                <w:szCs w:val="13"/>
              </w:rPr>
              <w:t>2.341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27981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02DD82" w14:textId="77777777">
            <w:pPr>
              <w:pStyle w:val="p-table"/>
              <w:jc w:val="right"/>
              <w:rPr>
                <w:sz w:val="13"/>
                <w:szCs w:val="13"/>
              </w:rPr>
            </w:pPr>
            <w:r w:rsidRPr="006F2FC4">
              <w:rPr>
                <w:sz w:val="13"/>
                <w:szCs w:val="13"/>
              </w:rPr>
              <w:t>2.341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3DF8A9C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952FAD" w14:textId="77777777">
            <w:pPr>
              <w:pStyle w:val="p-table"/>
              <w:jc w:val="right"/>
              <w:rPr>
                <w:sz w:val="13"/>
                <w:szCs w:val="13"/>
              </w:rPr>
            </w:pPr>
            <w:r w:rsidRPr="006F2FC4">
              <w:rPr>
                <w:sz w:val="13"/>
                <w:szCs w:val="13"/>
              </w:rPr>
              <w:t>2.341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52BC2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E09799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896F2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79979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6BA2C36" w14:textId="77777777">
            <w:pPr>
              <w:pStyle w:val="p-table"/>
              <w:jc w:val="right"/>
              <w:rPr>
                <w:sz w:val="13"/>
                <w:szCs w:val="13"/>
              </w:rPr>
            </w:pPr>
            <w:r w:rsidRPr="006F2FC4">
              <w:rPr>
                <w:sz w:val="13"/>
                <w:szCs w:val="13"/>
              </w:rPr>
              <w:t>2.029</w:t>
            </w:r>
          </w:p>
        </w:tc>
      </w:tr>
      <w:tr w:rsidR="0084290D" w:rsidTr="007433BE" w14:paraId="6EF7AC06" w14:textId="77777777">
        <w:tc>
          <w:tcPr>
            <w:tcW w:w="1200" w:type="pct"/>
            <w:tcBorders>
              <w:bottom w:val="single" w:color="009EE0" w:sz="2" w:space="0"/>
            </w:tcBorders>
            <w:tcMar>
              <w:top w:w="22" w:type="dxa"/>
              <w:bottom w:w="22" w:type="dxa"/>
              <w:right w:w="28" w:type="dxa"/>
            </w:tcMar>
          </w:tcPr>
          <w:p w:rsidRPr="006F2FC4" w:rsidR="0084290D" w:rsidRDefault="00CF5B93" w14:paraId="00E57C9B" w14:textId="77777777">
            <w:pPr>
              <w:pStyle w:val="p-table"/>
              <w:rPr>
                <w:sz w:val="13"/>
                <w:szCs w:val="13"/>
              </w:rPr>
            </w:pPr>
            <w:r w:rsidRPr="006F2FC4">
              <w:rPr>
                <w:sz w:val="13"/>
                <w:szCs w:val="13"/>
              </w:rPr>
              <w:t>Overige betalingsverplichtingen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E9EC98" w14:textId="77777777">
            <w:pPr>
              <w:pStyle w:val="p-table"/>
              <w:jc w:val="right"/>
              <w:rPr>
                <w:sz w:val="13"/>
                <w:szCs w:val="13"/>
              </w:rPr>
            </w:pPr>
            <w:r w:rsidRPr="006F2FC4">
              <w:rPr>
                <w:sz w:val="13"/>
                <w:szCs w:val="13"/>
              </w:rPr>
              <w:t>100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267C7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814F79" w14:textId="77777777">
            <w:pPr>
              <w:pStyle w:val="p-table"/>
              <w:jc w:val="right"/>
              <w:rPr>
                <w:sz w:val="13"/>
                <w:szCs w:val="13"/>
              </w:rPr>
            </w:pPr>
            <w:r w:rsidRPr="006F2FC4">
              <w:rPr>
                <w:sz w:val="13"/>
                <w:szCs w:val="13"/>
              </w:rPr>
              <w:t>100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5D2AD00"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439CE3" w14:textId="77777777">
            <w:pPr>
              <w:pStyle w:val="p-table"/>
              <w:jc w:val="right"/>
              <w:rPr>
                <w:sz w:val="13"/>
                <w:szCs w:val="13"/>
              </w:rPr>
            </w:pPr>
            <w:r w:rsidRPr="006F2FC4">
              <w:rPr>
                <w:sz w:val="13"/>
                <w:szCs w:val="13"/>
              </w:rPr>
              <w:t>175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E679AC"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D680B7"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14E665"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D7522F"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78B654" w14:textId="77777777">
            <w:pPr>
              <w:pStyle w:val="p-table"/>
              <w:jc w:val="right"/>
              <w:rPr>
                <w:sz w:val="13"/>
                <w:szCs w:val="13"/>
              </w:rPr>
            </w:pPr>
            <w:r w:rsidRPr="006F2FC4">
              <w:rPr>
                <w:sz w:val="13"/>
                <w:szCs w:val="13"/>
              </w:rPr>
              <w:t>1.135.628</w:t>
            </w:r>
          </w:p>
        </w:tc>
      </w:tr>
    </w:tbl>
    <w:p w:rsidR="0084290D" w:rsidRDefault="0084290D" w14:paraId="2E8F5785"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1B4CEB6B" w14:textId="77777777">
        <w:trPr>
          <w:tblHeader/>
        </w:trPr>
        <w:tc>
          <w:tcPr>
            <w:tcW w:w="5508" w:type="dxa"/>
            <w:gridSpan w:val="2"/>
            <w:tcMar>
              <w:top w:w="22" w:type="dxa"/>
              <w:left w:w="113" w:type="dxa"/>
              <w:bottom w:w="22" w:type="dxa"/>
            </w:tcMar>
          </w:tcPr>
          <w:p w:rsidR="0084290D" w:rsidRDefault="00CF5B93" w14:paraId="4C1D4E2D" w14:textId="77777777">
            <w:pPr>
              <w:pStyle w:val="kio2-table-title"/>
            </w:pPr>
            <w:r>
              <w:lastRenderedPageBreak/>
              <w:t>Tabel 18 Geschatte budgetflexibiliteit</w:t>
            </w:r>
          </w:p>
        </w:tc>
      </w:tr>
      <w:tr w:rsidR="0084290D" w14:paraId="104BCB0A" w14:textId="77777777">
        <w:trPr>
          <w:tblHeader/>
        </w:trPr>
        <w:tc>
          <w:tcPr>
            <w:tcW w:w="2754" w:type="dxa"/>
            <w:tcBorders>
              <w:top w:val="single" w:color="000000" w:sz="2" w:space="0"/>
              <w:bottom w:val="single" w:color="009EE0" w:sz="2" w:space="0"/>
            </w:tcBorders>
            <w:tcMar>
              <w:top w:w="28" w:type="dxa"/>
              <w:bottom w:w="28" w:type="dxa"/>
              <w:right w:w="28" w:type="dxa"/>
            </w:tcMar>
          </w:tcPr>
          <w:p w:rsidRPr="006F2FC4" w:rsidR="0084290D" w:rsidRDefault="0084290D" w14:paraId="70F01DE4"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46B7B29B" w14:textId="77777777">
            <w:pPr>
              <w:pStyle w:val="p-table"/>
              <w:jc w:val="right"/>
              <w:rPr>
                <w:color w:val="000000"/>
                <w:sz w:val="13"/>
                <w:szCs w:val="13"/>
              </w:rPr>
            </w:pPr>
            <w:r w:rsidRPr="006F2FC4">
              <w:rPr>
                <w:color w:val="000000"/>
                <w:sz w:val="13"/>
                <w:szCs w:val="13"/>
              </w:rPr>
              <w:t>2026</w:t>
            </w:r>
          </w:p>
        </w:tc>
      </w:tr>
      <w:tr w:rsidR="0084290D" w14:paraId="0CCD8539" w14:textId="77777777">
        <w:tc>
          <w:tcPr>
            <w:tcW w:w="2754" w:type="dxa"/>
            <w:tcBorders>
              <w:bottom w:val="single" w:color="009EE0" w:sz="2" w:space="0"/>
            </w:tcBorders>
            <w:tcMar>
              <w:top w:w="22" w:type="dxa"/>
              <w:bottom w:w="22" w:type="dxa"/>
              <w:right w:w="28" w:type="dxa"/>
            </w:tcMar>
          </w:tcPr>
          <w:p w:rsidRPr="006F2FC4" w:rsidR="0084290D" w:rsidRDefault="00CF5B93" w14:paraId="46B8F33B" w14:textId="77777777">
            <w:pPr>
              <w:pStyle w:val="p-table"/>
              <w:rPr>
                <w:sz w:val="13"/>
                <w:szCs w:val="13"/>
              </w:rPr>
            </w:pPr>
            <w:r w:rsidRPr="006F2FC4">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6F2FC4" w:rsidR="0084290D" w:rsidRDefault="00CF5B93" w14:paraId="40580BE7" w14:textId="77777777">
            <w:pPr>
              <w:pStyle w:val="p-table"/>
              <w:jc w:val="right"/>
              <w:rPr>
                <w:sz w:val="13"/>
                <w:szCs w:val="13"/>
              </w:rPr>
            </w:pPr>
            <w:r w:rsidRPr="006F2FC4">
              <w:rPr>
                <w:sz w:val="13"/>
                <w:szCs w:val="13"/>
              </w:rPr>
              <w:t>97,0%</w:t>
            </w:r>
          </w:p>
        </w:tc>
      </w:tr>
      <w:tr w:rsidR="0084290D" w14:paraId="11669487" w14:textId="77777777">
        <w:tc>
          <w:tcPr>
            <w:tcW w:w="2754" w:type="dxa"/>
            <w:tcBorders>
              <w:bottom w:val="single" w:color="009EE0" w:sz="2" w:space="0"/>
            </w:tcBorders>
            <w:tcMar>
              <w:top w:w="22" w:type="dxa"/>
              <w:bottom w:w="22" w:type="dxa"/>
              <w:right w:w="28" w:type="dxa"/>
            </w:tcMar>
          </w:tcPr>
          <w:p w:rsidRPr="006F2FC4" w:rsidR="0084290D" w:rsidRDefault="00CF5B93" w14:paraId="437C8930" w14:textId="77777777">
            <w:pPr>
              <w:pStyle w:val="p-table"/>
              <w:rPr>
                <w:sz w:val="13"/>
                <w:szCs w:val="13"/>
              </w:rPr>
            </w:pPr>
            <w:r w:rsidRPr="006F2FC4">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BA7DA18" w14:textId="77777777">
            <w:pPr>
              <w:pStyle w:val="p-table"/>
              <w:jc w:val="right"/>
              <w:rPr>
                <w:sz w:val="13"/>
                <w:szCs w:val="13"/>
              </w:rPr>
            </w:pPr>
            <w:r w:rsidRPr="006F2FC4">
              <w:rPr>
                <w:sz w:val="13"/>
                <w:szCs w:val="13"/>
              </w:rPr>
              <w:t>0,0%</w:t>
            </w:r>
          </w:p>
        </w:tc>
      </w:tr>
      <w:tr w:rsidR="0084290D" w14:paraId="71D01F00" w14:textId="77777777">
        <w:tc>
          <w:tcPr>
            <w:tcW w:w="2754" w:type="dxa"/>
            <w:tcBorders>
              <w:bottom w:val="single" w:color="009EE0" w:sz="2" w:space="0"/>
            </w:tcBorders>
            <w:tcMar>
              <w:top w:w="22" w:type="dxa"/>
              <w:bottom w:w="22" w:type="dxa"/>
              <w:right w:w="28" w:type="dxa"/>
            </w:tcMar>
          </w:tcPr>
          <w:p w:rsidRPr="006F2FC4" w:rsidR="0084290D" w:rsidRDefault="00CF5B93" w14:paraId="275CAF4C" w14:textId="77777777">
            <w:pPr>
              <w:pStyle w:val="p-table"/>
              <w:rPr>
                <w:sz w:val="13"/>
                <w:szCs w:val="13"/>
              </w:rPr>
            </w:pPr>
            <w:r w:rsidRPr="006F2FC4">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6F2FC4" w:rsidR="0084290D" w:rsidRDefault="00CF5B93" w14:paraId="29BDCF8D" w14:textId="77777777">
            <w:pPr>
              <w:pStyle w:val="p-table"/>
              <w:jc w:val="right"/>
              <w:rPr>
                <w:sz w:val="13"/>
                <w:szCs w:val="13"/>
              </w:rPr>
            </w:pPr>
            <w:r w:rsidRPr="006F2FC4">
              <w:rPr>
                <w:sz w:val="13"/>
                <w:szCs w:val="13"/>
              </w:rPr>
              <w:t>3,0%</w:t>
            </w:r>
          </w:p>
        </w:tc>
      </w:tr>
      <w:tr w:rsidR="0084290D" w14:paraId="53828907" w14:textId="77777777">
        <w:tc>
          <w:tcPr>
            <w:tcW w:w="2754" w:type="dxa"/>
            <w:tcBorders>
              <w:bottom w:val="single" w:color="009EE0" w:sz="2" w:space="0"/>
            </w:tcBorders>
            <w:tcMar>
              <w:top w:w="22" w:type="dxa"/>
              <w:bottom w:w="22" w:type="dxa"/>
              <w:right w:w="28" w:type="dxa"/>
            </w:tcMar>
          </w:tcPr>
          <w:p w:rsidRPr="006F2FC4" w:rsidR="0084290D" w:rsidRDefault="00CF5B93" w14:paraId="5842277A"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7CF1637C" w14:textId="77777777">
            <w:pPr>
              <w:pStyle w:val="p-table"/>
              <w:jc w:val="right"/>
              <w:rPr>
                <w:sz w:val="13"/>
                <w:szCs w:val="13"/>
              </w:rPr>
            </w:pPr>
            <w:r w:rsidRPr="006F2FC4">
              <w:rPr>
                <w:sz w:val="13"/>
                <w:szCs w:val="13"/>
              </w:rPr>
              <w:t>0,0%</w:t>
            </w:r>
          </w:p>
        </w:tc>
      </w:tr>
    </w:tbl>
    <w:p w:rsidR="0084290D" w:rsidRDefault="0084290D" w14:paraId="51CFAA7B" w14:textId="77777777">
      <w:pPr>
        <w:pStyle w:val="p-marginbottom"/>
      </w:pPr>
    </w:p>
    <w:p w:rsidR="0084290D" w:rsidRDefault="00CF5B93" w14:paraId="26CC21D4" w14:textId="77777777">
      <w:pPr>
        <w:pStyle w:val="header-h1"/>
      </w:pPr>
      <w:r>
        <w:t>Toelichting</w:t>
      </w:r>
    </w:p>
    <w:p w:rsidR="0084290D" w:rsidRDefault="0084290D" w14:paraId="003A8023" w14:textId="77777777">
      <w:pPr>
        <w:pStyle w:val="p-marginbottom"/>
      </w:pPr>
    </w:p>
    <w:p w:rsidR="0084290D" w:rsidRDefault="00CF5B93" w14:paraId="5F526214" w14:textId="77777777">
      <w:pPr>
        <w:pStyle w:val="header-h1"/>
      </w:pPr>
      <w:r>
        <w:t>Budgetflexibiliteit</w:t>
      </w:r>
    </w:p>
    <w:p w:rsidR="0084290D" w:rsidRDefault="00CF5B93" w14:paraId="76898F47" w14:textId="77777777">
      <w:pPr>
        <w:pStyle w:val="p"/>
      </w:pPr>
      <w:r>
        <w:t xml:space="preserve">In 2026 bedraagt het totaal aan juridisch verplichte uitgaven 97% van het totaal aan uitgaven. Het bestaat voornamelijk uit uitgaven op garanties en bijdragen aan internationale organisaties. De 3% bij beleidsmatig gereserveerd bestaat voornamelijk uit technische assistentie aan </w:t>
      </w:r>
      <w:proofErr w:type="spellStart"/>
      <w:r>
        <w:t>kiesgroeplanden</w:t>
      </w:r>
      <w:proofErr w:type="spellEnd"/>
      <w:r>
        <w:t xml:space="preserve"> waarvoor nog geen verplichting is aangegaan.</w:t>
      </w:r>
    </w:p>
    <w:p w:rsidR="0084290D" w:rsidRDefault="00CF5B93" w14:paraId="164A823E" w14:textId="77777777">
      <w:pPr>
        <w:pStyle w:val="header-h1"/>
      </w:pPr>
      <w:r>
        <w:t>Verplichtingen</w:t>
      </w:r>
    </w:p>
    <w:p w:rsidR="0084290D" w:rsidRDefault="0084290D" w14:paraId="43734A48" w14:textId="77777777">
      <w:pPr>
        <w:pStyle w:val="p-marginbottom"/>
      </w:pPr>
    </w:p>
    <w:p w:rsidR="0084290D" w:rsidRDefault="00CF5B93" w14:paraId="38F58A1E" w14:textId="77777777">
      <w:pPr>
        <w:pStyle w:val="header-h2"/>
      </w:pPr>
      <w:r>
        <w:t>Garantieverplichtingen</w:t>
      </w:r>
    </w:p>
    <w:p w:rsidR="0084290D" w:rsidRDefault="0084290D" w14:paraId="3EC07232" w14:textId="77777777">
      <w:pPr>
        <w:pStyle w:val="p-marginbottom"/>
      </w:pPr>
    </w:p>
    <w:p w:rsidR="0084290D" w:rsidRDefault="00CF5B93" w14:paraId="77E9C512" w14:textId="77777777">
      <w:pPr>
        <w:pStyle w:val="header-h5"/>
      </w:pPr>
      <w:r>
        <w:t>Garantie aan DNB inzake IMF</w:t>
      </w:r>
    </w:p>
    <w:p w:rsidR="0084290D" w:rsidRDefault="00CF5B93" w14:paraId="5E3A4CBB" w14:textId="77777777">
      <w:pPr>
        <w:pStyle w:val="p"/>
      </w:pPr>
      <w:r>
        <w:t xml:space="preserve">De uitstaande garantie wordt met € 22,1 mln. naar beneden bijgesteld op basis van de wisselkoers. De garantie is in SDR (Special </w:t>
      </w:r>
      <w:proofErr w:type="spellStart"/>
      <w:r>
        <w:t>Drawing</w:t>
      </w:r>
      <w:proofErr w:type="spellEnd"/>
      <w:r>
        <w:t xml:space="preserve"> </w:t>
      </w:r>
      <w:proofErr w:type="spellStart"/>
      <w:r>
        <w:t>Rights</w:t>
      </w:r>
      <w:proofErr w:type="spellEnd"/>
      <w:r>
        <w:t>) ten opzichte van de Rijksbegroting in EUR.</w:t>
      </w:r>
    </w:p>
    <w:p w:rsidR="0084290D" w:rsidRDefault="00CF5B93" w14:paraId="7D9E923F" w14:textId="77777777">
      <w:pPr>
        <w:pStyle w:val="header-h5"/>
      </w:pPr>
      <w:r>
        <w:t>Wereldbank - IBRD</w:t>
      </w:r>
    </w:p>
    <w:p w:rsidR="0084290D" w:rsidRDefault="00CF5B93" w14:paraId="475D85CE" w14:textId="77777777">
      <w:pPr>
        <w:pStyle w:val="p"/>
      </w:pPr>
      <w:r>
        <w:t xml:space="preserve">De uitstaande garantie aan de International Bank </w:t>
      </w:r>
      <w:proofErr w:type="spellStart"/>
      <w:r>
        <w:t>for</w:t>
      </w:r>
      <w:proofErr w:type="spellEnd"/>
      <w:r>
        <w:t xml:space="preserve"> </w:t>
      </w:r>
      <w:proofErr w:type="spellStart"/>
      <w:r>
        <w:t>Reconstruction</w:t>
      </w:r>
      <w:proofErr w:type="spellEnd"/>
      <w:r>
        <w:t xml:space="preserve"> </w:t>
      </w:r>
      <w:proofErr w:type="spellStart"/>
      <w:r>
        <w:t>and</w:t>
      </w:r>
      <w:proofErr w:type="spellEnd"/>
      <w:r>
        <w:t xml:space="preserve"> Development (IBRD, onderdeel van de Wereldbank) wordt met € 24,1 mln. naar beneden bijgesteld op basis van de wisselkoers. De garantie is in USD ten opzichte van de Rijksbegroting in EUR.</w:t>
      </w:r>
    </w:p>
    <w:p w:rsidR="0084290D" w:rsidRDefault="00CF5B93" w14:paraId="69E300AE" w14:textId="77777777">
      <w:pPr>
        <w:pStyle w:val="header-h5"/>
      </w:pPr>
      <w:r>
        <w:t>Headroomgarantie Steunlening Oekraïne</w:t>
      </w:r>
    </w:p>
    <w:p w:rsidR="0084290D" w:rsidRDefault="00CF5B93" w14:paraId="449E130A" w14:textId="77777777">
      <w:pPr>
        <w:pStyle w:val="p"/>
      </w:pPr>
      <w:r>
        <w:t xml:space="preserve">Op 19 december 2025 spraken Europese leiders tijdens de Europese Raad hun steun uit om Oekraïne te helpen met financieringsbehoeften voor 2026 en 2027. Daartoe bereikten zij een politiek akkoord om voor € 90 mld. aan leningen aan Oekraïne te verstrekken, voor zowel macro-financiële als militaire steun. De Commissie leent hiervoor namens de Unie middelen op de kapitaalmarkt, die het vervolgens doorleent aan Oekraïne (leningen-voor-leningen). De </w:t>
      </w:r>
      <w:r>
        <w:rPr>
          <w:i/>
        </w:rPr>
        <w:t>headroom</w:t>
      </w:r>
      <w:r>
        <w:t xml:space="preserve"> wordt gebruikt als zekerheid voor de markt dat de Unie kan voldoen aan de aflossings- en renteverplichtingen op de leningen die zij aangaat. Binnen de headroom zal Nederland een garantie opnemen, op basis van het bni-aandeel van de lidstaten die deelnemen aan deze afspraak. Het bni-aandeel van Nederland is berekend op 6,6%, de Nederlandse garantie bedraagt daarmee circa € 5,94 mld. Dit voorstel is nog onder voorbehoud, aangezien door een veto van Hongarije nog geen definitief akkoord is bereikt over deze steun.</w:t>
      </w:r>
    </w:p>
    <w:p w:rsidR="0084290D" w:rsidRDefault="00CF5B93" w14:paraId="7F4D3BD3" w14:textId="77777777">
      <w:pPr>
        <w:pStyle w:val="header-h2"/>
      </w:pPr>
      <w:r>
        <w:t>Overige verplichtingen</w:t>
      </w:r>
    </w:p>
    <w:p w:rsidR="0084290D" w:rsidRDefault="0084290D" w14:paraId="50FCFBA5" w14:textId="77777777">
      <w:pPr>
        <w:pStyle w:val="p-marginbottom"/>
      </w:pPr>
    </w:p>
    <w:p w:rsidR="0084290D" w:rsidRDefault="00CF5B93" w14:paraId="144EDBA9" w14:textId="77777777">
      <w:pPr>
        <w:pStyle w:val="header-h5"/>
      </w:pPr>
      <w:r>
        <w:t>Wereldbank - IDA</w:t>
      </w:r>
    </w:p>
    <w:p w:rsidR="0084290D" w:rsidRDefault="00CF5B93" w14:paraId="304D9965" w14:textId="77777777">
      <w:pPr>
        <w:pStyle w:val="p"/>
      </w:pPr>
      <w:r>
        <w:t xml:space="preserve">Deze mutatie betreft een overboeking van € 10,7 mln. vanuit de begroting van Buitenlandse Handel en Ontwikkeling voor de bijdrage aan het programma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(HIPC), een internationale samenwerking met het Internationaal Monetair Fonds en de Wereldbank. Het betreft een verplichting in 2026, waarbij de kasuitgaven verdeeld zijn over 2026-2028.</w:t>
      </w:r>
    </w:p>
    <w:p w:rsidR="009665F5" w:rsidRDefault="009665F5" w14:paraId="1B2D9BE0" w14:textId="77777777">
      <w:pPr>
        <w:rPr>
          <w:sz w:val="17"/>
          <w:u w:val="single"/>
        </w:rPr>
      </w:pPr>
      <w:r>
        <w:br w:type="page"/>
      </w:r>
    </w:p>
    <w:p w:rsidR="0084290D" w:rsidRDefault="00CF5B93" w14:paraId="2C02779B" w14:textId="6D20B787">
      <w:pPr>
        <w:pStyle w:val="header-h5"/>
      </w:pPr>
      <w:r>
        <w:lastRenderedPageBreak/>
        <w:t>Kapitaalinleg ESM</w:t>
      </w:r>
    </w:p>
    <w:p w:rsidR="0084290D" w:rsidRDefault="00CF5B93" w14:paraId="75B34CD2" w14:textId="77777777">
      <w:pPr>
        <w:pStyle w:val="p"/>
      </w:pPr>
      <w:r>
        <w:t>Zie toelichting onder uitgaven.</w:t>
      </w:r>
    </w:p>
    <w:p w:rsidR="0084290D" w:rsidRDefault="00CF5B93" w14:paraId="7A971A7B" w14:textId="7937824E">
      <w:pPr>
        <w:pStyle w:val="header-h1"/>
      </w:pPr>
      <w:r>
        <w:t>Uitgaven</w:t>
      </w:r>
    </w:p>
    <w:p w:rsidR="0084290D" w:rsidRDefault="0084290D" w14:paraId="11DFED2D" w14:textId="77777777">
      <w:pPr>
        <w:pStyle w:val="p-marginbottom"/>
      </w:pPr>
    </w:p>
    <w:p w:rsidR="0084290D" w:rsidRDefault="00CF5B93" w14:paraId="569AA100" w14:textId="77777777">
      <w:pPr>
        <w:pStyle w:val="header-h2"/>
      </w:pPr>
      <w:r>
        <w:t>Bijdrage aan (inter-)nationale organisaties</w:t>
      </w:r>
    </w:p>
    <w:p w:rsidR="00B63400" w:rsidRDefault="00B63400" w14:paraId="1BD1405B" w14:textId="77777777">
      <w:pPr>
        <w:pStyle w:val="header-h5"/>
      </w:pPr>
    </w:p>
    <w:p w:rsidR="0084290D" w:rsidRDefault="00CF5B93" w14:paraId="051F6C0C" w14:textId="3F6188FE">
      <w:pPr>
        <w:pStyle w:val="header-h5"/>
      </w:pPr>
      <w:r>
        <w:t>Kapitaalinleg ESM</w:t>
      </w:r>
    </w:p>
    <w:p w:rsidR="0084290D" w:rsidRDefault="00CF5B93" w14:paraId="2180C32E" w14:textId="77777777">
      <w:pPr>
        <w:pStyle w:val="p"/>
      </w:pPr>
      <w:r>
        <w:t>De toetreding van Kroatië tot het Europees Stabiliteitsmechanisme (ESM) startte het proces om de ESM-kapitaalsleutel uit 2009 te herzien. Hieruit volgt dat Nederland een groter aandeel in de Europese economie en bevolking had dan voorheen. Nederland heeft in 2025 de aanvullende kapitaalstorting begroot om, indien nodig, de storting te kunnen doen. In afwachting van de actualisatie van de kapitaalsleutel wordt de reservering naar 2027 geschoven. Een nieuwe sleutel zou op zijn vroegst na 1 januari 2027 worden vastgesteld, wanneer de tijdelijke korting op de kapitaalinleg van Litouwen eindigt.</w:t>
      </w:r>
    </w:p>
    <w:p w:rsidR="0084290D" w:rsidRDefault="00CF5B93" w14:paraId="63CC85BD" w14:textId="77777777">
      <w:pPr>
        <w:pStyle w:val="header-h1"/>
      </w:pPr>
      <w:r>
        <w:t>Ontvangsten</w:t>
      </w:r>
    </w:p>
    <w:p w:rsidR="0084290D" w:rsidRDefault="0084290D" w14:paraId="38338F2F" w14:textId="77777777">
      <w:pPr>
        <w:pStyle w:val="p-marginbottom"/>
      </w:pPr>
    </w:p>
    <w:p w:rsidR="0084290D" w:rsidRDefault="00CF5B93" w14:paraId="2D08CAA7" w14:textId="77777777">
      <w:pPr>
        <w:pStyle w:val="header-h2"/>
      </w:pPr>
      <w:r>
        <w:t>Leningen</w:t>
      </w:r>
    </w:p>
    <w:p w:rsidR="008F1CDA" w:rsidRDefault="008F1CDA" w14:paraId="6DA64D45" w14:textId="77777777">
      <w:pPr>
        <w:pStyle w:val="header-h2"/>
      </w:pPr>
    </w:p>
    <w:p w:rsidR="008F1CDA" w:rsidP="008F1CDA" w:rsidRDefault="008F1CDA" w14:paraId="53F7D859" w14:textId="77777777">
      <w:pPr>
        <w:pStyle w:val="header-h5"/>
      </w:pPr>
      <w:r>
        <w:t>Renteontvangsten lening Griekenland</w:t>
      </w:r>
    </w:p>
    <w:p w:rsidR="008F1CDA" w:rsidP="008F1CDA" w:rsidRDefault="008F1CDA" w14:paraId="6633AA1E" w14:textId="77777777">
      <w:pPr>
        <w:pStyle w:val="p"/>
      </w:pPr>
      <w:r>
        <w:t>Op basis van de meest recente renteramingen en de vervroegde aflossing in 2025 worden de verwachte ontvangsten van de lening aan Griekenland bijgesteld.</w:t>
      </w:r>
    </w:p>
    <w:p w:rsidR="0084290D" w:rsidRDefault="00CF5B93" w14:paraId="24149EF4" w14:textId="77777777">
      <w:pPr>
        <w:pStyle w:val="header-h5"/>
      </w:pPr>
      <w:r>
        <w:t>Aflossing en renteontvangsten lening Oekraïne</w:t>
      </w:r>
    </w:p>
    <w:p w:rsidR="0084290D" w:rsidRDefault="00CF5B93" w14:paraId="4622CF48" w14:textId="77777777">
      <w:pPr>
        <w:pStyle w:val="p"/>
      </w:pPr>
      <w:r>
        <w:t>Dit betreft een uitstel van de betalingen (rente en aflossing) van Oekraïne aan Nederland die gepland stonden voor de jaren 2027 ‒ 2029. Reden voor het uitstel is de onhoudbare overheidsschuld van Oekraïne op dit moment en het politiek commitment dat Nederland heeft afgegeven Oekraïne te blijven steunen zolang als nodig is. Voorlopig zijn de betalingen verschoven naar het einde van de begrotingshorizon, maar hier zijn nog geen afspraken over bekend. Over eventuele kwijtschelding van (delen van) de lening moet op een later moment worden besloten.</w:t>
      </w:r>
    </w:p>
    <w:p w:rsidR="0084290D" w:rsidRDefault="0084290D" w14:paraId="4C5762C2" w14:textId="77777777">
      <w:pPr>
        <w:pStyle w:val="page-break"/>
      </w:pPr>
    </w:p>
    <w:p w:rsidR="0084290D" w:rsidRDefault="00CF5B93" w14:paraId="4F748A36" w14:textId="77777777">
      <w:pPr>
        <w:pStyle w:val="section-title-3"/>
      </w:pPr>
      <w:r>
        <w:t>Artikel 5 Exportkredietverzekeringen, -garanties en investeringsverzekeringen</w:t>
      </w:r>
    </w:p>
    <w:p w:rsidR="0084290D" w:rsidRDefault="00CF5B93" w14:paraId="44E71C5F"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398"/>
        <w:gridCol w:w="739"/>
        <w:gridCol w:w="720"/>
        <w:gridCol w:w="738"/>
        <w:gridCol w:w="719"/>
        <w:gridCol w:w="738"/>
        <w:gridCol w:w="719"/>
        <w:gridCol w:w="719"/>
        <w:gridCol w:w="719"/>
        <w:gridCol w:w="719"/>
        <w:gridCol w:w="738"/>
      </w:tblGrid>
      <w:tr w:rsidR="0084290D" w:rsidTr="007433BE" w14:paraId="18A66DBB" w14:textId="77777777">
        <w:trPr>
          <w:tblHeader/>
        </w:trPr>
        <w:tc>
          <w:tcPr>
            <w:tcW w:w="5000" w:type="pct"/>
            <w:gridSpan w:val="11"/>
            <w:tcMar>
              <w:top w:w="22" w:type="dxa"/>
              <w:left w:w="113" w:type="dxa"/>
              <w:bottom w:w="22" w:type="dxa"/>
            </w:tcMar>
          </w:tcPr>
          <w:p w:rsidR="0084290D" w:rsidRDefault="00CF5B93" w14:paraId="713851C9" w14:textId="77777777">
            <w:pPr>
              <w:pStyle w:val="kio2-table-title"/>
            </w:pPr>
            <w:r>
              <w:t>Tabel 19 Budgettaire gevolgen van beleid artikel 5 Exportkredietverzekeringen, -garanties en investeringsverzekeringen (bedragen x € 1.000)</w:t>
            </w:r>
          </w:p>
        </w:tc>
      </w:tr>
      <w:tr w:rsidR="0084290D" w:rsidTr="007433BE" w14:paraId="3C4ECFEC" w14:textId="77777777">
        <w:trPr>
          <w:tblHeader/>
        </w:trPr>
        <w:tc>
          <w:tcPr>
            <w:tcW w:w="1240" w:type="pct"/>
            <w:tcBorders>
              <w:top w:val="single" w:color="000000" w:sz="2" w:space="0"/>
              <w:bottom w:val="single" w:color="009EE0" w:sz="2" w:space="0"/>
            </w:tcBorders>
            <w:tcMar>
              <w:top w:w="28" w:type="dxa"/>
              <w:bottom w:w="28" w:type="dxa"/>
              <w:right w:w="28" w:type="dxa"/>
            </w:tcMar>
          </w:tcPr>
          <w:p w:rsidRPr="006F2FC4" w:rsidR="0084290D" w:rsidRDefault="00CF5B93" w14:paraId="43CC4D04" w14:textId="77777777">
            <w:pPr>
              <w:pStyle w:val="p-table"/>
              <w:rPr>
                <w:color w:val="000000"/>
                <w:sz w:val="13"/>
                <w:szCs w:val="13"/>
              </w:rPr>
            </w:pPr>
            <w:r w:rsidRPr="006F2FC4">
              <w:rPr>
                <w:color w:val="000000"/>
                <w:sz w:val="13"/>
                <w:szCs w:val="13"/>
              </w:rPr>
              <w:t>Omschrijving</w:t>
            </w:r>
          </w:p>
        </w:tc>
        <w:tc>
          <w:tcPr>
            <w:tcW w:w="38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FB36122" w14:textId="77777777">
            <w:pPr>
              <w:pStyle w:val="p-table"/>
              <w:jc w:val="right"/>
              <w:rPr>
                <w:color w:val="000000"/>
                <w:sz w:val="13"/>
                <w:szCs w:val="13"/>
              </w:rPr>
            </w:pPr>
            <w:r w:rsidRPr="006F2FC4">
              <w:rPr>
                <w:color w:val="000000"/>
                <w:sz w:val="13"/>
                <w:szCs w:val="13"/>
              </w:rPr>
              <w:t>Ontwerpbegroting 2026 (1)</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FA1FE2F" w14:textId="77777777">
            <w:pPr>
              <w:pStyle w:val="p-table"/>
              <w:jc w:val="right"/>
              <w:rPr>
                <w:color w:val="000000"/>
                <w:sz w:val="13"/>
                <w:szCs w:val="13"/>
              </w:rPr>
            </w:pPr>
            <w:r w:rsidRPr="006F2FC4">
              <w:rPr>
                <w:color w:val="000000"/>
                <w:sz w:val="13"/>
                <w:szCs w:val="13"/>
              </w:rPr>
              <w:t>Mutaties via NvW, moties, amendementen en ISB (2)</w:t>
            </w:r>
          </w:p>
        </w:tc>
        <w:tc>
          <w:tcPr>
            <w:tcW w:w="38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4A1510E" w14:textId="77777777">
            <w:pPr>
              <w:pStyle w:val="p-table"/>
              <w:jc w:val="right"/>
              <w:rPr>
                <w:color w:val="000000"/>
                <w:sz w:val="13"/>
                <w:szCs w:val="13"/>
              </w:rPr>
            </w:pPr>
            <w:r w:rsidRPr="006F2FC4">
              <w:rPr>
                <w:color w:val="000000"/>
                <w:sz w:val="13"/>
                <w:szCs w:val="13"/>
              </w:rPr>
              <w:t>Vastgestelde begroting 2026 (3)=(1)+(2)</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BAF42DB"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8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DA48AF2"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C735961" w14:textId="77777777">
            <w:pPr>
              <w:pStyle w:val="p-table"/>
              <w:jc w:val="right"/>
              <w:rPr>
                <w:color w:val="000000"/>
                <w:sz w:val="13"/>
                <w:szCs w:val="13"/>
              </w:rPr>
            </w:pPr>
            <w:r w:rsidRPr="006F2FC4">
              <w:rPr>
                <w:color w:val="000000"/>
                <w:sz w:val="13"/>
                <w:szCs w:val="13"/>
              </w:rPr>
              <w:t>Mutatie 2027</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038B4A1" w14:textId="77777777">
            <w:pPr>
              <w:pStyle w:val="p-table"/>
              <w:jc w:val="right"/>
              <w:rPr>
                <w:color w:val="000000"/>
                <w:sz w:val="13"/>
                <w:szCs w:val="13"/>
              </w:rPr>
            </w:pPr>
            <w:r w:rsidRPr="006F2FC4">
              <w:rPr>
                <w:color w:val="000000"/>
                <w:sz w:val="13"/>
                <w:szCs w:val="13"/>
              </w:rPr>
              <w:t>Mutatie 2028</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A766EE2" w14:textId="77777777">
            <w:pPr>
              <w:pStyle w:val="p-table"/>
              <w:jc w:val="right"/>
              <w:rPr>
                <w:color w:val="000000"/>
                <w:sz w:val="13"/>
                <w:szCs w:val="13"/>
              </w:rPr>
            </w:pPr>
            <w:r w:rsidRPr="006F2FC4">
              <w:rPr>
                <w:color w:val="000000"/>
                <w:sz w:val="13"/>
                <w:szCs w:val="13"/>
              </w:rPr>
              <w:t>Mutatie 2029</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C88D19C" w14:textId="77777777">
            <w:pPr>
              <w:pStyle w:val="p-table"/>
              <w:jc w:val="right"/>
              <w:rPr>
                <w:color w:val="000000"/>
                <w:sz w:val="13"/>
                <w:szCs w:val="13"/>
              </w:rPr>
            </w:pPr>
            <w:r w:rsidRPr="006F2FC4">
              <w:rPr>
                <w:color w:val="000000"/>
                <w:sz w:val="13"/>
                <w:szCs w:val="13"/>
              </w:rPr>
              <w:t>Mutatie 2030</w:t>
            </w:r>
          </w:p>
        </w:tc>
        <w:tc>
          <w:tcPr>
            <w:tcW w:w="38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7DE0ABE" w14:textId="77777777">
            <w:pPr>
              <w:pStyle w:val="p-table"/>
              <w:jc w:val="right"/>
              <w:rPr>
                <w:color w:val="000000"/>
                <w:sz w:val="13"/>
                <w:szCs w:val="13"/>
              </w:rPr>
            </w:pPr>
            <w:r w:rsidRPr="006F2FC4">
              <w:rPr>
                <w:color w:val="000000"/>
                <w:sz w:val="13"/>
                <w:szCs w:val="13"/>
              </w:rPr>
              <w:t>Mutatie 2031</w:t>
            </w:r>
          </w:p>
        </w:tc>
      </w:tr>
      <w:tr w:rsidR="0084290D" w:rsidTr="007433BE" w14:paraId="073537F5" w14:textId="77777777">
        <w:tc>
          <w:tcPr>
            <w:tcW w:w="4618" w:type="pct"/>
            <w:gridSpan w:val="10"/>
            <w:tcBorders>
              <w:bottom w:val="single" w:color="009EE0" w:sz="2" w:space="0"/>
            </w:tcBorders>
            <w:tcMar>
              <w:top w:w="22" w:type="dxa"/>
              <w:bottom w:w="22" w:type="dxa"/>
              <w:right w:w="28" w:type="dxa"/>
            </w:tcMar>
          </w:tcPr>
          <w:p w:rsidRPr="006F2FC4" w:rsidR="0084290D" w:rsidRDefault="0084290D" w14:paraId="368B73B7"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1EE30B4C" w14:textId="77777777">
            <w:pPr>
              <w:pStyle w:val="p-table"/>
              <w:rPr>
                <w:sz w:val="13"/>
                <w:szCs w:val="13"/>
              </w:rPr>
            </w:pPr>
          </w:p>
        </w:tc>
      </w:tr>
      <w:tr w:rsidR="0084290D" w:rsidTr="007433BE" w14:paraId="66B80685" w14:textId="77777777">
        <w:tc>
          <w:tcPr>
            <w:tcW w:w="1240" w:type="pct"/>
            <w:tcBorders>
              <w:bottom w:val="single" w:color="009EE0" w:sz="2" w:space="0"/>
            </w:tcBorders>
            <w:tcMar>
              <w:top w:w="22" w:type="dxa"/>
              <w:bottom w:w="22" w:type="dxa"/>
              <w:right w:w="28" w:type="dxa"/>
            </w:tcMar>
          </w:tcPr>
          <w:p w:rsidRPr="006F2FC4" w:rsidR="0084290D" w:rsidRDefault="00CF5B93" w14:paraId="1FB06136" w14:textId="77777777">
            <w:pPr>
              <w:pStyle w:val="p-table"/>
              <w:rPr>
                <w:sz w:val="13"/>
                <w:szCs w:val="13"/>
              </w:rPr>
            </w:pPr>
            <w:r w:rsidRPr="006F2FC4">
              <w:rPr>
                <w:b/>
                <w:sz w:val="13"/>
                <w:szCs w:val="13"/>
              </w:rPr>
              <w:t>Verplichtingen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4C8E18BA" w14:textId="77777777">
            <w:pPr>
              <w:pStyle w:val="p-table"/>
              <w:jc w:val="right"/>
              <w:rPr>
                <w:sz w:val="13"/>
                <w:szCs w:val="13"/>
              </w:rPr>
            </w:pPr>
            <w:r w:rsidRPr="006F2FC4">
              <w:rPr>
                <w:b/>
                <w:sz w:val="13"/>
                <w:szCs w:val="13"/>
              </w:rPr>
              <w:t>10.096.016</w:t>
            </w:r>
          </w:p>
        </w:tc>
        <w:tc>
          <w:tcPr>
            <w:tcW w:w="372" w:type="pct"/>
            <w:tcBorders>
              <w:bottom w:val="single" w:color="009EE0" w:sz="2" w:space="0"/>
            </w:tcBorders>
            <w:tcMar>
              <w:top w:w="22" w:type="dxa"/>
              <w:left w:w="28" w:type="dxa"/>
              <w:bottom w:w="22" w:type="dxa"/>
              <w:right w:w="28" w:type="dxa"/>
            </w:tcMar>
          </w:tcPr>
          <w:p w:rsidRPr="006F2FC4" w:rsidR="0084290D" w:rsidRDefault="00CF5B93" w14:paraId="025775AF"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04A7371" w14:textId="77777777">
            <w:pPr>
              <w:pStyle w:val="p-table"/>
              <w:jc w:val="right"/>
              <w:rPr>
                <w:sz w:val="13"/>
                <w:szCs w:val="13"/>
              </w:rPr>
            </w:pPr>
            <w:r w:rsidRPr="006F2FC4">
              <w:rPr>
                <w:b/>
                <w:sz w:val="13"/>
                <w:szCs w:val="13"/>
              </w:rPr>
              <w:t>10.096.016</w:t>
            </w:r>
          </w:p>
        </w:tc>
        <w:tc>
          <w:tcPr>
            <w:tcW w:w="372" w:type="pct"/>
            <w:tcBorders>
              <w:bottom w:val="single" w:color="009EE0" w:sz="2" w:space="0"/>
            </w:tcBorders>
            <w:tcMar>
              <w:top w:w="22" w:type="dxa"/>
              <w:left w:w="28" w:type="dxa"/>
              <w:bottom w:w="22" w:type="dxa"/>
              <w:right w:w="28" w:type="dxa"/>
            </w:tcMar>
          </w:tcPr>
          <w:p w:rsidRPr="006F2FC4" w:rsidR="0084290D" w:rsidRDefault="00CF5B93" w14:paraId="733BB115" w14:textId="77777777">
            <w:pPr>
              <w:pStyle w:val="p-table"/>
              <w:jc w:val="right"/>
              <w:rPr>
                <w:sz w:val="13"/>
                <w:szCs w:val="13"/>
              </w:rPr>
            </w:pPr>
            <w:r w:rsidRPr="006F2FC4">
              <w:rPr>
                <w:b/>
                <w:sz w:val="13"/>
                <w:szCs w:val="13"/>
              </w:rPr>
              <w:t>4.471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54056D49" w14:textId="77777777">
            <w:pPr>
              <w:pStyle w:val="p-table"/>
              <w:jc w:val="right"/>
              <w:rPr>
                <w:sz w:val="13"/>
                <w:szCs w:val="13"/>
              </w:rPr>
            </w:pPr>
            <w:r w:rsidRPr="006F2FC4">
              <w:rPr>
                <w:b/>
                <w:sz w:val="13"/>
                <w:szCs w:val="13"/>
              </w:rPr>
              <w:t>10.100.487</w:t>
            </w:r>
          </w:p>
        </w:tc>
        <w:tc>
          <w:tcPr>
            <w:tcW w:w="372" w:type="pct"/>
            <w:tcBorders>
              <w:bottom w:val="single" w:color="009EE0" w:sz="2" w:space="0"/>
            </w:tcBorders>
            <w:tcMar>
              <w:top w:w="22" w:type="dxa"/>
              <w:left w:w="28" w:type="dxa"/>
              <w:bottom w:w="22" w:type="dxa"/>
              <w:right w:w="28" w:type="dxa"/>
            </w:tcMar>
          </w:tcPr>
          <w:p w:rsidRPr="006F2FC4" w:rsidR="0084290D" w:rsidRDefault="00CF5B93" w14:paraId="6F3E70B1" w14:textId="77777777">
            <w:pPr>
              <w:pStyle w:val="p-table"/>
              <w:jc w:val="right"/>
              <w:rPr>
                <w:sz w:val="13"/>
                <w:szCs w:val="13"/>
              </w:rPr>
            </w:pPr>
            <w:r w:rsidRPr="006F2FC4">
              <w:rPr>
                <w:b/>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9763B13"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7C51CA5"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FE8D07D" w14:textId="77777777">
            <w:pPr>
              <w:pStyle w:val="p-table"/>
              <w:jc w:val="right"/>
              <w:rPr>
                <w:sz w:val="13"/>
                <w:szCs w:val="13"/>
              </w:rPr>
            </w:pPr>
            <w:r w:rsidRPr="006F2FC4">
              <w:rPr>
                <w:b/>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193307D" w14:textId="77777777">
            <w:pPr>
              <w:pStyle w:val="p-table"/>
              <w:jc w:val="right"/>
              <w:rPr>
                <w:sz w:val="13"/>
                <w:szCs w:val="13"/>
              </w:rPr>
            </w:pPr>
            <w:r w:rsidRPr="006F2FC4">
              <w:rPr>
                <w:b/>
                <w:sz w:val="13"/>
                <w:szCs w:val="13"/>
              </w:rPr>
              <w:t>10.097.397</w:t>
            </w:r>
          </w:p>
        </w:tc>
      </w:tr>
      <w:tr w:rsidR="0084290D" w:rsidTr="007433BE" w14:paraId="726B9728" w14:textId="77777777">
        <w:tc>
          <w:tcPr>
            <w:tcW w:w="1240" w:type="pct"/>
            <w:tcMar>
              <w:top w:w="22" w:type="dxa"/>
              <w:bottom w:w="22" w:type="dxa"/>
              <w:right w:w="28" w:type="dxa"/>
            </w:tcMar>
          </w:tcPr>
          <w:p w:rsidRPr="006F2FC4" w:rsidR="0084290D" w:rsidRDefault="0084290D" w14:paraId="3CDF17B9"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559DF444"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27B0A94D"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3F5BA53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39DE42AA"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1EB04E20"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6CB1D75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7D9F543C"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646F7902"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23821B45"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515CDBDD" w14:textId="77777777">
            <w:pPr>
              <w:pStyle w:val="p-table"/>
              <w:rPr>
                <w:sz w:val="13"/>
                <w:szCs w:val="13"/>
              </w:rPr>
            </w:pPr>
          </w:p>
        </w:tc>
      </w:tr>
      <w:tr w:rsidR="0084290D" w:rsidTr="007433BE" w14:paraId="52832900" w14:textId="77777777">
        <w:tc>
          <w:tcPr>
            <w:tcW w:w="1240" w:type="pct"/>
            <w:tcBorders>
              <w:bottom w:val="single" w:color="009EE0" w:sz="2" w:space="0"/>
            </w:tcBorders>
            <w:tcMar>
              <w:top w:w="22" w:type="dxa"/>
              <w:bottom w:w="22" w:type="dxa"/>
              <w:right w:w="28" w:type="dxa"/>
            </w:tcMar>
          </w:tcPr>
          <w:p w:rsidRPr="006F2FC4" w:rsidR="0084290D" w:rsidRDefault="00CF5B93" w14:paraId="2492CCA0" w14:textId="77777777">
            <w:pPr>
              <w:pStyle w:val="p-table"/>
              <w:rPr>
                <w:sz w:val="13"/>
                <w:szCs w:val="13"/>
              </w:rPr>
            </w:pPr>
            <w:r w:rsidRPr="006F2FC4">
              <w:rPr>
                <w:b/>
                <w:sz w:val="13"/>
                <w:szCs w:val="13"/>
              </w:rPr>
              <w:t>Uitgaven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2EC0C99A" w14:textId="77777777">
            <w:pPr>
              <w:pStyle w:val="p-table"/>
              <w:jc w:val="right"/>
              <w:rPr>
                <w:sz w:val="13"/>
                <w:szCs w:val="13"/>
              </w:rPr>
            </w:pPr>
            <w:r w:rsidRPr="006F2FC4">
              <w:rPr>
                <w:b/>
                <w:sz w:val="13"/>
                <w:szCs w:val="13"/>
              </w:rPr>
              <w:t>173.516</w:t>
            </w:r>
          </w:p>
        </w:tc>
        <w:tc>
          <w:tcPr>
            <w:tcW w:w="372" w:type="pct"/>
            <w:tcBorders>
              <w:bottom w:val="single" w:color="009EE0" w:sz="2" w:space="0"/>
            </w:tcBorders>
            <w:tcMar>
              <w:top w:w="22" w:type="dxa"/>
              <w:left w:w="28" w:type="dxa"/>
              <w:bottom w:w="22" w:type="dxa"/>
              <w:right w:w="28" w:type="dxa"/>
            </w:tcMar>
          </w:tcPr>
          <w:p w:rsidRPr="006F2FC4" w:rsidR="0084290D" w:rsidRDefault="00CF5B93" w14:paraId="3502EA9E"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BEF88CA" w14:textId="77777777">
            <w:pPr>
              <w:pStyle w:val="p-table"/>
              <w:jc w:val="right"/>
              <w:rPr>
                <w:sz w:val="13"/>
                <w:szCs w:val="13"/>
              </w:rPr>
            </w:pPr>
            <w:r w:rsidRPr="006F2FC4">
              <w:rPr>
                <w:b/>
                <w:sz w:val="13"/>
                <w:szCs w:val="13"/>
              </w:rPr>
              <w:t>173.516</w:t>
            </w:r>
          </w:p>
        </w:tc>
        <w:tc>
          <w:tcPr>
            <w:tcW w:w="372" w:type="pct"/>
            <w:tcBorders>
              <w:bottom w:val="single" w:color="009EE0" w:sz="2" w:space="0"/>
            </w:tcBorders>
            <w:tcMar>
              <w:top w:w="22" w:type="dxa"/>
              <w:left w:w="28" w:type="dxa"/>
              <w:bottom w:w="22" w:type="dxa"/>
              <w:right w:w="28" w:type="dxa"/>
            </w:tcMar>
          </w:tcPr>
          <w:p w:rsidRPr="006F2FC4" w:rsidR="0084290D" w:rsidRDefault="00CF5B93" w14:paraId="3F5F7B9C" w14:textId="77777777">
            <w:pPr>
              <w:pStyle w:val="p-table"/>
              <w:jc w:val="right"/>
              <w:rPr>
                <w:sz w:val="13"/>
                <w:szCs w:val="13"/>
              </w:rPr>
            </w:pPr>
            <w:r w:rsidRPr="006F2FC4">
              <w:rPr>
                <w:b/>
                <w:sz w:val="13"/>
                <w:szCs w:val="13"/>
              </w:rPr>
              <w:t>42.971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4D15DB6D" w14:textId="77777777">
            <w:pPr>
              <w:pStyle w:val="p-table"/>
              <w:jc w:val="right"/>
              <w:rPr>
                <w:sz w:val="13"/>
                <w:szCs w:val="13"/>
              </w:rPr>
            </w:pPr>
            <w:r w:rsidRPr="006F2FC4">
              <w:rPr>
                <w:b/>
                <w:sz w:val="13"/>
                <w:szCs w:val="13"/>
              </w:rPr>
              <w:t>216.487</w:t>
            </w:r>
          </w:p>
        </w:tc>
        <w:tc>
          <w:tcPr>
            <w:tcW w:w="372" w:type="pct"/>
            <w:tcBorders>
              <w:bottom w:val="single" w:color="009EE0" w:sz="2" w:space="0"/>
            </w:tcBorders>
            <w:tcMar>
              <w:top w:w="22" w:type="dxa"/>
              <w:left w:w="28" w:type="dxa"/>
              <w:bottom w:w="22" w:type="dxa"/>
              <w:right w:w="28" w:type="dxa"/>
            </w:tcMar>
          </w:tcPr>
          <w:p w:rsidRPr="006F2FC4" w:rsidR="0084290D" w:rsidRDefault="00CF5B93" w14:paraId="5A8FB093" w14:textId="77777777">
            <w:pPr>
              <w:pStyle w:val="p-table"/>
              <w:jc w:val="right"/>
              <w:rPr>
                <w:sz w:val="13"/>
                <w:szCs w:val="13"/>
              </w:rPr>
            </w:pPr>
            <w:r w:rsidRPr="006F2FC4">
              <w:rPr>
                <w:b/>
                <w:sz w:val="13"/>
                <w:szCs w:val="13"/>
              </w:rPr>
              <w:t>46.830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575D849" w14:textId="77777777">
            <w:pPr>
              <w:pStyle w:val="p-table"/>
              <w:jc w:val="right"/>
              <w:rPr>
                <w:sz w:val="13"/>
                <w:szCs w:val="13"/>
              </w:rPr>
            </w:pPr>
            <w:r w:rsidRPr="006F2FC4">
              <w:rPr>
                <w:b/>
                <w:sz w:val="13"/>
                <w:szCs w:val="13"/>
              </w:rPr>
              <w:t>15.570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4F73D0A" w14:textId="77777777">
            <w:pPr>
              <w:pStyle w:val="p-table"/>
              <w:jc w:val="right"/>
              <w:rPr>
                <w:sz w:val="13"/>
                <w:szCs w:val="13"/>
              </w:rPr>
            </w:pPr>
            <w:r w:rsidRPr="006F2FC4">
              <w:rPr>
                <w:b/>
                <w:sz w:val="13"/>
                <w:szCs w:val="13"/>
              </w:rPr>
              <w:t>6.570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BED7E47" w14:textId="77777777">
            <w:pPr>
              <w:pStyle w:val="p-table"/>
              <w:jc w:val="right"/>
              <w:rPr>
                <w:sz w:val="13"/>
                <w:szCs w:val="13"/>
              </w:rPr>
            </w:pPr>
            <w:r w:rsidRPr="006F2FC4">
              <w:rPr>
                <w:b/>
                <w:sz w:val="13"/>
                <w:szCs w:val="13"/>
              </w:rPr>
              <w:t>‒ 5.430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11234E0" w14:textId="77777777">
            <w:pPr>
              <w:pStyle w:val="p-table"/>
              <w:jc w:val="right"/>
              <w:rPr>
                <w:sz w:val="13"/>
                <w:szCs w:val="13"/>
              </w:rPr>
            </w:pPr>
            <w:r w:rsidRPr="006F2FC4">
              <w:rPr>
                <w:b/>
                <w:sz w:val="13"/>
                <w:szCs w:val="13"/>
              </w:rPr>
              <w:t>167.397</w:t>
            </w:r>
          </w:p>
        </w:tc>
      </w:tr>
      <w:tr w:rsidR="0084290D" w:rsidTr="007433BE" w14:paraId="7CDDA2DA" w14:textId="77777777">
        <w:tc>
          <w:tcPr>
            <w:tcW w:w="1240" w:type="pct"/>
            <w:tcMar>
              <w:top w:w="22" w:type="dxa"/>
              <w:bottom w:w="22" w:type="dxa"/>
              <w:right w:w="28" w:type="dxa"/>
            </w:tcMar>
          </w:tcPr>
          <w:p w:rsidRPr="006F2FC4" w:rsidR="0084290D" w:rsidRDefault="0084290D" w14:paraId="0CC8C49D"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0D2B65D3"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54EDF843"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485A0D6A"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41C164A3"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333EA5D8"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56D2724"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4783311F"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F005013"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1A0CAC44"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73396B7E" w14:textId="77777777">
            <w:pPr>
              <w:pStyle w:val="p-table"/>
              <w:rPr>
                <w:sz w:val="13"/>
                <w:szCs w:val="13"/>
              </w:rPr>
            </w:pPr>
          </w:p>
        </w:tc>
      </w:tr>
      <w:tr w:rsidR="0084290D" w:rsidTr="007433BE" w14:paraId="740064C0" w14:textId="77777777">
        <w:tc>
          <w:tcPr>
            <w:tcW w:w="1240" w:type="pct"/>
            <w:tcBorders>
              <w:bottom w:val="single" w:color="009EE0" w:sz="2" w:space="0"/>
            </w:tcBorders>
            <w:tcMar>
              <w:top w:w="22" w:type="dxa"/>
              <w:bottom w:w="22" w:type="dxa"/>
              <w:right w:w="28" w:type="dxa"/>
            </w:tcMar>
          </w:tcPr>
          <w:p w:rsidRPr="006F2FC4" w:rsidR="0084290D" w:rsidRDefault="00CF5B93" w14:paraId="5DBD7C8E" w14:textId="77777777">
            <w:pPr>
              <w:pStyle w:val="p-table"/>
              <w:rPr>
                <w:sz w:val="13"/>
                <w:szCs w:val="13"/>
              </w:rPr>
            </w:pPr>
            <w:r w:rsidRPr="006F2FC4">
              <w:rPr>
                <w:b/>
                <w:sz w:val="13"/>
                <w:szCs w:val="13"/>
              </w:rPr>
              <w:t>Opdrachten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49603B10" w14:textId="77777777">
            <w:pPr>
              <w:pStyle w:val="p-table"/>
              <w:jc w:val="right"/>
              <w:rPr>
                <w:sz w:val="13"/>
                <w:szCs w:val="13"/>
              </w:rPr>
            </w:pPr>
            <w:r w:rsidRPr="006F2FC4">
              <w:rPr>
                <w:b/>
                <w:sz w:val="13"/>
                <w:szCs w:val="13"/>
              </w:rPr>
              <w:t>20.732</w:t>
            </w:r>
          </w:p>
        </w:tc>
        <w:tc>
          <w:tcPr>
            <w:tcW w:w="372" w:type="pct"/>
            <w:tcBorders>
              <w:bottom w:val="single" w:color="009EE0" w:sz="2" w:space="0"/>
            </w:tcBorders>
            <w:tcMar>
              <w:top w:w="22" w:type="dxa"/>
              <w:left w:w="28" w:type="dxa"/>
              <w:bottom w:w="22" w:type="dxa"/>
              <w:right w:w="28" w:type="dxa"/>
            </w:tcMar>
          </w:tcPr>
          <w:p w:rsidRPr="006F2FC4" w:rsidR="0084290D" w:rsidRDefault="00CF5B93" w14:paraId="0BC6A8BC"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F43F88E" w14:textId="77777777">
            <w:pPr>
              <w:pStyle w:val="p-table"/>
              <w:jc w:val="right"/>
              <w:rPr>
                <w:sz w:val="13"/>
                <w:szCs w:val="13"/>
              </w:rPr>
            </w:pPr>
            <w:r w:rsidRPr="006F2FC4">
              <w:rPr>
                <w:b/>
                <w:sz w:val="13"/>
                <w:szCs w:val="13"/>
              </w:rPr>
              <w:t>20.732</w:t>
            </w:r>
          </w:p>
        </w:tc>
        <w:tc>
          <w:tcPr>
            <w:tcW w:w="372" w:type="pct"/>
            <w:tcBorders>
              <w:bottom w:val="single" w:color="009EE0" w:sz="2" w:space="0"/>
            </w:tcBorders>
            <w:tcMar>
              <w:top w:w="22" w:type="dxa"/>
              <w:left w:w="28" w:type="dxa"/>
              <w:bottom w:w="22" w:type="dxa"/>
              <w:right w:w="28" w:type="dxa"/>
            </w:tcMar>
          </w:tcPr>
          <w:p w:rsidRPr="006F2FC4" w:rsidR="0084290D" w:rsidRDefault="00CF5B93" w14:paraId="4DA34BA2" w14:textId="77777777">
            <w:pPr>
              <w:pStyle w:val="p-table"/>
              <w:jc w:val="right"/>
              <w:rPr>
                <w:sz w:val="13"/>
                <w:szCs w:val="13"/>
              </w:rPr>
            </w:pPr>
            <w:r w:rsidRPr="006F2FC4">
              <w:rPr>
                <w:b/>
                <w:sz w:val="13"/>
                <w:szCs w:val="13"/>
              </w:rPr>
              <w:t>2.621</w:t>
            </w:r>
          </w:p>
        </w:tc>
        <w:tc>
          <w:tcPr>
            <w:tcW w:w="382" w:type="pct"/>
            <w:tcBorders>
              <w:bottom w:val="single" w:color="009EE0" w:sz="2" w:space="0"/>
            </w:tcBorders>
            <w:tcMar>
              <w:top w:w="22" w:type="dxa"/>
              <w:left w:w="28" w:type="dxa"/>
              <w:bottom w:w="22" w:type="dxa"/>
              <w:right w:w="28" w:type="dxa"/>
            </w:tcMar>
          </w:tcPr>
          <w:p w:rsidRPr="006F2FC4" w:rsidR="0084290D" w:rsidRDefault="00CF5B93" w14:paraId="0C995CD9" w14:textId="77777777">
            <w:pPr>
              <w:pStyle w:val="p-table"/>
              <w:jc w:val="right"/>
              <w:rPr>
                <w:sz w:val="13"/>
                <w:szCs w:val="13"/>
              </w:rPr>
            </w:pPr>
            <w:r w:rsidRPr="006F2FC4">
              <w:rPr>
                <w:b/>
                <w:sz w:val="13"/>
                <w:szCs w:val="13"/>
              </w:rPr>
              <w:t>23.353</w:t>
            </w:r>
          </w:p>
        </w:tc>
        <w:tc>
          <w:tcPr>
            <w:tcW w:w="372" w:type="pct"/>
            <w:tcBorders>
              <w:bottom w:val="single" w:color="009EE0" w:sz="2" w:space="0"/>
            </w:tcBorders>
            <w:tcMar>
              <w:top w:w="22" w:type="dxa"/>
              <w:left w:w="28" w:type="dxa"/>
              <w:bottom w:w="22" w:type="dxa"/>
              <w:right w:w="28" w:type="dxa"/>
            </w:tcMar>
          </w:tcPr>
          <w:p w:rsidRPr="006F2FC4" w:rsidR="0084290D" w:rsidRDefault="00CF5B93" w14:paraId="728B9FE2" w14:textId="77777777">
            <w:pPr>
              <w:pStyle w:val="p-table"/>
              <w:jc w:val="right"/>
              <w:rPr>
                <w:sz w:val="13"/>
                <w:szCs w:val="13"/>
              </w:rPr>
            </w:pPr>
            <w:r w:rsidRPr="006F2FC4">
              <w:rPr>
                <w:b/>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181A400"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57D7A6E"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9CE8D21" w14:textId="77777777">
            <w:pPr>
              <w:pStyle w:val="p-table"/>
              <w:jc w:val="right"/>
              <w:rPr>
                <w:sz w:val="13"/>
                <w:szCs w:val="13"/>
              </w:rPr>
            </w:pPr>
            <w:r w:rsidRPr="006F2FC4">
              <w:rPr>
                <w:b/>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408E32F" w14:textId="77777777">
            <w:pPr>
              <w:pStyle w:val="p-table"/>
              <w:jc w:val="right"/>
              <w:rPr>
                <w:sz w:val="13"/>
                <w:szCs w:val="13"/>
              </w:rPr>
            </w:pPr>
            <w:r w:rsidRPr="006F2FC4">
              <w:rPr>
                <w:b/>
                <w:sz w:val="13"/>
                <w:szCs w:val="13"/>
              </w:rPr>
              <w:t>22.103</w:t>
            </w:r>
          </w:p>
        </w:tc>
      </w:tr>
      <w:tr w:rsidR="0084290D" w:rsidTr="007433BE" w14:paraId="3D3090E7" w14:textId="77777777">
        <w:tc>
          <w:tcPr>
            <w:tcW w:w="1240" w:type="pct"/>
            <w:tcBorders>
              <w:bottom w:val="single" w:color="009EE0" w:sz="2" w:space="0"/>
            </w:tcBorders>
            <w:tcMar>
              <w:top w:w="22" w:type="dxa"/>
              <w:bottom w:w="22" w:type="dxa"/>
              <w:right w:w="28" w:type="dxa"/>
            </w:tcMar>
          </w:tcPr>
          <w:p w:rsidRPr="006F2FC4" w:rsidR="0084290D" w:rsidRDefault="00CF5B93" w14:paraId="4E26226B" w14:textId="77777777">
            <w:pPr>
              <w:pStyle w:val="p-table"/>
              <w:rPr>
                <w:sz w:val="13"/>
                <w:szCs w:val="13"/>
              </w:rPr>
            </w:pPr>
            <w:r w:rsidRPr="006F2FC4">
              <w:rPr>
                <w:sz w:val="13"/>
                <w:szCs w:val="13"/>
              </w:rPr>
              <w:t>Kostenvergoeding Atradius DSB</w:t>
            </w:r>
          </w:p>
        </w:tc>
        <w:tc>
          <w:tcPr>
            <w:tcW w:w="382" w:type="pct"/>
            <w:tcBorders>
              <w:bottom w:val="single" w:color="009EE0" w:sz="2" w:space="0"/>
            </w:tcBorders>
            <w:tcMar>
              <w:top w:w="22" w:type="dxa"/>
              <w:left w:w="28" w:type="dxa"/>
              <w:bottom w:w="22" w:type="dxa"/>
              <w:right w:w="28" w:type="dxa"/>
            </w:tcMar>
          </w:tcPr>
          <w:p w:rsidRPr="006F2FC4" w:rsidR="0084290D" w:rsidRDefault="00CF5B93" w14:paraId="280348B3" w14:textId="77777777">
            <w:pPr>
              <w:pStyle w:val="p-table"/>
              <w:jc w:val="right"/>
              <w:rPr>
                <w:sz w:val="13"/>
                <w:szCs w:val="13"/>
              </w:rPr>
            </w:pPr>
            <w:r w:rsidRPr="006F2FC4">
              <w:rPr>
                <w:sz w:val="13"/>
                <w:szCs w:val="13"/>
              </w:rPr>
              <w:t>20.629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2108CF19"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9FDC447" w14:textId="77777777">
            <w:pPr>
              <w:pStyle w:val="p-table"/>
              <w:jc w:val="right"/>
              <w:rPr>
                <w:sz w:val="13"/>
                <w:szCs w:val="13"/>
              </w:rPr>
            </w:pPr>
            <w:r w:rsidRPr="006F2FC4">
              <w:rPr>
                <w:sz w:val="13"/>
                <w:szCs w:val="13"/>
              </w:rPr>
              <w:t>20.629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475FBB99" w14:textId="77777777">
            <w:pPr>
              <w:pStyle w:val="p-table"/>
              <w:jc w:val="right"/>
              <w:rPr>
                <w:sz w:val="13"/>
                <w:szCs w:val="13"/>
              </w:rPr>
            </w:pPr>
            <w:r w:rsidRPr="006F2FC4">
              <w:rPr>
                <w:sz w:val="13"/>
                <w:szCs w:val="13"/>
              </w:rPr>
              <w:t>2.271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3EACB453" w14:textId="77777777">
            <w:pPr>
              <w:pStyle w:val="p-table"/>
              <w:jc w:val="right"/>
              <w:rPr>
                <w:sz w:val="13"/>
                <w:szCs w:val="13"/>
              </w:rPr>
            </w:pPr>
            <w:r w:rsidRPr="006F2FC4">
              <w:rPr>
                <w:sz w:val="13"/>
                <w:szCs w:val="13"/>
              </w:rPr>
              <w:t>22.900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28EA288" w14:textId="77777777">
            <w:pPr>
              <w:pStyle w:val="p-table"/>
              <w:jc w:val="right"/>
              <w:rPr>
                <w:sz w:val="13"/>
                <w:szCs w:val="13"/>
              </w:rPr>
            </w:pPr>
            <w:r w:rsidRPr="006F2FC4">
              <w:rPr>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4FDEEBC" w14:textId="77777777">
            <w:pPr>
              <w:pStyle w:val="p-table"/>
              <w:jc w:val="right"/>
              <w:rPr>
                <w:sz w:val="13"/>
                <w:szCs w:val="13"/>
              </w:rPr>
            </w:pPr>
            <w:r w:rsidRPr="006F2FC4">
              <w:rPr>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CBC660A" w14:textId="77777777">
            <w:pPr>
              <w:pStyle w:val="p-table"/>
              <w:jc w:val="right"/>
              <w:rPr>
                <w:sz w:val="13"/>
                <w:szCs w:val="13"/>
              </w:rPr>
            </w:pPr>
            <w:r w:rsidRPr="006F2FC4">
              <w:rPr>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2A3398B" w14:textId="77777777">
            <w:pPr>
              <w:pStyle w:val="p-table"/>
              <w:jc w:val="right"/>
              <w:rPr>
                <w:sz w:val="13"/>
                <w:szCs w:val="13"/>
              </w:rPr>
            </w:pPr>
            <w:r w:rsidRPr="006F2FC4">
              <w:rPr>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AE34DE8" w14:textId="77777777">
            <w:pPr>
              <w:pStyle w:val="p-table"/>
              <w:jc w:val="right"/>
              <w:rPr>
                <w:sz w:val="13"/>
                <w:szCs w:val="13"/>
              </w:rPr>
            </w:pPr>
            <w:r w:rsidRPr="006F2FC4">
              <w:rPr>
                <w:sz w:val="13"/>
                <w:szCs w:val="13"/>
              </w:rPr>
              <w:t>22.000</w:t>
            </w:r>
          </w:p>
        </w:tc>
      </w:tr>
      <w:tr w:rsidR="0084290D" w:rsidTr="007433BE" w14:paraId="40BACCCE" w14:textId="77777777">
        <w:tc>
          <w:tcPr>
            <w:tcW w:w="1240" w:type="pct"/>
            <w:tcBorders>
              <w:bottom w:val="single" w:color="009EE0" w:sz="2" w:space="0"/>
            </w:tcBorders>
            <w:tcMar>
              <w:top w:w="22" w:type="dxa"/>
              <w:bottom w:w="22" w:type="dxa"/>
              <w:right w:w="28" w:type="dxa"/>
            </w:tcMar>
          </w:tcPr>
          <w:p w:rsidRPr="006F2FC4" w:rsidR="0084290D" w:rsidRDefault="00CF5B93" w14:paraId="0B33BCAC" w14:textId="77777777">
            <w:pPr>
              <w:pStyle w:val="p-table"/>
              <w:rPr>
                <w:sz w:val="13"/>
                <w:szCs w:val="13"/>
              </w:rPr>
            </w:pPr>
            <w:r w:rsidRPr="006F2FC4">
              <w:rPr>
                <w:sz w:val="13"/>
                <w:szCs w:val="13"/>
              </w:rPr>
              <w:t>Uitvoeringskosten herverzekering leverancierskredieten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5AD9C24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EFF6660"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707546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F3CEF78" w14:textId="77777777">
            <w:pPr>
              <w:pStyle w:val="p-table"/>
              <w:jc w:val="right"/>
              <w:rPr>
                <w:sz w:val="13"/>
                <w:szCs w:val="13"/>
              </w:rPr>
            </w:pPr>
            <w:r w:rsidRPr="006F2FC4">
              <w:rPr>
                <w:sz w:val="13"/>
                <w:szCs w:val="13"/>
              </w:rPr>
              <w:t>350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FBBAD73" w14:textId="77777777">
            <w:pPr>
              <w:pStyle w:val="p-table"/>
              <w:jc w:val="right"/>
              <w:rPr>
                <w:sz w:val="13"/>
                <w:szCs w:val="13"/>
              </w:rPr>
            </w:pPr>
            <w:r w:rsidRPr="006F2FC4">
              <w:rPr>
                <w:sz w:val="13"/>
                <w:szCs w:val="13"/>
              </w:rPr>
              <w:t>350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DFA135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DC475C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4E71B3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10C41EF"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E4A3AB3" w14:textId="77777777">
            <w:pPr>
              <w:pStyle w:val="p-table"/>
              <w:jc w:val="right"/>
              <w:rPr>
                <w:sz w:val="13"/>
                <w:szCs w:val="13"/>
              </w:rPr>
            </w:pPr>
            <w:r w:rsidRPr="006F2FC4">
              <w:rPr>
                <w:sz w:val="13"/>
                <w:szCs w:val="13"/>
              </w:rPr>
              <w:t>0</w:t>
            </w:r>
          </w:p>
        </w:tc>
      </w:tr>
      <w:tr w:rsidR="0084290D" w:rsidTr="007433BE" w14:paraId="34415543" w14:textId="77777777">
        <w:tc>
          <w:tcPr>
            <w:tcW w:w="1240" w:type="pct"/>
            <w:tcBorders>
              <w:bottom w:val="single" w:color="009EE0" w:sz="2" w:space="0"/>
            </w:tcBorders>
            <w:tcMar>
              <w:top w:w="22" w:type="dxa"/>
              <w:bottom w:w="22" w:type="dxa"/>
              <w:right w:w="28" w:type="dxa"/>
            </w:tcMar>
          </w:tcPr>
          <w:p w:rsidRPr="006F2FC4" w:rsidR="0084290D" w:rsidRDefault="00CF5B93" w14:paraId="594FC444" w14:textId="77777777">
            <w:pPr>
              <w:pStyle w:val="p-table"/>
              <w:rPr>
                <w:sz w:val="13"/>
                <w:szCs w:val="13"/>
              </w:rPr>
            </w:pPr>
            <w:r w:rsidRPr="006F2FC4">
              <w:rPr>
                <w:sz w:val="13"/>
                <w:szCs w:val="13"/>
              </w:rPr>
              <w:t>Overige uitgaven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64293ED7" w14:textId="77777777">
            <w:pPr>
              <w:pStyle w:val="p-table"/>
              <w:jc w:val="right"/>
              <w:rPr>
                <w:sz w:val="13"/>
                <w:szCs w:val="13"/>
              </w:rPr>
            </w:pPr>
            <w:r w:rsidRPr="006F2FC4">
              <w:rPr>
                <w:sz w:val="13"/>
                <w:szCs w:val="13"/>
              </w:rPr>
              <w:t>103</w:t>
            </w:r>
          </w:p>
        </w:tc>
        <w:tc>
          <w:tcPr>
            <w:tcW w:w="372" w:type="pct"/>
            <w:tcBorders>
              <w:bottom w:val="single" w:color="009EE0" w:sz="2" w:space="0"/>
            </w:tcBorders>
            <w:tcMar>
              <w:top w:w="22" w:type="dxa"/>
              <w:left w:w="28" w:type="dxa"/>
              <w:bottom w:w="22" w:type="dxa"/>
              <w:right w:w="28" w:type="dxa"/>
            </w:tcMar>
          </w:tcPr>
          <w:p w:rsidRPr="006F2FC4" w:rsidR="0084290D" w:rsidRDefault="00CF5B93" w14:paraId="1D5CABA7"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731EE94" w14:textId="77777777">
            <w:pPr>
              <w:pStyle w:val="p-table"/>
              <w:jc w:val="right"/>
              <w:rPr>
                <w:sz w:val="13"/>
                <w:szCs w:val="13"/>
              </w:rPr>
            </w:pPr>
            <w:r w:rsidRPr="006F2FC4">
              <w:rPr>
                <w:sz w:val="13"/>
                <w:szCs w:val="13"/>
              </w:rPr>
              <w:t>103</w:t>
            </w:r>
          </w:p>
        </w:tc>
        <w:tc>
          <w:tcPr>
            <w:tcW w:w="372" w:type="pct"/>
            <w:tcBorders>
              <w:bottom w:val="single" w:color="009EE0" w:sz="2" w:space="0"/>
            </w:tcBorders>
            <w:tcMar>
              <w:top w:w="22" w:type="dxa"/>
              <w:left w:w="28" w:type="dxa"/>
              <w:bottom w:w="22" w:type="dxa"/>
              <w:right w:w="28" w:type="dxa"/>
            </w:tcMar>
          </w:tcPr>
          <w:p w:rsidRPr="006F2FC4" w:rsidR="0084290D" w:rsidRDefault="00CF5B93" w14:paraId="219A4D21"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78DA8A8" w14:textId="77777777">
            <w:pPr>
              <w:pStyle w:val="p-table"/>
              <w:jc w:val="right"/>
              <w:rPr>
                <w:sz w:val="13"/>
                <w:szCs w:val="13"/>
              </w:rPr>
            </w:pPr>
            <w:r w:rsidRPr="006F2FC4">
              <w:rPr>
                <w:sz w:val="13"/>
                <w:szCs w:val="13"/>
              </w:rPr>
              <w:t>103</w:t>
            </w:r>
          </w:p>
        </w:tc>
        <w:tc>
          <w:tcPr>
            <w:tcW w:w="372" w:type="pct"/>
            <w:tcBorders>
              <w:bottom w:val="single" w:color="009EE0" w:sz="2" w:space="0"/>
            </w:tcBorders>
            <w:tcMar>
              <w:top w:w="22" w:type="dxa"/>
              <w:left w:w="28" w:type="dxa"/>
              <w:bottom w:w="22" w:type="dxa"/>
              <w:right w:w="28" w:type="dxa"/>
            </w:tcMar>
          </w:tcPr>
          <w:p w:rsidRPr="006F2FC4" w:rsidR="0084290D" w:rsidRDefault="00CF5B93" w14:paraId="508BFB50"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535147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05DE78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D86F909"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E0C9874" w14:textId="77777777">
            <w:pPr>
              <w:pStyle w:val="p-table"/>
              <w:jc w:val="right"/>
              <w:rPr>
                <w:sz w:val="13"/>
                <w:szCs w:val="13"/>
              </w:rPr>
            </w:pPr>
            <w:r w:rsidRPr="006F2FC4">
              <w:rPr>
                <w:sz w:val="13"/>
                <w:szCs w:val="13"/>
              </w:rPr>
              <w:t>103</w:t>
            </w:r>
          </w:p>
        </w:tc>
      </w:tr>
      <w:tr w:rsidR="0084290D" w:rsidTr="007433BE" w14:paraId="1DE183D9" w14:textId="77777777">
        <w:tc>
          <w:tcPr>
            <w:tcW w:w="1240" w:type="pct"/>
            <w:tcBorders>
              <w:bottom w:val="single" w:color="009EE0" w:sz="2" w:space="0"/>
            </w:tcBorders>
            <w:tcMar>
              <w:top w:w="22" w:type="dxa"/>
              <w:bottom w:w="22" w:type="dxa"/>
              <w:right w:w="28" w:type="dxa"/>
            </w:tcMar>
          </w:tcPr>
          <w:p w:rsidRPr="006F2FC4" w:rsidR="0084290D" w:rsidRDefault="0084290D" w14:paraId="4970AAE1"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025854C8"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11B9245F"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06B50E55"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6AF397BC"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1E1104BB"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0DEF301C"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2C15622A"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4B639D61"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47996DF3"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641BE9B4" w14:textId="77777777">
            <w:pPr>
              <w:pStyle w:val="p-table"/>
              <w:rPr>
                <w:sz w:val="13"/>
                <w:szCs w:val="13"/>
              </w:rPr>
            </w:pPr>
          </w:p>
        </w:tc>
      </w:tr>
      <w:tr w:rsidR="0084290D" w:rsidTr="007433BE" w14:paraId="1048C941" w14:textId="77777777">
        <w:tc>
          <w:tcPr>
            <w:tcW w:w="1240" w:type="pct"/>
            <w:tcBorders>
              <w:bottom w:val="single" w:color="009EE0" w:sz="2" w:space="0"/>
            </w:tcBorders>
            <w:tcMar>
              <w:top w:w="22" w:type="dxa"/>
              <w:bottom w:w="22" w:type="dxa"/>
              <w:right w:w="28" w:type="dxa"/>
            </w:tcMar>
          </w:tcPr>
          <w:p w:rsidRPr="006F2FC4" w:rsidR="0084290D" w:rsidRDefault="00CF5B93" w14:paraId="6F8BCD0F" w14:textId="77777777">
            <w:pPr>
              <w:pStyle w:val="p-table"/>
              <w:rPr>
                <w:sz w:val="13"/>
                <w:szCs w:val="13"/>
              </w:rPr>
            </w:pPr>
            <w:r w:rsidRPr="006F2FC4">
              <w:rPr>
                <w:b/>
                <w:sz w:val="13"/>
                <w:szCs w:val="13"/>
              </w:rPr>
              <w:t>Garanties</w:t>
            </w:r>
          </w:p>
        </w:tc>
        <w:tc>
          <w:tcPr>
            <w:tcW w:w="382" w:type="pct"/>
            <w:tcBorders>
              <w:bottom w:val="single" w:color="009EE0" w:sz="2" w:space="0"/>
            </w:tcBorders>
            <w:tcMar>
              <w:top w:w="22" w:type="dxa"/>
              <w:left w:w="28" w:type="dxa"/>
              <w:bottom w:w="22" w:type="dxa"/>
              <w:right w:w="28" w:type="dxa"/>
            </w:tcMar>
          </w:tcPr>
          <w:p w:rsidRPr="006F2FC4" w:rsidR="0084290D" w:rsidRDefault="00CF5B93" w14:paraId="61469F40" w14:textId="77777777">
            <w:pPr>
              <w:pStyle w:val="p-table"/>
              <w:jc w:val="right"/>
              <w:rPr>
                <w:sz w:val="13"/>
                <w:szCs w:val="13"/>
              </w:rPr>
            </w:pPr>
            <w:r w:rsidRPr="006F2FC4">
              <w:rPr>
                <w:b/>
                <w:sz w:val="13"/>
                <w:szCs w:val="13"/>
              </w:rPr>
              <w:t>79.900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D583C2E"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D099A0F" w14:textId="77777777">
            <w:pPr>
              <w:pStyle w:val="p-table"/>
              <w:jc w:val="right"/>
              <w:rPr>
                <w:sz w:val="13"/>
                <w:szCs w:val="13"/>
              </w:rPr>
            </w:pPr>
            <w:r w:rsidRPr="006F2FC4">
              <w:rPr>
                <w:b/>
                <w:sz w:val="13"/>
                <w:szCs w:val="13"/>
              </w:rPr>
              <w:t>79.900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4681A47" w14:textId="77777777">
            <w:pPr>
              <w:pStyle w:val="p-table"/>
              <w:jc w:val="right"/>
              <w:rPr>
                <w:sz w:val="13"/>
                <w:szCs w:val="13"/>
              </w:rPr>
            </w:pPr>
            <w:r w:rsidRPr="006F2FC4">
              <w:rPr>
                <w:b/>
                <w:sz w:val="13"/>
                <w:szCs w:val="13"/>
              </w:rPr>
              <w:t>40.350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8C4CDC4" w14:textId="77777777">
            <w:pPr>
              <w:pStyle w:val="p-table"/>
              <w:jc w:val="right"/>
              <w:rPr>
                <w:sz w:val="13"/>
                <w:szCs w:val="13"/>
              </w:rPr>
            </w:pPr>
            <w:r w:rsidRPr="006F2FC4">
              <w:rPr>
                <w:b/>
                <w:sz w:val="13"/>
                <w:szCs w:val="13"/>
              </w:rPr>
              <w:t>120.250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116A5FB" w14:textId="77777777">
            <w:pPr>
              <w:pStyle w:val="p-table"/>
              <w:jc w:val="right"/>
              <w:rPr>
                <w:sz w:val="13"/>
                <w:szCs w:val="13"/>
              </w:rPr>
            </w:pPr>
            <w:r w:rsidRPr="006F2FC4">
              <w:rPr>
                <w:b/>
                <w:sz w:val="13"/>
                <w:szCs w:val="13"/>
              </w:rPr>
              <w:t>44.500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CEA567E" w14:textId="77777777">
            <w:pPr>
              <w:pStyle w:val="p-table"/>
              <w:jc w:val="right"/>
              <w:rPr>
                <w:sz w:val="13"/>
                <w:szCs w:val="13"/>
              </w:rPr>
            </w:pPr>
            <w:r w:rsidRPr="006F2FC4">
              <w:rPr>
                <w:b/>
                <w:sz w:val="13"/>
                <w:szCs w:val="13"/>
              </w:rPr>
              <w:t>13.500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504DE1D" w14:textId="77777777">
            <w:pPr>
              <w:pStyle w:val="p-table"/>
              <w:jc w:val="right"/>
              <w:rPr>
                <w:sz w:val="13"/>
                <w:szCs w:val="13"/>
              </w:rPr>
            </w:pPr>
            <w:r w:rsidRPr="006F2FC4">
              <w:rPr>
                <w:b/>
                <w:sz w:val="13"/>
                <w:szCs w:val="13"/>
              </w:rPr>
              <w:t>4.500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6C9DD2C" w14:textId="77777777">
            <w:pPr>
              <w:pStyle w:val="p-table"/>
              <w:jc w:val="right"/>
              <w:rPr>
                <w:sz w:val="13"/>
                <w:szCs w:val="13"/>
              </w:rPr>
            </w:pPr>
            <w:r w:rsidRPr="006F2FC4">
              <w:rPr>
                <w:b/>
                <w:sz w:val="13"/>
                <w:szCs w:val="13"/>
              </w:rPr>
              <w:t>‒ 7.500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936A446" w14:textId="77777777">
            <w:pPr>
              <w:pStyle w:val="p-table"/>
              <w:jc w:val="right"/>
              <w:rPr>
                <w:sz w:val="13"/>
                <w:szCs w:val="13"/>
              </w:rPr>
            </w:pPr>
            <w:r w:rsidRPr="006F2FC4">
              <w:rPr>
                <w:b/>
                <w:sz w:val="13"/>
                <w:szCs w:val="13"/>
              </w:rPr>
              <w:t>72.400</w:t>
            </w:r>
          </w:p>
        </w:tc>
      </w:tr>
      <w:tr w:rsidR="0084290D" w:rsidTr="007433BE" w14:paraId="16DC5752" w14:textId="77777777">
        <w:tc>
          <w:tcPr>
            <w:tcW w:w="1240" w:type="pct"/>
            <w:tcBorders>
              <w:bottom w:val="single" w:color="009EE0" w:sz="2" w:space="0"/>
            </w:tcBorders>
            <w:tcMar>
              <w:top w:w="22" w:type="dxa"/>
              <w:bottom w:w="22" w:type="dxa"/>
              <w:right w:w="28" w:type="dxa"/>
            </w:tcMar>
          </w:tcPr>
          <w:p w:rsidRPr="006F2FC4" w:rsidR="0084290D" w:rsidRDefault="00CF5B93" w14:paraId="535D8274" w14:textId="77777777">
            <w:pPr>
              <w:pStyle w:val="p-table"/>
              <w:rPr>
                <w:sz w:val="13"/>
                <w:szCs w:val="13"/>
              </w:rPr>
            </w:pPr>
            <w:r w:rsidRPr="006F2FC4">
              <w:rPr>
                <w:sz w:val="13"/>
                <w:szCs w:val="13"/>
              </w:rPr>
              <w:t>Schade-uitkering ekv</w:t>
            </w:r>
          </w:p>
        </w:tc>
        <w:tc>
          <w:tcPr>
            <w:tcW w:w="382" w:type="pct"/>
            <w:tcBorders>
              <w:bottom w:val="single" w:color="009EE0" w:sz="2" w:space="0"/>
            </w:tcBorders>
            <w:tcMar>
              <w:top w:w="22" w:type="dxa"/>
              <w:left w:w="28" w:type="dxa"/>
              <w:bottom w:w="22" w:type="dxa"/>
              <w:right w:w="28" w:type="dxa"/>
            </w:tcMar>
          </w:tcPr>
          <w:p w:rsidRPr="006F2FC4" w:rsidR="0084290D" w:rsidRDefault="00CF5B93" w14:paraId="45626CB0" w14:textId="77777777">
            <w:pPr>
              <w:pStyle w:val="p-table"/>
              <w:jc w:val="right"/>
              <w:rPr>
                <w:sz w:val="13"/>
                <w:szCs w:val="13"/>
              </w:rPr>
            </w:pPr>
            <w:r w:rsidRPr="006F2FC4">
              <w:rPr>
                <w:sz w:val="13"/>
                <w:szCs w:val="13"/>
              </w:rPr>
              <w:t>77.500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BF07FE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4673383" w14:textId="77777777">
            <w:pPr>
              <w:pStyle w:val="p-table"/>
              <w:jc w:val="right"/>
              <w:rPr>
                <w:sz w:val="13"/>
                <w:szCs w:val="13"/>
              </w:rPr>
            </w:pPr>
            <w:r w:rsidRPr="006F2FC4">
              <w:rPr>
                <w:sz w:val="13"/>
                <w:szCs w:val="13"/>
              </w:rPr>
              <w:t>77.500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62FC870" w14:textId="77777777">
            <w:pPr>
              <w:pStyle w:val="p-table"/>
              <w:jc w:val="right"/>
              <w:rPr>
                <w:sz w:val="13"/>
                <w:szCs w:val="13"/>
              </w:rPr>
            </w:pPr>
            <w:r w:rsidRPr="006F2FC4">
              <w:rPr>
                <w:sz w:val="13"/>
                <w:szCs w:val="13"/>
              </w:rPr>
              <w:t>38.500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2292BBA" w14:textId="77777777">
            <w:pPr>
              <w:pStyle w:val="p-table"/>
              <w:jc w:val="right"/>
              <w:rPr>
                <w:sz w:val="13"/>
                <w:szCs w:val="13"/>
              </w:rPr>
            </w:pPr>
            <w:r w:rsidRPr="006F2FC4">
              <w:rPr>
                <w:sz w:val="13"/>
                <w:szCs w:val="13"/>
              </w:rPr>
              <w:t>116.000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07F83DE" w14:textId="77777777">
            <w:pPr>
              <w:pStyle w:val="p-table"/>
              <w:jc w:val="right"/>
              <w:rPr>
                <w:sz w:val="13"/>
                <w:szCs w:val="13"/>
              </w:rPr>
            </w:pPr>
            <w:r w:rsidRPr="006F2FC4">
              <w:rPr>
                <w:sz w:val="13"/>
                <w:szCs w:val="13"/>
              </w:rPr>
              <w:t>44.500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6F2BAE2" w14:textId="77777777">
            <w:pPr>
              <w:pStyle w:val="p-table"/>
              <w:jc w:val="right"/>
              <w:rPr>
                <w:sz w:val="13"/>
                <w:szCs w:val="13"/>
              </w:rPr>
            </w:pPr>
            <w:r w:rsidRPr="006F2FC4">
              <w:rPr>
                <w:sz w:val="13"/>
                <w:szCs w:val="13"/>
              </w:rPr>
              <w:t>13.500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8F844C5" w14:textId="77777777">
            <w:pPr>
              <w:pStyle w:val="p-table"/>
              <w:jc w:val="right"/>
              <w:rPr>
                <w:sz w:val="13"/>
                <w:szCs w:val="13"/>
              </w:rPr>
            </w:pPr>
            <w:r w:rsidRPr="006F2FC4">
              <w:rPr>
                <w:sz w:val="13"/>
                <w:szCs w:val="13"/>
              </w:rPr>
              <w:t>4.500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7731D25" w14:textId="77777777">
            <w:pPr>
              <w:pStyle w:val="p-table"/>
              <w:jc w:val="right"/>
              <w:rPr>
                <w:sz w:val="13"/>
                <w:szCs w:val="13"/>
              </w:rPr>
            </w:pPr>
            <w:r w:rsidRPr="006F2FC4">
              <w:rPr>
                <w:sz w:val="13"/>
                <w:szCs w:val="13"/>
              </w:rPr>
              <w:t>‒ 7.500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631FDA5" w14:textId="77777777">
            <w:pPr>
              <w:pStyle w:val="p-table"/>
              <w:jc w:val="right"/>
              <w:rPr>
                <w:sz w:val="13"/>
                <w:szCs w:val="13"/>
              </w:rPr>
            </w:pPr>
            <w:r w:rsidRPr="006F2FC4">
              <w:rPr>
                <w:sz w:val="13"/>
                <w:szCs w:val="13"/>
              </w:rPr>
              <w:t>70.000</w:t>
            </w:r>
          </w:p>
        </w:tc>
      </w:tr>
      <w:tr w:rsidR="0084290D" w:rsidTr="007433BE" w14:paraId="4FF0FAC9" w14:textId="77777777">
        <w:tc>
          <w:tcPr>
            <w:tcW w:w="1240" w:type="pct"/>
            <w:tcBorders>
              <w:bottom w:val="single" w:color="009EE0" w:sz="2" w:space="0"/>
            </w:tcBorders>
            <w:tcMar>
              <w:top w:w="22" w:type="dxa"/>
              <w:bottom w:w="22" w:type="dxa"/>
              <w:right w:w="28" w:type="dxa"/>
            </w:tcMar>
          </w:tcPr>
          <w:p w:rsidRPr="006F2FC4" w:rsidR="0084290D" w:rsidRDefault="00CF5B93" w14:paraId="1E0E96FE" w14:textId="77777777">
            <w:pPr>
              <w:pStyle w:val="p-table"/>
              <w:rPr>
                <w:sz w:val="13"/>
                <w:szCs w:val="13"/>
              </w:rPr>
            </w:pPr>
            <w:r w:rsidRPr="006F2FC4">
              <w:rPr>
                <w:sz w:val="13"/>
                <w:szCs w:val="13"/>
              </w:rPr>
              <w:t>Schade-uitkering herverzekering leverancierskredieten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30C35C93"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1C3461F"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B66017B"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353ACF1" w14:textId="77777777">
            <w:pPr>
              <w:pStyle w:val="p-table"/>
              <w:jc w:val="right"/>
              <w:rPr>
                <w:sz w:val="13"/>
                <w:szCs w:val="13"/>
              </w:rPr>
            </w:pPr>
            <w:r w:rsidRPr="006F2FC4">
              <w:rPr>
                <w:sz w:val="13"/>
                <w:szCs w:val="13"/>
              </w:rPr>
              <w:t>1.850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C1E6A8C" w14:textId="77777777">
            <w:pPr>
              <w:pStyle w:val="p-table"/>
              <w:jc w:val="right"/>
              <w:rPr>
                <w:sz w:val="13"/>
                <w:szCs w:val="13"/>
              </w:rPr>
            </w:pPr>
            <w:r w:rsidRPr="006F2FC4">
              <w:rPr>
                <w:sz w:val="13"/>
                <w:szCs w:val="13"/>
              </w:rPr>
              <w:t>1.850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5EA6443"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C152B4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32AA4A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5FA79CD"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51F619F" w14:textId="77777777">
            <w:pPr>
              <w:pStyle w:val="p-table"/>
              <w:jc w:val="right"/>
              <w:rPr>
                <w:sz w:val="13"/>
                <w:szCs w:val="13"/>
              </w:rPr>
            </w:pPr>
            <w:r w:rsidRPr="006F2FC4">
              <w:rPr>
                <w:sz w:val="13"/>
                <w:szCs w:val="13"/>
              </w:rPr>
              <w:t>0</w:t>
            </w:r>
          </w:p>
        </w:tc>
      </w:tr>
      <w:tr w:rsidR="0084290D" w:rsidTr="007433BE" w14:paraId="3754E210" w14:textId="77777777">
        <w:tc>
          <w:tcPr>
            <w:tcW w:w="1240" w:type="pct"/>
            <w:tcBorders>
              <w:bottom w:val="single" w:color="009EE0" w:sz="2" w:space="0"/>
            </w:tcBorders>
            <w:tcMar>
              <w:top w:w="22" w:type="dxa"/>
              <w:bottom w:w="22" w:type="dxa"/>
              <w:right w:w="28" w:type="dxa"/>
            </w:tcMar>
          </w:tcPr>
          <w:p w:rsidRPr="006F2FC4" w:rsidR="0084290D" w:rsidRDefault="00CF5B93" w14:paraId="6AD1CBC1" w14:textId="77777777">
            <w:pPr>
              <w:pStyle w:val="p-table"/>
              <w:rPr>
                <w:sz w:val="13"/>
                <w:szCs w:val="13"/>
              </w:rPr>
            </w:pPr>
            <w:r w:rsidRPr="006F2FC4">
              <w:rPr>
                <w:sz w:val="13"/>
                <w:szCs w:val="13"/>
              </w:rPr>
              <w:t>Herverzekerde schades ekv-premies</w:t>
            </w:r>
          </w:p>
        </w:tc>
        <w:tc>
          <w:tcPr>
            <w:tcW w:w="382" w:type="pct"/>
            <w:tcBorders>
              <w:bottom w:val="single" w:color="009EE0" w:sz="2" w:space="0"/>
            </w:tcBorders>
            <w:tcMar>
              <w:top w:w="22" w:type="dxa"/>
              <w:left w:w="28" w:type="dxa"/>
              <w:bottom w:w="22" w:type="dxa"/>
              <w:right w:w="28" w:type="dxa"/>
            </w:tcMar>
          </w:tcPr>
          <w:p w:rsidRPr="006F2FC4" w:rsidR="0084290D" w:rsidRDefault="00CF5B93" w14:paraId="0D82AA0C" w14:textId="77777777">
            <w:pPr>
              <w:pStyle w:val="p-table"/>
              <w:jc w:val="right"/>
              <w:rPr>
                <w:sz w:val="13"/>
                <w:szCs w:val="13"/>
              </w:rPr>
            </w:pPr>
            <w:r w:rsidRPr="006F2FC4">
              <w:rPr>
                <w:sz w:val="13"/>
                <w:szCs w:val="13"/>
              </w:rPr>
              <w:t>2.000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8C23672"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DAF9411" w14:textId="77777777">
            <w:pPr>
              <w:pStyle w:val="p-table"/>
              <w:jc w:val="right"/>
              <w:rPr>
                <w:sz w:val="13"/>
                <w:szCs w:val="13"/>
              </w:rPr>
            </w:pPr>
            <w:r w:rsidRPr="006F2FC4">
              <w:rPr>
                <w:sz w:val="13"/>
                <w:szCs w:val="13"/>
              </w:rPr>
              <w:t>2.000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3D05C8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B7A1608" w14:textId="77777777">
            <w:pPr>
              <w:pStyle w:val="p-table"/>
              <w:jc w:val="right"/>
              <w:rPr>
                <w:sz w:val="13"/>
                <w:szCs w:val="13"/>
              </w:rPr>
            </w:pPr>
            <w:r w:rsidRPr="006F2FC4">
              <w:rPr>
                <w:sz w:val="13"/>
                <w:szCs w:val="13"/>
              </w:rPr>
              <w:t>2.000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5AC2832"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88EC03D"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7718EDE"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A82C90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6668DA5" w14:textId="77777777">
            <w:pPr>
              <w:pStyle w:val="p-table"/>
              <w:jc w:val="right"/>
              <w:rPr>
                <w:sz w:val="13"/>
                <w:szCs w:val="13"/>
              </w:rPr>
            </w:pPr>
            <w:r w:rsidRPr="006F2FC4">
              <w:rPr>
                <w:sz w:val="13"/>
                <w:szCs w:val="13"/>
              </w:rPr>
              <w:t>2.000</w:t>
            </w:r>
          </w:p>
        </w:tc>
      </w:tr>
      <w:tr w:rsidR="0084290D" w:rsidTr="007433BE" w14:paraId="35E66FD8" w14:textId="77777777">
        <w:tc>
          <w:tcPr>
            <w:tcW w:w="1240" w:type="pct"/>
            <w:tcBorders>
              <w:bottom w:val="single" w:color="009EE0" w:sz="2" w:space="0"/>
            </w:tcBorders>
            <w:tcMar>
              <w:top w:w="22" w:type="dxa"/>
              <w:bottom w:w="22" w:type="dxa"/>
              <w:right w:w="28" w:type="dxa"/>
            </w:tcMar>
          </w:tcPr>
          <w:p w:rsidRPr="006F2FC4" w:rsidR="0084290D" w:rsidRDefault="00CF5B93" w14:paraId="4E714199" w14:textId="77777777">
            <w:pPr>
              <w:pStyle w:val="p-table"/>
              <w:rPr>
                <w:sz w:val="13"/>
                <w:szCs w:val="13"/>
              </w:rPr>
            </w:pPr>
            <w:r w:rsidRPr="006F2FC4">
              <w:rPr>
                <w:sz w:val="13"/>
                <w:szCs w:val="13"/>
              </w:rPr>
              <w:t>Herverzekerde schades ekv-restituties na 2019</w:t>
            </w:r>
          </w:p>
        </w:tc>
        <w:tc>
          <w:tcPr>
            <w:tcW w:w="382" w:type="pct"/>
            <w:tcBorders>
              <w:bottom w:val="single" w:color="009EE0" w:sz="2" w:space="0"/>
            </w:tcBorders>
            <w:tcMar>
              <w:top w:w="22" w:type="dxa"/>
              <w:left w:w="28" w:type="dxa"/>
              <w:bottom w:w="22" w:type="dxa"/>
              <w:right w:w="28" w:type="dxa"/>
            </w:tcMar>
          </w:tcPr>
          <w:p w:rsidRPr="006F2FC4" w:rsidR="0084290D" w:rsidRDefault="00CF5B93" w14:paraId="69EE76DA" w14:textId="77777777">
            <w:pPr>
              <w:pStyle w:val="p-table"/>
              <w:jc w:val="right"/>
              <w:rPr>
                <w:sz w:val="13"/>
                <w:szCs w:val="13"/>
              </w:rPr>
            </w:pPr>
            <w:r w:rsidRPr="006F2FC4">
              <w:rPr>
                <w:sz w:val="13"/>
                <w:szCs w:val="13"/>
              </w:rPr>
              <w:t>200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C527517"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262E2C7" w14:textId="77777777">
            <w:pPr>
              <w:pStyle w:val="p-table"/>
              <w:jc w:val="right"/>
              <w:rPr>
                <w:sz w:val="13"/>
                <w:szCs w:val="13"/>
              </w:rPr>
            </w:pPr>
            <w:r w:rsidRPr="006F2FC4">
              <w:rPr>
                <w:sz w:val="13"/>
                <w:szCs w:val="13"/>
              </w:rPr>
              <w:t>200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6A2A3AB"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86D9384" w14:textId="77777777">
            <w:pPr>
              <w:pStyle w:val="p-table"/>
              <w:jc w:val="right"/>
              <w:rPr>
                <w:sz w:val="13"/>
                <w:szCs w:val="13"/>
              </w:rPr>
            </w:pPr>
            <w:r w:rsidRPr="006F2FC4">
              <w:rPr>
                <w:sz w:val="13"/>
                <w:szCs w:val="13"/>
              </w:rPr>
              <w:t>200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EC108DE"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E7E054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39DBD28"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56E4FC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3F700CD" w14:textId="77777777">
            <w:pPr>
              <w:pStyle w:val="p-table"/>
              <w:jc w:val="right"/>
              <w:rPr>
                <w:sz w:val="13"/>
                <w:szCs w:val="13"/>
              </w:rPr>
            </w:pPr>
            <w:r w:rsidRPr="006F2FC4">
              <w:rPr>
                <w:sz w:val="13"/>
                <w:szCs w:val="13"/>
              </w:rPr>
              <w:t>200</w:t>
            </w:r>
          </w:p>
        </w:tc>
      </w:tr>
      <w:tr w:rsidR="0084290D" w:rsidTr="007433BE" w14:paraId="64FF2CCD" w14:textId="77777777">
        <w:tc>
          <w:tcPr>
            <w:tcW w:w="1240" w:type="pct"/>
            <w:tcBorders>
              <w:bottom w:val="single" w:color="009EE0" w:sz="2" w:space="0"/>
            </w:tcBorders>
            <w:tcMar>
              <w:top w:w="22" w:type="dxa"/>
              <w:bottom w:w="22" w:type="dxa"/>
              <w:right w:w="28" w:type="dxa"/>
            </w:tcMar>
          </w:tcPr>
          <w:p w:rsidRPr="006F2FC4" w:rsidR="0084290D" w:rsidRDefault="00CF5B93" w14:paraId="645D9439" w14:textId="77777777">
            <w:pPr>
              <w:pStyle w:val="p-table"/>
              <w:rPr>
                <w:sz w:val="13"/>
                <w:szCs w:val="13"/>
              </w:rPr>
            </w:pPr>
            <w:r w:rsidRPr="006F2FC4">
              <w:rPr>
                <w:sz w:val="13"/>
                <w:szCs w:val="13"/>
              </w:rPr>
              <w:t>Herverzekerde schades ekv-restituties 1999-2019</w:t>
            </w:r>
          </w:p>
        </w:tc>
        <w:tc>
          <w:tcPr>
            <w:tcW w:w="382" w:type="pct"/>
            <w:tcBorders>
              <w:bottom w:val="single" w:color="009EE0" w:sz="2" w:space="0"/>
            </w:tcBorders>
            <w:tcMar>
              <w:top w:w="22" w:type="dxa"/>
              <w:left w:w="28" w:type="dxa"/>
              <w:bottom w:w="22" w:type="dxa"/>
              <w:right w:w="28" w:type="dxa"/>
            </w:tcMar>
          </w:tcPr>
          <w:p w:rsidRPr="006F2FC4" w:rsidR="0084290D" w:rsidRDefault="00CF5B93" w14:paraId="750C37FA"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0CC79E3"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F6CF445"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1E3F02E"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081EAF4"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31F6F19"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7F617D5"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6FD02B2"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35D48F8"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CC537EB" w14:textId="77777777">
            <w:pPr>
              <w:pStyle w:val="p-table"/>
              <w:jc w:val="right"/>
              <w:rPr>
                <w:sz w:val="13"/>
                <w:szCs w:val="13"/>
              </w:rPr>
            </w:pPr>
            <w:r w:rsidRPr="006F2FC4">
              <w:rPr>
                <w:sz w:val="13"/>
                <w:szCs w:val="13"/>
              </w:rPr>
              <w:t>100</w:t>
            </w:r>
          </w:p>
        </w:tc>
      </w:tr>
      <w:tr w:rsidR="0084290D" w:rsidTr="007433BE" w14:paraId="7E8B196C" w14:textId="77777777">
        <w:tc>
          <w:tcPr>
            <w:tcW w:w="1240" w:type="pct"/>
            <w:tcBorders>
              <w:bottom w:val="single" w:color="009EE0" w:sz="2" w:space="0"/>
            </w:tcBorders>
            <w:tcMar>
              <w:top w:w="22" w:type="dxa"/>
              <w:bottom w:w="22" w:type="dxa"/>
              <w:right w:w="28" w:type="dxa"/>
            </w:tcMar>
          </w:tcPr>
          <w:p w:rsidRPr="006F2FC4" w:rsidR="0084290D" w:rsidRDefault="00DF0474" w14:paraId="2C66AD2F" w14:textId="72AB813A">
            <w:pPr>
              <w:pStyle w:val="p-table"/>
              <w:rPr>
                <w:sz w:val="13"/>
                <w:szCs w:val="13"/>
              </w:rPr>
            </w:pPr>
            <w:r w:rsidRPr="006F2FC4">
              <w:rPr>
                <w:sz w:val="13"/>
                <w:szCs w:val="13"/>
              </w:rPr>
              <w:t>Herverzekerde</w:t>
            </w:r>
            <w:r w:rsidRPr="006F2FC4" w:rsidR="00CF5B93">
              <w:rPr>
                <w:sz w:val="13"/>
                <w:szCs w:val="13"/>
              </w:rPr>
              <w:t xml:space="preserve"> schades ekv-restituties voor 1999</w:t>
            </w:r>
          </w:p>
        </w:tc>
        <w:tc>
          <w:tcPr>
            <w:tcW w:w="382" w:type="pct"/>
            <w:tcBorders>
              <w:bottom w:val="single" w:color="009EE0" w:sz="2" w:space="0"/>
            </w:tcBorders>
            <w:tcMar>
              <w:top w:w="22" w:type="dxa"/>
              <w:left w:w="28" w:type="dxa"/>
              <w:bottom w:w="22" w:type="dxa"/>
              <w:right w:w="28" w:type="dxa"/>
            </w:tcMar>
          </w:tcPr>
          <w:p w:rsidRPr="006F2FC4" w:rsidR="0084290D" w:rsidRDefault="00CF5B93" w14:paraId="7A0EAF73"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06DC4A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E1D96C7"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02E29E8"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60A8C69"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DB97DE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01FADA7"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A55DC5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AF325C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CFC8519" w14:textId="77777777">
            <w:pPr>
              <w:pStyle w:val="p-table"/>
              <w:jc w:val="right"/>
              <w:rPr>
                <w:sz w:val="13"/>
                <w:szCs w:val="13"/>
              </w:rPr>
            </w:pPr>
            <w:r w:rsidRPr="006F2FC4">
              <w:rPr>
                <w:sz w:val="13"/>
                <w:szCs w:val="13"/>
              </w:rPr>
              <w:t>100</w:t>
            </w:r>
          </w:p>
        </w:tc>
      </w:tr>
      <w:tr w:rsidR="0084290D" w:rsidTr="007433BE" w14:paraId="1CADDAA6" w14:textId="77777777">
        <w:tc>
          <w:tcPr>
            <w:tcW w:w="1240" w:type="pct"/>
            <w:tcBorders>
              <w:bottom w:val="single" w:color="009EE0" w:sz="2" w:space="0"/>
            </w:tcBorders>
            <w:tcMar>
              <w:top w:w="22" w:type="dxa"/>
              <w:bottom w:w="22" w:type="dxa"/>
              <w:right w:w="28" w:type="dxa"/>
            </w:tcMar>
          </w:tcPr>
          <w:p w:rsidRPr="006F2FC4" w:rsidR="0084290D" w:rsidRDefault="0084290D" w14:paraId="395B427D"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7D1291CB"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4C701786"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03435669"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4956AEBE"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1D7A9C80"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03D28D15"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3F7B030B"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6D30A179"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7DAF8F0C"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530FB55F" w14:textId="77777777">
            <w:pPr>
              <w:pStyle w:val="p-table"/>
              <w:rPr>
                <w:sz w:val="13"/>
                <w:szCs w:val="13"/>
              </w:rPr>
            </w:pPr>
          </w:p>
        </w:tc>
      </w:tr>
      <w:tr w:rsidR="0084290D" w:rsidTr="007433BE" w14:paraId="7D6BC323" w14:textId="77777777">
        <w:tc>
          <w:tcPr>
            <w:tcW w:w="1240" w:type="pct"/>
            <w:tcBorders>
              <w:bottom w:val="single" w:color="009EE0" w:sz="2" w:space="0"/>
            </w:tcBorders>
            <w:tcMar>
              <w:top w:w="22" w:type="dxa"/>
              <w:bottom w:w="22" w:type="dxa"/>
              <w:right w:w="28" w:type="dxa"/>
            </w:tcMar>
          </w:tcPr>
          <w:p w:rsidRPr="006F2FC4" w:rsidR="0084290D" w:rsidRDefault="00CF5B93" w14:paraId="54A9E3AD" w14:textId="77777777">
            <w:pPr>
              <w:pStyle w:val="p-table"/>
              <w:rPr>
                <w:sz w:val="13"/>
                <w:szCs w:val="13"/>
              </w:rPr>
            </w:pPr>
            <w:r w:rsidRPr="006F2FC4">
              <w:rPr>
                <w:b/>
                <w:sz w:val="13"/>
                <w:szCs w:val="13"/>
              </w:rPr>
              <w:t>Storting/onttrekking begrotingsreserve</w:t>
            </w:r>
          </w:p>
        </w:tc>
        <w:tc>
          <w:tcPr>
            <w:tcW w:w="382" w:type="pct"/>
            <w:tcBorders>
              <w:bottom w:val="single" w:color="009EE0" w:sz="2" w:space="0"/>
            </w:tcBorders>
            <w:tcMar>
              <w:top w:w="22" w:type="dxa"/>
              <w:left w:w="28" w:type="dxa"/>
              <w:bottom w:w="22" w:type="dxa"/>
              <w:right w:w="28" w:type="dxa"/>
            </w:tcMar>
          </w:tcPr>
          <w:p w:rsidRPr="006F2FC4" w:rsidR="0084290D" w:rsidRDefault="00CF5B93" w14:paraId="149047BB" w14:textId="77777777">
            <w:pPr>
              <w:pStyle w:val="p-table"/>
              <w:jc w:val="right"/>
              <w:rPr>
                <w:sz w:val="13"/>
                <w:szCs w:val="13"/>
              </w:rPr>
            </w:pPr>
            <w:r w:rsidRPr="006F2FC4">
              <w:rPr>
                <w:b/>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7E1C8947"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7CB5969" w14:textId="77777777">
            <w:pPr>
              <w:pStyle w:val="p-table"/>
              <w:jc w:val="right"/>
              <w:rPr>
                <w:sz w:val="13"/>
                <w:szCs w:val="13"/>
              </w:rPr>
            </w:pPr>
            <w:r w:rsidRPr="006F2FC4">
              <w:rPr>
                <w:b/>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3F31EB49"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91C16B3" w14:textId="77777777">
            <w:pPr>
              <w:pStyle w:val="p-table"/>
              <w:jc w:val="right"/>
              <w:rPr>
                <w:sz w:val="13"/>
                <w:szCs w:val="13"/>
              </w:rPr>
            </w:pPr>
            <w:r w:rsidRPr="006F2FC4">
              <w:rPr>
                <w:b/>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459FC04C"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CA0F369"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5A6C7C7"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A4B05D1"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B2B0BAD" w14:textId="77777777">
            <w:pPr>
              <w:pStyle w:val="p-table"/>
              <w:jc w:val="right"/>
              <w:rPr>
                <w:sz w:val="13"/>
                <w:szCs w:val="13"/>
              </w:rPr>
            </w:pPr>
            <w:r w:rsidRPr="006F2FC4">
              <w:rPr>
                <w:b/>
                <w:sz w:val="13"/>
                <w:szCs w:val="13"/>
              </w:rPr>
              <w:t>72.894</w:t>
            </w:r>
          </w:p>
        </w:tc>
      </w:tr>
      <w:tr w:rsidR="0084290D" w:rsidTr="007433BE" w14:paraId="48481962" w14:textId="77777777">
        <w:tc>
          <w:tcPr>
            <w:tcW w:w="1240" w:type="pct"/>
            <w:tcBorders>
              <w:bottom w:val="single" w:color="009EE0" w:sz="2" w:space="0"/>
            </w:tcBorders>
            <w:tcMar>
              <w:top w:w="22" w:type="dxa"/>
              <w:bottom w:w="22" w:type="dxa"/>
              <w:right w:w="28" w:type="dxa"/>
            </w:tcMar>
          </w:tcPr>
          <w:p w:rsidRPr="006F2FC4" w:rsidR="0084290D" w:rsidRDefault="00CF5B93" w14:paraId="2A2A0702" w14:textId="77777777">
            <w:pPr>
              <w:pStyle w:val="p-table"/>
              <w:rPr>
                <w:sz w:val="13"/>
                <w:szCs w:val="13"/>
              </w:rPr>
            </w:pPr>
            <w:r w:rsidRPr="006F2FC4">
              <w:rPr>
                <w:sz w:val="13"/>
                <w:szCs w:val="13"/>
              </w:rPr>
              <w:t>Mutatie begrotingsreserve ekv</w:t>
            </w:r>
          </w:p>
        </w:tc>
        <w:tc>
          <w:tcPr>
            <w:tcW w:w="382" w:type="pct"/>
            <w:tcBorders>
              <w:bottom w:val="single" w:color="009EE0" w:sz="2" w:space="0"/>
            </w:tcBorders>
            <w:tcMar>
              <w:top w:w="22" w:type="dxa"/>
              <w:left w:w="28" w:type="dxa"/>
              <w:bottom w:w="22" w:type="dxa"/>
              <w:right w:w="28" w:type="dxa"/>
            </w:tcMar>
          </w:tcPr>
          <w:p w:rsidRPr="006F2FC4" w:rsidR="0084290D" w:rsidRDefault="00CF5B93" w14:paraId="295BA3C8" w14:textId="77777777">
            <w:pPr>
              <w:pStyle w:val="p-table"/>
              <w:jc w:val="right"/>
              <w:rPr>
                <w:sz w:val="13"/>
                <w:szCs w:val="13"/>
              </w:rPr>
            </w:pPr>
            <w:r w:rsidRPr="006F2FC4">
              <w:rPr>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3BA6F12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E7DE8D8" w14:textId="77777777">
            <w:pPr>
              <w:pStyle w:val="p-table"/>
              <w:jc w:val="right"/>
              <w:rPr>
                <w:sz w:val="13"/>
                <w:szCs w:val="13"/>
              </w:rPr>
            </w:pPr>
            <w:r w:rsidRPr="006F2FC4">
              <w:rPr>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0F5A5620"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7A6D12F" w14:textId="77777777">
            <w:pPr>
              <w:pStyle w:val="p-table"/>
              <w:jc w:val="right"/>
              <w:rPr>
                <w:sz w:val="13"/>
                <w:szCs w:val="13"/>
              </w:rPr>
            </w:pPr>
            <w:r w:rsidRPr="006F2FC4">
              <w:rPr>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75B3BD74"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B7812FD"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87D3387"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62E7DB0"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09892E5" w14:textId="77777777">
            <w:pPr>
              <w:pStyle w:val="p-table"/>
              <w:jc w:val="right"/>
              <w:rPr>
                <w:sz w:val="13"/>
                <w:szCs w:val="13"/>
              </w:rPr>
            </w:pPr>
            <w:r w:rsidRPr="006F2FC4">
              <w:rPr>
                <w:sz w:val="13"/>
                <w:szCs w:val="13"/>
              </w:rPr>
              <w:t>72.894</w:t>
            </w:r>
          </w:p>
        </w:tc>
      </w:tr>
      <w:tr w:rsidR="0084290D" w:rsidTr="007433BE" w14:paraId="01D125D4" w14:textId="77777777">
        <w:tc>
          <w:tcPr>
            <w:tcW w:w="1240" w:type="pct"/>
            <w:tcMar>
              <w:top w:w="22" w:type="dxa"/>
              <w:bottom w:w="22" w:type="dxa"/>
              <w:right w:w="28" w:type="dxa"/>
            </w:tcMar>
          </w:tcPr>
          <w:p w:rsidRPr="006F2FC4" w:rsidR="0084290D" w:rsidRDefault="0084290D" w14:paraId="1102954D"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2B267681"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7D9CE9EF"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07C76313"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7307D17"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6A3B7CC5"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72E923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20AC4377"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BA4ECE6"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5120DDAA"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74E49FBE" w14:textId="77777777">
            <w:pPr>
              <w:pStyle w:val="p-table"/>
              <w:rPr>
                <w:sz w:val="13"/>
                <w:szCs w:val="13"/>
              </w:rPr>
            </w:pPr>
          </w:p>
        </w:tc>
      </w:tr>
      <w:tr w:rsidR="0084290D" w:rsidTr="007433BE" w14:paraId="23A97ACC" w14:textId="77777777">
        <w:tc>
          <w:tcPr>
            <w:tcW w:w="1240" w:type="pct"/>
            <w:tcBorders>
              <w:bottom w:val="single" w:color="009EE0" w:sz="2" w:space="0"/>
            </w:tcBorders>
            <w:tcMar>
              <w:top w:w="22" w:type="dxa"/>
              <w:bottom w:w="22" w:type="dxa"/>
              <w:right w:w="28" w:type="dxa"/>
            </w:tcMar>
          </w:tcPr>
          <w:p w:rsidRPr="006F2FC4" w:rsidR="0084290D" w:rsidRDefault="00CF5B93" w14:paraId="4FA4D569" w14:textId="77777777">
            <w:pPr>
              <w:pStyle w:val="p-table"/>
              <w:rPr>
                <w:sz w:val="13"/>
                <w:szCs w:val="13"/>
              </w:rPr>
            </w:pPr>
            <w:r w:rsidRPr="006F2FC4">
              <w:rPr>
                <w:b/>
                <w:sz w:val="13"/>
                <w:szCs w:val="13"/>
              </w:rPr>
              <w:t>Ontvangsten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019BFB1C" w14:textId="77777777">
            <w:pPr>
              <w:pStyle w:val="p-table"/>
              <w:jc w:val="right"/>
              <w:rPr>
                <w:sz w:val="13"/>
                <w:szCs w:val="13"/>
              </w:rPr>
            </w:pPr>
            <w:r w:rsidRPr="006F2FC4">
              <w:rPr>
                <w:b/>
                <w:sz w:val="13"/>
                <w:szCs w:val="13"/>
              </w:rPr>
              <w:t>131.821</w:t>
            </w:r>
          </w:p>
        </w:tc>
        <w:tc>
          <w:tcPr>
            <w:tcW w:w="372" w:type="pct"/>
            <w:tcBorders>
              <w:bottom w:val="single" w:color="009EE0" w:sz="2" w:space="0"/>
            </w:tcBorders>
            <w:tcMar>
              <w:top w:w="22" w:type="dxa"/>
              <w:left w:w="28" w:type="dxa"/>
              <w:bottom w:w="22" w:type="dxa"/>
              <w:right w:w="28" w:type="dxa"/>
            </w:tcMar>
          </w:tcPr>
          <w:p w:rsidRPr="006F2FC4" w:rsidR="0084290D" w:rsidRDefault="00CF5B93" w14:paraId="57FD231C"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538BD05" w14:textId="77777777">
            <w:pPr>
              <w:pStyle w:val="p-table"/>
              <w:jc w:val="right"/>
              <w:rPr>
                <w:sz w:val="13"/>
                <w:szCs w:val="13"/>
              </w:rPr>
            </w:pPr>
            <w:r w:rsidRPr="006F2FC4">
              <w:rPr>
                <w:b/>
                <w:sz w:val="13"/>
                <w:szCs w:val="13"/>
              </w:rPr>
              <w:t>131.821</w:t>
            </w:r>
          </w:p>
        </w:tc>
        <w:tc>
          <w:tcPr>
            <w:tcW w:w="372" w:type="pct"/>
            <w:tcBorders>
              <w:bottom w:val="single" w:color="009EE0" w:sz="2" w:space="0"/>
            </w:tcBorders>
            <w:tcMar>
              <w:top w:w="22" w:type="dxa"/>
              <w:left w:w="28" w:type="dxa"/>
              <w:bottom w:w="22" w:type="dxa"/>
              <w:right w:w="28" w:type="dxa"/>
            </w:tcMar>
          </w:tcPr>
          <w:p w:rsidRPr="006F2FC4" w:rsidR="0084290D" w:rsidRDefault="00CF5B93" w14:paraId="0CB83193" w14:textId="77777777">
            <w:pPr>
              <w:pStyle w:val="p-table"/>
              <w:jc w:val="right"/>
              <w:rPr>
                <w:sz w:val="13"/>
                <w:szCs w:val="13"/>
              </w:rPr>
            </w:pPr>
            <w:r w:rsidRPr="006F2FC4">
              <w:rPr>
                <w:b/>
                <w:sz w:val="13"/>
                <w:szCs w:val="13"/>
              </w:rPr>
              <w:t>4.471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11529631" w14:textId="77777777">
            <w:pPr>
              <w:pStyle w:val="p-table"/>
              <w:jc w:val="right"/>
              <w:rPr>
                <w:sz w:val="13"/>
                <w:szCs w:val="13"/>
              </w:rPr>
            </w:pPr>
            <w:r w:rsidRPr="006F2FC4">
              <w:rPr>
                <w:b/>
                <w:sz w:val="13"/>
                <w:szCs w:val="13"/>
              </w:rPr>
              <w:t>136.292</w:t>
            </w:r>
          </w:p>
        </w:tc>
        <w:tc>
          <w:tcPr>
            <w:tcW w:w="372" w:type="pct"/>
            <w:tcBorders>
              <w:bottom w:val="single" w:color="009EE0" w:sz="2" w:space="0"/>
            </w:tcBorders>
            <w:tcMar>
              <w:top w:w="22" w:type="dxa"/>
              <w:left w:w="28" w:type="dxa"/>
              <w:bottom w:w="22" w:type="dxa"/>
              <w:right w:w="28" w:type="dxa"/>
            </w:tcMar>
          </w:tcPr>
          <w:p w:rsidRPr="006F2FC4" w:rsidR="0084290D" w:rsidRDefault="00CF5B93" w14:paraId="28589BB6" w14:textId="77777777">
            <w:pPr>
              <w:pStyle w:val="p-table"/>
              <w:jc w:val="right"/>
              <w:rPr>
                <w:sz w:val="13"/>
                <w:szCs w:val="13"/>
              </w:rPr>
            </w:pPr>
            <w:r w:rsidRPr="006F2FC4">
              <w:rPr>
                <w:b/>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A5A5AA6"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75481BA"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00173DD" w14:textId="77777777">
            <w:pPr>
              <w:pStyle w:val="p-table"/>
              <w:jc w:val="right"/>
              <w:rPr>
                <w:sz w:val="13"/>
                <w:szCs w:val="13"/>
              </w:rPr>
            </w:pPr>
            <w:r w:rsidRPr="006F2FC4">
              <w:rPr>
                <w:b/>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2C6E771" w14:textId="77777777">
            <w:pPr>
              <w:pStyle w:val="p-table"/>
              <w:jc w:val="right"/>
              <w:rPr>
                <w:sz w:val="13"/>
                <w:szCs w:val="13"/>
              </w:rPr>
            </w:pPr>
            <w:r w:rsidRPr="006F2FC4">
              <w:rPr>
                <w:b/>
                <w:sz w:val="13"/>
                <w:szCs w:val="13"/>
              </w:rPr>
              <w:t>113.575</w:t>
            </w:r>
          </w:p>
        </w:tc>
      </w:tr>
      <w:tr w:rsidR="0084290D" w:rsidTr="007433BE" w14:paraId="338F126C" w14:textId="77777777">
        <w:tc>
          <w:tcPr>
            <w:tcW w:w="1240" w:type="pct"/>
            <w:tcMar>
              <w:top w:w="22" w:type="dxa"/>
              <w:bottom w:w="22" w:type="dxa"/>
              <w:right w:w="28" w:type="dxa"/>
            </w:tcMar>
          </w:tcPr>
          <w:p w:rsidRPr="006F2FC4" w:rsidR="0084290D" w:rsidRDefault="0084290D" w14:paraId="37D8A60D"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0D670536"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443F9CD8"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5770D51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1EABF6A0"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46212A1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158CFFC"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472FB44A"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C244823"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66F03011"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2770F5B6" w14:textId="77777777">
            <w:pPr>
              <w:pStyle w:val="p-table"/>
              <w:rPr>
                <w:sz w:val="13"/>
                <w:szCs w:val="13"/>
              </w:rPr>
            </w:pPr>
          </w:p>
        </w:tc>
      </w:tr>
      <w:tr w:rsidR="0084290D" w:rsidTr="007433BE" w14:paraId="4F0170B7" w14:textId="77777777">
        <w:tc>
          <w:tcPr>
            <w:tcW w:w="1240" w:type="pct"/>
            <w:tcBorders>
              <w:bottom w:val="single" w:color="009EE0" w:sz="2" w:space="0"/>
            </w:tcBorders>
            <w:tcMar>
              <w:top w:w="22" w:type="dxa"/>
              <w:bottom w:w="22" w:type="dxa"/>
              <w:right w:w="28" w:type="dxa"/>
            </w:tcMar>
          </w:tcPr>
          <w:p w:rsidRPr="006F2FC4" w:rsidR="0084290D" w:rsidRDefault="00CF5B93" w14:paraId="12C281C5" w14:textId="77777777">
            <w:pPr>
              <w:pStyle w:val="p-table"/>
              <w:rPr>
                <w:sz w:val="13"/>
                <w:szCs w:val="13"/>
              </w:rPr>
            </w:pPr>
            <w:r w:rsidRPr="006F2FC4">
              <w:rPr>
                <w:b/>
                <w:sz w:val="13"/>
                <w:szCs w:val="13"/>
              </w:rPr>
              <w:t>Garanties</w:t>
            </w:r>
          </w:p>
        </w:tc>
        <w:tc>
          <w:tcPr>
            <w:tcW w:w="382" w:type="pct"/>
            <w:tcBorders>
              <w:bottom w:val="single" w:color="009EE0" w:sz="2" w:space="0"/>
            </w:tcBorders>
            <w:tcMar>
              <w:top w:w="22" w:type="dxa"/>
              <w:left w:w="28" w:type="dxa"/>
              <w:bottom w:w="22" w:type="dxa"/>
              <w:right w:w="28" w:type="dxa"/>
            </w:tcMar>
          </w:tcPr>
          <w:p w:rsidRPr="006F2FC4" w:rsidR="0084290D" w:rsidRDefault="00CF5B93" w14:paraId="4AF90F73" w14:textId="77777777">
            <w:pPr>
              <w:pStyle w:val="p-table"/>
              <w:jc w:val="right"/>
              <w:rPr>
                <w:sz w:val="13"/>
                <w:szCs w:val="13"/>
              </w:rPr>
            </w:pPr>
            <w:r w:rsidRPr="006F2FC4">
              <w:rPr>
                <w:b/>
                <w:sz w:val="13"/>
                <w:szCs w:val="13"/>
              </w:rPr>
              <w:t>104.092</w:t>
            </w:r>
          </w:p>
        </w:tc>
        <w:tc>
          <w:tcPr>
            <w:tcW w:w="372" w:type="pct"/>
            <w:tcBorders>
              <w:bottom w:val="single" w:color="009EE0" w:sz="2" w:space="0"/>
            </w:tcBorders>
            <w:tcMar>
              <w:top w:w="22" w:type="dxa"/>
              <w:left w:w="28" w:type="dxa"/>
              <w:bottom w:w="22" w:type="dxa"/>
              <w:right w:w="28" w:type="dxa"/>
            </w:tcMar>
          </w:tcPr>
          <w:p w:rsidRPr="006F2FC4" w:rsidR="0084290D" w:rsidRDefault="00CF5B93" w14:paraId="4FD2810C"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9AD9422" w14:textId="77777777">
            <w:pPr>
              <w:pStyle w:val="p-table"/>
              <w:jc w:val="right"/>
              <w:rPr>
                <w:sz w:val="13"/>
                <w:szCs w:val="13"/>
              </w:rPr>
            </w:pPr>
            <w:r w:rsidRPr="006F2FC4">
              <w:rPr>
                <w:b/>
                <w:sz w:val="13"/>
                <w:szCs w:val="13"/>
              </w:rPr>
              <w:t>104.092</w:t>
            </w:r>
          </w:p>
        </w:tc>
        <w:tc>
          <w:tcPr>
            <w:tcW w:w="372" w:type="pct"/>
            <w:tcBorders>
              <w:bottom w:val="single" w:color="009EE0" w:sz="2" w:space="0"/>
            </w:tcBorders>
            <w:tcMar>
              <w:top w:w="22" w:type="dxa"/>
              <w:left w:w="28" w:type="dxa"/>
              <w:bottom w:w="22" w:type="dxa"/>
              <w:right w:w="28" w:type="dxa"/>
            </w:tcMar>
          </w:tcPr>
          <w:p w:rsidRPr="006F2FC4" w:rsidR="0084290D" w:rsidRDefault="00CF5B93" w14:paraId="7318AFF8" w14:textId="77777777">
            <w:pPr>
              <w:pStyle w:val="p-table"/>
              <w:jc w:val="right"/>
              <w:rPr>
                <w:sz w:val="13"/>
                <w:szCs w:val="13"/>
              </w:rPr>
            </w:pPr>
            <w:r w:rsidRPr="006F2FC4">
              <w:rPr>
                <w:b/>
                <w:sz w:val="13"/>
                <w:szCs w:val="13"/>
              </w:rPr>
              <w:t>2.200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523B236" w14:textId="77777777">
            <w:pPr>
              <w:pStyle w:val="p-table"/>
              <w:jc w:val="right"/>
              <w:rPr>
                <w:sz w:val="13"/>
                <w:szCs w:val="13"/>
              </w:rPr>
            </w:pPr>
            <w:r w:rsidRPr="006F2FC4">
              <w:rPr>
                <w:b/>
                <w:sz w:val="13"/>
                <w:szCs w:val="13"/>
              </w:rPr>
              <w:t>106.292</w:t>
            </w:r>
          </w:p>
        </w:tc>
        <w:tc>
          <w:tcPr>
            <w:tcW w:w="372" w:type="pct"/>
            <w:tcBorders>
              <w:bottom w:val="single" w:color="009EE0" w:sz="2" w:space="0"/>
            </w:tcBorders>
            <w:tcMar>
              <w:top w:w="22" w:type="dxa"/>
              <w:left w:w="28" w:type="dxa"/>
              <w:bottom w:w="22" w:type="dxa"/>
              <w:right w:w="28" w:type="dxa"/>
            </w:tcMar>
          </w:tcPr>
          <w:p w:rsidRPr="006F2FC4" w:rsidR="0084290D" w:rsidRDefault="00CF5B93" w14:paraId="15787180"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8A6F199"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78F59F7"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17B3B56"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FA02D94" w14:textId="77777777">
            <w:pPr>
              <w:pStyle w:val="p-table"/>
              <w:jc w:val="right"/>
              <w:rPr>
                <w:sz w:val="13"/>
                <w:szCs w:val="13"/>
              </w:rPr>
            </w:pPr>
            <w:r w:rsidRPr="006F2FC4">
              <w:rPr>
                <w:b/>
                <w:sz w:val="13"/>
                <w:szCs w:val="13"/>
              </w:rPr>
              <w:t>84.475</w:t>
            </w:r>
          </w:p>
        </w:tc>
      </w:tr>
      <w:tr w:rsidR="0084290D" w:rsidTr="007433BE" w14:paraId="66467797" w14:textId="77777777">
        <w:tc>
          <w:tcPr>
            <w:tcW w:w="1240" w:type="pct"/>
            <w:tcBorders>
              <w:bottom w:val="single" w:color="009EE0" w:sz="2" w:space="0"/>
            </w:tcBorders>
            <w:tcMar>
              <w:top w:w="22" w:type="dxa"/>
              <w:bottom w:w="22" w:type="dxa"/>
              <w:right w:w="28" w:type="dxa"/>
            </w:tcMar>
          </w:tcPr>
          <w:p w:rsidRPr="006F2FC4" w:rsidR="0084290D" w:rsidRDefault="00CF5B93" w14:paraId="054DF02E" w14:textId="77777777">
            <w:pPr>
              <w:pStyle w:val="p-table"/>
              <w:rPr>
                <w:sz w:val="13"/>
                <w:szCs w:val="13"/>
              </w:rPr>
            </w:pPr>
            <w:r w:rsidRPr="006F2FC4">
              <w:rPr>
                <w:sz w:val="13"/>
                <w:szCs w:val="13"/>
              </w:rPr>
              <w:t>Premies ekv</w:t>
            </w:r>
          </w:p>
        </w:tc>
        <w:tc>
          <w:tcPr>
            <w:tcW w:w="382" w:type="pct"/>
            <w:tcBorders>
              <w:bottom w:val="single" w:color="009EE0" w:sz="2" w:space="0"/>
            </w:tcBorders>
            <w:tcMar>
              <w:top w:w="22" w:type="dxa"/>
              <w:left w:w="28" w:type="dxa"/>
              <w:bottom w:w="22" w:type="dxa"/>
              <w:right w:w="28" w:type="dxa"/>
            </w:tcMar>
          </w:tcPr>
          <w:p w:rsidRPr="006F2FC4" w:rsidR="0084290D" w:rsidRDefault="00CF5B93" w14:paraId="1A03C411" w14:textId="77777777">
            <w:pPr>
              <w:pStyle w:val="p-table"/>
              <w:jc w:val="right"/>
              <w:rPr>
                <w:sz w:val="13"/>
                <w:szCs w:val="13"/>
              </w:rPr>
            </w:pPr>
            <w:r w:rsidRPr="006F2FC4">
              <w:rPr>
                <w:sz w:val="13"/>
                <w:szCs w:val="13"/>
              </w:rPr>
              <w:t>72.244</w:t>
            </w:r>
          </w:p>
        </w:tc>
        <w:tc>
          <w:tcPr>
            <w:tcW w:w="372" w:type="pct"/>
            <w:tcBorders>
              <w:bottom w:val="single" w:color="009EE0" w:sz="2" w:space="0"/>
            </w:tcBorders>
            <w:tcMar>
              <w:top w:w="22" w:type="dxa"/>
              <w:left w:w="28" w:type="dxa"/>
              <w:bottom w:w="22" w:type="dxa"/>
              <w:right w:w="28" w:type="dxa"/>
            </w:tcMar>
          </w:tcPr>
          <w:p w:rsidRPr="006F2FC4" w:rsidR="0084290D" w:rsidRDefault="00CF5B93" w14:paraId="1D85923A"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8476A94" w14:textId="77777777">
            <w:pPr>
              <w:pStyle w:val="p-table"/>
              <w:jc w:val="right"/>
              <w:rPr>
                <w:sz w:val="13"/>
                <w:szCs w:val="13"/>
              </w:rPr>
            </w:pPr>
            <w:r w:rsidRPr="006F2FC4">
              <w:rPr>
                <w:sz w:val="13"/>
                <w:szCs w:val="13"/>
              </w:rPr>
              <w:t>72.244</w:t>
            </w:r>
          </w:p>
        </w:tc>
        <w:tc>
          <w:tcPr>
            <w:tcW w:w="372" w:type="pct"/>
            <w:tcBorders>
              <w:bottom w:val="single" w:color="009EE0" w:sz="2" w:space="0"/>
            </w:tcBorders>
            <w:tcMar>
              <w:top w:w="22" w:type="dxa"/>
              <w:left w:w="28" w:type="dxa"/>
              <w:bottom w:w="22" w:type="dxa"/>
              <w:right w:w="28" w:type="dxa"/>
            </w:tcMar>
          </w:tcPr>
          <w:p w:rsidRPr="006F2FC4" w:rsidR="0084290D" w:rsidRDefault="00CF5B93" w14:paraId="56D06962"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467C898" w14:textId="77777777">
            <w:pPr>
              <w:pStyle w:val="p-table"/>
              <w:jc w:val="right"/>
              <w:rPr>
                <w:sz w:val="13"/>
                <w:szCs w:val="13"/>
              </w:rPr>
            </w:pPr>
            <w:r w:rsidRPr="006F2FC4">
              <w:rPr>
                <w:sz w:val="13"/>
                <w:szCs w:val="13"/>
              </w:rPr>
              <w:t>72.244</w:t>
            </w:r>
          </w:p>
        </w:tc>
        <w:tc>
          <w:tcPr>
            <w:tcW w:w="372" w:type="pct"/>
            <w:tcBorders>
              <w:bottom w:val="single" w:color="009EE0" w:sz="2" w:space="0"/>
            </w:tcBorders>
            <w:tcMar>
              <w:top w:w="22" w:type="dxa"/>
              <w:left w:w="28" w:type="dxa"/>
              <w:bottom w:w="22" w:type="dxa"/>
              <w:right w:w="28" w:type="dxa"/>
            </w:tcMar>
          </w:tcPr>
          <w:p w:rsidRPr="006F2FC4" w:rsidR="0084290D" w:rsidRDefault="00CF5B93" w14:paraId="6C87299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8534C7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EA842B9"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8148B79"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73779BF" w14:textId="77777777">
            <w:pPr>
              <w:pStyle w:val="p-table"/>
              <w:jc w:val="right"/>
              <w:rPr>
                <w:sz w:val="13"/>
                <w:szCs w:val="13"/>
              </w:rPr>
            </w:pPr>
            <w:r w:rsidRPr="006F2FC4">
              <w:rPr>
                <w:sz w:val="13"/>
                <w:szCs w:val="13"/>
              </w:rPr>
              <w:t>72.244</w:t>
            </w:r>
          </w:p>
        </w:tc>
      </w:tr>
      <w:tr w:rsidR="0084290D" w:rsidTr="007433BE" w14:paraId="0CF40F67" w14:textId="77777777">
        <w:tc>
          <w:tcPr>
            <w:tcW w:w="1240" w:type="pct"/>
            <w:tcBorders>
              <w:bottom w:val="single" w:color="009EE0" w:sz="2" w:space="0"/>
            </w:tcBorders>
            <w:tcMar>
              <w:top w:w="22" w:type="dxa"/>
              <w:bottom w:w="22" w:type="dxa"/>
              <w:right w:w="28" w:type="dxa"/>
            </w:tcMar>
          </w:tcPr>
          <w:p w:rsidRPr="006F2FC4" w:rsidR="0084290D" w:rsidRDefault="00CF5B93" w14:paraId="3866C894" w14:textId="77777777">
            <w:pPr>
              <w:pStyle w:val="p-table"/>
              <w:rPr>
                <w:sz w:val="13"/>
                <w:szCs w:val="13"/>
              </w:rPr>
            </w:pPr>
            <w:r w:rsidRPr="006F2FC4">
              <w:rPr>
                <w:sz w:val="13"/>
                <w:szCs w:val="13"/>
              </w:rPr>
              <w:t>Premies herverzekering leverancierskredieten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5A299EBF"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9BBDC1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6F6CB2D"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4DD4401" w14:textId="77777777">
            <w:pPr>
              <w:pStyle w:val="p-table"/>
              <w:jc w:val="right"/>
              <w:rPr>
                <w:sz w:val="13"/>
                <w:szCs w:val="13"/>
              </w:rPr>
            </w:pPr>
            <w:r w:rsidRPr="006F2FC4">
              <w:rPr>
                <w:sz w:val="13"/>
                <w:szCs w:val="13"/>
              </w:rPr>
              <w:t>1.200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786BF37" w14:textId="77777777">
            <w:pPr>
              <w:pStyle w:val="p-table"/>
              <w:jc w:val="right"/>
              <w:rPr>
                <w:sz w:val="13"/>
                <w:szCs w:val="13"/>
              </w:rPr>
            </w:pPr>
            <w:r w:rsidRPr="006F2FC4">
              <w:rPr>
                <w:sz w:val="13"/>
                <w:szCs w:val="13"/>
              </w:rPr>
              <w:t>1.200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7628D8E"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ADD3BB4"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4484E4B"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4F06E49"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6C3B498" w14:textId="77777777">
            <w:pPr>
              <w:pStyle w:val="p-table"/>
              <w:jc w:val="right"/>
              <w:rPr>
                <w:sz w:val="13"/>
                <w:szCs w:val="13"/>
              </w:rPr>
            </w:pPr>
            <w:r w:rsidRPr="006F2FC4">
              <w:rPr>
                <w:sz w:val="13"/>
                <w:szCs w:val="13"/>
              </w:rPr>
              <w:t>0</w:t>
            </w:r>
          </w:p>
        </w:tc>
      </w:tr>
      <w:tr w:rsidR="0084290D" w:rsidTr="007433BE" w14:paraId="327D99A8" w14:textId="77777777">
        <w:tc>
          <w:tcPr>
            <w:tcW w:w="1240" w:type="pct"/>
            <w:tcBorders>
              <w:bottom w:val="single" w:color="009EE0" w:sz="2" w:space="0"/>
            </w:tcBorders>
            <w:tcMar>
              <w:top w:w="22" w:type="dxa"/>
              <w:bottom w:w="22" w:type="dxa"/>
              <w:right w:w="28" w:type="dxa"/>
            </w:tcMar>
          </w:tcPr>
          <w:p w:rsidRPr="006F2FC4" w:rsidR="0084290D" w:rsidRDefault="00CF5B93" w14:paraId="09FF9047" w14:textId="77777777">
            <w:pPr>
              <w:pStyle w:val="p-table"/>
              <w:rPr>
                <w:sz w:val="13"/>
                <w:szCs w:val="13"/>
              </w:rPr>
            </w:pPr>
            <w:r w:rsidRPr="006F2FC4">
              <w:rPr>
                <w:sz w:val="13"/>
                <w:szCs w:val="13"/>
              </w:rPr>
              <w:t>Schaderestituties ekv voor 1999</w:t>
            </w:r>
          </w:p>
        </w:tc>
        <w:tc>
          <w:tcPr>
            <w:tcW w:w="382" w:type="pct"/>
            <w:tcBorders>
              <w:bottom w:val="single" w:color="009EE0" w:sz="2" w:space="0"/>
            </w:tcBorders>
            <w:tcMar>
              <w:top w:w="22" w:type="dxa"/>
              <w:left w:w="28" w:type="dxa"/>
              <w:bottom w:w="22" w:type="dxa"/>
              <w:right w:w="28" w:type="dxa"/>
            </w:tcMar>
          </w:tcPr>
          <w:p w:rsidRPr="006F2FC4" w:rsidR="0084290D" w:rsidRDefault="00CF5B93" w14:paraId="2C4EAD90" w14:textId="77777777">
            <w:pPr>
              <w:pStyle w:val="p-table"/>
              <w:jc w:val="right"/>
              <w:rPr>
                <w:sz w:val="13"/>
                <w:szCs w:val="13"/>
              </w:rPr>
            </w:pPr>
            <w:r w:rsidRPr="006F2FC4">
              <w:rPr>
                <w:sz w:val="13"/>
                <w:szCs w:val="13"/>
              </w:rPr>
              <w:t>19.781</w:t>
            </w:r>
          </w:p>
        </w:tc>
        <w:tc>
          <w:tcPr>
            <w:tcW w:w="372" w:type="pct"/>
            <w:tcBorders>
              <w:bottom w:val="single" w:color="009EE0" w:sz="2" w:space="0"/>
            </w:tcBorders>
            <w:tcMar>
              <w:top w:w="22" w:type="dxa"/>
              <w:left w:w="28" w:type="dxa"/>
              <w:bottom w:w="22" w:type="dxa"/>
              <w:right w:w="28" w:type="dxa"/>
            </w:tcMar>
          </w:tcPr>
          <w:p w:rsidRPr="006F2FC4" w:rsidR="0084290D" w:rsidRDefault="00CF5B93" w14:paraId="616548E0"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5A991DF" w14:textId="77777777">
            <w:pPr>
              <w:pStyle w:val="p-table"/>
              <w:jc w:val="right"/>
              <w:rPr>
                <w:sz w:val="13"/>
                <w:szCs w:val="13"/>
              </w:rPr>
            </w:pPr>
            <w:r w:rsidRPr="006F2FC4">
              <w:rPr>
                <w:sz w:val="13"/>
                <w:szCs w:val="13"/>
              </w:rPr>
              <w:t>19.781</w:t>
            </w:r>
          </w:p>
        </w:tc>
        <w:tc>
          <w:tcPr>
            <w:tcW w:w="372" w:type="pct"/>
            <w:tcBorders>
              <w:bottom w:val="single" w:color="009EE0" w:sz="2" w:space="0"/>
            </w:tcBorders>
            <w:tcMar>
              <w:top w:w="22" w:type="dxa"/>
              <w:left w:w="28" w:type="dxa"/>
              <w:bottom w:w="22" w:type="dxa"/>
              <w:right w:w="28" w:type="dxa"/>
            </w:tcMar>
          </w:tcPr>
          <w:p w:rsidRPr="006F2FC4" w:rsidR="0084290D" w:rsidRDefault="00CF5B93" w14:paraId="554DB8FB"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1BE4C07" w14:textId="77777777">
            <w:pPr>
              <w:pStyle w:val="p-table"/>
              <w:jc w:val="right"/>
              <w:rPr>
                <w:sz w:val="13"/>
                <w:szCs w:val="13"/>
              </w:rPr>
            </w:pPr>
            <w:r w:rsidRPr="006F2FC4">
              <w:rPr>
                <w:sz w:val="13"/>
                <w:szCs w:val="13"/>
              </w:rPr>
              <w:t>19.781</w:t>
            </w:r>
          </w:p>
        </w:tc>
        <w:tc>
          <w:tcPr>
            <w:tcW w:w="372" w:type="pct"/>
            <w:tcBorders>
              <w:bottom w:val="single" w:color="009EE0" w:sz="2" w:space="0"/>
            </w:tcBorders>
            <w:tcMar>
              <w:top w:w="22" w:type="dxa"/>
              <w:left w:w="28" w:type="dxa"/>
              <w:bottom w:w="22" w:type="dxa"/>
              <w:right w:w="28" w:type="dxa"/>
            </w:tcMar>
          </w:tcPr>
          <w:p w:rsidRPr="006F2FC4" w:rsidR="0084290D" w:rsidRDefault="00CF5B93" w14:paraId="1C777007"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D117AF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2A6EE9C"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91C95D7"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8AD114D" w14:textId="77777777">
            <w:pPr>
              <w:pStyle w:val="p-table"/>
              <w:jc w:val="right"/>
              <w:rPr>
                <w:sz w:val="13"/>
                <w:szCs w:val="13"/>
              </w:rPr>
            </w:pPr>
            <w:r w:rsidRPr="006F2FC4">
              <w:rPr>
                <w:sz w:val="13"/>
                <w:szCs w:val="13"/>
              </w:rPr>
              <w:t>100</w:t>
            </w:r>
          </w:p>
        </w:tc>
      </w:tr>
      <w:tr w:rsidR="0084290D" w:rsidTr="007433BE" w14:paraId="206FBCE7" w14:textId="77777777">
        <w:tc>
          <w:tcPr>
            <w:tcW w:w="1240" w:type="pct"/>
            <w:tcBorders>
              <w:bottom w:val="single" w:color="009EE0" w:sz="2" w:space="0"/>
            </w:tcBorders>
            <w:tcMar>
              <w:top w:w="22" w:type="dxa"/>
              <w:bottom w:w="22" w:type="dxa"/>
              <w:right w:w="28" w:type="dxa"/>
            </w:tcMar>
          </w:tcPr>
          <w:p w:rsidRPr="006F2FC4" w:rsidR="0084290D" w:rsidRDefault="00CF5B93" w14:paraId="177C7DFA" w14:textId="77777777">
            <w:pPr>
              <w:pStyle w:val="p-table"/>
              <w:rPr>
                <w:sz w:val="13"/>
                <w:szCs w:val="13"/>
              </w:rPr>
            </w:pPr>
            <w:r w:rsidRPr="006F2FC4">
              <w:rPr>
                <w:sz w:val="13"/>
                <w:szCs w:val="13"/>
              </w:rPr>
              <w:t>Schaderestituties ekv vanaf 1999 tot 2019</w:t>
            </w:r>
          </w:p>
        </w:tc>
        <w:tc>
          <w:tcPr>
            <w:tcW w:w="382" w:type="pct"/>
            <w:tcBorders>
              <w:bottom w:val="single" w:color="009EE0" w:sz="2" w:space="0"/>
            </w:tcBorders>
            <w:tcMar>
              <w:top w:w="22" w:type="dxa"/>
              <w:left w:w="28" w:type="dxa"/>
              <w:bottom w:w="22" w:type="dxa"/>
              <w:right w:w="28" w:type="dxa"/>
            </w:tcMar>
          </w:tcPr>
          <w:p w:rsidRPr="006F2FC4" w:rsidR="0084290D" w:rsidRDefault="00CF5B93" w14:paraId="1DF99F49" w14:textId="77777777">
            <w:pPr>
              <w:pStyle w:val="p-table"/>
              <w:jc w:val="right"/>
              <w:rPr>
                <w:sz w:val="13"/>
                <w:szCs w:val="13"/>
              </w:rPr>
            </w:pPr>
            <w:r w:rsidRPr="006F2FC4">
              <w:rPr>
                <w:sz w:val="13"/>
                <w:szCs w:val="13"/>
              </w:rPr>
              <w:t>640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C608798"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E3E7E0D" w14:textId="77777777">
            <w:pPr>
              <w:pStyle w:val="p-table"/>
              <w:jc w:val="right"/>
              <w:rPr>
                <w:sz w:val="13"/>
                <w:szCs w:val="13"/>
              </w:rPr>
            </w:pPr>
            <w:r w:rsidRPr="006F2FC4">
              <w:rPr>
                <w:sz w:val="13"/>
                <w:szCs w:val="13"/>
              </w:rPr>
              <w:t>640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E769C86"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75FBEC8" w14:textId="77777777">
            <w:pPr>
              <w:pStyle w:val="p-table"/>
              <w:jc w:val="right"/>
              <w:rPr>
                <w:sz w:val="13"/>
                <w:szCs w:val="13"/>
              </w:rPr>
            </w:pPr>
            <w:r w:rsidRPr="006F2FC4">
              <w:rPr>
                <w:sz w:val="13"/>
                <w:szCs w:val="13"/>
              </w:rPr>
              <w:t>640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F26F379"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4572340"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DF03439"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310771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9B50439" w14:textId="77777777">
            <w:pPr>
              <w:pStyle w:val="p-table"/>
              <w:jc w:val="right"/>
              <w:rPr>
                <w:sz w:val="13"/>
                <w:szCs w:val="13"/>
              </w:rPr>
            </w:pPr>
            <w:r w:rsidRPr="006F2FC4">
              <w:rPr>
                <w:sz w:val="13"/>
                <w:szCs w:val="13"/>
              </w:rPr>
              <w:t>650</w:t>
            </w:r>
          </w:p>
        </w:tc>
      </w:tr>
      <w:tr w:rsidR="0084290D" w:rsidTr="007433BE" w14:paraId="0AD85247" w14:textId="77777777">
        <w:tc>
          <w:tcPr>
            <w:tcW w:w="1240" w:type="pct"/>
            <w:tcBorders>
              <w:bottom w:val="single" w:color="009EE0" w:sz="2" w:space="0"/>
            </w:tcBorders>
            <w:tcMar>
              <w:top w:w="22" w:type="dxa"/>
              <w:bottom w:w="22" w:type="dxa"/>
              <w:right w:w="28" w:type="dxa"/>
            </w:tcMar>
          </w:tcPr>
          <w:p w:rsidRPr="006F2FC4" w:rsidR="0084290D" w:rsidRDefault="00CF5B93" w14:paraId="79AEAB41" w14:textId="77777777">
            <w:pPr>
              <w:pStyle w:val="p-table"/>
              <w:rPr>
                <w:sz w:val="13"/>
                <w:szCs w:val="13"/>
              </w:rPr>
            </w:pPr>
            <w:r w:rsidRPr="006F2FC4">
              <w:rPr>
                <w:sz w:val="13"/>
                <w:szCs w:val="13"/>
              </w:rPr>
              <w:t>Schaderestituties ekv na 2019</w:t>
            </w:r>
          </w:p>
        </w:tc>
        <w:tc>
          <w:tcPr>
            <w:tcW w:w="382" w:type="pct"/>
            <w:tcBorders>
              <w:bottom w:val="single" w:color="009EE0" w:sz="2" w:space="0"/>
            </w:tcBorders>
            <w:tcMar>
              <w:top w:w="22" w:type="dxa"/>
              <w:left w:w="28" w:type="dxa"/>
              <w:bottom w:w="22" w:type="dxa"/>
              <w:right w:w="28" w:type="dxa"/>
            </w:tcMar>
          </w:tcPr>
          <w:p w:rsidRPr="006F2FC4" w:rsidR="0084290D" w:rsidRDefault="00CF5B93" w14:paraId="3CECC570" w14:textId="77777777">
            <w:pPr>
              <w:pStyle w:val="p-table"/>
              <w:jc w:val="right"/>
              <w:rPr>
                <w:sz w:val="13"/>
                <w:szCs w:val="13"/>
              </w:rPr>
            </w:pPr>
            <w:r w:rsidRPr="006F2FC4">
              <w:rPr>
                <w:sz w:val="13"/>
                <w:szCs w:val="13"/>
              </w:rPr>
              <w:t>3.927</w:t>
            </w:r>
          </w:p>
        </w:tc>
        <w:tc>
          <w:tcPr>
            <w:tcW w:w="372" w:type="pct"/>
            <w:tcBorders>
              <w:bottom w:val="single" w:color="009EE0" w:sz="2" w:space="0"/>
            </w:tcBorders>
            <w:tcMar>
              <w:top w:w="22" w:type="dxa"/>
              <w:left w:w="28" w:type="dxa"/>
              <w:bottom w:w="22" w:type="dxa"/>
              <w:right w:w="28" w:type="dxa"/>
            </w:tcMar>
          </w:tcPr>
          <w:p w:rsidRPr="006F2FC4" w:rsidR="0084290D" w:rsidRDefault="00CF5B93" w14:paraId="625F380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9F50BF4" w14:textId="77777777">
            <w:pPr>
              <w:pStyle w:val="p-table"/>
              <w:jc w:val="right"/>
              <w:rPr>
                <w:sz w:val="13"/>
                <w:szCs w:val="13"/>
              </w:rPr>
            </w:pPr>
            <w:r w:rsidRPr="006F2FC4">
              <w:rPr>
                <w:sz w:val="13"/>
                <w:szCs w:val="13"/>
              </w:rPr>
              <w:t>3.927</w:t>
            </w:r>
          </w:p>
        </w:tc>
        <w:tc>
          <w:tcPr>
            <w:tcW w:w="372" w:type="pct"/>
            <w:tcBorders>
              <w:bottom w:val="single" w:color="009EE0" w:sz="2" w:space="0"/>
            </w:tcBorders>
            <w:tcMar>
              <w:top w:w="22" w:type="dxa"/>
              <w:left w:w="28" w:type="dxa"/>
              <w:bottom w:w="22" w:type="dxa"/>
              <w:right w:w="28" w:type="dxa"/>
            </w:tcMar>
          </w:tcPr>
          <w:p w:rsidRPr="006F2FC4" w:rsidR="0084290D" w:rsidRDefault="00CF5B93" w14:paraId="48D87E4F"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472817B" w14:textId="77777777">
            <w:pPr>
              <w:pStyle w:val="p-table"/>
              <w:jc w:val="right"/>
              <w:rPr>
                <w:sz w:val="13"/>
                <w:szCs w:val="13"/>
              </w:rPr>
            </w:pPr>
            <w:r w:rsidRPr="006F2FC4">
              <w:rPr>
                <w:sz w:val="13"/>
                <w:szCs w:val="13"/>
              </w:rPr>
              <w:t>3.927</w:t>
            </w:r>
          </w:p>
        </w:tc>
        <w:tc>
          <w:tcPr>
            <w:tcW w:w="372" w:type="pct"/>
            <w:tcBorders>
              <w:bottom w:val="single" w:color="009EE0" w:sz="2" w:space="0"/>
            </w:tcBorders>
            <w:tcMar>
              <w:top w:w="22" w:type="dxa"/>
              <w:left w:w="28" w:type="dxa"/>
              <w:bottom w:w="22" w:type="dxa"/>
              <w:right w:w="28" w:type="dxa"/>
            </w:tcMar>
          </w:tcPr>
          <w:p w:rsidRPr="006F2FC4" w:rsidR="0084290D" w:rsidRDefault="00CF5B93" w14:paraId="27DE0AED"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C55E544"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64919E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D736F3C"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07F331A" w14:textId="77777777">
            <w:pPr>
              <w:pStyle w:val="p-table"/>
              <w:jc w:val="right"/>
              <w:rPr>
                <w:sz w:val="13"/>
                <w:szCs w:val="13"/>
              </w:rPr>
            </w:pPr>
            <w:r w:rsidRPr="006F2FC4">
              <w:rPr>
                <w:sz w:val="13"/>
                <w:szCs w:val="13"/>
              </w:rPr>
              <w:t>3.981</w:t>
            </w:r>
          </w:p>
        </w:tc>
      </w:tr>
      <w:tr w:rsidR="0084290D" w:rsidTr="007433BE" w14:paraId="49A568D1" w14:textId="77777777">
        <w:tc>
          <w:tcPr>
            <w:tcW w:w="1240" w:type="pct"/>
            <w:tcBorders>
              <w:bottom w:val="single" w:color="009EE0" w:sz="2" w:space="0"/>
            </w:tcBorders>
            <w:tcMar>
              <w:top w:w="22" w:type="dxa"/>
              <w:bottom w:w="22" w:type="dxa"/>
              <w:right w:w="28" w:type="dxa"/>
            </w:tcMar>
          </w:tcPr>
          <w:p w:rsidRPr="006F2FC4" w:rsidR="0084290D" w:rsidRDefault="00CF5B93" w14:paraId="27D91B80" w14:textId="77777777">
            <w:pPr>
              <w:pStyle w:val="p-table"/>
              <w:rPr>
                <w:sz w:val="13"/>
                <w:szCs w:val="13"/>
              </w:rPr>
            </w:pPr>
            <w:r w:rsidRPr="006F2FC4">
              <w:rPr>
                <w:sz w:val="13"/>
                <w:szCs w:val="13"/>
              </w:rPr>
              <w:t>Schaderestituties herverzekering leverancierskredieten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4F00CFB2"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D2CC377"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953AA55"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9BA73B1" w14:textId="77777777">
            <w:pPr>
              <w:pStyle w:val="p-table"/>
              <w:jc w:val="right"/>
              <w:rPr>
                <w:sz w:val="13"/>
                <w:szCs w:val="13"/>
              </w:rPr>
            </w:pPr>
            <w:r w:rsidRPr="006F2FC4">
              <w:rPr>
                <w:sz w:val="13"/>
                <w:szCs w:val="13"/>
              </w:rPr>
              <w:t>1.000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0F52DF6" w14:textId="77777777">
            <w:pPr>
              <w:pStyle w:val="p-table"/>
              <w:jc w:val="right"/>
              <w:rPr>
                <w:sz w:val="13"/>
                <w:szCs w:val="13"/>
              </w:rPr>
            </w:pPr>
            <w:r w:rsidRPr="006F2FC4">
              <w:rPr>
                <w:sz w:val="13"/>
                <w:szCs w:val="13"/>
              </w:rPr>
              <w:t>1.000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8F0F5FC"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F19803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057A1C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CE54DAB"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3E169D2" w14:textId="77777777">
            <w:pPr>
              <w:pStyle w:val="p-table"/>
              <w:jc w:val="right"/>
              <w:rPr>
                <w:sz w:val="13"/>
                <w:szCs w:val="13"/>
              </w:rPr>
            </w:pPr>
            <w:r w:rsidRPr="006F2FC4">
              <w:rPr>
                <w:sz w:val="13"/>
                <w:szCs w:val="13"/>
              </w:rPr>
              <w:t>0</w:t>
            </w:r>
          </w:p>
        </w:tc>
      </w:tr>
      <w:tr w:rsidR="0084290D" w:rsidTr="007433BE" w14:paraId="5A1E39EE" w14:textId="77777777">
        <w:tc>
          <w:tcPr>
            <w:tcW w:w="1240" w:type="pct"/>
            <w:tcBorders>
              <w:bottom w:val="single" w:color="009EE0" w:sz="2" w:space="0"/>
            </w:tcBorders>
            <w:tcMar>
              <w:top w:w="22" w:type="dxa"/>
              <w:bottom w:w="22" w:type="dxa"/>
              <w:right w:w="28" w:type="dxa"/>
            </w:tcMar>
          </w:tcPr>
          <w:p w:rsidRPr="006F2FC4" w:rsidR="0084290D" w:rsidRDefault="00CF5B93" w14:paraId="69B2F75C" w14:textId="77777777">
            <w:pPr>
              <w:pStyle w:val="p-table"/>
              <w:rPr>
                <w:sz w:val="13"/>
                <w:szCs w:val="13"/>
              </w:rPr>
            </w:pPr>
            <w:r w:rsidRPr="006F2FC4">
              <w:rPr>
                <w:sz w:val="13"/>
                <w:szCs w:val="13"/>
              </w:rPr>
              <w:t xml:space="preserve">Herverzekerde schades </w:t>
            </w:r>
            <w:proofErr w:type="spellStart"/>
            <w:r w:rsidRPr="006F2FC4">
              <w:rPr>
                <w:sz w:val="13"/>
                <w:szCs w:val="13"/>
              </w:rPr>
              <w:t>ekv-schadeuitkeringen</w:t>
            </w:r>
            <w:proofErr w:type="spellEnd"/>
          </w:p>
        </w:tc>
        <w:tc>
          <w:tcPr>
            <w:tcW w:w="382" w:type="pct"/>
            <w:tcBorders>
              <w:bottom w:val="single" w:color="009EE0" w:sz="2" w:space="0"/>
            </w:tcBorders>
            <w:tcMar>
              <w:top w:w="22" w:type="dxa"/>
              <w:left w:w="28" w:type="dxa"/>
              <w:bottom w:w="22" w:type="dxa"/>
              <w:right w:w="28" w:type="dxa"/>
            </w:tcMar>
          </w:tcPr>
          <w:p w:rsidRPr="006F2FC4" w:rsidR="0084290D" w:rsidRDefault="00CF5B93" w14:paraId="11C871AC" w14:textId="77777777">
            <w:pPr>
              <w:pStyle w:val="p-table"/>
              <w:jc w:val="right"/>
              <w:rPr>
                <w:sz w:val="13"/>
                <w:szCs w:val="13"/>
              </w:rPr>
            </w:pPr>
            <w:r w:rsidRPr="006F2FC4">
              <w:rPr>
                <w:sz w:val="13"/>
                <w:szCs w:val="13"/>
              </w:rPr>
              <w:t>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1BD808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DF82829" w14:textId="77777777">
            <w:pPr>
              <w:pStyle w:val="p-table"/>
              <w:jc w:val="right"/>
              <w:rPr>
                <w:sz w:val="13"/>
                <w:szCs w:val="13"/>
              </w:rPr>
            </w:pPr>
            <w:r w:rsidRPr="006F2FC4">
              <w:rPr>
                <w:sz w:val="13"/>
                <w:szCs w:val="13"/>
              </w:rPr>
              <w:t>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4298F6C"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9701D0B" w14:textId="77777777">
            <w:pPr>
              <w:pStyle w:val="p-table"/>
              <w:jc w:val="right"/>
              <w:rPr>
                <w:sz w:val="13"/>
                <w:szCs w:val="13"/>
              </w:rPr>
            </w:pPr>
            <w:r w:rsidRPr="006F2FC4">
              <w:rPr>
                <w:sz w:val="13"/>
                <w:szCs w:val="13"/>
              </w:rPr>
              <w:t>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D16FDAC"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60E7EB0"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51ED92F"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B7EE991"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ED34582" w14:textId="77777777">
            <w:pPr>
              <w:pStyle w:val="p-table"/>
              <w:jc w:val="right"/>
              <w:rPr>
                <w:sz w:val="13"/>
                <w:szCs w:val="13"/>
              </w:rPr>
            </w:pPr>
            <w:r w:rsidRPr="006F2FC4">
              <w:rPr>
                <w:sz w:val="13"/>
                <w:szCs w:val="13"/>
              </w:rPr>
              <w:t>7.500</w:t>
            </w:r>
          </w:p>
        </w:tc>
      </w:tr>
      <w:tr w:rsidR="0084290D" w:rsidTr="007433BE" w14:paraId="5ED8BE8F" w14:textId="77777777">
        <w:tc>
          <w:tcPr>
            <w:tcW w:w="1240" w:type="pct"/>
            <w:tcBorders>
              <w:bottom w:val="single" w:color="009EE0" w:sz="2" w:space="0"/>
            </w:tcBorders>
            <w:tcMar>
              <w:top w:w="22" w:type="dxa"/>
              <w:bottom w:w="22" w:type="dxa"/>
              <w:right w:w="28" w:type="dxa"/>
            </w:tcMar>
          </w:tcPr>
          <w:p w:rsidRPr="006F2FC4" w:rsidR="0084290D" w:rsidRDefault="0084290D" w14:paraId="54A15805"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4CBA9B9F"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2DF0FA81"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10C6F53E"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3BBAFEDA"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0FCFB4EF"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2E5CF018"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3E739632"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7355CEF5"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3DF18231"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751C6EEF" w14:textId="77777777">
            <w:pPr>
              <w:pStyle w:val="p-table"/>
              <w:rPr>
                <w:sz w:val="13"/>
                <w:szCs w:val="13"/>
              </w:rPr>
            </w:pPr>
          </w:p>
        </w:tc>
      </w:tr>
      <w:tr w:rsidR="0084290D" w:rsidTr="007433BE" w14:paraId="4EB8B30D" w14:textId="77777777">
        <w:tc>
          <w:tcPr>
            <w:tcW w:w="1240" w:type="pct"/>
            <w:tcBorders>
              <w:bottom w:val="single" w:color="009EE0" w:sz="2" w:space="0"/>
            </w:tcBorders>
            <w:tcMar>
              <w:top w:w="22" w:type="dxa"/>
              <w:bottom w:w="22" w:type="dxa"/>
              <w:right w:w="28" w:type="dxa"/>
            </w:tcMar>
          </w:tcPr>
          <w:p w:rsidRPr="006F2FC4" w:rsidR="0084290D" w:rsidRDefault="00CF5B93" w14:paraId="3C1357FB" w14:textId="77777777">
            <w:pPr>
              <w:pStyle w:val="p-table"/>
              <w:rPr>
                <w:sz w:val="13"/>
                <w:szCs w:val="13"/>
              </w:rPr>
            </w:pPr>
            <w:r w:rsidRPr="006F2FC4">
              <w:rPr>
                <w:b/>
                <w:sz w:val="13"/>
                <w:szCs w:val="13"/>
              </w:rPr>
              <w:t>Storting/onttrekking begrotingsreserve</w:t>
            </w:r>
          </w:p>
        </w:tc>
        <w:tc>
          <w:tcPr>
            <w:tcW w:w="382" w:type="pct"/>
            <w:tcBorders>
              <w:bottom w:val="single" w:color="009EE0" w:sz="2" w:space="0"/>
            </w:tcBorders>
            <w:tcMar>
              <w:top w:w="22" w:type="dxa"/>
              <w:left w:w="28" w:type="dxa"/>
              <w:bottom w:w="22" w:type="dxa"/>
              <w:right w:w="28" w:type="dxa"/>
            </w:tcMar>
          </w:tcPr>
          <w:p w:rsidRPr="006F2FC4" w:rsidR="0084290D" w:rsidRDefault="00CF5B93" w14:paraId="4D22FE77" w14:textId="77777777">
            <w:pPr>
              <w:pStyle w:val="p-table"/>
              <w:jc w:val="right"/>
              <w:rPr>
                <w:sz w:val="13"/>
                <w:szCs w:val="13"/>
              </w:rPr>
            </w:pPr>
            <w:r w:rsidRPr="006F2FC4">
              <w:rPr>
                <w:b/>
                <w:sz w:val="13"/>
                <w:szCs w:val="13"/>
              </w:rPr>
              <w:t>27.729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5289039B"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D5C2C1F" w14:textId="77777777">
            <w:pPr>
              <w:pStyle w:val="p-table"/>
              <w:jc w:val="right"/>
              <w:rPr>
                <w:sz w:val="13"/>
                <w:szCs w:val="13"/>
              </w:rPr>
            </w:pPr>
            <w:r w:rsidRPr="006F2FC4">
              <w:rPr>
                <w:b/>
                <w:sz w:val="13"/>
                <w:szCs w:val="13"/>
              </w:rPr>
              <w:t>27.729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041580CD" w14:textId="77777777">
            <w:pPr>
              <w:pStyle w:val="p-table"/>
              <w:jc w:val="right"/>
              <w:rPr>
                <w:sz w:val="13"/>
                <w:szCs w:val="13"/>
              </w:rPr>
            </w:pPr>
            <w:r w:rsidRPr="006F2FC4">
              <w:rPr>
                <w:b/>
                <w:sz w:val="13"/>
                <w:szCs w:val="13"/>
              </w:rPr>
              <w:t>2.271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47FADC5D" w14:textId="77777777">
            <w:pPr>
              <w:pStyle w:val="p-table"/>
              <w:jc w:val="right"/>
              <w:rPr>
                <w:sz w:val="13"/>
                <w:szCs w:val="13"/>
              </w:rPr>
            </w:pPr>
            <w:r w:rsidRPr="006F2FC4">
              <w:rPr>
                <w:b/>
                <w:sz w:val="13"/>
                <w:szCs w:val="13"/>
              </w:rPr>
              <w:t>30.000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DE4B5D8" w14:textId="77777777">
            <w:pPr>
              <w:pStyle w:val="p-table"/>
              <w:jc w:val="right"/>
              <w:rPr>
                <w:sz w:val="13"/>
                <w:szCs w:val="13"/>
              </w:rPr>
            </w:pPr>
            <w:r w:rsidRPr="006F2FC4">
              <w:rPr>
                <w:b/>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A212C69"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5B1853E"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6519834" w14:textId="77777777">
            <w:pPr>
              <w:pStyle w:val="p-table"/>
              <w:jc w:val="right"/>
              <w:rPr>
                <w:sz w:val="13"/>
                <w:szCs w:val="13"/>
              </w:rPr>
            </w:pPr>
            <w:r w:rsidRPr="006F2FC4">
              <w:rPr>
                <w:b/>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348E651" w14:textId="77777777">
            <w:pPr>
              <w:pStyle w:val="p-table"/>
              <w:jc w:val="right"/>
              <w:rPr>
                <w:sz w:val="13"/>
                <w:szCs w:val="13"/>
              </w:rPr>
            </w:pPr>
            <w:r w:rsidRPr="006F2FC4">
              <w:rPr>
                <w:b/>
                <w:sz w:val="13"/>
                <w:szCs w:val="13"/>
              </w:rPr>
              <w:t>29.100</w:t>
            </w:r>
          </w:p>
        </w:tc>
      </w:tr>
      <w:tr w:rsidR="0084290D" w:rsidTr="007433BE" w14:paraId="0189E466" w14:textId="77777777">
        <w:tc>
          <w:tcPr>
            <w:tcW w:w="1240" w:type="pct"/>
            <w:tcBorders>
              <w:bottom w:val="single" w:color="009EE0" w:sz="2" w:space="0"/>
            </w:tcBorders>
            <w:tcMar>
              <w:top w:w="22" w:type="dxa"/>
              <w:bottom w:w="22" w:type="dxa"/>
              <w:right w:w="28" w:type="dxa"/>
            </w:tcMar>
          </w:tcPr>
          <w:p w:rsidRPr="006F2FC4" w:rsidR="0084290D" w:rsidRDefault="00CF5B93" w14:paraId="1EB9DCDB" w14:textId="77777777">
            <w:pPr>
              <w:pStyle w:val="p-table"/>
              <w:rPr>
                <w:sz w:val="13"/>
                <w:szCs w:val="13"/>
              </w:rPr>
            </w:pPr>
            <w:r w:rsidRPr="006F2FC4">
              <w:rPr>
                <w:sz w:val="13"/>
                <w:szCs w:val="13"/>
              </w:rPr>
              <w:t>Mutatie begrotingsreserve ekv</w:t>
            </w:r>
          </w:p>
        </w:tc>
        <w:tc>
          <w:tcPr>
            <w:tcW w:w="382" w:type="pct"/>
            <w:tcBorders>
              <w:bottom w:val="single" w:color="009EE0" w:sz="2" w:space="0"/>
            </w:tcBorders>
            <w:tcMar>
              <w:top w:w="22" w:type="dxa"/>
              <w:left w:w="28" w:type="dxa"/>
              <w:bottom w:w="22" w:type="dxa"/>
              <w:right w:w="28" w:type="dxa"/>
            </w:tcMar>
          </w:tcPr>
          <w:p w:rsidRPr="006F2FC4" w:rsidR="0084290D" w:rsidRDefault="00CF5B93" w14:paraId="5B5A7CF2" w14:textId="77777777">
            <w:pPr>
              <w:pStyle w:val="p-table"/>
              <w:jc w:val="right"/>
              <w:rPr>
                <w:sz w:val="13"/>
                <w:szCs w:val="13"/>
              </w:rPr>
            </w:pPr>
            <w:r w:rsidRPr="006F2FC4">
              <w:rPr>
                <w:sz w:val="13"/>
                <w:szCs w:val="13"/>
              </w:rPr>
              <w:t>27.729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39784361"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5BDB68E" w14:textId="77777777">
            <w:pPr>
              <w:pStyle w:val="p-table"/>
              <w:jc w:val="right"/>
              <w:rPr>
                <w:sz w:val="13"/>
                <w:szCs w:val="13"/>
              </w:rPr>
            </w:pPr>
            <w:r w:rsidRPr="006F2FC4">
              <w:rPr>
                <w:sz w:val="13"/>
                <w:szCs w:val="13"/>
              </w:rPr>
              <w:t>27.729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6A114903" w14:textId="77777777">
            <w:pPr>
              <w:pStyle w:val="p-table"/>
              <w:jc w:val="right"/>
              <w:rPr>
                <w:sz w:val="13"/>
                <w:szCs w:val="13"/>
              </w:rPr>
            </w:pPr>
            <w:r w:rsidRPr="006F2FC4">
              <w:rPr>
                <w:sz w:val="13"/>
                <w:szCs w:val="13"/>
              </w:rPr>
              <w:t>2.271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342AF9B8" w14:textId="77777777">
            <w:pPr>
              <w:pStyle w:val="p-table"/>
              <w:jc w:val="right"/>
              <w:rPr>
                <w:sz w:val="13"/>
                <w:szCs w:val="13"/>
              </w:rPr>
            </w:pPr>
            <w:r w:rsidRPr="006F2FC4">
              <w:rPr>
                <w:sz w:val="13"/>
                <w:szCs w:val="13"/>
              </w:rPr>
              <w:t>30.000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FBAC475" w14:textId="77777777">
            <w:pPr>
              <w:pStyle w:val="p-table"/>
              <w:jc w:val="right"/>
              <w:rPr>
                <w:sz w:val="13"/>
                <w:szCs w:val="13"/>
              </w:rPr>
            </w:pPr>
            <w:r w:rsidRPr="006F2FC4">
              <w:rPr>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B0FBAAE" w14:textId="77777777">
            <w:pPr>
              <w:pStyle w:val="p-table"/>
              <w:jc w:val="right"/>
              <w:rPr>
                <w:sz w:val="13"/>
                <w:szCs w:val="13"/>
              </w:rPr>
            </w:pPr>
            <w:r w:rsidRPr="006F2FC4">
              <w:rPr>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579A0EB" w14:textId="77777777">
            <w:pPr>
              <w:pStyle w:val="p-table"/>
              <w:jc w:val="right"/>
              <w:rPr>
                <w:sz w:val="13"/>
                <w:szCs w:val="13"/>
              </w:rPr>
            </w:pPr>
            <w:r w:rsidRPr="006F2FC4">
              <w:rPr>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61F2D04" w14:textId="77777777">
            <w:pPr>
              <w:pStyle w:val="p-table"/>
              <w:jc w:val="right"/>
              <w:rPr>
                <w:sz w:val="13"/>
                <w:szCs w:val="13"/>
              </w:rPr>
            </w:pPr>
            <w:r w:rsidRPr="006F2FC4">
              <w:rPr>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50EBD88" w14:textId="77777777">
            <w:pPr>
              <w:pStyle w:val="p-table"/>
              <w:jc w:val="right"/>
              <w:rPr>
                <w:sz w:val="13"/>
                <w:szCs w:val="13"/>
              </w:rPr>
            </w:pPr>
            <w:r w:rsidRPr="006F2FC4">
              <w:rPr>
                <w:sz w:val="13"/>
                <w:szCs w:val="13"/>
              </w:rPr>
              <w:t>29.100</w:t>
            </w:r>
          </w:p>
        </w:tc>
      </w:tr>
    </w:tbl>
    <w:p w:rsidR="0084290D" w:rsidRDefault="0084290D" w14:paraId="220BD64D" w14:textId="77777777">
      <w:pPr>
        <w:pStyle w:val="p-marginbottom"/>
      </w:pPr>
    </w:p>
    <w:tbl>
      <w:tblPr>
        <w:tblW w:w="5000" w:type="pct"/>
        <w:tblCellMar>
          <w:left w:w="10" w:type="dxa"/>
          <w:right w:w="10" w:type="dxa"/>
        </w:tblCellMar>
        <w:tblLook w:val="0000" w:firstRow="0" w:lastRow="0" w:firstColumn="0" w:lastColumn="0" w:noHBand="0" w:noVBand="0"/>
      </w:tblPr>
      <w:tblGrid>
        <w:gridCol w:w="2398"/>
        <w:gridCol w:w="739"/>
        <w:gridCol w:w="720"/>
        <w:gridCol w:w="738"/>
        <w:gridCol w:w="719"/>
        <w:gridCol w:w="738"/>
        <w:gridCol w:w="719"/>
        <w:gridCol w:w="719"/>
        <w:gridCol w:w="719"/>
        <w:gridCol w:w="719"/>
        <w:gridCol w:w="738"/>
      </w:tblGrid>
      <w:tr w:rsidR="0084290D" w:rsidTr="007433BE" w14:paraId="32B594BD" w14:textId="77777777">
        <w:trPr>
          <w:tblHeader/>
        </w:trPr>
        <w:tc>
          <w:tcPr>
            <w:tcW w:w="5000" w:type="pct"/>
            <w:gridSpan w:val="11"/>
            <w:tcMar>
              <w:top w:w="22" w:type="dxa"/>
              <w:left w:w="113" w:type="dxa"/>
              <w:bottom w:w="22" w:type="dxa"/>
            </w:tcMar>
          </w:tcPr>
          <w:p w:rsidR="0084290D" w:rsidRDefault="00CF5B93" w14:paraId="3B29191F" w14:textId="77777777">
            <w:pPr>
              <w:pStyle w:val="kio2-table-title"/>
            </w:pPr>
            <w:r>
              <w:lastRenderedPageBreak/>
              <w:t>Tabel 20 Uitsplitsing verplichtingen (bedragen x € 1.000)</w:t>
            </w:r>
          </w:p>
        </w:tc>
      </w:tr>
      <w:tr w:rsidR="0084290D" w:rsidTr="007433BE" w14:paraId="5F517FB9" w14:textId="77777777">
        <w:trPr>
          <w:tblHeader/>
        </w:trPr>
        <w:tc>
          <w:tcPr>
            <w:tcW w:w="1240" w:type="pct"/>
            <w:tcBorders>
              <w:top w:val="single" w:color="000000" w:sz="2" w:space="0"/>
              <w:bottom w:val="single" w:color="009EE0" w:sz="2" w:space="0"/>
            </w:tcBorders>
            <w:tcMar>
              <w:top w:w="28" w:type="dxa"/>
              <w:bottom w:w="28" w:type="dxa"/>
              <w:right w:w="28" w:type="dxa"/>
            </w:tcMar>
          </w:tcPr>
          <w:p w:rsidRPr="00B63400" w:rsidR="0084290D" w:rsidRDefault="00CF5B93" w14:paraId="7B17E9FA" w14:textId="77777777">
            <w:pPr>
              <w:pStyle w:val="p-table"/>
              <w:rPr>
                <w:color w:val="000000"/>
                <w:sz w:val="13"/>
                <w:szCs w:val="13"/>
              </w:rPr>
            </w:pPr>
            <w:r w:rsidRPr="00B63400">
              <w:rPr>
                <w:color w:val="000000"/>
                <w:sz w:val="13"/>
                <w:szCs w:val="13"/>
              </w:rPr>
              <w:t>Omschrijving</w:t>
            </w:r>
          </w:p>
        </w:tc>
        <w:tc>
          <w:tcPr>
            <w:tcW w:w="38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5F781B6C" w14:textId="77777777">
            <w:pPr>
              <w:pStyle w:val="p-table"/>
              <w:jc w:val="right"/>
              <w:rPr>
                <w:color w:val="000000"/>
                <w:sz w:val="13"/>
                <w:szCs w:val="13"/>
              </w:rPr>
            </w:pPr>
            <w:r w:rsidRPr="00B63400">
              <w:rPr>
                <w:color w:val="000000"/>
                <w:sz w:val="13"/>
                <w:szCs w:val="13"/>
              </w:rPr>
              <w:t>Ontwerpbegroting 2026 (1)</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1DC0E4F7" w14:textId="77777777">
            <w:pPr>
              <w:pStyle w:val="p-table"/>
              <w:jc w:val="right"/>
              <w:rPr>
                <w:color w:val="000000"/>
                <w:sz w:val="13"/>
                <w:szCs w:val="13"/>
              </w:rPr>
            </w:pPr>
            <w:r w:rsidRPr="00B63400">
              <w:rPr>
                <w:color w:val="000000"/>
                <w:sz w:val="13"/>
                <w:szCs w:val="13"/>
              </w:rPr>
              <w:t>Mutaties via NvW, moties, amendementen en ISB (2)</w:t>
            </w:r>
          </w:p>
        </w:tc>
        <w:tc>
          <w:tcPr>
            <w:tcW w:w="38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0C1C8C55" w14:textId="77777777">
            <w:pPr>
              <w:pStyle w:val="p-table"/>
              <w:jc w:val="right"/>
              <w:rPr>
                <w:color w:val="000000"/>
                <w:sz w:val="13"/>
                <w:szCs w:val="13"/>
              </w:rPr>
            </w:pPr>
            <w:r w:rsidRPr="00B63400">
              <w:rPr>
                <w:color w:val="000000"/>
                <w:sz w:val="13"/>
                <w:szCs w:val="13"/>
              </w:rPr>
              <w:t>Vastgestelde begroting 2026 (3)=(1)+(2)</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3E405FFC" w14:textId="77777777">
            <w:pPr>
              <w:pStyle w:val="p-table"/>
              <w:jc w:val="right"/>
              <w:rPr>
                <w:color w:val="000000"/>
                <w:sz w:val="13"/>
                <w:szCs w:val="13"/>
              </w:rPr>
            </w:pPr>
            <w:r w:rsidRPr="00B63400">
              <w:rPr>
                <w:color w:val="000000"/>
                <w:sz w:val="13"/>
                <w:szCs w:val="13"/>
              </w:rPr>
              <w:t>Mutaties 1</w:t>
            </w:r>
            <w:r w:rsidRPr="00B63400">
              <w:rPr>
                <w:color w:val="000000"/>
                <w:sz w:val="13"/>
                <w:szCs w:val="13"/>
                <w:vertAlign w:val="superscript"/>
              </w:rPr>
              <w:t>e</w:t>
            </w:r>
            <w:r w:rsidRPr="00B63400">
              <w:rPr>
                <w:color w:val="000000"/>
                <w:sz w:val="13"/>
                <w:szCs w:val="13"/>
              </w:rPr>
              <w:t xml:space="preserve"> suppletoire begroting (4)</w:t>
            </w:r>
          </w:p>
        </w:tc>
        <w:tc>
          <w:tcPr>
            <w:tcW w:w="38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46AF2ED9" w14:textId="77777777">
            <w:pPr>
              <w:pStyle w:val="p-table"/>
              <w:jc w:val="right"/>
              <w:rPr>
                <w:color w:val="000000"/>
                <w:sz w:val="13"/>
                <w:szCs w:val="13"/>
              </w:rPr>
            </w:pPr>
            <w:r w:rsidRPr="00B63400">
              <w:rPr>
                <w:color w:val="000000"/>
                <w:sz w:val="13"/>
                <w:szCs w:val="13"/>
              </w:rPr>
              <w:t>Stand 1</w:t>
            </w:r>
            <w:r w:rsidRPr="00B63400">
              <w:rPr>
                <w:color w:val="000000"/>
                <w:sz w:val="13"/>
                <w:szCs w:val="13"/>
                <w:vertAlign w:val="superscript"/>
              </w:rPr>
              <w:t>e</w:t>
            </w:r>
            <w:r w:rsidRPr="00B63400">
              <w:rPr>
                <w:color w:val="000000"/>
                <w:sz w:val="13"/>
                <w:szCs w:val="13"/>
              </w:rPr>
              <w:t xml:space="preserve"> suppletoire begroting (5)=(3)+(4)</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49A50EAD" w14:textId="77777777">
            <w:pPr>
              <w:pStyle w:val="p-table"/>
              <w:jc w:val="right"/>
              <w:rPr>
                <w:color w:val="000000"/>
                <w:sz w:val="13"/>
                <w:szCs w:val="13"/>
              </w:rPr>
            </w:pPr>
            <w:r w:rsidRPr="00B63400">
              <w:rPr>
                <w:color w:val="000000"/>
                <w:sz w:val="13"/>
                <w:szCs w:val="13"/>
              </w:rPr>
              <w:t>Mutatie 2027</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5C30E680" w14:textId="77777777">
            <w:pPr>
              <w:pStyle w:val="p-table"/>
              <w:jc w:val="right"/>
              <w:rPr>
                <w:color w:val="000000"/>
                <w:sz w:val="13"/>
                <w:szCs w:val="13"/>
              </w:rPr>
            </w:pPr>
            <w:r w:rsidRPr="00B63400">
              <w:rPr>
                <w:color w:val="000000"/>
                <w:sz w:val="13"/>
                <w:szCs w:val="13"/>
              </w:rPr>
              <w:t>Mutatie 2028</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5B07ACAB" w14:textId="77777777">
            <w:pPr>
              <w:pStyle w:val="p-table"/>
              <w:jc w:val="right"/>
              <w:rPr>
                <w:color w:val="000000"/>
                <w:sz w:val="13"/>
                <w:szCs w:val="13"/>
              </w:rPr>
            </w:pPr>
            <w:r w:rsidRPr="00B63400">
              <w:rPr>
                <w:color w:val="000000"/>
                <w:sz w:val="13"/>
                <w:szCs w:val="13"/>
              </w:rPr>
              <w:t>Mutatie 2029</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5077F2BD" w14:textId="77777777">
            <w:pPr>
              <w:pStyle w:val="p-table"/>
              <w:jc w:val="right"/>
              <w:rPr>
                <w:color w:val="000000"/>
                <w:sz w:val="13"/>
                <w:szCs w:val="13"/>
              </w:rPr>
            </w:pPr>
            <w:r w:rsidRPr="00B63400">
              <w:rPr>
                <w:color w:val="000000"/>
                <w:sz w:val="13"/>
                <w:szCs w:val="13"/>
              </w:rPr>
              <w:t>Mutatie 2030</w:t>
            </w:r>
          </w:p>
        </w:tc>
        <w:tc>
          <w:tcPr>
            <w:tcW w:w="38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24A8159A" w14:textId="77777777">
            <w:pPr>
              <w:pStyle w:val="p-table"/>
              <w:jc w:val="right"/>
              <w:rPr>
                <w:color w:val="000000"/>
                <w:sz w:val="13"/>
                <w:szCs w:val="13"/>
              </w:rPr>
            </w:pPr>
            <w:r w:rsidRPr="00B63400">
              <w:rPr>
                <w:color w:val="000000"/>
                <w:sz w:val="13"/>
                <w:szCs w:val="13"/>
              </w:rPr>
              <w:t>Mutatie 2031</w:t>
            </w:r>
          </w:p>
        </w:tc>
      </w:tr>
      <w:tr w:rsidR="0084290D" w:rsidTr="007433BE" w14:paraId="0F67135B" w14:textId="77777777">
        <w:tc>
          <w:tcPr>
            <w:tcW w:w="1240" w:type="pct"/>
            <w:tcBorders>
              <w:bottom w:val="single" w:color="009EE0" w:sz="2" w:space="0"/>
            </w:tcBorders>
            <w:tcMar>
              <w:top w:w="22" w:type="dxa"/>
              <w:bottom w:w="22" w:type="dxa"/>
              <w:right w:w="28" w:type="dxa"/>
            </w:tcMar>
          </w:tcPr>
          <w:p w:rsidRPr="00B63400" w:rsidR="0084290D" w:rsidRDefault="00CF5B93" w14:paraId="549DC0AF" w14:textId="77777777">
            <w:pPr>
              <w:pStyle w:val="p-table"/>
              <w:rPr>
                <w:sz w:val="13"/>
                <w:szCs w:val="13"/>
              </w:rPr>
            </w:pPr>
            <w:r w:rsidRPr="00B63400">
              <w:rPr>
                <w:b/>
                <w:sz w:val="13"/>
                <w:szCs w:val="13"/>
              </w:rPr>
              <w:t>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42F5E9AB" w14:textId="77777777">
            <w:pPr>
              <w:pStyle w:val="p-table"/>
              <w:jc w:val="right"/>
              <w:rPr>
                <w:sz w:val="13"/>
                <w:szCs w:val="13"/>
              </w:rPr>
            </w:pPr>
            <w:r w:rsidRPr="00B63400">
              <w:rPr>
                <w:b/>
                <w:sz w:val="13"/>
                <w:szCs w:val="13"/>
              </w:rPr>
              <w:t>10.096.016</w:t>
            </w:r>
          </w:p>
        </w:tc>
        <w:tc>
          <w:tcPr>
            <w:tcW w:w="372" w:type="pct"/>
            <w:tcBorders>
              <w:bottom w:val="single" w:color="009EE0" w:sz="2" w:space="0"/>
            </w:tcBorders>
            <w:tcMar>
              <w:top w:w="22" w:type="dxa"/>
              <w:left w:w="28" w:type="dxa"/>
              <w:bottom w:w="22" w:type="dxa"/>
              <w:right w:w="28" w:type="dxa"/>
            </w:tcMar>
          </w:tcPr>
          <w:p w:rsidRPr="00B63400" w:rsidR="0084290D" w:rsidRDefault="00CF5B93" w14:paraId="6F1214C4" w14:textId="77777777">
            <w:pPr>
              <w:pStyle w:val="p-table"/>
              <w:jc w:val="right"/>
              <w:rPr>
                <w:sz w:val="13"/>
                <w:szCs w:val="13"/>
              </w:rPr>
            </w:pPr>
            <w:r w:rsidRPr="00B63400">
              <w:rPr>
                <w:b/>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3B3A6A1" w14:textId="77777777">
            <w:pPr>
              <w:pStyle w:val="p-table"/>
              <w:jc w:val="right"/>
              <w:rPr>
                <w:sz w:val="13"/>
                <w:szCs w:val="13"/>
              </w:rPr>
            </w:pPr>
            <w:r w:rsidRPr="00B63400">
              <w:rPr>
                <w:b/>
                <w:sz w:val="13"/>
                <w:szCs w:val="13"/>
              </w:rPr>
              <w:t>10.096.016</w:t>
            </w:r>
          </w:p>
        </w:tc>
        <w:tc>
          <w:tcPr>
            <w:tcW w:w="372" w:type="pct"/>
            <w:tcBorders>
              <w:bottom w:val="single" w:color="009EE0" w:sz="2" w:space="0"/>
            </w:tcBorders>
            <w:tcMar>
              <w:top w:w="22" w:type="dxa"/>
              <w:left w:w="28" w:type="dxa"/>
              <w:bottom w:w="22" w:type="dxa"/>
              <w:right w:w="28" w:type="dxa"/>
            </w:tcMar>
          </w:tcPr>
          <w:p w:rsidRPr="00B63400" w:rsidR="0084290D" w:rsidRDefault="00CF5B93" w14:paraId="3E0C390B" w14:textId="77777777">
            <w:pPr>
              <w:pStyle w:val="p-table"/>
              <w:jc w:val="right"/>
              <w:rPr>
                <w:sz w:val="13"/>
                <w:szCs w:val="13"/>
              </w:rPr>
            </w:pPr>
            <w:r w:rsidRPr="00B63400">
              <w:rPr>
                <w:b/>
                <w:sz w:val="13"/>
                <w:szCs w:val="13"/>
              </w:rPr>
              <w:t>4.471</w:t>
            </w:r>
          </w:p>
        </w:tc>
        <w:tc>
          <w:tcPr>
            <w:tcW w:w="382" w:type="pct"/>
            <w:tcBorders>
              <w:bottom w:val="single" w:color="009EE0" w:sz="2" w:space="0"/>
            </w:tcBorders>
            <w:tcMar>
              <w:top w:w="22" w:type="dxa"/>
              <w:left w:w="28" w:type="dxa"/>
              <w:bottom w:w="22" w:type="dxa"/>
              <w:right w:w="28" w:type="dxa"/>
            </w:tcMar>
          </w:tcPr>
          <w:p w:rsidRPr="00B63400" w:rsidR="0084290D" w:rsidRDefault="00CF5B93" w14:paraId="75F52A91" w14:textId="77777777">
            <w:pPr>
              <w:pStyle w:val="p-table"/>
              <w:jc w:val="right"/>
              <w:rPr>
                <w:sz w:val="13"/>
                <w:szCs w:val="13"/>
              </w:rPr>
            </w:pPr>
            <w:r w:rsidRPr="00B63400">
              <w:rPr>
                <w:b/>
                <w:sz w:val="13"/>
                <w:szCs w:val="13"/>
              </w:rPr>
              <w:t>10.100.487</w:t>
            </w:r>
          </w:p>
        </w:tc>
        <w:tc>
          <w:tcPr>
            <w:tcW w:w="372" w:type="pct"/>
            <w:tcBorders>
              <w:bottom w:val="single" w:color="009EE0" w:sz="2" w:space="0"/>
            </w:tcBorders>
            <w:tcMar>
              <w:top w:w="22" w:type="dxa"/>
              <w:left w:w="28" w:type="dxa"/>
              <w:bottom w:w="22" w:type="dxa"/>
              <w:right w:w="28" w:type="dxa"/>
            </w:tcMar>
          </w:tcPr>
          <w:p w:rsidRPr="00B63400" w:rsidR="0084290D" w:rsidRDefault="00CF5B93" w14:paraId="596EF921" w14:textId="77777777">
            <w:pPr>
              <w:pStyle w:val="p-table"/>
              <w:jc w:val="right"/>
              <w:rPr>
                <w:sz w:val="13"/>
                <w:szCs w:val="13"/>
              </w:rPr>
            </w:pPr>
            <w:r w:rsidRPr="00B63400">
              <w:rPr>
                <w:b/>
                <w:sz w:val="13"/>
                <w:szCs w:val="13"/>
              </w:rPr>
              <w:t>2.330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1585BF4" w14:textId="77777777">
            <w:pPr>
              <w:pStyle w:val="p-table"/>
              <w:jc w:val="right"/>
              <w:rPr>
                <w:sz w:val="13"/>
                <w:szCs w:val="13"/>
              </w:rPr>
            </w:pPr>
            <w:r w:rsidRPr="00B63400">
              <w:rPr>
                <w:b/>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5CC67E0" w14:textId="77777777">
            <w:pPr>
              <w:pStyle w:val="p-table"/>
              <w:jc w:val="right"/>
              <w:rPr>
                <w:sz w:val="13"/>
                <w:szCs w:val="13"/>
              </w:rPr>
            </w:pPr>
            <w:r w:rsidRPr="00B63400">
              <w:rPr>
                <w:b/>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DB9B3C0" w14:textId="77777777">
            <w:pPr>
              <w:pStyle w:val="p-table"/>
              <w:jc w:val="right"/>
              <w:rPr>
                <w:sz w:val="13"/>
                <w:szCs w:val="13"/>
              </w:rPr>
            </w:pPr>
            <w:r w:rsidRPr="00B63400">
              <w:rPr>
                <w:b/>
                <w:sz w:val="13"/>
                <w:szCs w:val="13"/>
              </w:rPr>
              <w:t>2.070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8318925" w14:textId="77777777">
            <w:pPr>
              <w:pStyle w:val="p-table"/>
              <w:jc w:val="right"/>
              <w:rPr>
                <w:sz w:val="13"/>
                <w:szCs w:val="13"/>
              </w:rPr>
            </w:pPr>
            <w:r w:rsidRPr="00B63400">
              <w:rPr>
                <w:b/>
                <w:sz w:val="13"/>
                <w:szCs w:val="13"/>
              </w:rPr>
              <w:t>10.097.397</w:t>
            </w:r>
          </w:p>
        </w:tc>
      </w:tr>
      <w:tr w:rsidR="0084290D" w:rsidTr="007433BE" w14:paraId="4D72A91D" w14:textId="77777777">
        <w:tc>
          <w:tcPr>
            <w:tcW w:w="1240" w:type="pct"/>
            <w:tcBorders>
              <w:bottom w:val="single" w:color="009EE0" w:sz="2" w:space="0"/>
            </w:tcBorders>
            <w:tcMar>
              <w:top w:w="22" w:type="dxa"/>
              <w:bottom w:w="22" w:type="dxa"/>
              <w:right w:w="28" w:type="dxa"/>
            </w:tcMar>
          </w:tcPr>
          <w:p w:rsidRPr="00B63400" w:rsidR="0084290D" w:rsidRDefault="00CF5B93" w14:paraId="005E4568" w14:textId="77777777">
            <w:pPr>
              <w:pStyle w:val="p-table"/>
              <w:rPr>
                <w:sz w:val="13"/>
                <w:szCs w:val="13"/>
              </w:rPr>
            </w:pPr>
            <w:r w:rsidRPr="00B63400">
              <w:rPr>
                <w:i/>
                <w:sz w:val="13"/>
                <w:szCs w:val="13"/>
              </w:rPr>
              <w:t>waarvan</w:t>
            </w:r>
            <w:r w:rsidRPr="00B63400">
              <w:rPr>
                <w:sz w:val="13"/>
                <w:szCs w:val="13"/>
              </w:rPr>
              <w:t xml:space="preserve"> garantieverplichtingen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3B9954DD"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45970F7"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64F6AF3"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FC6E775"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CAA6505"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FF251C6"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E37F491"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3AE3E22"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E928812"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67B2621" w14:textId="77777777">
            <w:pPr>
              <w:pStyle w:val="p-table"/>
              <w:jc w:val="right"/>
              <w:rPr>
                <w:sz w:val="13"/>
                <w:szCs w:val="13"/>
              </w:rPr>
            </w:pPr>
            <w:r w:rsidRPr="00B63400">
              <w:rPr>
                <w:sz w:val="13"/>
                <w:szCs w:val="13"/>
              </w:rPr>
              <w:t>10.000.000</w:t>
            </w:r>
          </w:p>
        </w:tc>
      </w:tr>
      <w:tr w:rsidR="0084290D" w:rsidTr="007433BE" w14:paraId="31C1D987" w14:textId="77777777">
        <w:tc>
          <w:tcPr>
            <w:tcW w:w="1240" w:type="pct"/>
            <w:tcBorders>
              <w:bottom w:val="single" w:color="009EE0" w:sz="2" w:space="0"/>
            </w:tcBorders>
            <w:tcMar>
              <w:top w:w="22" w:type="dxa"/>
              <w:bottom w:w="22" w:type="dxa"/>
              <w:right w:w="28" w:type="dxa"/>
            </w:tcMar>
          </w:tcPr>
          <w:p w:rsidRPr="00B63400" w:rsidR="0084290D" w:rsidRDefault="00CF5B93" w14:paraId="42CE914E" w14:textId="00E5AAF0">
            <w:pPr>
              <w:pStyle w:val="p-table"/>
              <w:rPr>
                <w:sz w:val="13"/>
                <w:szCs w:val="13"/>
              </w:rPr>
            </w:pPr>
            <w:r w:rsidRPr="00B63400">
              <w:rPr>
                <w:sz w:val="13"/>
                <w:szCs w:val="13"/>
              </w:rPr>
              <w:t>Exportkredietverzekeringen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09A93A07"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3C23C61B"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373D00D"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D015F2F"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8AD6D75"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04D041C"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5A38182"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CAC422D"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7738C0C"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6D057B6" w14:textId="77777777">
            <w:pPr>
              <w:pStyle w:val="p-table"/>
              <w:jc w:val="right"/>
              <w:rPr>
                <w:sz w:val="13"/>
                <w:szCs w:val="13"/>
              </w:rPr>
            </w:pPr>
            <w:r w:rsidRPr="00B63400">
              <w:rPr>
                <w:sz w:val="13"/>
                <w:szCs w:val="13"/>
              </w:rPr>
              <w:t>10.000.000</w:t>
            </w:r>
          </w:p>
        </w:tc>
      </w:tr>
      <w:tr w:rsidR="0084290D" w:rsidTr="007433BE" w14:paraId="21AAEE31" w14:textId="77777777">
        <w:tc>
          <w:tcPr>
            <w:tcW w:w="1240" w:type="pct"/>
            <w:tcBorders>
              <w:bottom w:val="single" w:color="009EE0" w:sz="2" w:space="0"/>
            </w:tcBorders>
            <w:tcMar>
              <w:top w:w="22" w:type="dxa"/>
              <w:bottom w:w="22" w:type="dxa"/>
              <w:right w:w="28" w:type="dxa"/>
            </w:tcMar>
          </w:tcPr>
          <w:p w:rsidRPr="00B63400" w:rsidR="0084290D" w:rsidRDefault="00CF5B93" w14:paraId="74C2E5FC" w14:textId="77777777">
            <w:pPr>
              <w:pStyle w:val="p-table"/>
              <w:rPr>
                <w:sz w:val="13"/>
                <w:szCs w:val="13"/>
              </w:rPr>
            </w:pPr>
            <w:r w:rsidRPr="00B63400">
              <w:rPr>
                <w:i/>
                <w:sz w:val="13"/>
                <w:szCs w:val="13"/>
              </w:rPr>
              <w:t>waarvan: aangegane garantieverplichtingen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73FDDB7F" w14:textId="77777777">
            <w:pPr>
              <w:pStyle w:val="p-table"/>
              <w:jc w:val="right"/>
              <w:rPr>
                <w:sz w:val="13"/>
                <w:szCs w:val="13"/>
              </w:rPr>
            </w:pPr>
            <w:r w:rsidRPr="00B63400">
              <w:rPr>
                <w:i/>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CDA8727"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167FD24A" w14:textId="77777777">
            <w:pPr>
              <w:pStyle w:val="p-table"/>
              <w:jc w:val="right"/>
              <w:rPr>
                <w:sz w:val="13"/>
                <w:szCs w:val="13"/>
              </w:rPr>
            </w:pPr>
            <w:r w:rsidRPr="00B63400">
              <w:rPr>
                <w:i/>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0B322BF"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348C644" w14:textId="77777777">
            <w:pPr>
              <w:pStyle w:val="p-table"/>
              <w:jc w:val="right"/>
              <w:rPr>
                <w:sz w:val="13"/>
                <w:szCs w:val="13"/>
              </w:rPr>
            </w:pPr>
            <w:r w:rsidRPr="00B63400">
              <w:rPr>
                <w:i/>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9EAE01F"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2A4A855"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1DA78A7"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5538C37"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136E2E3" w14:textId="77777777">
            <w:pPr>
              <w:pStyle w:val="p-table"/>
              <w:jc w:val="right"/>
              <w:rPr>
                <w:sz w:val="13"/>
                <w:szCs w:val="13"/>
              </w:rPr>
            </w:pPr>
            <w:r w:rsidRPr="00B63400">
              <w:rPr>
                <w:i/>
                <w:sz w:val="13"/>
                <w:szCs w:val="13"/>
              </w:rPr>
              <w:t>10.000.000</w:t>
            </w:r>
          </w:p>
        </w:tc>
      </w:tr>
      <w:tr w:rsidR="0084290D" w:rsidTr="007433BE" w14:paraId="5709B0FB" w14:textId="77777777">
        <w:tc>
          <w:tcPr>
            <w:tcW w:w="1240" w:type="pct"/>
            <w:tcBorders>
              <w:bottom w:val="single" w:color="009EE0" w:sz="2" w:space="0"/>
            </w:tcBorders>
            <w:tcMar>
              <w:top w:w="22" w:type="dxa"/>
              <w:bottom w:w="22" w:type="dxa"/>
              <w:right w:w="28" w:type="dxa"/>
            </w:tcMar>
          </w:tcPr>
          <w:p w:rsidRPr="00B63400" w:rsidR="0084290D" w:rsidRDefault="00CF5B93" w14:paraId="35808B78" w14:textId="77777777">
            <w:pPr>
              <w:pStyle w:val="p-table"/>
              <w:rPr>
                <w:sz w:val="13"/>
                <w:szCs w:val="13"/>
              </w:rPr>
            </w:pPr>
            <w:r w:rsidRPr="00B63400">
              <w:rPr>
                <w:i/>
                <w:sz w:val="13"/>
                <w:szCs w:val="13"/>
              </w:rPr>
              <w:t>waarvan: vervallen garantieverplichtingen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1F7340E1"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38CB9C1"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8BED590"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C13D4D8"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1FD95303"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F526D55"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8394E83"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985E283"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04F9D27"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094C8151" w14:textId="77777777">
            <w:pPr>
              <w:pStyle w:val="p-table"/>
              <w:jc w:val="right"/>
              <w:rPr>
                <w:sz w:val="13"/>
                <w:szCs w:val="13"/>
              </w:rPr>
            </w:pPr>
            <w:r w:rsidRPr="00B63400">
              <w:rPr>
                <w:i/>
                <w:sz w:val="13"/>
                <w:szCs w:val="13"/>
              </w:rPr>
              <w:t>0</w:t>
            </w:r>
          </w:p>
        </w:tc>
      </w:tr>
      <w:tr w:rsidR="0084290D" w:rsidTr="007433BE" w14:paraId="104D8A5F" w14:textId="77777777">
        <w:tc>
          <w:tcPr>
            <w:tcW w:w="1240" w:type="pct"/>
            <w:tcBorders>
              <w:bottom w:val="single" w:color="009EE0" w:sz="2" w:space="0"/>
            </w:tcBorders>
            <w:tcMar>
              <w:top w:w="22" w:type="dxa"/>
              <w:bottom w:w="22" w:type="dxa"/>
              <w:right w:w="28" w:type="dxa"/>
            </w:tcMar>
          </w:tcPr>
          <w:p w:rsidRPr="00B63400" w:rsidR="0084290D" w:rsidRDefault="0084290D" w14:paraId="29D76A03"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B63400" w:rsidR="0084290D" w:rsidRDefault="0084290D" w14:paraId="480AC1AB"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5FB48906"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B63400" w:rsidR="0084290D" w:rsidRDefault="0084290D" w14:paraId="2BF98518"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1E73C25C"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B63400" w:rsidR="0084290D" w:rsidRDefault="0084290D" w14:paraId="59F418B0"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04640CE8"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0D4FC227"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47D8098A"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45F2D5E3"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B63400" w:rsidR="0084290D" w:rsidRDefault="0084290D" w14:paraId="10044EBE" w14:textId="77777777">
            <w:pPr>
              <w:pStyle w:val="p-table"/>
              <w:rPr>
                <w:sz w:val="13"/>
                <w:szCs w:val="13"/>
              </w:rPr>
            </w:pPr>
          </w:p>
        </w:tc>
      </w:tr>
      <w:tr w:rsidR="0084290D" w:rsidTr="007433BE" w14:paraId="6281ED64" w14:textId="77777777">
        <w:tc>
          <w:tcPr>
            <w:tcW w:w="1240" w:type="pct"/>
            <w:tcBorders>
              <w:bottom w:val="single" w:color="009EE0" w:sz="2" w:space="0"/>
            </w:tcBorders>
            <w:tcMar>
              <w:top w:w="22" w:type="dxa"/>
              <w:bottom w:w="22" w:type="dxa"/>
              <w:right w:w="28" w:type="dxa"/>
            </w:tcMar>
          </w:tcPr>
          <w:p w:rsidRPr="00B63400" w:rsidR="0084290D" w:rsidRDefault="00CF5B93" w14:paraId="09C20C99" w14:textId="77777777">
            <w:pPr>
              <w:pStyle w:val="p-table"/>
              <w:rPr>
                <w:sz w:val="13"/>
                <w:szCs w:val="13"/>
              </w:rPr>
            </w:pPr>
            <w:r w:rsidRPr="00B63400">
              <w:rPr>
                <w:i/>
                <w:sz w:val="13"/>
                <w:szCs w:val="13"/>
              </w:rPr>
              <w:t>waarvan</w:t>
            </w:r>
            <w:r w:rsidRPr="00B63400">
              <w:rPr>
                <w:sz w:val="13"/>
                <w:szCs w:val="13"/>
              </w:rPr>
              <w:t xml:space="preserve"> overige 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7469F1E4" w14:textId="77777777">
            <w:pPr>
              <w:pStyle w:val="p-table"/>
              <w:jc w:val="right"/>
              <w:rPr>
                <w:sz w:val="13"/>
                <w:szCs w:val="13"/>
              </w:rPr>
            </w:pPr>
            <w:r w:rsidRPr="00B63400">
              <w:rPr>
                <w:sz w:val="13"/>
                <w:szCs w:val="13"/>
              </w:rPr>
              <w:t>96.016</w:t>
            </w:r>
          </w:p>
        </w:tc>
        <w:tc>
          <w:tcPr>
            <w:tcW w:w="372" w:type="pct"/>
            <w:tcBorders>
              <w:bottom w:val="single" w:color="009EE0" w:sz="2" w:space="0"/>
            </w:tcBorders>
            <w:tcMar>
              <w:top w:w="22" w:type="dxa"/>
              <w:left w:w="28" w:type="dxa"/>
              <w:bottom w:w="22" w:type="dxa"/>
              <w:right w:w="28" w:type="dxa"/>
            </w:tcMar>
          </w:tcPr>
          <w:p w:rsidRPr="00B63400" w:rsidR="0084290D" w:rsidRDefault="00CF5B93" w14:paraId="1F71AD65"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715AF04" w14:textId="77777777">
            <w:pPr>
              <w:pStyle w:val="p-table"/>
              <w:jc w:val="right"/>
              <w:rPr>
                <w:sz w:val="13"/>
                <w:szCs w:val="13"/>
              </w:rPr>
            </w:pPr>
            <w:r w:rsidRPr="00B63400">
              <w:rPr>
                <w:sz w:val="13"/>
                <w:szCs w:val="13"/>
              </w:rPr>
              <w:t>96.016</w:t>
            </w:r>
          </w:p>
        </w:tc>
        <w:tc>
          <w:tcPr>
            <w:tcW w:w="372" w:type="pct"/>
            <w:tcBorders>
              <w:bottom w:val="single" w:color="009EE0" w:sz="2" w:space="0"/>
            </w:tcBorders>
            <w:tcMar>
              <w:top w:w="22" w:type="dxa"/>
              <w:left w:w="28" w:type="dxa"/>
              <w:bottom w:w="22" w:type="dxa"/>
              <w:right w:w="28" w:type="dxa"/>
            </w:tcMar>
          </w:tcPr>
          <w:p w:rsidRPr="00B63400" w:rsidR="0084290D" w:rsidRDefault="00CF5B93" w14:paraId="45E8168D" w14:textId="77777777">
            <w:pPr>
              <w:pStyle w:val="p-table"/>
              <w:jc w:val="right"/>
              <w:rPr>
                <w:sz w:val="13"/>
                <w:szCs w:val="13"/>
              </w:rPr>
            </w:pPr>
            <w:r w:rsidRPr="00B63400">
              <w:rPr>
                <w:sz w:val="13"/>
                <w:szCs w:val="13"/>
              </w:rPr>
              <w:t>4.471</w:t>
            </w:r>
          </w:p>
        </w:tc>
        <w:tc>
          <w:tcPr>
            <w:tcW w:w="382" w:type="pct"/>
            <w:tcBorders>
              <w:bottom w:val="single" w:color="009EE0" w:sz="2" w:space="0"/>
            </w:tcBorders>
            <w:tcMar>
              <w:top w:w="22" w:type="dxa"/>
              <w:left w:w="28" w:type="dxa"/>
              <w:bottom w:w="22" w:type="dxa"/>
              <w:right w:w="28" w:type="dxa"/>
            </w:tcMar>
          </w:tcPr>
          <w:p w:rsidRPr="00B63400" w:rsidR="0084290D" w:rsidRDefault="00CF5B93" w14:paraId="73B600DA" w14:textId="77777777">
            <w:pPr>
              <w:pStyle w:val="p-table"/>
              <w:jc w:val="right"/>
              <w:rPr>
                <w:sz w:val="13"/>
                <w:szCs w:val="13"/>
              </w:rPr>
            </w:pPr>
            <w:r w:rsidRPr="00B63400">
              <w:rPr>
                <w:sz w:val="13"/>
                <w:szCs w:val="13"/>
              </w:rPr>
              <w:t>100.487</w:t>
            </w:r>
          </w:p>
        </w:tc>
        <w:tc>
          <w:tcPr>
            <w:tcW w:w="372" w:type="pct"/>
            <w:tcBorders>
              <w:bottom w:val="single" w:color="009EE0" w:sz="2" w:space="0"/>
            </w:tcBorders>
            <w:tcMar>
              <w:top w:w="22" w:type="dxa"/>
              <w:left w:w="28" w:type="dxa"/>
              <w:bottom w:w="22" w:type="dxa"/>
              <w:right w:w="28" w:type="dxa"/>
            </w:tcMar>
          </w:tcPr>
          <w:p w:rsidRPr="00B63400" w:rsidR="0084290D" w:rsidRDefault="00CF5B93" w14:paraId="284B9F09" w14:textId="77777777">
            <w:pPr>
              <w:pStyle w:val="p-table"/>
              <w:jc w:val="right"/>
              <w:rPr>
                <w:sz w:val="13"/>
                <w:szCs w:val="13"/>
              </w:rPr>
            </w:pPr>
            <w:r w:rsidRPr="00B63400">
              <w:rPr>
                <w:sz w:val="13"/>
                <w:szCs w:val="13"/>
              </w:rPr>
              <w:t>2.330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820EF36" w14:textId="77777777">
            <w:pPr>
              <w:pStyle w:val="p-table"/>
              <w:jc w:val="right"/>
              <w:rPr>
                <w:sz w:val="13"/>
                <w:szCs w:val="13"/>
              </w:rPr>
            </w:pPr>
            <w:r w:rsidRPr="00B63400">
              <w:rPr>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285EDBE" w14:textId="77777777">
            <w:pPr>
              <w:pStyle w:val="p-table"/>
              <w:jc w:val="right"/>
              <w:rPr>
                <w:sz w:val="13"/>
                <w:szCs w:val="13"/>
              </w:rPr>
            </w:pPr>
            <w:r w:rsidRPr="00B63400">
              <w:rPr>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6FE6712" w14:textId="77777777">
            <w:pPr>
              <w:pStyle w:val="p-table"/>
              <w:jc w:val="right"/>
              <w:rPr>
                <w:sz w:val="13"/>
                <w:szCs w:val="13"/>
              </w:rPr>
            </w:pPr>
            <w:r w:rsidRPr="00B63400">
              <w:rPr>
                <w:sz w:val="13"/>
                <w:szCs w:val="13"/>
              </w:rPr>
              <w:t>2.070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8C4D73B" w14:textId="77777777">
            <w:pPr>
              <w:pStyle w:val="p-table"/>
              <w:jc w:val="right"/>
              <w:rPr>
                <w:sz w:val="13"/>
                <w:szCs w:val="13"/>
              </w:rPr>
            </w:pPr>
            <w:r w:rsidRPr="00B63400">
              <w:rPr>
                <w:sz w:val="13"/>
                <w:szCs w:val="13"/>
              </w:rPr>
              <w:t>97.397</w:t>
            </w:r>
          </w:p>
        </w:tc>
      </w:tr>
      <w:tr w:rsidR="0084290D" w:rsidTr="007433BE" w14:paraId="4738F944" w14:textId="77777777">
        <w:tc>
          <w:tcPr>
            <w:tcW w:w="1240" w:type="pct"/>
            <w:tcBorders>
              <w:bottom w:val="single" w:color="009EE0" w:sz="2" w:space="0"/>
            </w:tcBorders>
            <w:tcMar>
              <w:top w:w="22" w:type="dxa"/>
              <w:bottom w:w="22" w:type="dxa"/>
              <w:right w:w="28" w:type="dxa"/>
            </w:tcMar>
          </w:tcPr>
          <w:p w:rsidRPr="00B63400" w:rsidR="0084290D" w:rsidRDefault="00CF5B93" w14:paraId="2D7CF1F1" w14:textId="77777777">
            <w:pPr>
              <w:pStyle w:val="p-table"/>
              <w:rPr>
                <w:sz w:val="13"/>
                <w:szCs w:val="13"/>
              </w:rPr>
            </w:pPr>
            <w:r w:rsidRPr="00B63400">
              <w:rPr>
                <w:sz w:val="13"/>
                <w:szCs w:val="13"/>
              </w:rPr>
              <w:t>Kostenvergoeding Atradius DSB</w:t>
            </w:r>
          </w:p>
        </w:tc>
        <w:tc>
          <w:tcPr>
            <w:tcW w:w="382" w:type="pct"/>
            <w:tcBorders>
              <w:bottom w:val="single" w:color="009EE0" w:sz="2" w:space="0"/>
            </w:tcBorders>
            <w:tcMar>
              <w:top w:w="22" w:type="dxa"/>
              <w:left w:w="28" w:type="dxa"/>
              <w:bottom w:w="22" w:type="dxa"/>
              <w:right w:w="28" w:type="dxa"/>
            </w:tcMar>
          </w:tcPr>
          <w:p w:rsidRPr="00B63400" w:rsidR="0084290D" w:rsidRDefault="00CF5B93" w14:paraId="2D5A7182" w14:textId="77777777">
            <w:pPr>
              <w:pStyle w:val="p-table"/>
              <w:jc w:val="right"/>
              <w:rPr>
                <w:sz w:val="13"/>
                <w:szCs w:val="13"/>
              </w:rPr>
            </w:pPr>
            <w:r w:rsidRPr="00B63400">
              <w:rPr>
                <w:sz w:val="13"/>
                <w:szCs w:val="13"/>
              </w:rPr>
              <w:t>20.629</w:t>
            </w:r>
          </w:p>
        </w:tc>
        <w:tc>
          <w:tcPr>
            <w:tcW w:w="372" w:type="pct"/>
            <w:tcBorders>
              <w:bottom w:val="single" w:color="009EE0" w:sz="2" w:space="0"/>
            </w:tcBorders>
            <w:tcMar>
              <w:top w:w="22" w:type="dxa"/>
              <w:left w:w="28" w:type="dxa"/>
              <w:bottom w:w="22" w:type="dxa"/>
              <w:right w:w="28" w:type="dxa"/>
            </w:tcMar>
          </w:tcPr>
          <w:p w:rsidRPr="00B63400" w:rsidR="0084290D" w:rsidRDefault="00CF5B93" w14:paraId="01C16298"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2F016F1" w14:textId="77777777">
            <w:pPr>
              <w:pStyle w:val="p-table"/>
              <w:jc w:val="right"/>
              <w:rPr>
                <w:sz w:val="13"/>
                <w:szCs w:val="13"/>
              </w:rPr>
            </w:pPr>
            <w:r w:rsidRPr="00B63400">
              <w:rPr>
                <w:sz w:val="13"/>
                <w:szCs w:val="13"/>
              </w:rPr>
              <w:t>20.629</w:t>
            </w:r>
          </w:p>
        </w:tc>
        <w:tc>
          <w:tcPr>
            <w:tcW w:w="372" w:type="pct"/>
            <w:tcBorders>
              <w:bottom w:val="single" w:color="009EE0" w:sz="2" w:space="0"/>
            </w:tcBorders>
            <w:tcMar>
              <w:top w:w="22" w:type="dxa"/>
              <w:left w:w="28" w:type="dxa"/>
              <w:bottom w:w="22" w:type="dxa"/>
              <w:right w:w="28" w:type="dxa"/>
            </w:tcMar>
          </w:tcPr>
          <w:p w:rsidRPr="00B63400" w:rsidR="0084290D" w:rsidRDefault="00CF5B93" w14:paraId="7FACFE74" w14:textId="77777777">
            <w:pPr>
              <w:pStyle w:val="p-table"/>
              <w:jc w:val="right"/>
              <w:rPr>
                <w:sz w:val="13"/>
                <w:szCs w:val="13"/>
              </w:rPr>
            </w:pPr>
            <w:r w:rsidRPr="00B63400">
              <w:rPr>
                <w:sz w:val="13"/>
                <w:szCs w:val="13"/>
              </w:rPr>
              <w:t>2.271</w:t>
            </w:r>
          </w:p>
        </w:tc>
        <w:tc>
          <w:tcPr>
            <w:tcW w:w="382" w:type="pct"/>
            <w:tcBorders>
              <w:bottom w:val="single" w:color="009EE0" w:sz="2" w:space="0"/>
            </w:tcBorders>
            <w:tcMar>
              <w:top w:w="22" w:type="dxa"/>
              <w:left w:w="28" w:type="dxa"/>
              <w:bottom w:w="22" w:type="dxa"/>
              <w:right w:w="28" w:type="dxa"/>
            </w:tcMar>
          </w:tcPr>
          <w:p w:rsidRPr="00B63400" w:rsidR="0084290D" w:rsidRDefault="00CF5B93" w14:paraId="2AAAB66E" w14:textId="77777777">
            <w:pPr>
              <w:pStyle w:val="p-table"/>
              <w:jc w:val="right"/>
              <w:rPr>
                <w:sz w:val="13"/>
                <w:szCs w:val="13"/>
              </w:rPr>
            </w:pPr>
            <w:r w:rsidRPr="00B63400">
              <w:rPr>
                <w:sz w:val="13"/>
                <w:szCs w:val="13"/>
              </w:rPr>
              <w:t>22.900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2257166" w14:textId="77777777">
            <w:pPr>
              <w:pStyle w:val="p-table"/>
              <w:jc w:val="right"/>
              <w:rPr>
                <w:sz w:val="13"/>
                <w:szCs w:val="13"/>
              </w:rPr>
            </w:pPr>
            <w:r w:rsidRPr="00B63400">
              <w:rPr>
                <w:sz w:val="13"/>
                <w:szCs w:val="13"/>
              </w:rPr>
              <w:t>2.330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17C5549" w14:textId="77777777">
            <w:pPr>
              <w:pStyle w:val="p-table"/>
              <w:jc w:val="right"/>
              <w:rPr>
                <w:sz w:val="13"/>
                <w:szCs w:val="13"/>
              </w:rPr>
            </w:pPr>
            <w:r w:rsidRPr="00B63400">
              <w:rPr>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39E0957B" w14:textId="77777777">
            <w:pPr>
              <w:pStyle w:val="p-table"/>
              <w:jc w:val="right"/>
              <w:rPr>
                <w:sz w:val="13"/>
                <w:szCs w:val="13"/>
              </w:rPr>
            </w:pPr>
            <w:r w:rsidRPr="00B63400">
              <w:rPr>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7D35FDB" w14:textId="77777777">
            <w:pPr>
              <w:pStyle w:val="p-table"/>
              <w:jc w:val="right"/>
              <w:rPr>
                <w:sz w:val="13"/>
                <w:szCs w:val="13"/>
              </w:rPr>
            </w:pPr>
            <w:r w:rsidRPr="00B63400">
              <w:rPr>
                <w:sz w:val="13"/>
                <w:szCs w:val="13"/>
              </w:rPr>
              <w:t>2.070</w:t>
            </w:r>
          </w:p>
        </w:tc>
        <w:tc>
          <w:tcPr>
            <w:tcW w:w="382" w:type="pct"/>
            <w:tcBorders>
              <w:bottom w:val="single" w:color="009EE0" w:sz="2" w:space="0"/>
            </w:tcBorders>
            <w:tcMar>
              <w:top w:w="22" w:type="dxa"/>
              <w:left w:w="28" w:type="dxa"/>
              <w:bottom w:w="22" w:type="dxa"/>
              <w:right w:w="28" w:type="dxa"/>
            </w:tcMar>
          </w:tcPr>
          <w:p w:rsidRPr="00B63400" w:rsidR="0084290D" w:rsidRDefault="00CF5B93" w14:paraId="03113C0A" w14:textId="77777777">
            <w:pPr>
              <w:pStyle w:val="p-table"/>
              <w:jc w:val="right"/>
              <w:rPr>
                <w:sz w:val="13"/>
                <w:szCs w:val="13"/>
              </w:rPr>
            </w:pPr>
            <w:r w:rsidRPr="00B63400">
              <w:rPr>
                <w:sz w:val="13"/>
                <w:szCs w:val="13"/>
              </w:rPr>
              <w:t>22.000</w:t>
            </w:r>
          </w:p>
        </w:tc>
      </w:tr>
      <w:tr w:rsidR="0084290D" w:rsidTr="007433BE" w14:paraId="464D8B78" w14:textId="77777777">
        <w:tc>
          <w:tcPr>
            <w:tcW w:w="1240" w:type="pct"/>
            <w:tcBorders>
              <w:bottom w:val="single" w:color="009EE0" w:sz="2" w:space="0"/>
            </w:tcBorders>
            <w:tcMar>
              <w:top w:w="22" w:type="dxa"/>
              <w:bottom w:w="22" w:type="dxa"/>
              <w:right w:w="28" w:type="dxa"/>
            </w:tcMar>
          </w:tcPr>
          <w:p w:rsidRPr="00B63400" w:rsidR="0084290D" w:rsidRDefault="00CF5B93" w14:paraId="6FBF70EE" w14:textId="77777777">
            <w:pPr>
              <w:pStyle w:val="p-table"/>
              <w:rPr>
                <w:sz w:val="13"/>
                <w:szCs w:val="13"/>
              </w:rPr>
            </w:pPr>
            <w:r w:rsidRPr="00B63400">
              <w:rPr>
                <w:sz w:val="13"/>
                <w:szCs w:val="13"/>
              </w:rPr>
              <w:t>Uitvoeringskosten herverzekering leverancierskredieten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1E5C5964"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7DE1FC7"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F75F5F2"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B695141" w14:textId="77777777">
            <w:pPr>
              <w:pStyle w:val="p-table"/>
              <w:jc w:val="right"/>
              <w:rPr>
                <w:sz w:val="13"/>
                <w:szCs w:val="13"/>
              </w:rPr>
            </w:pPr>
            <w:r w:rsidRPr="00B63400">
              <w:rPr>
                <w:sz w:val="13"/>
                <w:szCs w:val="13"/>
              </w:rPr>
              <w:t>350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25F0CB2" w14:textId="77777777">
            <w:pPr>
              <w:pStyle w:val="p-table"/>
              <w:jc w:val="right"/>
              <w:rPr>
                <w:sz w:val="13"/>
                <w:szCs w:val="13"/>
              </w:rPr>
            </w:pPr>
            <w:r w:rsidRPr="00B63400">
              <w:rPr>
                <w:sz w:val="13"/>
                <w:szCs w:val="13"/>
              </w:rPr>
              <w:t>350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376D9A9"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1890FCC"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22FD20F"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F9A7832"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401DB79" w14:textId="77777777">
            <w:pPr>
              <w:pStyle w:val="p-table"/>
              <w:jc w:val="right"/>
              <w:rPr>
                <w:sz w:val="13"/>
                <w:szCs w:val="13"/>
              </w:rPr>
            </w:pPr>
            <w:r w:rsidRPr="00B63400">
              <w:rPr>
                <w:sz w:val="13"/>
                <w:szCs w:val="13"/>
              </w:rPr>
              <w:t>0</w:t>
            </w:r>
          </w:p>
        </w:tc>
      </w:tr>
      <w:tr w:rsidR="0084290D" w:rsidTr="007433BE" w14:paraId="53C0F0FF" w14:textId="77777777">
        <w:tc>
          <w:tcPr>
            <w:tcW w:w="1240" w:type="pct"/>
            <w:tcBorders>
              <w:bottom w:val="single" w:color="009EE0" w:sz="2" w:space="0"/>
            </w:tcBorders>
            <w:tcMar>
              <w:top w:w="22" w:type="dxa"/>
              <w:bottom w:w="22" w:type="dxa"/>
              <w:right w:w="28" w:type="dxa"/>
            </w:tcMar>
          </w:tcPr>
          <w:p w:rsidRPr="00B63400" w:rsidR="0084290D" w:rsidRDefault="00CF5B93" w14:paraId="27EC649E" w14:textId="77777777">
            <w:pPr>
              <w:pStyle w:val="p-table"/>
              <w:rPr>
                <w:sz w:val="13"/>
                <w:szCs w:val="13"/>
              </w:rPr>
            </w:pPr>
            <w:r w:rsidRPr="00B63400">
              <w:rPr>
                <w:sz w:val="13"/>
                <w:szCs w:val="13"/>
              </w:rPr>
              <w:t>Schade-uitkering herverzekering leverancierskredieten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32DCDC10"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DF32368"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3A24591"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3539E06" w14:textId="77777777">
            <w:pPr>
              <w:pStyle w:val="p-table"/>
              <w:jc w:val="right"/>
              <w:rPr>
                <w:sz w:val="13"/>
                <w:szCs w:val="13"/>
              </w:rPr>
            </w:pPr>
            <w:r w:rsidRPr="00B63400">
              <w:rPr>
                <w:sz w:val="13"/>
                <w:szCs w:val="13"/>
              </w:rPr>
              <w:t>1.850</w:t>
            </w:r>
          </w:p>
        </w:tc>
        <w:tc>
          <w:tcPr>
            <w:tcW w:w="382" w:type="pct"/>
            <w:tcBorders>
              <w:bottom w:val="single" w:color="009EE0" w:sz="2" w:space="0"/>
            </w:tcBorders>
            <w:tcMar>
              <w:top w:w="22" w:type="dxa"/>
              <w:left w:w="28" w:type="dxa"/>
              <w:bottom w:w="22" w:type="dxa"/>
              <w:right w:w="28" w:type="dxa"/>
            </w:tcMar>
          </w:tcPr>
          <w:p w:rsidRPr="00B63400" w:rsidR="0084290D" w:rsidRDefault="00CF5B93" w14:paraId="09E21790" w14:textId="77777777">
            <w:pPr>
              <w:pStyle w:val="p-table"/>
              <w:jc w:val="right"/>
              <w:rPr>
                <w:sz w:val="13"/>
                <w:szCs w:val="13"/>
              </w:rPr>
            </w:pPr>
            <w:r w:rsidRPr="00B63400">
              <w:rPr>
                <w:sz w:val="13"/>
                <w:szCs w:val="13"/>
              </w:rPr>
              <w:t>1.850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1AE9873"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21B42E6"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AE26A90"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B1EFD90"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1EF262B1" w14:textId="77777777">
            <w:pPr>
              <w:pStyle w:val="p-table"/>
              <w:jc w:val="right"/>
              <w:rPr>
                <w:sz w:val="13"/>
                <w:szCs w:val="13"/>
              </w:rPr>
            </w:pPr>
            <w:r w:rsidRPr="00B63400">
              <w:rPr>
                <w:sz w:val="13"/>
                <w:szCs w:val="13"/>
              </w:rPr>
              <w:t>0</w:t>
            </w:r>
          </w:p>
        </w:tc>
      </w:tr>
      <w:tr w:rsidR="0084290D" w:rsidTr="007433BE" w14:paraId="79C1A9C5" w14:textId="77777777">
        <w:tc>
          <w:tcPr>
            <w:tcW w:w="1240" w:type="pct"/>
            <w:tcBorders>
              <w:bottom w:val="single" w:color="009EE0" w:sz="2" w:space="0"/>
            </w:tcBorders>
            <w:tcMar>
              <w:top w:w="22" w:type="dxa"/>
              <w:bottom w:w="22" w:type="dxa"/>
              <w:right w:w="28" w:type="dxa"/>
            </w:tcMar>
          </w:tcPr>
          <w:p w:rsidRPr="00B63400" w:rsidR="0084290D" w:rsidRDefault="00CF5B93" w14:paraId="2BEA5887" w14:textId="77777777">
            <w:pPr>
              <w:pStyle w:val="p-table"/>
              <w:rPr>
                <w:sz w:val="13"/>
                <w:szCs w:val="13"/>
              </w:rPr>
            </w:pPr>
            <w:r w:rsidRPr="00B63400">
              <w:rPr>
                <w:sz w:val="13"/>
                <w:szCs w:val="13"/>
              </w:rPr>
              <w:t>Herverzekerde schades ekv-premies</w:t>
            </w:r>
          </w:p>
        </w:tc>
        <w:tc>
          <w:tcPr>
            <w:tcW w:w="382" w:type="pct"/>
            <w:tcBorders>
              <w:bottom w:val="single" w:color="009EE0" w:sz="2" w:space="0"/>
            </w:tcBorders>
            <w:tcMar>
              <w:top w:w="22" w:type="dxa"/>
              <w:left w:w="28" w:type="dxa"/>
              <w:bottom w:w="22" w:type="dxa"/>
              <w:right w:w="28" w:type="dxa"/>
            </w:tcMar>
          </w:tcPr>
          <w:p w:rsidRPr="00B63400" w:rsidR="0084290D" w:rsidRDefault="00CF5B93" w14:paraId="5853107A" w14:textId="77777777">
            <w:pPr>
              <w:pStyle w:val="p-table"/>
              <w:jc w:val="right"/>
              <w:rPr>
                <w:sz w:val="13"/>
                <w:szCs w:val="13"/>
              </w:rPr>
            </w:pPr>
            <w:r w:rsidRPr="00B63400">
              <w:rPr>
                <w:sz w:val="13"/>
                <w:szCs w:val="13"/>
              </w:rPr>
              <w:t>2.000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5AC0592"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35E5F12" w14:textId="77777777">
            <w:pPr>
              <w:pStyle w:val="p-table"/>
              <w:jc w:val="right"/>
              <w:rPr>
                <w:sz w:val="13"/>
                <w:szCs w:val="13"/>
              </w:rPr>
            </w:pPr>
            <w:r w:rsidRPr="00B63400">
              <w:rPr>
                <w:sz w:val="13"/>
                <w:szCs w:val="13"/>
              </w:rPr>
              <w:t>2.000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67215BF"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1B922EB" w14:textId="77777777">
            <w:pPr>
              <w:pStyle w:val="p-table"/>
              <w:jc w:val="right"/>
              <w:rPr>
                <w:sz w:val="13"/>
                <w:szCs w:val="13"/>
              </w:rPr>
            </w:pPr>
            <w:r w:rsidRPr="00B63400">
              <w:rPr>
                <w:sz w:val="13"/>
                <w:szCs w:val="13"/>
              </w:rPr>
              <w:t>2.000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67D65BD"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3B4F1BB"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FAA6640"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721A4DA"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0BE25EC" w14:textId="77777777">
            <w:pPr>
              <w:pStyle w:val="p-table"/>
              <w:jc w:val="right"/>
              <w:rPr>
                <w:sz w:val="13"/>
                <w:szCs w:val="13"/>
              </w:rPr>
            </w:pPr>
            <w:r w:rsidRPr="00B63400">
              <w:rPr>
                <w:sz w:val="13"/>
                <w:szCs w:val="13"/>
              </w:rPr>
              <w:t>2.000</w:t>
            </w:r>
          </w:p>
        </w:tc>
      </w:tr>
      <w:tr w:rsidR="0084290D" w:rsidTr="007433BE" w14:paraId="35D76F9F" w14:textId="77777777">
        <w:tc>
          <w:tcPr>
            <w:tcW w:w="1240" w:type="pct"/>
            <w:tcBorders>
              <w:bottom w:val="single" w:color="009EE0" w:sz="2" w:space="0"/>
            </w:tcBorders>
            <w:tcMar>
              <w:top w:w="22" w:type="dxa"/>
              <w:bottom w:w="22" w:type="dxa"/>
              <w:right w:w="28" w:type="dxa"/>
            </w:tcMar>
          </w:tcPr>
          <w:p w:rsidRPr="00B63400" w:rsidR="0084290D" w:rsidRDefault="00CF5B93" w14:paraId="159ADF02" w14:textId="77777777">
            <w:pPr>
              <w:pStyle w:val="p-table"/>
              <w:rPr>
                <w:sz w:val="13"/>
                <w:szCs w:val="13"/>
              </w:rPr>
            </w:pPr>
            <w:r w:rsidRPr="00B63400">
              <w:rPr>
                <w:sz w:val="13"/>
                <w:szCs w:val="13"/>
              </w:rPr>
              <w:t>Herverzekerde schades ekv-restituties na 2019</w:t>
            </w:r>
          </w:p>
        </w:tc>
        <w:tc>
          <w:tcPr>
            <w:tcW w:w="382" w:type="pct"/>
            <w:tcBorders>
              <w:bottom w:val="single" w:color="009EE0" w:sz="2" w:space="0"/>
            </w:tcBorders>
            <w:tcMar>
              <w:top w:w="22" w:type="dxa"/>
              <w:left w:w="28" w:type="dxa"/>
              <w:bottom w:w="22" w:type="dxa"/>
              <w:right w:w="28" w:type="dxa"/>
            </w:tcMar>
          </w:tcPr>
          <w:p w:rsidRPr="00B63400" w:rsidR="0084290D" w:rsidRDefault="00CF5B93" w14:paraId="716A0DB1" w14:textId="77777777">
            <w:pPr>
              <w:pStyle w:val="p-table"/>
              <w:jc w:val="right"/>
              <w:rPr>
                <w:sz w:val="13"/>
                <w:szCs w:val="13"/>
              </w:rPr>
            </w:pPr>
            <w:r w:rsidRPr="00B63400">
              <w:rPr>
                <w:sz w:val="13"/>
                <w:szCs w:val="13"/>
              </w:rPr>
              <w:t>200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C9C2176"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CBC5D8B" w14:textId="77777777">
            <w:pPr>
              <w:pStyle w:val="p-table"/>
              <w:jc w:val="right"/>
              <w:rPr>
                <w:sz w:val="13"/>
                <w:szCs w:val="13"/>
              </w:rPr>
            </w:pPr>
            <w:r w:rsidRPr="00B63400">
              <w:rPr>
                <w:sz w:val="13"/>
                <w:szCs w:val="13"/>
              </w:rPr>
              <w:t>200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15D87BF"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C2D7398" w14:textId="77777777">
            <w:pPr>
              <w:pStyle w:val="p-table"/>
              <w:jc w:val="right"/>
              <w:rPr>
                <w:sz w:val="13"/>
                <w:szCs w:val="13"/>
              </w:rPr>
            </w:pPr>
            <w:r w:rsidRPr="00B63400">
              <w:rPr>
                <w:sz w:val="13"/>
                <w:szCs w:val="13"/>
              </w:rPr>
              <w:t>200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36B85374"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8665CAF"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9FE93B7"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675D421"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157F178" w14:textId="77777777">
            <w:pPr>
              <w:pStyle w:val="p-table"/>
              <w:jc w:val="right"/>
              <w:rPr>
                <w:sz w:val="13"/>
                <w:szCs w:val="13"/>
              </w:rPr>
            </w:pPr>
            <w:r w:rsidRPr="00B63400">
              <w:rPr>
                <w:sz w:val="13"/>
                <w:szCs w:val="13"/>
              </w:rPr>
              <w:t>200</w:t>
            </w:r>
          </w:p>
        </w:tc>
      </w:tr>
      <w:tr w:rsidR="0084290D" w:rsidTr="007433BE" w14:paraId="459796BB" w14:textId="77777777">
        <w:tc>
          <w:tcPr>
            <w:tcW w:w="1240" w:type="pct"/>
            <w:tcBorders>
              <w:bottom w:val="single" w:color="009EE0" w:sz="2" w:space="0"/>
            </w:tcBorders>
            <w:tcMar>
              <w:top w:w="22" w:type="dxa"/>
              <w:bottom w:w="22" w:type="dxa"/>
              <w:right w:w="28" w:type="dxa"/>
            </w:tcMar>
          </w:tcPr>
          <w:p w:rsidRPr="00B63400" w:rsidR="0084290D" w:rsidRDefault="00CF5B93" w14:paraId="24E1F73D" w14:textId="77777777">
            <w:pPr>
              <w:pStyle w:val="p-table"/>
              <w:rPr>
                <w:sz w:val="13"/>
                <w:szCs w:val="13"/>
              </w:rPr>
            </w:pPr>
            <w:r w:rsidRPr="00B63400">
              <w:rPr>
                <w:sz w:val="13"/>
                <w:szCs w:val="13"/>
              </w:rPr>
              <w:t>Herverzekerde schades ekv-restituties 1999-2019</w:t>
            </w:r>
          </w:p>
        </w:tc>
        <w:tc>
          <w:tcPr>
            <w:tcW w:w="382" w:type="pct"/>
            <w:tcBorders>
              <w:bottom w:val="single" w:color="009EE0" w:sz="2" w:space="0"/>
            </w:tcBorders>
            <w:tcMar>
              <w:top w:w="22" w:type="dxa"/>
              <w:left w:w="28" w:type="dxa"/>
              <w:bottom w:w="22" w:type="dxa"/>
              <w:right w:w="28" w:type="dxa"/>
            </w:tcMar>
          </w:tcPr>
          <w:p w:rsidRPr="00B63400" w:rsidR="0084290D" w:rsidRDefault="00CF5B93" w14:paraId="0BD695C9"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23D0375"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9BA6543"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3ECB994D"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3C4F046"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54263FA"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F0250A6"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6DCE08C"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29F3899"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14B01F9" w14:textId="77777777">
            <w:pPr>
              <w:pStyle w:val="p-table"/>
              <w:jc w:val="right"/>
              <w:rPr>
                <w:sz w:val="13"/>
                <w:szCs w:val="13"/>
              </w:rPr>
            </w:pPr>
            <w:r w:rsidRPr="00B63400">
              <w:rPr>
                <w:sz w:val="13"/>
                <w:szCs w:val="13"/>
              </w:rPr>
              <w:t>100</w:t>
            </w:r>
          </w:p>
        </w:tc>
      </w:tr>
      <w:tr w:rsidR="0084290D" w:rsidTr="007433BE" w14:paraId="16871B92" w14:textId="77777777">
        <w:tc>
          <w:tcPr>
            <w:tcW w:w="1240" w:type="pct"/>
            <w:tcBorders>
              <w:bottom w:val="single" w:color="009EE0" w:sz="2" w:space="0"/>
            </w:tcBorders>
            <w:tcMar>
              <w:top w:w="22" w:type="dxa"/>
              <w:bottom w:w="22" w:type="dxa"/>
              <w:right w:w="28" w:type="dxa"/>
            </w:tcMar>
          </w:tcPr>
          <w:p w:rsidRPr="00B63400" w:rsidR="0084290D" w:rsidRDefault="00CF5B93" w14:paraId="637E65A3" w14:textId="05DB7595">
            <w:pPr>
              <w:pStyle w:val="p-table"/>
              <w:rPr>
                <w:sz w:val="13"/>
                <w:szCs w:val="13"/>
              </w:rPr>
            </w:pPr>
            <w:r w:rsidRPr="00B63400">
              <w:rPr>
                <w:sz w:val="13"/>
                <w:szCs w:val="13"/>
              </w:rPr>
              <w:t>Herve</w:t>
            </w:r>
            <w:r w:rsidR="00DF0474">
              <w:rPr>
                <w:sz w:val="13"/>
                <w:szCs w:val="13"/>
              </w:rPr>
              <w:t>r</w:t>
            </w:r>
            <w:r w:rsidRPr="00B63400">
              <w:rPr>
                <w:sz w:val="13"/>
                <w:szCs w:val="13"/>
              </w:rPr>
              <w:t>zekerde schades ekv-restituties voor 1999</w:t>
            </w:r>
          </w:p>
        </w:tc>
        <w:tc>
          <w:tcPr>
            <w:tcW w:w="382" w:type="pct"/>
            <w:tcBorders>
              <w:bottom w:val="single" w:color="009EE0" w:sz="2" w:space="0"/>
            </w:tcBorders>
            <w:tcMar>
              <w:top w:w="22" w:type="dxa"/>
              <w:left w:w="28" w:type="dxa"/>
              <w:bottom w:w="22" w:type="dxa"/>
              <w:right w:w="28" w:type="dxa"/>
            </w:tcMar>
          </w:tcPr>
          <w:p w:rsidRPr="00B63400" w:rsidR="0084290D" w:rsidRDefault="00CF5B93" w14:paraId="030E1907"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EE2C9DB"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D66A5C2"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5F1F419"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E2E16DB"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92FBD1B"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7767DDD"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7C764F3"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77873B4"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2FB876C" w14:textId="77777777">
            <w:pPr>
              <w:pStyle w:val="p-table"/>
              <w:jc w:val="right"/>
              <w:rPr>
                <w:sz w:val="13"/>
                <w:szCs w:val="13"/>
              </w:rPr>
            </w:pPr>
            <w:r w:rsidRPr="00B63400">
              <w:rPr>
                <w:sz w:val="13"/>
                <w:szCs w:val="13"/>
              </w:rPr>
              <w:t>100</w:t>
            </w:r>
          </w:p>
        </w:tc>
      </w:tr>
      <w:tr w:rsidR="0084290D" w:rsidTr="007433BE" w14:paraId="24159080" w14:textId="77777777">
        <w:tc>
          <w:tcPr>
            <w:tcW w:w="1240" w:type="pct"/>
            <w:tcBorders>
              <w:bottom w:val="single" w:color="009EE0" w:sz="2" w:space="0"/>
            </w:tcBorders>
            <w:tcMar>
              <w:top w:w="22" w:type="dxa"/>
              <w:bottom w:w="22" w:type="dxa"/>
              <w:right w:w="28" w:type="dxa"/>
            </w:tcMar>
          </w:tcPr>
          <w:p w:rsidRPr="00B63400" w:rsidR="0084290D" w:rsidRDefault="00CF5B93" w14:paraId="583961A4" w14:textId="77777777">
            <w:pPr>
              <w:pStyle w:val="p-table"/>
              <w:rPr>
                <w:sz w:val="13"/>
                <w:szCs w:val="13"/>
              </w:rPr>
            </w:pPr>
            <w:r w:rsidRPr="00B63400">
              <w:rPr>
                <w:sz w:val="13"/>
                <w:szCs w:val="13"/>
              </w:rPr>
              <w:t>Storting begrotingsreserve ekv</w:t>
            </w:r>
          </w:p>
        </w:tc>
        <w:tc>
          <w:tcPr>
            <w:tcW w:w="382" w:type="pct"/>
            <w:tcBorders>
              <w:bottom w:val="single" w:color="009EE0" w:sz="2" w:space="0"/>
            </w:tcBorders>
            <w:tcMar>
              <w:top w:w="22" w:type="dxa"/>
              <w:left w:w="28" w:type="dxa"/>
              <w:bottom w:w="22" w:type="dxa"/>
              <w:right w:w="28" w:type="dxa"/>
            </w:tcMar>
          </w:tcPr>
          <w:p w:rsidRPr="00B63400" w:rsidR="0084290D" w:rsidRDefault="00CF5B93" w14:paraId="2C63B3DC" w14:textId="77777777">
            <w:pPr>
              <w:pStyle w:val="p-table"/>
              <w:jc w:val="right"/>
              <w:rPr>
                <w:sz w:val="13"/>
                <w:szCs w:val="13"/>
              </w:rPr>
            </w:pPr>
            <w:r w:rsidRPr="00B63400">
              <w:rPr>
                <w:sz w:val="13"/>
                <w:szCs w:val="13"/>
              </w:rPr>
              <w:t>72.884</w:t>
            </w:r>
          </w:p>
        </w:tc>
        <w:tc>
          <w:tcPr>
            <w:tcW w:w="372" w:type="pct"/>
            <w:tcBorders>
              <w:bottom w:val="single" w:color="009EE0" w:sz="2" w:space="0"/>
            </w:tcBorders>
            <w:tcMar>
              <w:top w:w="22" w:type="dxa"/>
              <w:left w:w="28" w:type="dxa"/>
              <w:bottom w:w="22" w:type="dxa"/>
              <w:right w:w="28" w:type="dxa"/>
            </w:tcMar>
          </w:tcPr>
          <w:p w:rsidRPr="00B63400" w:rsidR="0084290D" w:rsidRDefault="00CF5B93" w14:paraId="07F7CC40"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863781C" w14:textId="77777777">
            <w:pPr>
              <w:pStyle w:val="p-table"/>
              <w:jc w:val="right"/>
              <w:rPr>
                <w:sz w:val="13"/>
                <w:szCs w:val="13"/>
              </w:rPr>
            </w:pPr>
            <w:r w:rsidRPr="00B63400">
              <w:rPr>
                <w:sz w:val="13"/>
                <w:szCs w:val="13"/>
              </w:rPr>
              <w:t>72.884</w:t>
            </w:r>
          </w:p>
        </w:tc>
        <w:tc>
          <w:tcPr>
            <w:tcW w:w="372" w:type="pct"/>
            <w:tcBorders>
              <w:bottom w:val="single" w:color="009EE0" w:sz="2" w:space="0"/>
            </w:tcBorders>
            <w:tcMar>
              <w:top w:w="22" w:type="dxa"/>
              <w:left w:w="28" w:type="dxa"/>
              <w:bottom w:w="22" w:type="dxa"/>
              <w:right w:w="28" w:type="dxa"/>
            </w:tcMar>
          </w:tcPr>
          <w:p w:rsidRPr="00B63400" w:rsidR="0084290D" w:rsidRDefault="00CF5B93" w14:paraId="2B03A13D"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54D7D8C" w14:textId="77777777">
            <w:pPr>
              <w:pStyle w:val="p-table"/>
              <w:jc w:val="right"/>
              <w:rPr>
                <w:sz w:val="13"/>
                <w:szCs w:val="13"/>
              </w:rPr>
            </w:pPr>
            <w:r w:rsidRPr="00B63400">
              <w:rPr>
                <w:sz w:val="13"/>
                <w:szCs w:val="13"/>
              </w:rPr>
              <w:t>72.884</w:t>
            </w:r>
          </w:p>
        </w:tc>
        <w:tc>
          <w:tcPr>
            <w:tcW w:w="372" w:type="pct"/>
            <w:tcBorders>
              <w:bottom w:val="single" w:color="009EE0" w:sz="2" w:space="0"/>
            </w:tcBorders>
            <w:tcMar>
              <w:top w:w="22" w:type="dxa"/>
              <w:left w:w="28" w:type="dxa"/>
              <w:bottom w:w="22" w:type="dxa"/>
              <w:right w:w="28" w:type="dxa"/>
            </w:tcMar>
          </w:tcPr>
          <w:p w:rsidRPr="00B63400" w:rsidR="0084290D" w:rsidRDefault="00CF5B93" w14:paraId="48D63C46"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DD33028"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9EB497F"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26F543F"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3FFB6D3" w14:textId="77777777">
            <w:pPr>
              <w:pStyle w:val="p-table"/>
              <w:jc w:val="right"/>
              <w:rPr>
                <w:sz w:val="13"/>
                <w:szCs w:val="13"/>
              </w:rPr>
            </w:pPr>
            <w:r w:rsidRPr="00B63400">
              <w:rPr>
                <w:sz w:val="13"/>
                <w:szCs w:val="13"/>
              </w:rPr>
              <w:t>72.894</w:t>
            </w:r>
          </w:p>
        </w:tc>
      </w:tr>
      <w:tr w:rsidR="0084290D" w:rsidTr="007433BE" w14:paraId="41E2A740" w14:textId="77777777">
        <w:tc>
          <w:tcPr>
            <w:tcW w:w="1240" w:type="pct"/>
            <w:tcBorders>
              <w:bottom w:val="single" w:color="009EE0" w:sz="2" w:space="0"/>
            </w:tcBorders>
            <w:tcMar>
              <w:top w:w="22" w:type="dxa"/>
              <w:bottom w:w="22" w:type="dxa"/>
              <w:right w:w="28" w:type="dxa"/>
            </w:tcMar>
          </w:tcPr>
          <w:p w:rsidRPr="00B63400" w:rsidR="0084290D" w:rsidRDefault="00CF5B93" w14:paraId="6A553BCA" w14:textId="77777777">
            <w:pPr>
              <w:pStyle w:val="p-table"/>
              <w:rPr>
                <w:sz w:val="13"/>
                <w:szCs w:val="13"/>
              </w:rPr>
            </w:pPr>
            <w:r w:rsidRPr="00B63400">
              <w:rPr>
                <w:sz w:val="13"/>
                <w:szCs w:val="13"/>
              </w:rPr>
              <w:t>Overige betalingsverplichtingen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62E3A48C" w14:textId="77777777">
            <w:pPr>
              <w:pStyle w:val="p-table"/>
              <w:jc w:val="right"/>
              <w:rPr>
                <w:sz w:val="13"/>
                <w:szCs w:val="13"/>
              </w:rPr>
            </w:pPr>
            <w:r w:rsidRPr="00B63400">
              <w:rPr>
                <w:sz w:val="13"/>
                <w:szCs w:val="13"/>
              </w:rPr>
              <w:t>103</w:t>
            </w:r>
          </w:p>
        </w:tc>
        <w:tc>
          <w:tcPr>
            <w:tcW w:w="372" w:type="pct"/>
            <w:tcBorders>
              <w:bottom w:val="single" w:color="009EE0" w:sz="2" w:space="0"/>
            </w:tcBorders>
            <w:tcMar>
              <w:top w:w="22" w:type="dxa"/>
              <w:left w:w="28" w:type="dxa"/>
              <w:bottom w:w="22" w:type="dxa"/>
              <w:right w:w="28" w:type="dxa"/>
            </w:tcMar>
          </w:tcPr>
          <w:p w:rsidRPr="00B63400" w:rsidR="0084290D" w:rsidRDefault="00CF5B93" w14:paraId="522C8BD7"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11FD900C" w14:textId="77777777">
            <w:pPr>
              <w:pStyle w:val="p-table"/>
              <w:jc w:val="right"/>
              <w:rPr>
                <w:sz w:val="13"/>
                <w:szCs w:val="13"/>
              </w:rPr>
            </w:pPr>
            <w:r w:rsidRPr="00B63400">
              <w:rPr>
                <w:sz w:val="13"/>
                <w:szCs w:val="13"/>
              </w:rPr>
              <w:t>103</w:t>
            </w:r>
          </w:p>
        </w:tc>
        <w:tc>
          <w:tcPr>
            <w:tcW w:w="372" w:type="pct"/>
            <w:tcBorders>
              <w:bottom w:val="single" w:color="009EE0" w:sz="2" w:space="0"/>
            </w:tcBorders>
            <w:tcMar>
              <w:top w:w="22" w:type="dxa"/>
              <w:left w:w="28" w:type="dxa"/>
              <w:bottom w:w="22" w:type="dxa"/>
              <w:right w:w="28" w:type="dxa"/>
            </w:tcMar>
          </w:tcPr>
          <w:p w:rsidRPr="00B63400" w:rsidR="0084290D" w:rsidRDefault="00CF5B93" w14:paraId="478BE723"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D2F0E31" w14:textId="77777777">
            <w:pPr>
              <w:pStyle w:val="p-table"/>
              <w:jc w:val="right"/>
              <w:rPr>
                <w:sz w:val="13"/>
                <w:szCs w:val="13"/>
              </w:rPr>
            </w:pPr>
            <w:r w:rsidRPr="00B63400">
              <w:rPr>
                <w:sz w:val="13"/>
                <w:szCs w:val="13"/>
              </w:rPr>
              <w:t>103</w:t>
            </w:r>
          </w:p>
        </w:tc>
        <w:tc>
          <w:tcPr>
            <w:tcW w:w="372" w:type="pct"/>
            <w:tcBorders>
              <w:bottom w:val="single" w:color="009EE0" w:sz="2" w:space="0"/>
            </w:tcBorders>
            <w:tcMar>
              <w:top w:w="22" w:type="dxa"/>
              <w:left w:w="28" w:type="dxa"/>
              <w:bottom w:w="22" w:type="dxa"/>
              <w:right w:w="28" w:type="dxa"/>
            </w:tcMar>
          </w:tcPr>
          <w:p w:rsidRPr="00B63400" w:rsidR="0084290D" w:rsidRDefault="00CF5B93" w14:paraId="71405DE4"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D5EE9D7"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D3DBA3E"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41EADE5"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8020E12" w14:textId="77777777">
            <w:pPr>
              <w:pStyle w:val="p-table"/>
              <w:jc w:val="right"/>
              <w:rPr>
                <w:sz w:val="13"/>
                <w:szCs w:val="13"/>
              </w:rPr>
            </w:pPr>
            <w:r w:rsidRPr="00B63400">
              <w:rPr>
                <w:sz w:val="13"/>
                <w:szCs w:val="13"/>
              </w:rPr>
              <w:t>103</w:t>
            </w:r>
          </w:p>
        </w:tc>
      </w:tr>
    </w:tbl>
    <w:p w:rsidR="0084290D" w:rsidRDefault="0084290D" w14:paraId="2F370C81"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66C98CAC" w14:textId="77777777">
        <w:trPr>
          <w:tblHeader/>
        </w:trPr>
        <w:tc>
          <w:tcPr>
            <w:tcW w:w="5508" w:type="dxa"/>
            <w:gridSpan w:val="2"/>
            <w:tcMar>
              <w:top w:w="22" w:type="dxa"/>
              <w:left w:w="113" w:type="dxa"/>
              <w:bottom w:w="22" w:type="dxa"/>
            </w:tcMar>
          </w:tcPr>
          <w:p w:rsidR="0084290D" w:rsidRDefault="00CF5B93" w14:paraId="6DE78AED" w14:textId="77777777">
            <w:pPr>
              <w:pStyle w:val="kio2-table-title"/>
            </w:pPr>
            <w:r>
              <w:t>Tabel 21 Geschatte budgetflexibiliteit</w:t>
            </w:r>
          </w:p>
        </w:tc>
      </w:tr>
      <w:tr w:rsidRPr="00D97FAD" w:rsidR="0084290D" w14:paraId="15D3E7A7" w14:textId="77777777">
        <w:trPr>
          <w:tblHeader/>
        </w:trPr>
        <w:tc>
          <w:tcPr>
            <w:tcW w:w="2754" w:type="dxa"/>
            <w:tcBorders>
              <w:top w:val="single" w:color="000000" w:sz="2" w:space="0"/>
              <w:bottom w:val="single" w:color="009EE0" w:sz="2" w:space="0"/>
            </w:tcBorders>
            <w:tcMar>
              <w:top w:w="28" w:type="dxa"/>
              <w:bottom w:w="28" w:type="dxa"/>
              <w:right w:w="28" w:type="dxa"/>
            </w:tcMar>
          </w:tcPr>
          <w:p w:rsidRPr="003268EE" w:rsidR="0084290D" w:rsidRDefault="0084290D" w14:paraId="5D2695F3"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C536199" w14:textId="77777777">
            <w:pPr>
              <w:pStyle w:val="p-table"/>
              <w:jc w:val="right"/>
              <w:rPr>
                <w:color w:val="000000"/>
                <w:sz w:val="13"/>
                <w:szCs w:val="13"/>
              </w:rPr>
            </w:pPr>
            <w:r w:rsidRPr="003268EE">
              <w:rPr>
                <w:color w:val="000000"/>
                <w:sz w:val="13"/>
                <w:szCs w:val="13"/>
              </w:rPr>
              <w:t>2026</w:t>
            </w:r>
          </w:p>
        </w:tc>
      </w:tr>
      <w:tr w:rsidRPr="00D97FAD" w:rsidR="0084290D" w14:paraId="295163ED" w14:textId="77777777">
        <w:tc>
          <w:tcPr>
            <w:tcW w:w="2754" w:type="dxa"/>
            <w:tcBorders>
              <w:bottom w:val="single" w:color="009EE0" w:sz="2" w:space="0"/>
            </w:tcBorders>
            <w:tcMar>
              <w:top w:w="22" w:type="dxa"/>
              <w:bottom w:w="22" w:type="dxa"/>
              <w:right w:w="28" w:type="dxa"/>
            </w:tcMar>
          </w:tcPr>
          <w:p w:rsidRPr="003268EE" w:rsidR="0084290D" w:rsidRDefault="00CF5B93" w14:paraId="7D6AA690" w14:textId="77777777">
            <w:pPr>
              <w:pStyle w:val="p-table"/>
              <w:rPr>
                <w:sz w:val="13"/>
                <w:szCs w:val="13"/>
              </w:rPr>
            </w:pPr>
            <w:r w:rsidRPr="003268EE">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3268EE" w:rsidR="0084290D" w:rsidRDefault="00CF5B93" w14:paraId="7F84EBA7" w14:textId="77777777">
            <w:pPr>
              <w:pStyle w:val="p-table"/>
              <w:jc w:val="right"/>
              <w:rPr>
                <w:sz w:val="13"/>
                <w:szCs w:val="13"/>
              </w:rPr>
            </w:pPr>
            <w:r w:rsidRPr="003268EE">
              <w:rPr>
                <w:sz w:val="13"/>
                <w:szCs w:val="13"/>
              </w:rPr>
              <w:t>100%</w:t>
            </w:r>
          </w:p>
        </w:tc>
      </w:tr>
      <w:tr w:rsidRPr="00D97FAD" w:rsidR="0084290D" w14:paraId="3FADB593" w14:textId="77777777">
        <w:tc>
          <w:tcPr>
            <w:tcW w:w="2754" w:type="dxa"/>
            <w:tcBorders>
              <w:bottom w:val="single" w:color="009EE0" w:sz="2" w:space="0"/>
            </w:tcBorders>
            <w:tcMar>
              <w:top w:w="22" w:type="dxa"/>
              <w:bottom w:w="22" w:type="dxa"/>
              <w:right w:w="28" w:type="dxa"/>
            </w:tcMar>
          </w:tcPr>
          <w:p w:rsidRPr="003268EE" w:rsidR="0084290D" w:rsidRDefault="00CF5B93" w14:paraId="3273311F" w14:textId="77777777">
            <w:pPr>
              <w:pStyle w:val="p-table"/>
              <w:rPr>
                <w:sz w:val="13"/>
                <w:szCs w:val="13"/>
              </w:rPr>
            </w:pPr>
            <w:r w:rsidRPr="003268EE">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08304AAE" w14:textId="77777777">
            <w:pPr>
              <w:pStyle w:val="p-table"/>
              <w:jc w:val="right"/>
              <w:rPr>
                <w:sz w:val="13"/>
                <w:szCs w:val="13"/>
              </w:rPr>
            </w:pPr>
            <w:r w:rsidRPr="003268EE">
              <w:rPr>
                <w:sz w:val="13"/>
                <w:szCs w:val="13"/>
              </w:rPr>
              <w:t>0%</w:t>
            </w:r>
          </w:p>
        </w:tc>
      </w:tr>
      <w:tr w:rsidRPr="00D97FAD" w:rsidR="0084290D" w14:paraId="40B0E9EA" w14:textId="77777777">
        <w:tc>
          <w:tcPr>
            <w:tcW w:w="2754" w:type="dxa"/>
            <w:tcBorders>
              <w:bottom w:val="single" w:color="009EE0" w:sz="2" w:space="0"/>
            </w:tcBorders>
            <w:tcMar>
              <w:top w:w="22" w:type="dxa"/>
              <w:bottom w:w="22" w:type="dxa"/>
              <w:right w:w="28" w:type="dxa"/>
            </w:tcMar>
          </w:tcPr>
          <w:p w:rsidRPr="003268EE" w:rsidR="0084290D" w:rsidRDefault="00CF5B93" w14:paraId="061BA35F" w14:textId="77777777">
            <w:pPr>
              <w:pStyle w:val="p-table"/>
              <w:rPr>
                <w:sz w:val="13"/>
                <w:szCs w:val="13"/>
              </w:rPr>
            </w:pPr>
            <w:r w:rsidRPr="003268EE">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3268EE" w:rsidR="0084290D" w:rsidRDefault="00CF5B93" w14:paraId="6D571441" w14:textId="77777777">
            <w:pPr>
              <w:pStyle w:val="p-table"/>
              <w:jc w:val="right"/>
              <w:rPr>
                <w:sz w:val="13"/>
                <w:szCs w:val="13"/>
              </w:rPr>
            </w:pPr>
            <w:r w:rsidRPr="003268EE">
              <w:rPr>
                <w:sz w:val="13"/>
                <w:szCs w:val="13"/>
              </w:rPr>
              <w:t>0%</w:t>
            </w:r>
          </w:p>
        </w:tc>
      </w:tr>
      <w:tr w:rsidRPr="00D97FAD" w:rsidR="0084290D" w14:paraId="12389C01" w14:textId="77777777">
        <w:tc>
          <w:tcPr>
            <w:tcW w:w="2754" w:type="dxa"/>
            <w:tcBorders>
              <w:bottom w:val="single" w:color="009EE0" w:sz="2" w:space="0"/>
            </w:tcBorders>
            <w:tcMar>
              <w:top w:w="22" w:type="dxa"/>
              <w:bottom w:w="22" w:type="dxa"/>
              <w:right w:w="28" w:type="dxa"/>
            </w:tcMar>
          </w:tcPr>
          <w:p w:rsidRPr="003268EE" w:rsidR="0084290D" w:rsidRDefault="00CF5B93" w14:paraId="5E0A89DA"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555753D9" w14:textId="77777777">
            <w:pPr>
              <w:pStyle w:val="p-table"/>
              <w:jc w:val="right"/>
              <w:rPr>
                <w:sz w:val="13"/>
                <w:szCs w:val="13"/>
              </w:rPr>
            </w:pPr>
            <w:r w:rsidRPr="003268EE">
              <w:rPr>
                <w:sz w:val="13"/>
                <w:szCs w:val="13"/>
              </w:rPr>
              <w:t>0%</w:t>
            </w:r>
          </w:p>
        </w:tc>
      </w:tr>
    </w:tbl>
    <w:p w:rsidRPr="00D97FAD" w:rsidR="0084290D" w:rsidRDefault="0084290D" w14:paraId="20C5829F" w14:textId="77777777">
      <w:pPr>
        <w:pStyle w:val="p-marginbottom"/>
        <w:rPr>
          <w:sz w:val="13"/>
          <w:szCs w:val="13"/>
        </w:rPr>
      </w:pPr>
    </w:p>
    <w:p w:rsidR="0084290D" w:rsidRDefault="00CF5B93" w14:paraId="5430C056" w14:textId="77777777">
      <w:pPr>
        <w:pStyle w:val="header-h1"/>
      </w:pPr>
      <w:r>
        <w:t>Toelichting</w:t>
      </w:r>
    </w:p>
    <w:p w:rsidR="0084290D" w:rsidRDefault="0084290D" w14:paraId="6D4F9462" w14:textId="77777777">
      <w:pPr>
        <w:pStyle w:val="p-marginbottom"/>
      </w:pPr>
    </w:p>
    <w:p w:rsidR="0084290D" w:rsidRDefault="00CF5B93" w14:paraId="20FC5815" w14:textId="77777777">
      <w:pPr>
        <w:pStyle w:val="header-h1"/>
      </w:pPr>
      <w:r>
        <w:t>Budgetflexibiliteit</w:t>
      </w:r>
    </w:p>
    <w:p w:rsidR="0084290D" w:rsidRDefault="0084290D" w14:paraId="0BCBE770" w14:textId="77777777">
      <w:pPr>
        <w:pStyle w:val="p-marginbottom"/>
      </w:pPr>
    </w:p>
    <w:p w:rsidR="0084290D" w:rsidRDefault="00CF5B93" w14:paraId="287A63F1" w14:textId="77777777">
      <w:pPr>
        <w:pStyle w:val="header-h2"/>
      </w:pPr>
      <w:r>
        <w:t>Opdrachten</w:t>
      </w:r>
    </w:p>
    <w:p w:rsidR="0084290D" w:rsidRDefault="00CF5B93" w14:paraId="7A58ED7D" w14:textId="77777777">
      <w:pPr>
        <w:pStyle w:val="p"/>
      </w:pPr>
      <w:r>
        <w:t>Dit budget is 100% juridisch verplicht op basis van een overeenkomst met Atradius Dutch State Business (ADSB).</w:t>
      </w:r>
    </w:p>
    <w:p w:rsidR="0084290D" w:rsidRDefault="00CF5B93" w14:paraId="409BC58D" w14:textId="77777777">
      <w:pPr>
        <w:pStyle w:val="header-h2"/>
      </w:pPr>
      <w:r>
        <w:t>Garanties</w:t>
      </w:r>
    </w:p>
    <w:p w:rsidR="0084290D" w:rsidRDefault="00CF5B93" w14:paraId="32F696DA" w14:textId="77777777">
      <w:pPr>
        <w:pStyle w:val="p"/>
      </w:pPr>
      <w:r>
        <w:t>Deze uitgaven zijn 100% juridisch verplicht, aangezien deze voortvloeien uit afgesloten exportkredietverzekeringen. Indien de verzekerde risico’s zich materialiseren en aan alle verzekeringsvoorwaarden is voldaan, moet de Staat als verzekeraar tot uitkering overgaan.</w:t>
      </w:r>
    </w:p>
    <w:p w:rsidR="0084290D" w:rsidRDefault="00CF5B93" w14:paraId="390600DD" w14:textId="77777777">
      <w:pPr>
        <w:pStyle w:val="header-h1"/>
      </w:pPr>
      <w:r>
        <w:t>Verplichtingen</w:t>
      </w:r>
    </w:p>
    <w:p w:rsidR="00B63400" w:rsidRDefault="00B63400" w14:paraId="2B2A26F6" w14:textId="77777777">
      <w:pPr>
        <w:pStyle w:val="header-h1"/>
      </w:pPr>
    </w:p>
    <w:p w:rsidR="0084290D" w:rsidRDefault="00CF5B93" w14:paraId="365BE5B1" w14:textId="77777777">
      <w:pPr>
        <w:pStyle w:val="header-h2"/>
      </w:pPr>
      <w:r>
        <w:t>Overige verplichtingen</w:t>
      </w:r>
    </w:p>
    <w:p w:rsidR="0084290D" w:rsidRDefault="0084290D" w14:paraId="7E87951C" w14:textId="77777777">
      <w:pPr>
        <w:pStyle w:val="p-marginbottom"/>
      </w:pPr>
    </w:p>
    <w:p w:rsidR="0084290D" w:rsidRDefault="00CF5B93" w14:paraId="32703CE6" w14:textId="77777777">
      <w:pPr>
        <w:pStyle w:val="header-h5"/>
      </w:pPr>
      <w:r>
        <w:t>Kostenvergoeding Atradius DSB</w:t>
      </w:r>
    </w:p>
    <w:p w:rsidR="0084290D" w:rsidRDefault="00CF5B93" w14:paraId="16DD026C" w14:textId="77777777">
      <w:pPr>
        <w:pStyle w:val="p"/>
      </w:pPr>
      <w:r>
        <w:t>Zie toelichting onder uitgaven.</w:t>
      </w:r>
    </w:p>
    <w:p w:rsidR="009665F5" w:rsidRDefault="009665F5" w14:paraId="7F776DB1" w14:textId="77777777">
      <w:pPr>
        <w:rPr>
          <w:b/>
          <w:sz w:val="17"/>
        </w:rPr>
      </w:pPr>
      <w:r>
        <w:br w:type="page"/>
      </w:r>
    </w:p>
    <w:p w:rsidR="0084290D" w:rsidRDefault="00CF5B93" w14:paraId="37B2ABEC" w14:textId="3FC18E28">
      <w:pPr>
        <w:pStyle w:val="header-h1"/>
      </w:pPr>
      <w:r>
        <w:lastRenderedPageBreak/>
        <w:t>Uitgaven</w:t>
      </w:r>
    </w:p>
    <w:p w:rsidR="00B63400" w:rsidRDefault="00B63400" w14:paraId="34EDA80C" w14:textId="77777777">
      <w:pPr>
        <w:pStyle w:val="header-h1"/>
      </w:pPr>
    </w:p>
    <w:p w:rsidR="0084290D" w:rsidRDefault="00CF5B93" w14:paraId="5C7A4989" w14:textId="77777777">
      <w:pPr>
        <w:pStyle w:val="header-h2"/>
      </w:pPr>
      <w:r>
        <w:t>Opdrachten</w:t>
      </w:r>
    </w:p>
    <w:p w:rsidR="0084290D" w:rsidRDefault="00CF5B93" w14:paraId="5A63ED93" w14:textId="77777777">
      <w:pPr>
        <w:pStyle w:val="p"/>
      </w:pPr>
      <w:r>
        <w:t>De kostenvergoeding aan Atradius DSB wordt geïndexeerd. Ook worden er in 2026 en 2027 extra kosten gemaakt voor externe expertise voor het aanbesteden (consultantskosten) van de uitvoering van de ekv. Deze uitvoeringskosten worden middels een desaldering gedekt uit de begrotingsreserve.</w:t>
      </w:r>
    </w:p>
    <w:p w:rsidR="0084290D" w:rsidRDefault="00CF5B93" w14:paraId="469E1451" w14:textId="77777777">
      <w:pPr>
        <w:pStyle w:val="header-h2"/>
      </w:pPr>
      <w:r>
        <w:t>Garanties</w:t>
      </w:r>
    </w:p>
    <w:p w:rsidR="00B63400" w:rsidRDefault="00B63400" w14:paraId="7386FBEB" w14:textId="77777777">
      <w:pPr>
        <w:pStyle w:val="header-h2"/>
      </w:pPr>
    </w:p>
    <w:p w:rsidR="0084290D" w:rsidRDefault="00CF5B93" w14:paraId="397E4131" w14:textId="77777777">
      <w:pPr>
        <w:pStyle w:val="header-h5"/>
      </w:pPr>
      <w:r>
        <w:t>Schade-uitkering ekv</w:t>
      </w:r>
    </w:p>
    <w:p w:rsidR="0084290D" w:rsidRDefault="00CF5B93" w14:paraId="3B97BF81" w14:textId="77777777">
      <w:pPr>
        <w:pStyle w:val="p"/>
      </w:pPr>
      <w:r>
        <w:t>De begroting wordt meerjarig aangesloten op de raming van ADSB en licht daarmee dichter bij de realisaties van de afgelopen jaren.</w:t>
      </w:r>
    </w:p>
    <w:p w:rsidR="0084290D" w:rsidRDefault="00CF5B93" w14:paraId="479A9560" w14:textId="77777777">
      <w:pPr>
        <w:pStyle w:val="header-h1"/>
      </w:pPr>
      <w:r>
        <w:t>Ontvangsten</w:t>
      </w:r>
    </w:p>
    <w:p w:rsidR="0084290D" w:rsidRDefault="0084290D" w14:paraId="106151BB" w14:textId="77777777">
      <w:pPr>
        <w:pStyle w:val="p-marginbottom"/>
      </w:pPr>
    </w:p>
    <w:p w:rsidR="0084290D" w:rsidRDefault="00CF5B93" w14:paraId="00891BD9" w14:textId="77777777">
      <w:pPr>
        <w:pStyle w:val="header-h2"/>
      </w:pPr>
      <w:r>
        <w:t>Storting/onttrekking begrotingsreserve</w:t>
      </w:r>
    </w:p>
    <w:p w:rsidR="0084290D" w:rsidRDefault="00CF5B93" w14:paraId="26FE0E0E" w14:textId="77777777">
      <w:pPr>
        <w:pStyle w:val="p"/>
      </w:pPr>
      <w:r>
        <w:t>Zie toelichting onder opdrachten.</w:t>
      </w:r>
    </w:p>
    <w:p w:rsidR="0084290D" w:rsidRDefault="0084290D" w14:paraId="7B6DE7BB" w14:textId="77777777">
      <w:pPr>
        <w:pStyle w:val="page-break"/>
      </w:pPr>
    </w:p>
    <w:p w:rsidR="0084290D" w:rsidRDefault="00CF5B93" w14:paraId="425FE290" w14:textId="77777777">
      <w:pPr>
        <w:pStyle w:val="section-title-3"/>
      </w:pPr>
      <w:r>
        <w:t>Artikel 6 Btw-compensatiefonds</w:t>
      </w:r>
    </w:p>
    <w:p w:rsidR="0084290D" w:rsidRDefault="00CF5B93" w14:paraId="738386A6" w14:textId="77777777">
      <w:pPr>
        <w:pStyle w:val="header-h1"/>
      </w:pPr>
      <w:r>
        <w:t>Budgettaire gevolgen van beleid</w:t>
      </w:r>
    </w:p>
    <w:p w:rsidR="0084290D" w:rsidRDefault="0084290D" w14:paraId="17D1946E" w14:textId="77777777">
      <w:pPr>
        <w:pStyle w:val="p-marginbottom"/>
      </w:pP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2451D80D" w14:textId="77777777">
        <w:trPr>
          <w:tblHeader/>
        </w:trPr>
        <w:tc>
          <w:tcPr>
            <w:tcW w:w="5000" w:type="pct"/>
            <w:gridSpan w:val="11"/>
            <w:tcMar>
              <w:top w:w="22" w:type="dxa"/>
              <w:left w:w="113" w:type="dxa"/>
              <w:bottom w:w="22" w:type="dxa"/>
            </w:tcMar>
          </w:tcPr>
          <w:p w:rsidR="0084290D" w:rsidRDefault="00CF5B93" w14:paraId="5E37F8D4" w14:textId="77777777">
            <w:pPr>
              <w:pStyle w:val="kio2-table-title"/>
            </w:pPr>
            <w:r>
              <w:t>Tabel 22 Budgettaire gevolgen van beleid artikel 6 Btw-compensatiefonds (bedragen x € 1.000)</w:t>
            </w:r>
          </w:p>
        </w:tc>
      </w:tr>
      <w:tr w:rsidR="0084290D" w:rsidTr="007433BE" w14:paraId="1FB6A554" w14:textId="77777777">
        <w:trPr>
          <w:tblHeader/>
        </w:trPr>
        <w:tc>
          <w:tcPr>
            <w:tcW w:w="1250" w:type="pct"/>
            <w:tcBorders>
              <w:top w:val="single" w:color="000000" w:sz="2" w:space="0"/>
              <w:bottom w:val="single" w:color="009EE0" w:sz="2" w:space="0"/>
            </w:tcBorders>
            <w:tcMar>
              <w:top w:w="28" w:type="dxa"/>
              <w:bottom w:w="28" w:type="dxa"/>
              <w:right w:w="28" w:type="dxa"/>
            </w:tcMar>
          </w:tcPr>
          <w:p w:rsidRPr="006F2FC4" w:rsidR="0084290D" w:rsidRDefault="00CF5B93" w14:paraId="72DA27F0" w14:textId="77777777">
            <w:pPr>
              <w:pStyle w:val="p-table"/>
              <w:rPr>
                <w:color w:val="000000"/>
                <w:sz w:val="13"/>
                <w:szCs w:val="13"/>
              </w:rPr>
            </w:pPr>
            <w:r w:rsidRPr="006F2FC4">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63B0B63"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230AFB5" w14:textId="77777777">
            <w:pPr>
              <w:pStyle w:val="p-table"/>
              <w:jc w:val="right"/>
              <w:rPr>
                <w:color w:val="000000"/>
                <w:sz w:val="13"/>
                <w:szCs w:val="13"/>
              </w:rPr>
            </w:pPr>
            <w:r w:rsidRPr="006F2FC4">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0D164F4" w14:textId="77777777">
            <w:pPr>
              <w:pStyle w:val="p-table"/>
              <w:jc w:val="right"/>
              <w:rPr>
                <w:color w:val="000000"/>
                <w:sz w:val="13"/>
                <w:szCs w:val="13"/>
              </w:rPr>
            </w:pPr>
            <w:r w:rsidRPr="006F2FC4">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C1AD94E"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D0F5822"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0B4DF2C"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5E29E7B"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1E6CC7E"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E3FE89F"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4CBF65B" w14:textId="77777777">
            <w:pPr>
              <w:pStyle w:val="p-table"/>
              <w:jc w:val="right"/>
              <w:rPr>
                <w:color w:val="000000"/>
                <w:sz w:val="13"/>
                <w:szCs w:val="13"/>
              </w:rPr>
            </w:pPr>
            <w:r w:rsidRPr="006F2FC4">
              <w:rPr>
                <w:color w:val="000000"/>
                <w:sz w:val="13"/>
                <w:szCs w:val="13"/>
              </w:rPr>
              <w:t>Mutatie 2031</w:t>
            </w:r>
          </w:p>
        </w:tc>
      </w:tr>
      <w:tr w:rsidR="0084290D" w:rsidTr="007433BE" w14:paraId="4D31311D" w14:textId="77777777">
        <w:tc>
          <w:tcPr>
            <w:tcW w:w="4625" w:type="pct"/>
            <w:gridSpan w:val="10"/>
            <w:tcBorders>
              <w:bottom w:val="single" w:color="009EE0" w:sz="2" w:space="0"/>
            </w:tcBorders>
            <w:tcMar>
              <w:top w:w="22" w:type="dxa"/>
              <w:bottom w:w="22" w:type="dxa"/>
              <w:right w:w="28" w:type="dxa"/>
            </w:tcMar>
          </w:tcPr>
          <w:p w:rsidRPr="006F2FC4" w:rsidR="0084290D" w:rsidRDefault="0084290D" w14:paraId="3CF137B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F279A4" w14:textId="77777777">
            <w:pPr>
              <w:pStyle w:val="p-table"/>
              <w:rPr>
                <w:sz w:val="13"/>
                <w:szCs w:val="13"/>
              </w:rPr>
            </w:pPr>
          </w:p>
        </w:tc>
      </w:tr>
      <w:tr w:rsidR="0084290D" w:rsidTr="007433BE" w14:paraId="51F1D20E" w14:textId="77777777">
        <w:tc>
          <w:tcPr>
            <w:tcW w:w="1250" w:type="pct"/>
            <w:tcBorders>
              <w:bottom w:val="single" w:color="009EE0" w:sz="2" w:space="0"/>
            </w:tcBorders>
            <w:tcMar>
              <w:top w:w="22" w:type="dxa"/>
              <w:bottom w:w="22" w:type="dxa"/>
              <w:right w:w="28" w:type="dxa"/>
            </w:tcMar>
          </w:tcPr>
          <w:p w:rsidRPr="006F2FC4" w:rsidR="0084290D" w:rsidRDefault="00CF5B93" w14:paraId="733609A3" w14:textId="77777777">
            <w:pPr>
              <w:pStyle w:val="p-table"/>
              <w:rPr>
                <w:sz w:val="13"/>
                <w:szCs w:val="13"/>
              </w:rPr>
            </w:pPr>
            <w:r w:rsidRPr="006F2FC4">
              <w:rPr>
                <w:b/>
                <w:sz w:val="13"/>
                <w:szCs w:val="13"/>
              </w:rPr>
              <w:t>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1CA5D3"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129A5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B80434"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85F762" w14:textId="77777777">
            <w:pPr>
              <w:pStyle w:val="p-table"/>
              <w:jc w:val="right"/>
              <w:rPr>
                <w:sz w:val="13"/>
                <w:szCs w:val="13"/>
              </w:rPr>
            </w:pPr>
            <w:r w:rsidRPr="006F2FC4">
              <w:rPr>
                <w:b/>
                <w:sz w:val="13"/>
                <w:szCs w:val="13"/>
              </w:rPr>
              <w:t>10.795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1706928" w14:textId="77777777">
            <w:pPr>
              <w:pStyle w:val="p-table"/>
              <w:jc w:val="right"/>
              <w:rPr>
                <w:sz w:val="13"/>
                <w:szCs w:val="13"/>
              </w:rPr>
            </w:pPr>
            <w:r w:rsidRPr="006F2FC4">
              <w:rPr>
                <w:b/>
                <w:sz w:val="13"/>
                <w:szCs w:val="13"/>
              </w:rPr>
              <w:t>4.492.443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7EF56D" w14:textId="77777777">
            <w:pPr>
              <w:pStyle w:val="p-table"/>
              <w:jc w:val="right"/>
              <w:rPr>
                <w:sz w:val="13"/>
                <w:szCs w:val="13"/>
              </w:rPr>
            </w:pPr>
            <w:r w:rsidRPr="006F2FC4">
              <w:rPr>
                <w:b/>
                <w:sz w:val="13"/>
                <w:szCs w:val="13"/>
              </w:rPr>
              <w:t>20.718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9A44E5"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51C70E" w14:textId="77777777">
            <w:pPr>
              <w:pStyle w:val="p-table"/>
              <w:jc w:val="right"/>
              <w:rPr>
                <w:sz w:val="13"/>
                <w:szCs w:val="13"/>
              </w:rPr>
            </w:pPr>
            <w:r w:rsidRPr="006F2FC4">
              <w:rPr>
                <w:b/>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4E30F6"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B940A6" w14:textId="77777777">
            <w:pPr>
              <w:pStyle w:val="p-table"/>
              <w:jc w:val="right"/>
              <w:rPr>
                <w:sz w:val="13"/>
                <w:szCs w:val="13"/>
              </w:rPr>
            </w:pPr>
            <w:r w:rsidRPr="006F2FC4">
              <w:rPr>
                <w:b/>
                <w:sz w:val="13"/>
                <w:szCs w:val="13"/>
              </w:rPr>
              <w:t>4.481.648</w:t>
            </w:r>
          </w:p>
        </w:tc>
      </w:tr>
      <w:tr w:rsidR="0084290D" w:rsidTr="007433BE" w14:paraId="298D729E" w14:textId="77777777">
        <w:tc>
          <w:tcPr>
            <w:tcW w:w="1250" w:type="pct"/>
            <w:tcMar>
              <w:top w:w="22" w:type="dxa"/>
              <w:bottom w:w="22" w:type="dxa"/>
              <w:right w:w="28" w:type="dxa"/>
            </w:tcMar>
          </w:tcPr>
          <w:p w:rsidRPr="006F2FC4" w:rsidR="0084290D" w:rsidRDefault="0084290D" w14:paraId="4514544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7F2F96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F5769D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784537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A83E25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08DF33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0B8BB94"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A010FD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5CA29D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7B4CCF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E27023C" w14:textId="77777777">
            <w:pPr>
              <w:pStyle w:val="p-table"/>
              <w:rPr>
                <w:sz w:val="13"/>
                <w:szCs w:val="13"/>
              </w:rPr>
            </w:pPr>
          </w:p>
        </w:tc>
      </w:tr>
      <w:tr w:rsidR="0084290D" w:rsidTr="007433BE" w14:paraId="04178912" w14:textId="77777777">
        <w:tc>
          <w:tcPr>
            <w:tcW w:w="1250" w:type="pct"/>
            <w:tcBorders>
              <w:bottom w:val="single" w:color="009EE0" w:sz="2" w:space="0"/>
            </w:tcBorders>
            <w:tcMar>
              <w:top w:w="22" w:type="dxa"/>
              <w:bottom w:w="22" w:type="dxa"/>
              <w:right w:w="28" w:type="dxa"/>
            </w:tcMar>
          </w:tcPr>
          <w:p w:rsidRPr="006F2FC4" w:rsidR="0084290D" w:rsidRDefault="00CF5B93" w14:paraId="3272E16E" w14:textId="77777777">
            <w:pPr>
              <w:pStyle w:val="p-table"/>
              <w:rPr>
                <w:sz w:val="13"/>
                <w:szCs w:val="13"/>
              </w:rPr>
            </w:pPr>
            <w:r w:rsidRPr="006F2FC4">
              <w:rPr>
                <w:b/>
                <w:sz w:val="13"/>
                <w:szCs w:val="13"/>
              </w:rPr>
              <w:t>Uitgaven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3EFE1E"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A7B7D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447F29"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CF0962" w14:textId="77777777">
            <w:pPr>
              <w:pStyle w:val="p-table"/>
              <w:jc w:val="right"/>
              <w:rPr>
                <w:sz w:val="13"/>
                <w:szCs w:val="13"/>
              </w:rPr>
            </w:pPr>
            <w:r w:rsidRPr="006F2FC4">
              <w:rPr>
                <w:b/>
                <w:sz w:val="13"/>
                <w:szCs w:val="13"/>
              </w:rPr>
              <w:t>10.795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FA7C500" w14:textId="77777777">
            <w:pPr>
              <w:pStyle w:val="p-table"/>
              <w:jc w:val="right"/>
              <w:rPr>
                <w:sz w:val="13"/>
                <w:szCs w:val="13"/>
              </w:rPr>
            </w:pPr>
            <w:r w:rsidRPr="006F2FC4">
              <w:rPr>
                <w:b/>
                <w:sz w:val="13"/>
                <w:szCs w:val="13"/>
              </w:rPr>
              <w:t>4.492.443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3D6706" w14:textId="77777777">
            <w:pPr>
              <w:pStyle w:val="p-table"/>
              <w:jc w:val="right"/>
              <w:rPr>
                <w:sz w:val="13"/>
                <w:szCs w:val="13"/>
              </w:rPr>
            </w:pPr>
            <w:r w:rsidRPr="006F2FC4">
              <w:rPr>
                <w:b/>
                <w:sz w:val="13"/>
                <w:szCs w:val="13"/>
              </w:rPr>
              <w:t>20.718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A5F260"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501242" w14:textId="77777777">
            <w:pPr>
              <w:pStyle w:val="p-table"/>
              <w:jc w:val="right"/>
              <w:rPr>
                <w:sz w:val="13"/>
                <w:szCs w:val="13"/>
              </w:rPr>
            </w:pPr>
            <w:r w:rsidRPr="006F2FC4">
              <w:rPr>
                <w:b/>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D9667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3C3DB1" w14:textId="77777777">
            <w:pPr>
              <w:pStyle w:val="p-table"/>
              <w:jc w:val="right"/>
              <w:rPr>
                <w:sz w:val="13"/>
                <w:szCs w:val="13"/>
              </w:rPr>
            </w:pPr>
            <w:r w:rsidRPr="006F2FC4">
              <w:rPr>
                <w:b/>
                <w:sz w:val="13"/>
                <w:szCs w:val="13"/>
              </w:rPr>
              <w:t>4.481.648</w:t>
            </w:r>
          </w:p>
        </w:tc>
      </w:tr>
      <w:tr w:rsidR="0084290D" w:rsidTr="007433BE" w14:paraId="67EB30D2" w14:textId="77777777">
        <w:tc>
          <w:tcPr>
            <w:tcW w:w="1250" w:type="pct"/>
            <w:tcMar>
              <w:top w:w="22" w:type="dxa"/>
              <w:bottom w:w="22" w:type="dxa"/>
              <w:right w:w="28" w:type="dxa"/>
            </w:tcMar>
          </w:tcPr>
          <w:p w:rsidRPr="006F2FC4" w:rsidR="0084290D" w:rsidRDefault="0084290D" w14:paraId="15F21BE2"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424644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326B91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F97E9B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1EE186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62C039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19354B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C2691B5"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EB08554"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4F7ABD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C8726DF" w14:textId="77777777">
            <w:pPr>
              <w:pStyle w:val="p-table"/>
              <w:rPr>
                <w:sz w:val="13"/>
                <w:szCs w:val="13"/>
              </w:rPr>
            </w:pPr>
          </w:p>
        </w:tc>
      </w:tr>
      <w:tr w:rsidR="0084290D" w:rsidTr="007433BE" w14:paraId="01F188FB" w14:textId="77777777">
        <w:tc>
          <w:tcPr>
            <w:tcW w:w="1250" w:type="pct"/>
            <w:tcBorders>
              <w:bottom w:val="single" w:color="009EE0" w:sz="2" w:space="0"/>
            </w:tcBorders>
            <w:tcMar>
              <w:top w:w="22" w:type="dxa"/>
              <w:bottom w:w="22" w:type="dxa"/>
              <w:right w:w="28" w:type="dxa"/>
            </w:tcMar>
          </w:tcPr>
          <w:p w:rsidRPr="006F2FC4" w:rsidR="0084290D" w:rsidRDefault="00CF5B93" w14:paraId="44BCD336" w14:textId="77777777">
            <w:pPr>
              <w:pStyle w:val="p-table"/>
              <w:rPr>
                <w:sz w:val="13"/>
                <w:szCs w:val="13"/>
              </w:rPr>
            </w:pPr>
            <w:r w:rsidRPr="006F2FC4">
              <w:rPr>
                <w:b/>
                <w:sz w:val="13"/>
                <w:szCs w:val="13"/>
              </w:rPr>
              <w:t>Bijdrage aan medeoverheden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FFA02D"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B0A4DB"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B13C7A"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69E2C6" w14:textId="77777777">
            <w:pPr>
              <w:pStyle w:val="p-table"/>
              <w:jc w:val="right"/>
              <w:rPr>
                <w:sz w:val="13"/>
                <w:szCs w:val="13"/>
              </w:rPr>
            </w:pPr>
            <w:r w:rsidRPr="006F2FC4">
              <w:rPr>
                <w:b/>
                <w:sz w:val="13"/>
                <w:szCs w:val="13"/>
              </w:rPr>
              <w:t>10.795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2D8039" w14:textId="77777777">
            <w:pPr>
              <w:pStyle w:val="p-table"/>
              <w:jc w:val="right"/>
              <w:rPr>
                <w:sz w:val="13"/>
                <w:szCs w:val="13"/>
              </w:rPr>
            </w:pPr>
            <w:r w:rsidRPr="006F2FC4">
              <w:rPr>
                <w:b/>
                <w:sz w:val="13"/>
                <w:szCs w:val="13"/>
              </w:rPr>
              <w:t>4.492.443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9CF0B0" w14:textId="77777777">
            <w:pPr>
              <w:pStyle w:val="p-table"/>
              <w:jc w:val="right"/>
              <w:rPr>
                <w:sz w:val="13"/>
                <w:szCs w:val="13"/>
              </w:rPr>
            </w:pPr>
            <w:r w:rsidRPr="006F2FC4">
              <w:rPr>
                <w:b/>
                <w:sz w:val="13"/>
                <w:szCs w:val="13"/>
              </w:rPr>
              <w:t>20.718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CA4BA7"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C53CF5" w14:textId="77777777">
            <w:pPr>
              <w:pStyle w:val="p-table"/>
              <w:jc w:val="right"/>
              <w:rPr>
                <w:sz w:val="13"/>
                <w:szCs w:val="13"/>
              </w:rPr>
            </w:pPr>
            <w:r w:rsidRPr="006F2FC4">
              <w:rPr>
                <w:b/>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C03D1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F3D2FB" w14:textId="77777777">
            <w:pPr>
              <w:pStyle w:val="p-table"/>
              <w:jc w:val="right"/>
              <w:rPr>
                <w:sz w:val="13"/>
                <w:szCs w:val="13"/>
              </w:rPr>
            </w:pPr>
            <w:r w:rsidRPr="006F2FC4">
              <w:rPr>
                <w:b/>
                <w:sz w:val="13"/>
                <w:szCs w:val="13"/>
              </w:rPr>
              <w:t>4.481.648</w:t>
            </w:r>
          </w:p>
        </w:tc>
      </w:tr>
      <w:tr w:rsidR="0084290D" w:rsidTr="007433BE" w14:paraId="55CC89C0" w14:textId="77777777">
        <w:tc>
          <w:tcPr>
            <w:tcW w:w="1250" w:type="pct"/>
            <w:tcBorders>
              <w:bottom w:val="single" w:color="009EE0" w:sz="2" w:space="0"/>
            </w:tcBorders>
            <w:tcMar>
              <w:top w:w="22" w:type="dxa"/>
              <w:bottom w:w="22" w:type="dxa"/>
              <w:right w:w="28" w:type="dxa"/>
            </w:tcMar>
          </w:tcPr>
          <w:p w:rsidRPr="006F2FC4" w:rsidR="0084290D" w:rsidRDefault="00CF5B93" w14:paraId="2A20B597" w14:textId="77777777">
            <w:pPr>
              <w:pStyle w:val="p-table"/>
              <w:rPr>
                <w:sz w:val="13"/>
                <w:szCs w:val="13"/>
              </w:rPr>
            </w:pPr>
            <w:r w:rsidRPr="006F2FC4">
              <w:rPr>
                <w:sz w:val="13"/>
                <w:szCs w:val="13"/>
              </w:rPr>
              <w:t>Bijdragen aan gemeenten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43E3395E" w14:textId="77777777">
            <w:pPr>
              <w:pStyle w:val="p-table"/>
              <w:jc w:val="right"/>
              <w:rPr>
                <w:sz w:val="13"/>
                <w:szCs w:val="13"/>
              </w:rPr>
            </w:pPr>
            <w:r w:rsidRPr="006F2FC4">
              <w:rPr>
                <w:sz w:val="13"/>
                <w:szCs w:val="13"/>
              </w:rPr>
              <w:t>4.042.000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1CA35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B3126E" w14:textId="77777777">
            <w:pPr>
              <w:pStyle w:val="p-table"/>
              <w:jc w:val="right"/>
              <w:rPr>
                <w:sz w:val="13"/>
                <w:szCs w:val="13"/>
              </w:rPr>
            </w:pPr>
            <w:r w:rsidRPr="006F2FC4">
              <w:rPr>
                <w:sz w:val="13"/>
                <w:szCs w:val="13"/>
              </w:rPr>
              <w:t>4.042.000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D6C6EC" w14:textId="77777777">
            <w:pPr>
              <w:pStyle w:val="p-table"/>
              <w:jc w:val="right"/>
              <w:rPr>
                <w:sz w:val="13"/>
                <w:szCs w:val="13"/>
              </w:rPr>
            </w:pPr>
            <w:r w:rsidRPr="006F2FC4">
              <w:rPr>
                <w:sz w:val="13"/>
                <w:szCs w:val="13"/>
              </w:rPr>
              <w:t>3.078</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9A3815" w14:textId="77777777">
            <w:pPr>
              <w:pStyle w:val="p-table"/>
              <w:jc w:val="right"/>
              <w:rPr>
                <w:sz w:val="13"/>
                <w:szCs w:val="13"/>
              </w:rPr>
            </w:pPr>
            <w:r w:rsidRPr="006F2FC4">
              <w:rPr>
                <w:sz w:val="13"/>
                <w:szCs w:val="13"/>
              </w:rPr>
              <w:t>4.045.078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664A22" w14:textId="77777777">
            <w:pPr>
              <w:pStyle w:val="p-table"/>
              <w:jc w:val="right"/>
              <w:rPr>
                <w:sz w:val="13"/>
                <w:szCs w:val="13"/>
              </w:rPr>
            </w:pPr>
            <w:r w:rsidRPr="006F2FC4">
              <w:rPr>
                <w:sz w:val="13"/>
                <w:szCs w:val="13"/>
              </w:rPr>
              <w:t>18.623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36BF49" w14:textId="77777777">
            <w:pPr>
              <w:pStyle w:val="p-table"/>
              <w:jc w:val="right"/>
              <w:rPr>
                <w:sz w:val="13"/>
                <w:szCs w:val="13"/>
              </w:rPr>
            </w:pPr>
            <w:r w:rsidRPr="006F2FC4">
              <w:rPr>
                <w:sz w:val="13"/>
                <w:szCs w:val="13"/>
              </w:rPr>
              <w:t>600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55318F" w14:textId="77777777">
            <w:pPr>
              <w:pStyle w:val="p-table"/>
              <w:jc w:val="right"/>
              <w:rPr>
                <w:sz w:val="13"/>
                <w:szCs w:val="13"/>
              </w:rPr>
            </w:pPr>
            <w:r w:rsidRPr="006F2FC4">
              <w:rPr>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5AECD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3D3FFC" w14:textId="77777777">
            <w:pPr>
              <w:pStyle w:val="p-table"/>
              <w:jc w:val="right"/>
              <w:rPr>
                <w:sz w:val="13"/>
                <w:szCs w:val="13"/>
              </w:rPr>
            </w:pPr>
            <w:r w:rsidRPr="006F2FC4">
              <w:rPr>
                <w:sz w:val="13"/>
                <w:szCs w:val="13"/>
              </w:rPr>
              <w:t>4.042.000</w:t>
            </w:r>
          </w:p>
        </w:tc>
      </w:tr>
      <w:tr w:rsidR="0084290D" w:rsidTr="007433BE" w14:paraId="62B79804" w14:textId="77777777">
        <w:tc>
          <w:tcPr>
            <w:tcW w:w="1250" w:type="pct"/>
            <w:tcBorders>
              <w:bottom w:val="single" w:color="009EE0" w:sz="2" w:space="0"/>
            </w:tcBorders>
            <w:tcMar>
              <w:top w:w="22" w:type="dxa"/>
              <w:bottom w:w="22" w:type="dxa"/>
              <w:right w:w="28" w:type="dxa"/>
            </w:tcMar>
          </w:tcPr>
          <w:p w:rsidRPr="006F2FC4" w:rsidR="0084290D" w:rsidRDefault="00CF5B93" w14:paraId="22CD7779" w14:textId="77777777">
            <w:pPr>
              <w:pStyle w:val="p-table"/>
              <w:rPr>
                <w:sz w:val="13"/>
                <w:szCs w:val="13"/>
              </w:rPr>
            </w:pPr>
            <w:r w:rsidRPr="006F2FC4">
              <w:rPr>
                <w:sz w:val="13"/>
                <w:szCs w:val="13"/>
              </w:rPr>
              <w:t>Bijdragen aan provincies</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6D25F0" w14:textId="77777777">
            <w:pPr>
              <w:pStyle w:val="p-table"/>
              <w:jc w:val="right"/>
              <w:rPr>
                <w:sz w:val="13"/>
                <w:szCs w:val="13"/>
              </w:rPr>
            </w:pPr>
            <w:r w:rsidRPr="006F2FC4">
              <w:rPr>
                <w:sz w:val="13"/>
                <w:szCs w:val="13"/>
              </w:rPr>
              <w:t>439.648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553EE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5A1DA6" w14:textId="77777777">
            <w:pPr>
              <w:pStyle w:val="p-table"/>
              <w:jc w:val="right"/>
              <w:rPr>
                <w:sz w:val="13"/>
                <w:szCs w:val="13"/>
              </w:rPr>
            </w:pPr>
            <w:r w:rsidRPr="006F2FC4">
              <w:rPr>
                <w:sz w:val="13"/>
                <w:szCs w:val="13"/>
              </w:rPr>
              <w:t>439.648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302FF6" w14:textId="77777777">
            <w:pPr>
              <w:pStyle w:val="p-table"/>
              <w:jc w:val="right"/>
              <w:rPr>
                <w:sz w:val="13"/>
                <w:szCs w:val="13"/>
              </w:rPr>
            </w:pPr>
            <w:r w:rsidRPr="006F2FC4">
              <w:rPr>
                <w:sz w:val="13"/>
                <w:szCs w:val="13"/>
              </w:rPr>
              <w:t>7.717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ACD538" w14:textId="77777777">
            <w:pPr>
              <w:pStyle w:val="p-table"/>
              <w:jc w:val="right"/>
              <w:rPr>
                <w:sz w:val="13"/>
                <w:szCs w:val="13"/>
              </w:rPr>
            </w:pPr>
            <w:r w:rsidRPr="006F2FC4">
              <w:rPr>
                <w:sz w:val="13"/>
                <w:szCs w:val="13"/>
              </w:rPr>
              <w:t>447.365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7CB1EA" w14:textId="77777777">
            <w:pPr>
              <w:pStyle w:val="p-table"/>
              <w:jc w:val="right"/>
              <w:rPr>
                <w:sz w:val="13"/>
                <w:szCs w:val="13"/>
              </w:rPr>
            </w:pPr>
            <w:r w:rsidRPr="006F2FC4">
              <w:rPr>
                <w:sz w:val="13"/>
                <w:szCs w:val="13"/>
              </w:rPr>
              <w:t>2.095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4C23F69" w14:textId="77777777">
            <w:pPr>
              <w:pStyle w:val="p-table"/>
              <w:jc w:val="right"/>
              <w:rPr>
                <w:sz w:val="13"/>
                <w:szCs w:val="13"/>
              </w:rPr>
            </w:pPr>
            <w:r w:rsidRPr="006F2FC4">
              <w:rPr>
                <w:sz w:val="13"/>
                <w:szCs w:val="13"/>
              </w:rPr>
              <w:t>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07A47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3C624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935F30" w14:textId="77777777">
            <w:pPr>
              <w:pStyle w:val="p-table"/>
              <w:jc w:val="right"/>
              <w:rPr>
                <w:sz w:val="13"/>
                <w:szCs w:val="13"/>
              </w:rPr>
            </w:pPr>
            <w:r w:rsidRPr="006F2FC4">
              <w:rPr>
                <w:sz w:val="13"/>
                <w:szCs w:val="13"/>
              </w:rPr>
              <w:t>439.648</w:t>
            </w:r>
          </w:p>
        </w:tc>
      </w:tr>
      <w:tr w:rsidR="0084290D" w:rsidTr="007433BE" w14:paraId="3D445886" w14:textId="77777777">
        <w:tc>
          <w:tcPr>
            <w:tcW w:w="1250" w:type="pct"/>
            <w:tcMar>
              <w:top w:w="22" w:type="dxa"/>
              <w:bottom w:w="22" w:type="dxa"/>
              <w:right w:w="28" w:type="dxa"/>
            </w:tcMar>
          </w:tcPr>
          <w:p w:rsidRPr="006F2FC4" w:rsidR="0084290D" w:rsidRDefault="0084290D" w14:paraId="384FBAA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5B8736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030355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47B65A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CF6CAA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2C9112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6A2FC2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5AF2912"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BC7826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FE1EA8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8F01437" w14:textId="77777777">
            <w:pPr>
              <w:pStyle w:val="p-table"/>
              <w:rPr>
                <w:sz w:val="13"/>
                <w:szCs w:val="13"/>
              </w:rPr>
            </w:pPr>
          </w:p>
        </w:tc>
      </w:tr>
      <w:tr w:rsidR="0084290D" w:rsidTr="007433BE" w14:paraId="3FE4AD32" w14:textId="77777777">
        <w:tc>
          <w:tcPr>
            <w:tcW w:w="1250" w:type="pct"/>
            <w:tcBorders>
              <w:bottom w:val="single" w:color="009EE0" w:sz="2" w:space="0"/>
            </w:tcBorders>
            <w:tcMar>
              <w:top w:w="22" w:type="dxa"/>
              <w:bottom w:w="22" w:type="dxa"/>
              <w:right w:w="28" w:type="dxa"/>
            </w:tcMar>
          </w:tcPr>
          <w:p w:rsidRPr="006F2FC4" w:rsidR="0084290D" w:rsidRDefault="00CF5B93" w14:paraId="0204DEA8" w14:textId="77777777">
            <w:pPr>
              <w:pStyle w:val="p-table"/>
              <w:rPr>
                <w:sz w:val="13"/>
                <w:szCs w:val="13"/>
              </w:rPr>
            </w:pPr>
            <w:r w:rsidRPr="006F2FC4">
              <w:rPr>
                <w:b/>
                <w:sz w:val="13"/>
                <w:szCs w:val="13"/>
              </w:rPr>
              <w:t>Ontvangsten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DE7B92"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374DC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AFD5EA"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AE26D6" w14:textId="77777777">
            <w:pPr>
              <w:pStyle w:val="p-table"/>
              <w:jc w:val="right"/>
              <w:rPr>
                <w:sz w:val="13"/>
                <w:szCs w:val="13"/>
              </w:rPr>
            </w:pPr>
            <w:r w:rsidRPr="006F2FC4">
              <w:rPr>
                <w:b/>
                <w:sz w:val="13"/>
                <w:szCs w:val="13"/>
              </w:rPr>
              <w:t>10.795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149564" w14:textId="77777777">
            <w:pPr>
              <w:pStyle w:val="p-table"/>
              <w:jc w:val="right"/>
              <w:rPr>
                <w:sz w:val="13"/>
                <w:szCs w:val="13"/>
              </w:rPr>
            </w:pPr>
            <w:r w:rsidRPr="006F2FC4">
              <w:rPr>
                <w:b/>
                <w:sz w:val="13"/>
                <w:szCs w:val="13"/>
              </w:rPr>
              <w:t>4.492.443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B3F945" w14:textId="77777777">
            <w:pPr>
              <w:pStyle w:val="p-table"/>
              <w:jc w:val="right"/>
              <w:rPr>
                <w:sz w:val="13"/>
                <w:szCs w:val="13"/>
              </w:rPr>
            </w:pPr>
            <w:r w:rsidRPr="006F2FC4">
              <w:rPr>
                <w:b/>
                <w:sz w:val="13"/>
                <w:szCs w:val="13"/>
              </w:rPr>
              <w:t>20.718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6E7AAC"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64F192" w14:textId="77777777">
            <w:pPr>
              <w:pStyle w:val="p-table"/>
              <w:jc w:val="right"/>
              <w:rPr>
                <w:sz w:val="13"/>
                <w:szCs w:val="13"/>
              </w:rPr>
            </w:pPr>
            <w:r w:rsidRPr="006F2FC4">
              <w:rPr>
                <w:b/>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946D1E"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2AF423" w14:textId="77777777">
            <w:pPr>
              <w:pStyle w:val="p-table"/>
              <w:jc w:val="right"/>
              <w:rPr>
                <w:sz w:val="13"/>
                <w:szCs w:val="13"/>
              </w:rPr>
            </w:pPr>
            <w:r w:rsidRPr="006F2FC4">
              <w:rPr>
                <w:b/>
                <w:sz w:val="13"/>
                <w:szCs w:val="13"/>
              </w:rPr>
              <w:t>4.481.648</w:t>
            </w:r>
          </w:p>
        </w:tc>
      </w:tr>
    </w:tbl>
    <w:p w:rsidR="0084290D" w:rsidRDefault="0084290D" w14:paraId="42D51FC5"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35E1A0CF" w14:textId="77777777">
        <w:trPr>
          <w:tblHeader/>
        </w:trPr>
        <w:tc>
          <w:tcPr>
            <w:tcW w:w="5508" w:type="dxa"/>
            <w:gridSpan w:val="2"/>
            <w:tcMar>
              <w:top w:w="22" w:type="dxa"/>
              <w:left w:w="113" w:type="dxa"/>
              <w:bottom w:w="22" w:type="dxa"/>
            </w:tcMar>
          </w:tcPr>
          <w:p w:rsidR="0084290D" w:rsidRDefault="00CF5B93" w14:paraId="0530A2C9" w14:textId="77777777">
            <w:pPr>
              <w:pStyle w:val="kio2-table-title"/>
            </w:pPr>
            <w:r>
              <w:t>Tabel 23 Geschatte budgetflexibiliteit</w:t>
            </w:r>
          </w:p>
        </w:tc>
      </w:tr>
      <w:tr w:rsidRPr="00D97FAD" w:rsidR="0084290D" w14:paraId="5084F273" w14:textId="77777777">
        <w:trPr>
          <w:tblHeader/>
        </w:trPr>
        <w:tc>
          <w:tcPr>
            <w:tcW w:w="2754" w:type="dxa"/>
            <w:tcBorders>
              <w:top w:val="single" w:color="000000" w:sz="2" w:space="0"/>
              <w:bottom w:val="single" w:color="009EE0" w:sz="2" w:space="0"/>
            </w:tcBorders>
            <w:tcMar>
              <w:top w:w="28" w:type="dxa"/>
              <w:bottom w:w="28" w:type="dxa"/>
              <w:right w:w="28" w:type="dxa"/>
            </w:tcMar>
          </w:tcPr>
          <w:p w:rsidRPr="006F2FC4" w:rsidR="0084290D" w:rsidRDefault="0084290D" w14:paraId="2BE2E9FC"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3B3738A5" w14:textId="77777777">
            <w:pPr>
              <w:pStyle w:val="p-table"/>
              <w:jc w:val="right"/>
              <w:rPr>
                <w:color w:val="000000"/>
                <w:sz w:val="13"/>
                <w:szCs w:val="13"/>
              </w:rPr>
            </w:pPr>
            <w:r w:rsidRPr="006F2FC4">
              <w:rPr>
                <w:color w:val="000000"/>
                <w:sz w:val="13"/>
                <w:szCs w:val="13"/>
              </w:rPr>
              <w:t>2026</w:t>
            </w:r>
          </w:p>
        </w:tc>
      </w:tr>
      <w:tr w:rsidRPr="00D97FAD" w:rsidR="0084290D" w14:paraId="1C59F88E" w14:textId="77777777">
        <w:tc>
          <w:tcPr>
            <w:tcW w:w="2754" w:type="dxa"/>
            <w:tcBorders>
              <w:bottom w:val="single" w:color="009EE0" w:sz="2" w:space="0"/>
            </w:tcBorders>
            <w:tcMar>
              <w:top w:w="22" w:type="dxa"/>
              <w:bottom w:w="22" w:type="dxa"/>
              <w:right w:w="28" w:type="dxa"/>
            </w:tcMar>
          </w:tcPr>
          <w:p w:rsidRPr="006F2FC4" w:rsidR="0084290D" w:rsidRDefault="00CF5B93" w14:paraId="1755FDD2" w14:textId="77777777">
            <w:pPr>
              <w:pStyle w:val="p-table"/>
              <w:rPr>
                <w:sz w:val="13"/>
                <w:szCs w:val="13"/>
              </w:rPr>
            </w:pPr>
            <w:r w:rsidRPr="006F2FC4">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6F2FC4" w:rsidR="0084290D" w:rsidRDefault="00CF5B93" w14:paraId="58F7252C" w14:textId="77777777">
            <w:pPr>
              <w:pStyle w:val="p-table"/>
              <w:jc w:val="right"/>
              <w:rPr>
                <w:sz w:val="13"/>
                <w:szCs w:val="13"/>
              </w:rPr>
            </w:pPr>
            <w:r w:rsidRPr="006F2FC4">
              <w:rPr>
                <w:sz w:val="13"/>
                <w:szCs w:val="13"/>
              </w:rPr>
              <w:t>100%</w:t>
            </w:r>
          </w:p>
        </w:tc>
      </w:tr>
      <w:tr w:rsidRPr="00D97FAD" w:rsidR="0084290D" w14:paraId="317F5C86" w14:textId="77777777">
        <w:tc>
          <w:tcPr>
            <w:tcW w:w="2754" w:type="dxa"/>
            <w:tcBorders>
              <w:bottom w:val="single" w:color="009EE0" w:sz="2" w:space="0"/>
            </w:tcBorders>
            <w:tcMar>
              <w:top w:w="22" w:type="dxa"/>
              <w:bottom w:w="22" w:type="dxa"/>
              <w:right w:w="28" w:type="dxa"/>
            </w:tcMar>
          </w:tcPr>
          <w:p w:rsidRPr="006F2FC4" w:rsidR="0084290D" w:rsidRDefault="00CF5B93" w14:paraId="42A124D2" w14:textId="77777777">
            <w:pPr>
              <w:pStyle w:val="p-table"/>
              <w:rPr>
                <w:sz w:val="13"/>
                <w:szCs w:val="13"/>
              </w:rPr>
            </w:pPr>
            <w:r w:rsidRPr="006F2FC4">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3B0E5FD6" w14:textId="77777777">
            <w:pPr>
              <w:pStyle w:val="p-table"/>
              <w:jc w:val="right"/>
              <w:rPr>
                <w:sz w:val="13"/>
                <w:szCs w:val="13"/>
              </w:rPr>
            </w:pPr>
            <w:r w:rsidRPr="006F2FC4">
              <w:rPr>
                <w:sz w:val="13"/>
                <w:szCs w:val="13"/>
              </w:rPr>
              <w:t>0%</w:t>
            </w:r>
          </w:p>
        </w:tc>
      </w:tr>
      <w:tr w:rsidRPr="00D97FAD" w:rsidR="0084290D" w14:paraId="62064BA4" w14:textId="77777777">
        <w:tc>
          <w:tcPr>
            <w:tcW w:w="2754" w:type="dxa"/>
            <w:tcBorders>
              <w:bottom w:val="single" w:color="009EE0" w:sz="2" w:space="0"/>
            </w:tcBorders>
            <w:tcMar>
              <w:top w:w="22" w:type="dxa"/>
              <w:bottom w:w="22" w:type="dxa"/>
              <w:right w:w="28" w:type="dxa"/>
            </w:tcMar>
          </w:tcPr>
          <w:p w:rsidRPr="006F2FC4" w:rsidR="0084290D" w:rsidRDefault="00CF5B93" w14:paraId="7E0D5AF7" w14:textId="77777777">
            <w:pPr>
              <w:pStyle w:val="p-table"/>
              <w:rPr>
                <w:sz w:val="13"/>
                <w:szCs w:val="13"/>
              </w:rPr>
            </w:pPr>
            <w:r w:rsidRPr="006F2FC4">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6F2FC4" w:rsidR="0084290D" w:rsidRDefault="00CF5B93" w14:paraId="6167B136" w14:textId="77777777">
            <w:pPr>
              <w:pStyle w:val="p-table"/>
              <w:jc w:val="right"/>
              <w:rPr>
                <w:sz w:val="13"/>
                <w:szCs w:val="13"/>
              </w:rPr>
            </w:pPr>
            <w:r w:rsidRPr="006F2FC4">
              <w:rPr>
                <w:sz w:val="13"/>
                <w:szCs w:val="13"/>
              </w:rPr>
              <w:t>0%</w:t>
            </w:r>
          </w:p>
        </w:tc>
      </w:tr>
      <w:tr w:rsidRPr="00D97FAD" w:rsidR="0084290D" w14:paraId="5BFDFF92" w14:textId="77777777">
        <w:tc>
          <w:tcPr>
            <w:tcW w:w="2754" w:type="dxa"/>
            <w:tcBorders>
              <w:bottom w:val="single" w:color="009EE0" w:sz="2" w:space="0"/>
            </w:tcBorders>
            <w:tcMar>
              <w:top w:w="22" w:type="dxa"/>
              <w:bottom w:w="22" w:type="dxa"/>
              <w:right w:w="28" w:type="dxa"/>
            </w:tcMar>
          </w:tcPr>
          <w:p w:rsidRPr="006F2FC4" w:rsidR="0084290D" w:rsidRDefault="00CF5B93" w14:paraId="2690C96B"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B8BC47F" w14:textId="77777777">
            <w:pPr>
              <w:pStyle w:val="p-table"/>
              <w:jc w:val="right"/>
              <w:rPr>
                <w:sz w:val="13"/>
                <w:szCs w:val="13"/>
              </w:rPr>
            </w:pPr>
            <w:r w:rsidRPr="006F2FC4">
              <w:rPr>
                <w:sz w:val="13"/>
                <w:szCs w:val="13"/>
              </w:rPr>
              <w:t>0%</w:t>
            </w:r>
          </w:p>
        </w:tc>
      </w:tr>
    </w:tbl>
    <w:p w:rsidRPr="00D97FAD" w:rsidR="0084290D" w:rsidRDefault="0084290D" w14:paraId="3A427029" w14:textId="77777777">
      <w:pPr>
        <w:pStyle w:val="p-marginbottom"/>
        <w:rPr>
          <w:sz w:val="13"/>
          <w:szCs w:val="13"/>
        </w:rPr>
      </w:pPr>
    </w:p>
    <w:p w:rsidR="0084290D" w:rsidRDefault="00CF5B93" w14:paraId="21D5B2DB" w14:textId="77777777">
      <w:pPr>
        <w:pStyle w:val="header-h1"/>
      </w:pPr>
      <w:r>
        <w:t>Toelichting</w:t>
      </w:r>
    </w:p>
    <w:p w:rsidR="0084290D" w:rsidRDefault="0084290D" w14:paraId="1E3B4CDC" w14:textId="77777777">
      <w:pPr>
        <w:pStyle w:val="p-marginbottom"/>
      </w:pPr>
    </w:p>
    <w:p w:rsidR="0084290D" w:rsidRDefault="00CF5B93" w14:paraId="64004A78" w14:textId="77777777">
      <w:pPr>
        <w:pStyle w:val="header-h1"/>
      </w:pPr>
      <w:r>
        <w:t>Budgetflexibiliteit</w:t>
      </w:r>
    </w:p>
    <w:p w:rsidR="0084290D" w:rsidRDefault="00CF5B93" w14:paraId="7A35C06C" w14:textId="77777777">
      <w:pPr>
        <w:pStyle w:val="p"/>
      </w:pPr>
      <w:r>
        <w:t>De bijdrage van het Rijk ter compensatie van de door decentrale overheden betaalde btw is opgenomen in de Wet op het Btw-compensatiefonds (BCF). De wet bevat de voorwaarden waarbinnen gemeenten en provincies kunnen claimen uit het BCF. Met ingang van 2015 is het BCF geplafonneerd.</w:t>
      </w:r>
      <w:r>
        <w:rPr>
          <w:rStyle w:val="Voetnootmarkering"/>
        </w:rPr>
        <w:footnoteReference w:id="2"/>
      </w:r>
      <w:r>
        <w:t xml:space="preserve"> Dit plafond groeit jaarlijks mee met de uitkomst van de normeringssystematiek. Als minder geclaimd wordt uit het fonds dan het plafond, dan wordt de ruimte onder het plafond gestort in het Gemeente- en Provinciefonds. Als meer wordt geclaimd uit het fonds dan het plafond, dan wordt het bedrag boven het plafond teruggevorderd uit het Gemeente- en Provinciefonds. Hierdoor zijn het BCF en het Gemeente- en Provinciefonds communicerende vaten.</w:t>
      </w:r>
    </w:p>
    <w:p w:rsidR="0084290D" w:rsidRDefault="00CF5B93" w14:paraId="7B23DF79" w14:textId="77777777">
      <w:pPr>
        <w:pStyle w:val="header-h1"/>
      </w:pPr>
      <w:r>
        <w:t>Verplichtingen, uitgaven en ontvangsten</w:t>
      </w:r>
    </w:p>
    <w:p w:rsidR="0084290D" w:rsidRDefault="00CF5B93" w14:paraId="2A41290F" w14:textId="77777777">
      <w:pPr>
        <w:pStyle w:val="p"/>
      </w:pPr>
      <w:r>
        <w:t xml:space="preserve">Als gevolg van overhevelingen van budget van ministeries naar het gemeente- of provinciefonds wordt het geraamde btw-deel van de overheveling in het BCF gestort (meerjarig circa € 32,2 mln.). Gemeentes en provincies kunnen de betaalde btw die verband houdt met de overhevelingen terugvragen </w:t>
      </w:r>
      <w:proofErr w:type="spellStart"/>
      <w:r>
        <w:t>bĳ</w:t>
      </w:r>
      <w:proofErr w:type="spellEnd"/>
      <w:r>
        <w:t xml:space="preserve"> het BCF. De ontvangsten zĳn </w:t>
      </w:r>
      <w:proofErr w:type="spellStart"/>
      <w:r>
        <w:t>gelĳk</w:t>
      </w:r>
      <w:proofErr w:type="spellEnd"/>
      <w:r>
        <w:t xml:space="preserve"> aan de uitgaven omdat de terugbetaalde btw-bedragen tevens belastinginkomsten zĳn. Een onder- of </w:t>
      </w:r>
      <w:proofErr w:type="spellStart"/>
      <w:r>
        <w:t>overschrĳding</w:t>
      </w:r>
      <w:proofErr w:type="spellEnd"/>
      <w:r>
        <w:t xml:space="preserve"> </w:t>
      </w:r>
      <w:proofErr w:type="spellStart"/>
      <w:r>
        <w:t>bĳ</w:t>
      </w:r>
      <w:proofErr w:type="spellEnd"/>
      <w:r>
        <w:t xml:space="preserve"> het BCF komt ten laste of ten gunste van het gemeente- en provinciefonds.</w:t>
      </w:r>
    </w:p>
    <w:p w:rsidR="0084290D" w:rsidRDefault="00CF5B93" w14:paraId="08516141" w14:textId="77777777">
      <w:pPr>
        <w:pStyle w:val="section-title-3"/>
      </w:pPr>
      <w:r>
        <w:lastRenderedPageBreak/>
        <w:t>Artikel 9 Douane</w:t>
      </w:r>
    </w:p>
    <w:p w:rsidR="0084290D" w:rsidRDefault="00CF5B93" w14:paraId="350CB1D6"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1546"/>
        <w:gridCol w:w="821"/>
        <w:gridCol w:w="724"/>
        <w:gridCol w:w="821"/>
        <w:gridCol w:w="822"/>
        <w:gridCol w:w="822"/>
        <w:gridCol w:w="822"/>
        <w:gridCol w:w="822"/>
        <w:gridCol w:w="822"/>
        <w:gridCol w:w="822"/>
        <w:gridCol w:w="822"/>
      </w:tblGrid>
      <w:tr w:rsidR="0084290D" w:rsidTr="007433BE" w14:paraId="3939E677" w14:textId="77777777">
        <w:trPr>
          <w:tblHeader/>
        </w:trPr>
        <w:tc>
          <w:tcPr>
            <w:tcW w:w="5000" w:type="pct"/>
            <w:gridSpan w:val="11"/>
            <w:tcMar>
              <w:top w:w="22" w:type="dxa"/>
              <w:left w:w="113" w:type="dxa"/>
              <w:bottom w:w="22" w:type="dxa"/>
            </w:tcMar>
          </w:tcPr>
          <w:p w:rsidR="0084290D" w:rsidRDefault="00CF5B93" w14:paraId="430F3390" w14:textId="77777777">
            <w:pPr>
              <w:pStyle w:val="kio2-table-title"/>
            </w:pPr>
            <w:r>
              <w:t>Tabel 24 Budgettaire gevolgen van beleid artikel 9 Douane (bedragen x € 1.000)</w:t>
            </w:r>
          </w:p>
        </w:tc>
      </w:tr>
      <w:tr w:rsidR="0084290D" w:rsidTr="007433BE" w14:paraId="7D2599A0" w14:textId="77777777">
        <w:trPr>
          <w:tblHeader/>
        </w:trPr>
        <w:tc>
          <w:tcPr>
            <w:tcW w:w="800" w:type="pct"/>
            <w:tcBorders>
              <w:top w:val="single" w:color="000000" w:sz="2" w:space="0"/>
              <w:bottom w:val="single" w:color="009EE0" w:sz="2" w:space="0"/>
            </w:tcBorders>
            <w:tcMar>
              <w:top w:w="28" w:type="dxa"/>
              <w:bottom w:w="28" w:type="dxa"/>
              <w:right w:w="28" w:type="dxa"/>
            </w:tcMar>
          </w:tcPr>
          <w:p w:rsidRPr="006F2FC4" w:rsidR="0084290D" w:rsidRDefault="00CF5B93" w14:paraId="7D4B442F" w14:textId="77777777">
            <w:pPr>
              <w:pStyle w:val="p-table"/>
              <w:rPr>
                <w:color w:val="000000"/>
                <w:sz w:val="13"/>
                <w:szCs w:val="13"/>
              </w:rPr>
            </w:pPr>
            <w:r w:rsidRPr="006F2FC4">
              <w:rPr>
                <w:color w:val="000000"/>
                <w:sz w:val="13"/>
                <w:szCs w:val="13"/>
              </w:rPr>
              <w:t>Omschrijving</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B83C0ED"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88D15B3" w14:textId="77777777">
            <w:pPr>
              <w:pStyle w:val="p-table"/>
              <w:jc w:val="right"/>
              <w:rPr>
                <w:color w:val="000000"/>
                <w:sz w:val="13"/>
                <w:szCs w:val="13"/>
              </w:rPr>
            </w:pPr>
            <w:r w:rsidRPr="006F2FC4">
              <w:rPr>
                <w:color w:val="000000"/>
                <w:sz w:val="13"/>
                <w:szCs w:val="13"/>
              </w:rPr>
              <w:t>Mutaties via NvW, moties, amendementen en ISB (2)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7862015" w14:textId="77777777">
            <w:pPr>
              <w:pStyle w:val="p-table"/>
              <w:jc w:val="right"/>
              <w:rPr>
                <w:color w:val="000000"/>
                <w:sz w:val="13"/>
                <w:szCs w:val="13"/>
              </w:rPr>
            </w:pPr>
            <w:r w:rsidRPr="006F2FC4">
              <w:rPr>
                <w:color w:val="000000"/>
                <w:sz w:val="13"/>
                <w:szCs w:val="13"/>
              </w:rPr>
              <w:t>Vastgestelde begroting 2026 (3)=(1)+(2)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F89BE56"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257DB10"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F7BA4FE" w14:textId="77777777">
            <w:pPr>
              <w:pStyle w:val="p-table"/>
              <w:jc w:val="right"/>
              <w:rPr>
                <w:color w:val="000000"/>
                <w:sz w:val="13"/>
                <w:szCs w:val="13"/>
              </w:rPr>
            </w:pPr>
            <w:r w:rsidRPr="006F2FC4">
              <w:rPr>
                <w:color w:val="000000"/>
                <w:sz w:val="13"/>
                <w:szCs w:val="13"/>
              </w:rPr>
              <w:t>Mutatie 2027</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575763E" w14:textId="77777777">
            <w:pPr>
              <w:pStyle w:val="p-table"/>
              <w:jc w:val="right"/>
              <w:rPr>
                <w:color w:val="000000"/>
                <w:sz w:val="13"/>
                <w:szCs w:val="13"/>
              </w:rPr>
            </w:pPr>
            <w:r w:rsidRPr="006F2FC4">
              <w:rPr>
                <w:color w:val="000000"/>
                <w:sz w:val="13"/>
                <w:szCs w:val="13"/>
              </w:rPr>
              <w:t>Mutatie 2028</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6461DCA" w14:textId="77777777">
            <w:pPr>
              <w:pStyle w:val="p-table"/>
              <w:jc w:val="right"/>
              <w:rPr>
                <w:color w:val="000000"/>
                <w:sz w:val="13"/>
                <w:szCs w:val="13"/>
              </w:rPr>
            </w:pPr>
            <w:r w:rsidRPr="006F2FC4">
              <w:rPr>
                <w:color w:val="000000"/>
                <w:sz w:val="13"/>
                <w:szCs w:val="13"/>
              </w:rPr>
              <w:t>Mutatie 2029</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AF18C20" w14:textId="77777777">
            <w:pPr>
              <w:pStyle w:val="p-table"/>
              <w:jc w:val="right"/>
              <w:rPr>
                <w:color w:val="000000"/>
                <w:sz w:val="13"/>
                <w:szCs w:val="13"/>
              </w:rPr>
            </w:pPr>
            <w:r w:rsidRPr="006F2FC4">
              <w:rPr>
                <w:color w:val="000000"/>
                <w:sz w:val="13"/>
                <w:szCs w:val="13"/>
              </w:rPr>
              <w:t>Mutatie 2030</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F9974E0" w14:textId="77777777">
            <w:pPr>
              <w:pStyle w:val="p-table"/>
              <w:jc w:val="right"/>
              <w:rPr>
                <w:color w:val="000000"/>
                <w:sz w:val="13"/>
                <w:szCs w:val="13"/>
              </w:rPr>
            </w:pPr>
            <w:r w:rsidRPr="006F2FC4">
              <w:rPr>
                <w:color w:val="000000"/>
                <w:sz w:val="13"/>
                <w:szCs w:val="13"/>
              </w:rPr>
              <w:t>Mutatie 2031</w:t>
            </w:r>
          </w:p>
        </w:tc>
      </w:tr>
      <w:tr w:rsidR="0084290D" w:rsidTr="007433BE" w14:paraId="08936BBC" w14:textId="77777777">
        <w:tc>
          <w:tcPr>
            <w:tcW w:w="4575" w:type="pct"/>
            <w:gridSpan w:val="10"/>
            <w:tcBorders>
              <w:bottom w:val="single" w:color="009EE0" w:sz="2" w:space="0"/>
            </w:tcBorders>
            <w:tcMar>
              <w:top w:w="22" w:type="dxa"/>
              <w:bottom w:w="22" w:type="dxa"/>
              <w:right w:w="28" w:type="dxa"/>
            </w:tcMar>
          </w:tcPr>
          <w:p w:rsidRPr="006F2FC4" w:rsidR="0084290D" w:rsidRDefault="0084290D" w14:paraId="268390A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05218F0" w14:textId="77777777">
            <w:pPr>
              <w:pStyle w:val="p-table"/>
              <w:rPr>
                <w:sz w:val="13"/>
                <w:szCs w:val="13"/>
              </w:rPr>
            </w:pPr>
          </w:p>
        </w:tc>
      </w:tr>
      <w:tr w:rsidR="0084290D" w:rsidTr="007433BE" w14:paraId="07072C9F" w14:textId="77777777">
        <w:tc>
          <w:tcPr>
            <w:tcW w:w="800" w:type="pct"/>
            <w:tcBorders>
              <w:bottom w:val="single" w:color="009EE0" w:sz="2" w:space="0"/>
            </w:tcBorders>
            <w:tcMar>
              <w:top w:w="22" w:type="dxa"/>
              <w:bottom w:w="22" w:type="dxa"/>
              <w:right w:w="28" w:type="dxa"/>
            </w:tcMar>
          </w:tcPr>
          <w:p w:rsidRPr="006F2FC4" w:rsidR="0084290D" w:rsidRDefault="00CF5B93" w14:paraId="1A98B5C9" w14:textId="77777777">
            <w:pPr>
              <w:pStyle w:val="p-table"/>
              <w:rPr>
                <w:sz w:val="13"/>
                <w:szCs w:val="13"/>
              </w:rPr>
            </w:pPr>
            <w:r w:rsidRPr="006F2FC4">
              <w:rPr>
                <w:b/>
                <w:sz w:val="13"/>
                <w:szCs w:val="13"/>
              </w:rPr>
              <w:t>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82931E" w14:textId="77777777">
            <w:pPr>
              <w:pStyle w:val="p-table"/>
              <w:jc w:val="right"/>
              <w:rPr>
                <w:sz w:val="13"/>
                <w:szCs w:val="13"/>
              </w:rPr>
            </w:pPr>
            <w:r w:rsidRPr="006F2FC4">
              <w:rPr>
                <w:b/>
                <w:sz w:val="13"/>
                <w:szCs w:val="13"/>
              </w:rPr>
              <w:t>889.611</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52E17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9A00D36" w14:textId="77777777">
            <w:pPr>
              <w:pStyle w:val="p-table"/>
              <w:jc w:val="right"/>
              <w:rPr>
                <w:sz w:val="13"/>
                <w:szCs w:val="13"/>
              </w:rPr>
            </w:pPr>
            <w:r w:rsidRPr="006F2FC4">
              <w:rPr>
                <w:b/>
                <w:sz w:val="13"/>
                <w:szCs w:val="13"/>
              </w:rPr>
              <w:t>889.611</w:t>
            </w:r>
          </w:p>
        </w:tc>
        <w:tc>
          <w:tcPr>
            <w:tcW w:w="425" w:type="pct"/>
            <w:tcBorders>
              <w:bottom w:val="single" w:color="009EE0" w:sz="2" w:space="0"/>
            </w:tcBorders>
            <w:tcMar>
              <w:top w:w="22" w:type="dxa"/>
              <w:left w:w="28" w:type="dxa"/>
              <w:bottom w:w="22" w:type="dxa"/>
              <w:right w:w="28" w:type="dxa"/>
            </w:tcMar>
          </w:tcPr>
          <w:p w:rsidRPr="006F2FC4" w:rsidR="0084290D" w:rsidRDefault="00CF5B93" w14:paraId="7C27A402" w14:textId="77777777">
            <w:pPr>
              <w:pStyle w:val="p-table"/>
              <w:jc w:val="right"/>
              <w:rPr>
                <w:sz w:val="13"/>
                <w:szCs w:val="13"/>
              </w:rPr>
            </w:pPr>
            <w:r w:rsidRPr="006F2FC4">
              <w:rPr>
                <w:b/>
                <w:sz w:val="13"/>
                <w:szCs w:val="13"/>
              </w:rPr>
              <w:t>20.297</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CBE74D" w14:textId="77777777">
            <w:pPr>
              <w:pStyle w:val="p-table"/>
              <w:jc w:val="right"/>
              <w:rPr>
                <w:sz w:val="13"/>
                <w:szCs w:val="13"/>
              </w:rPr>
            </w:pPr>
            <w:r w:rsidRPr="006F2FC4">
              <w:rPr>
                <w:b/>
                <w:sz w:val="13"/>
                <w:szCs w:val="13"/>
              </w:rPr>
              <w:t>909.908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04753125" w14:textId="77777777">
            <w:pPr>
              <w:pStyle w:val="p-table"/>
              <w:jc w:val="right"/>
              <w:rPr>
                <w:sz w:val="13"/>
                <w:szCs w:val="13"/>
              </w:rPr>
            </w:pPr>
            <w:r w:rsidRPr="006F2FC4">
              <w:rPr>
                <w:b/>
                <w:sz w:val="13"/>
                <w:szCs w:val="13"/>
              </w:rPr>
              <w:t>99.658</w:t>
            </w:r>
          </w:p>
        </w:tc>
        <w:tc>
          <w:tcPr>
            <w:tcW w:w="425" w:type="pct"/>
            <w:tcBorders>
              <w:bottom w:val="single" w:color="009EE0" w:sz="2" w:space="0"/>
            </w:tcBorders>
            <w:tcMar>
              <w:top w:w="22" w:type="dxa"/>
              <w:left w:w="28" w:type="dxa"/>
              <w:bottom w:w="22" w:type="dxa"/>
              <w:right w:w="28" w:type="dxa"/>
            </w:tcMar>
          </w:tcPr>
          <w:p w:rsidRPr="006F2FC4" w:rsidR="0084290D" w:rsidRDefault="00CF5B93" w14:paraId="1EEB0673" w14:textId="77777777">
            <w:pPr>
              <w:pStyle w:val="p-table"/>
              <w:jc w:val="right"/>
              <w:rPr>
                <w:sz w:val="13"/>
                <w:szCs w:val="13"/>
              </w:rPr>
            </w:pPr>
            <w:r w:rsidRPr="006F2FC4">
              <w:rPr>
                <w:b/>
                <w:sz w:val="13"/>
                <w:szCs w:val="13"/>
              </w:rPr>
              <w:t>95.560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963317C" w14:textId="77777777">
            <w:pPr>
              <w:pStyle w:val="p-table"/>
              <w:jc w:val="right"/>
              <w:rPr>
                <w:sz w:val="13"/>
                <w:szCs w:val="13"/>
              </w:rPr>
            </w:pPr>
            <w:r w:rsidRPr="006F2FC4">
              <w:rPr>
                <w:b/>
                <w:sz w:val="13"/>
                <w:szCs w:val="13"/>
              </w:rPr>
              <w:t>79.709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2D6E355E" w14:textId="77777777">
            <w:pPr>
              <w:pStyle w:val="p-table"/>
              <w:jc w:val="right"/>
              <w:rPr>
                <w:sz w:val="13"/>
                <w:szCs w:val="13"/>
              </w:rPr>
            </w:pPr>
            <w:r w:rsidRPr="006F2FC4">
              <w:rPr>
                <w:b/>
                <w:sz w:val="13"/>
                <w:szCs w:val="13"/>
              </w:rPr>
              <w:t>33.555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78023063" w14:textId="77777777">
            <w:pPr>
              <w:pStyle w:val="p-table"/>
              <w:jc w:val="right"/>
              <w:rPr>
                <w:sz w:val="13"/>
                <w:szCs w:val="13"/>
              </w:rPr>
            </w:pPr>
            <w:r w:rsidRPr="006F2FC4">
              <w:rPr>
                <w:b/>
                <w:sz w:val="13"/>
                <w:szCs w:val="13"/>
              </w:rPr>
              <w:t>895.242</w:t>
            </w:r>
          </w:p>
        </w:tc>
      </w:tr>
      <w:tr w:rsidR="0084290D" w:rsidTr="007433BE" w14:paraId="2AC9E3DF" w14:textId="77777777">
        <w:tc>
          <w:tcPr>
            <w:tcW w:w="800" w:type="pct"/>
            <w:tcMar>
              <w:top w:w="22" w:type="dxa"/>
              <w:bottom w:w="22" w:type="dxa"/>
              <w:right w:w="28" w:type="dxa"/>
            </w:tcMar>
          </w:tcPr>
          <w:p w:rsidRPr="006F2FC4" w:rsidR="0084290D" w:rsidRDefault="0084290D" w14:paraId="39477D8B"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06A816A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7A3113"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5FB9A461"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FE40E74"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B0B6397"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EF85D9E"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392C2DFF"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EED60EE"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23AC8DBD"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2DC64821" w14:textId="77777777">
            <w:pPr>
              <w:pStyle w:val="p-table"/>
              <w:rPr>
                <w:sz w:val="13"/>
                <w:szCs w:val="13"/>
              </w:rPr>
            </w:pPr>
          </w:p>
        </w:tc>
      </w:tr>
      <w:tr w:rsidR="0084290D" w:rsidTr="007433BE" w14:paraId="66744747" w14:textId="77777777">
        <w:tc>
          <w:tcPr>
            <w:tcW w:w="800" w:type="pct"/>
            <w:tcBorders>
              <w:bottom w:val="single" w:color="009EE0" w:sz="2" w:space="0"/>
            </w:tcBorders>
            <w:tcMar>
              <w:top w:w="22" w:type="dxa"/>
              <w:bottom w:w="22" w:type="dxa"/>
              <w:right w:w="28" w:type="dxa"/>
            </w:tcMar>
          </w:tcPr>
          <w:p w:rsidRPr="006F2FC4" w:rsidR="0084290D" w:rsidRDefault="00CF5B93" w14:paraId="1E37993C" w14:textId="77777777">
            <w:pPr>
              <w:pStyle w:val="p-table"/>
              <w:rPr>
                <w:sz w:val="13"/>
                <w:szCs w:val="13"/>
              </w:rPr>
            </w:pPr>
            <w:r w:rsidRPr="006F2FC4">
              <w:rPr>
                <w:b/>
                <w:sz w:val="13"/>
                <w:szCs w:val="13"/>
              </w:rPr>
              <w:t>Uitgaven (1) + (2)</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FE679D" w14:textId="77777777">
            <w:pPr>
              <w:pStyle w:val="p-table"/>
              <w:jc w:val="right"/>
              <w:rPr>
                <w:sz w:val="13"/>
                <w:szCs w:val="13"/>
              </w:rPr>
            </w:pPr>
            <w:r w:rsidRPr="006F2FC4">
              <w:rPr>
                <w:b/>
                <w:sz w:val="13"/>
                <w:szCs w:val="13"/>
              </w:rPr>
              <w:t>889.611</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D9E38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0FB792F" w14:textId="77777777">
            <w:pPr>
              <w:pStyle w:val="p-table"/>
              <w:jc w:val="right"/>
              <w:rPr>
                <w:sz w:val="13"/>
                <w:szCs w:val="13"/>
              </w:rPr>
            </w:pPr>
            <w:r w:rsidRPr="006F2FC4">
              <w:rPr>
                <w:b/>
                <w:sz w:val="13"/>
                <w:szCs w:val="13"/>
              </w:rPr>
              <w:t>889.611</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64B533" w14:textId="77777777">
            <w:pPr>
              <w:pStyle w:val="p-table"/>
              <w:jc w:val="right"/>
              <w:rPr>
                <w:sz w:val="13"/>
                <w:szCs w:val="13"/>
              </w:rPr>
            </w:pPr>
            <w:r w:rsidRPr="006F2FC4">
              <w:rPr>
                <w:b/>
                <w:sz w:val="13"/>
                <w:szCs w:val="13"/>
              </w:rPr>
              <w:t>20.297</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88370D" w14:textId="77777777">
            <w:pPr>
              <w:pStyle w:val="p-table"/>
              <w:jc w:val="right"/>
              <w:rPr>
                <w:sz w:val="13"/>
                <w:szCs w:val="13"/>
              </w:rPr>
            </w:pPr>
            <w:r w:rsidRPr="006F2FC4">
              <w:rPr>
                <w:b/>
                <w:sz w:val="13"/>
                <w:szCs w:val="13"/>
              </w:rPr>
              <w:t>909.908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B4B92E" w14:textId="77777777">
            <w:pPr>
              <w:pStyle w:val="p-table"/>
              <w:jc w:val="right"/>
              <w:rPr>
                <w:sz w:val="13"/>
                <w:szCs w:val="13"/>
              </w:rPr>
            </w:pPr>
            <w:r w:rsidRPr="006F2FC4">
              <w:rPr>
                <w:b/>
                <w:sz w:val="13"/>
                <w:szCs w:val="13"/>
              </w:rPr>
              <w:t>99.658</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30C9D0" w14:textId="77777777">
            <w:pPr>
              <w:pStyle w:val="p-table"/>
              <w:jc w:val="right"/>
              <w:rPr>
                <w:sz w:val="13"/>
                <w:szCs w:val="13"/>
              </w:rPr>
            </w:pPr>
            <w:r w:rsidRPr="006F2FC4">
              <w:rPr>
                <w:b/>
                <w:sz w:val="13"/>
                <w:szCs w:val="13"/>
              </w:rPr>
              <w:t>95.560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2BB21EE" w14:textId="77777777">
            <w:pPr>
              <w:pStyle w:val="p-table"/>
              <w:jc w:val="right"/>
              <w:rPr>
                <w:sz w:val="13"/>
                <w:szCs w:val="13"/>
              </w:rPr>
            </w:pPr>
            <w:r w:rsidRPr="006F2FC4">
              <w:rPr>
                <w:b/>
                <w:sz w:val="13"/>
                <w:szCs w:val="13"/>
              </w:rPr>
              <w:t>79.709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0117A7B" w14:textId="77777777">
            <w:pPr>
              <w:pStyle w:val="p-table"/>
              <w:jc w:val="right"/>
              <w:rPr>
                <w:sz w:val="13"/>
                <w:szCs w:val="13"/>
              </w:rPr>
            </w:pPr>
            <w:r w:rsidRPr="006F2FC4">
              <w:rPr>
                <w:b/>
                <w:sz w:val="13"/>
                <w:szCs w:val="13"/>
              </w:rPr>
              <w:t>33.555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4994A46A" w14:textId="77777777">
            <w:pPr>
              <w:pStyle w:val="p-table"/>
              <w:jc w:val="right"/>
              <w:rPr>
                <w:sz w:val="13"/>
                <w:szCs w:val="13"/>
              </w:rPr>
            </w:pPr>
            <w:r w:rsidRPr="006F2FC4">
              <w:rPr>
                <w:b/>
                <w:sz w:val="13"/>
                <w:szCs w:val="13"/>
              </w:rPr>
              <w:t>895.242</w:t>
            </w:r>
          </w:p>
        </w:tc>
      </w:tr>
      <w:tr w:rsidR="0084290D" w:rsidTr="007433BE" w14:paraId="7CA3FA44" w14:textId="77777777">
        <w:tc>
          <w:tcPr>
            <w:tcW w:w="800" w:type="pct"/>
            <w:tcBorders>
              <w:bottom w:val="single" w:color="009EE0" w:sz="2" w:space="0"/>
            </w:tcBorders>
            <w:tcMar>
              <w:top w:w="22" w:type="dxa"/>
              <w:bottom w:w="22" w:type="dxa"/>
              <w:right w:w="28" w:type="dxa"/>
            </w:tcMar>
          </w:tcPr>
          <w:p w:rsidRPr="006F2FC4" w:rsidR="0084290D" w:rsidRDefault="0084290D" w14:paraId="15DF67A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6984AF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B816CC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F37EAB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F3413B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BE55E5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9605FE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14B30C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C9A12C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DD07FF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2CA0EBB" w14:textId="77777777">
            <w:pPr>
              <w:pStyle w:val="p-table"/>
              <w:rPr>
                <w:sz w:val="13"/>
                <w:szCs w:val="13"/>
              </w:rPr>
            </w:pPr>
          </w:p>
        </w:tc>
      </w:tr>
      <w:tr w:rsidR="0084290D" w:rsidTr="007433BE" w14:paraId="1986CC2B" w14:textId="77777777">
        <w:tc>
          <w:tcPr>
            <w:tcW w:w="800" w:type="pct"/>
            <w:tcBorders>
              <w:bottom w:val="single" w:color="009EE0" w:sz="2" w:space="0"/>
            </w:tcBorders>
            <w:tcMar>
              <w:top w:w="22" w:type="dxa"/>
              <w:bottom w:w="22" w:type="dxa"/>
              <w:right w:w="28" w:type="dxa"/>
            </w:tcMar>
          </w:tcPr>
          <w:p w:rsidRPr="006F2FC4" w:rsidR="0084290D" w:rsidRDefault="00CF5B93" w14:paraId="39C4F6D8" w14:textId="77777777">
            <w:pPr>
              <w:pStyle w:val="p-table"/>
              <w:rPr>
                <w:sz w:val="13"/>
                <w:szCs w:val="13"/>
              </w:rPr>
            </w:pPr>
            <w:r w:rsidRPr="006F2FC4">
              <w:rPr>
                <w:b/>
                <w:sz w:val="13"/>
                <w:szCs w:val="13"/>
              </w:rPr>
              <w:t>(1) Apparaatsuitgaven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43E84EC" w14:textId="77777777">
            <w:pPr>
              <w:pStyle w:val="p-table"/>
              <w:jc w:val="right"/>
              <w:rPr>
                <w:sz w:val="13"/>
                <w:szCs w:val="13"/>
              </w:rPr>
            </w:pPr>
            <w:r w:rsidRPr="006F2FC4">
              <w:rPr>
                <w:b/>
                <w:sz w:val="13"/>
                <w:szCs w:val="13"/>
              </w:rPr>
              <w:t>598.512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7E445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011ED44" w14:textId="77777777">
            <w:pPr>
              <w:pStyle w:val="p-table"/>
              <w:jc w:val="right"/>
              <w:rPr>
                <w:sz w:val="13"/>
                <w:szCs w:val="13"/>
              </w:rPr>
            </w:pPr>
            <w:r w:rsidRPr="006F2FC4">
              <w:rPr>
                <w:b/>
                <w:sz w:val="13"/>
                <w:szCs w:val="13"/>
              </w:rPr>
              <w:t>598.512</w:t>
            </w:r>
          </w:p>
        </w:tc>
        <w:tc>
          <w:tcPr>
            <w:tcW w:w="425" w:type="pct"/>
            <w:tcBorders>
              <w:bottom w:val="single" w:color="009EE0" w:sz="2" w:space="0"/>
            </w:tcBorders>
            <w:tcMar>
              <w:top w:w="22" w:type="dxa"/>
              <w:left w:w="28" w:type="dxa"/>
              <w:bottom w:w="22" w:type="dxa"/>
              <w:right w:w="28" w:type="dxa"/>
            </w:tcMar>
          </w:tcPr>
          <w:p w:rsidRPr="006F2FC4" w:rsidR="0084290D" w:rsidRDefault="00CF5B93" w14:paraId="7AC8342C" w14:textId="77777777">
            <w:pPr>
              <w:pStyle w:val="p-table"/>
              <w:jc w:val="right"/>
              <w:rPr>
                <w:sz w:val="13"/>
                <w:szCs w:val="13"/>
              </w:rPr>
            </w:pPr>
            <w:r w:rsidRPr="006F2FC4">
              <w:rPr>
                <w:b/>
                <w:sz w:val="13"/>
                <w:szCs w:val="13"/>
              </w:rPr>
              <w:t>‒ 5.337</w:t>
            </w:r>
          </w:p>
        </w:tc>
        <w:tc>
          <w:tcPr>
            <w:tcW w:w="425" w:type="pct"/>
            <w:tcBorders>
              <w:bottom w:val="single" w:color="009EE0" w:sz="2" w:space="0"/>
            </w:tcBorders>
            <w:tcMar>
              <w:top w:w="22" w:type="dxa"/>
              <w:left w:w="28" w:type="dxa"/>
              <w:bottom w:w="22" w:type="dxa"/>
              <w:right w:w="28" w:type="dxa"/>
            </w:tcMar>
          </w:tcPr>
          <w:p w:rsidRPr="006F2FC4" w:rsidR="0084290D" w:rsidRDefault="00CF5B93" w14:paraId="6D868088" w14:textId="77777777">
            <w:pPr>
              <w:pStyle w:val="p-table"/>
              <w:jc w:val="right"/>
              <w:rPr>
                <w:sz w:val="13"/>
                <w:szCs w:val="13"/>
              </w:rPr>
            </w:pPr>
            <w:r w:rsidRPr="006F2FC4">
              <w:rPr>
                <w:b/>
                <w:sz w:val="13"/>
                <w:szCs w:val="13"/>
              </w:rPr>
              <w:t>593.175</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FDC7AF" w14:textId="77777777">
            <w:pPr>
              <w:pStyle w:val="p-table"/>
              <w:jc w:val="right"/>
              <w:rPr>
                <w:sz w:val="13"/>
                <w:szCs w:val="13"/>
              </w:rPr>
            </w:pPr>
            <w:r w:rsidRPr="006F2FC4">
              <w:rPr>
                <w:b/>
                <w:sz w:val="13"/>
                <w:szCs w:val="13"/>
              </w:rPr>
              <w:t>20.823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1E25C2B" w14:textId="77777777">
            <w:pPr>
              <w:pStyle w:val="p-table"/>
              <w:jc w:val="right"/>
              <w:rPr>
                <w:sz w:val="13"/>
                <w:szCs w:val="13"/>
              </w:rPr>
            </w:pPr>
            <w:r w:rsidRPr="006F2FC4">
              <w:rPr>
                <w:b/>
                <w:sz w:val="13"/>
                <w:szCs w:val="13"/>
              </w:rPr>
              <w:t>45.668</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F69E0F" w14:textId="77777777">
            <w:pPr>
              <w:pStyle w:val="p-table"/>
              <w:jc w:val="right"/>
              <w:rPr>
                <w:sz w:val="13"/>
                <w:szCs w:val="13"/>
              </w:rPr>
            </w:pPr>
            <w:r w:rsidRPr="006F2FC4">
              <w:rPr>
                <w:b/>
                <w:sz w:val="13"/>
                <w:szCs w:val="13"/>
              </w:rPr>
              <w:t>27.970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1A8762" w14:textId="77777777">
            <w:pPr>
              <w:pStyle w:val="p-table"/>
              <w:jc w:val="right"/>
              <w:rPr>
                <w:sz w:val="13"/>
                <w:szCs w:val="13"/>
              </w:rPr>
            </w:pPr>
            <w:r w:rsidRPr="006F2FC4">
              <w:rPr>
                <w:b/>
                <w:sz w:val="13"/>
                <w:szCs w:val="13"/>
              </w:rPr>
              <w:t>‒ 3.236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C87D97" w14:textId="77777777">
            <w:pPr>
              <w:pStyle w:val="p-table"/>
              <w:jc w:val="right"/>
              <w:rPr>
                <w:sz w:val="13"/>
                <w:szCs w:val="13"/>
              </w:rPr>
            </w:pPr>
            <w:r w:rsidRPr="006F2FC4">
              <w:rPr>
                <w:b/>
                <w:sz w:val="13"/>
                <w:szCs w:val="13"/>
              </w:rPr>
              <w:t>667.138</w:t>
            </w:r>
          </w:p>
        </w:tc>
      </w:tr>
      <w:tr w:rsidR="0084290D" w:rsidTr="007433BE" w14:paraId="4424A0B9" w14:textId="77777777">
        <w:tc>
          <w:tcPr>
            <w:tcW w:w="800" w:type="pct"/>
            <w:tcBorders>
              <w:bottom w:val="single" w:color="009EE0" w:sz="2" w:space="0"/>
            </w:tcBorders>
            <w:tcMar>
              <w:top w:w="22" w:type="dxa"/>
              <w:bottom w:w="22" w:type="dxa"/>
              <w:right w:w="28" w:type="dxa"/>
            </w:tcMar>
          </w:tcPr>
          <w:p w:rsidRPr="006F2FC4" w:rsidR="0084290D" w:rsidRDefault="0084290D" w14:paraId="63535DF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047DBF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FCE5E6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B08A72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601682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F06342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C0AAF2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0EE4B0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0C025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65A4CB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13D34F0" w14:textId="77777777">
            <w:pPr>
              <w:pStyle w:val="p-table"/>
              <w:rPr>
                <w:sz w:val="13"/>
                <w:szCs w:val="13"/>
              </w:rPr>
            </w:pPr>
          </w:p>
        </w:tc>
      </w:tr>
      <w:tr w:rsidR="0084290D" w:rsidTr="007433BE" w14:paraId="35E1D897" w14:textId="77777777">
        <w:tc>
          <w:tcPr>
            <w:tcW w:w="800" w:type="pct"/>
            <w:tcBorders>
              <w:bottom w:val="single" w:color="009EE0" w:sz="2" w:space="0"/>
            </w:tcBorders>
            <w:tcMar>
              <w:top w:w="22" w:type="dxa"/>
              <w:bottom w:w="22" w:type="dxa"/>
              <w:right w:w="28" w:type="dxa"/>
            </w:tcMar>
          </w:tcPr>
          <w:p w:rsidRPr="006F2FC4" w:rsidR="0084290D" w:rsidRDefault="00CF5B93" w14:paraId="4C36A243" w14:textId="77777777">
            <w:pPr>
              <w:pStyle w:val="p-table"/>
              <w:rPr>
                <w:sz w:val="13"/>
                <w:szCs w:val="13"/>
              </w:rPr>
            </w:pPr>
            <w:r w:rsidRPr="006F2FC4">
              <w:rPr>
                <w:b/>
                <w:sz w:val="13"/>
                <w:szCs w:val="13"/>
              </w:rPr>
              <w:t>Personele 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FBC200" w14:textId="77777777">
            <w:pPr>
              <w:pStyle w:val="p-table"/>
              <w:jc w:val="right"/>
              <w:rPr>
                <w:sz w:val="13"/>
                <w:szCs w:val="13"/>
              </w:rPr>
            </w:pPr>
            <w:r w:rsidRPr="006F2FC4">
              <w:rPr>
                <w:b/>
                <w:sz w:val="13"/>
                <w:szCs w:val="13"/>
              </w:rPr>
              <w:t>591.899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4E55C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3DED6A" w14:textId="77777777">
            <w:pPr>
              <w:pStyle w:val="p-table"/>
              <w:jc w:val="right"/>
              <w:rPr>
                <w:sz w:val="13"/>
                <w:szCs w:val="13"/>
              </w:rPr>
            </w:pPr>
            <w:r w:rsidRPr="006F2FC4">
              <w:rPr>
                <w:b/>
                <w:sz w:val="13"/>
                <w:szCs w:val="13"/>
              </w:rPr>
              <w:t>591.899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5C9DCD8" w14:textId="77777777">
            <w:pPr>
              <w:pStyle w:val="p-table"/>
              <w:jc w:val="right"/>
              <w:rPr>
                <w:sz w:val="13"/>
                <w:szCs w:val="13"/>
              </w:rPr>
            </w:pPr>
            <w:r w:rsidRPr="006F2FC4">
              <w:rPr>
                <w:b/>
                <w:sz w:val="13"/>
                <w:szCs w:val="13"/>
              </w:rPr>
              <w:t>‒ 6.018</w:t>
            </w:r>
          </w:p>
        </w:tc>
        <w:tc>
          <w:tcPr>
            <w:tcW w:w="425" w:type="pct"/>
            <w:tcBorders>
              <w:bottom w:val="single" w:color="009EE0" w:sz="2" w:space="0"/>
            </w:tcBorders>
            <w:tcMar>
              <w:top w:w="22" w:type="dxa"/>
              <w:left w:w="28" w:type="dxa"/>
              <w:bottom w:w="22" w:type="dxa"/>
              <w:right w:w="28" w:type="dxa"/>
            </w:tcMar>
          </w:tcPr>
          <w:p w:rsidRPr="006F2FC4" w:rsidR="0084290D" w:rsidRDefault="00CF5B93" w14:paraId="7C29FC11" w14:textId="77777777">
            <w:pPr>
              <w:pStyle w:val="p-table"/>
              <w:jc w:val="right"/>
              <w:rPr>
                <w:sz w:val="13"/>
                <w:szCs w:val="13"/>
              </w:rPr>
            </w:pPr>
            <w:r w:rsidRPr="006F2FC4">
              <w:rPr>
                <w:b/>
                <w:sz w:val="13"/>
                <w:szCs w:val="13"/>
              </w:rPr>
              <w:t>585.881</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B821D1" w14:textId="77777777">
            <w:pPr>
              <w:pStyle w:val="p-table"/>
              <w:jc w:val="right"/>
              <w:rPr>
                <w:sz w:val="13"/>
                <w:szCs w:val="13"/>
              </w:rPr>
            </w:pPr>
            <w:r w:rsidRPr="006F2FC4">
              <w:rPr>
                <w:b/>
                <w:sz w:val="13"/>
                <w:szCs w:val="13"/>
              </w:rPr>
              <w:t>18.600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FF642B1" w14:textId="77777777">
            <w:pPr>
              <w:pStyle w:val="p-table"/>
              <w:jc w:val="right"/>
              <w:rPr>
                <w:sz w:val="13"/>
                <w:szCs w:val="13"/>
              </w:rPr>
            </w:pPr>
            <w:r w:rsidRPr="006F2FC4">
              <w:rPr>
                <w:b/>
                <w:sz w:val="13"/>
                <w:szCs w:val="13"/>
              </w:rPr>
              <w:t>43.397</w:t>
            </w:r>
          </w:p>
        </w:tc>
        <w:tc>
          <w:tcPr>
            <w:tcW w:w="425" w:type="pct"/>
            <w:tcBorders>
              <w:bottom w:val="single" w:color="009EE0" w:sz="2" w:space="0"/>
            </w:tcBorders>
            <w:tcMar>
              <w:top w:w="22" w:type="dxa"/>
              <w:left w:w="28" w:type="dxa"/>
              <w:bottom w:w="22" w:type="dxa"/>
              <w:right w:w="28" w:type="dxa"/>
            </w:tcMar>
          </w:tcPr>
          <w:p w:rsidRPr="006F2FC4" w:rsidR="0084290D" w:rsidRDefault="00CF5B93" w14:paraId="65694C34" w14:textId="77777777">
            <w:pPr>
              <w:pStyle w:val="p-table"/>
              <w:jc w:val="right"/>
              <w:rPr>
                <w:sz w:val="13"/>
                <w:szCs w:val="13"/>
              </w:rPr>
            </w:pPr>
            <w:r w:rsidRPr="006F2FC4">
              <w:rPr>
                <w:b/>
                <w:sz w:val="13"/>
                <w:szCs w:val="13"/>
              </w:rPr>
              <w:t>25.986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39D40CF" w14:textId="77777777">
            <w:pPr>
              <w:pStyle w:val="p-table"/>
              <w:jc w:val="right"/>
              <w:rPr>
                <w:sz w:val="13"/>
                <w:szCs w:val="13"/>
              </w:rPr>
            </w:pPr>
            <w:r w:rsidRPr="006F2FC4">
              <w:rPr>
                <w:b/>
                <w:sz w:val="13"/>
                <w:szCs w:val="13"/>
              </w:rPr>
              <w:t>‒ 1.956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CBF77B" w14:textId="77777777">
            <w:pPr>
              <w:pStyle w:val="p-table"/>
              <w:jc w:val="right"/>
              <w:rPr>
                <w:sz w:val="13"/>
                <w:szCs w:val="13"/>
              </w:rPr>
            </w:pPr>
            <w:r w:rsidRPr="006F2FC4">
              <w:rPr>
                <w:b/>
                <w:sz w:val="13"/>
                <w:szCs w:val="13"/>
              </w:rPr>
              <w:t>600.396</w:t>
            </w:r>
          </w:p>
        </w:tc>
      </w:tr>
      <w:tr w:rsidR="0084290D" w:rsidTr="007433BE" w14:paraId="19E33D99" w14:textId="77777777">
        <w:tc>
          <w:tcPr>
            <w:tcW w:w="800" w:type="pct"/>
            <w:tcBorders>
              <w:bottom w:val="single" w:color="009EE0" w:sz="2" w:space="0"/>
            </w:tcBorders>
            <w:tcMar>
              <w:top w:w="22" w:type="dxa"/>
              <w:bottom w:w="22" w:type="dxa"/>
              <w:right w:w="28" w:type="dxa"/>
            </w:tcMar>
          </w:tcPr>
          <w:p w:rsidRPr="006F2FC4" w:rsidR="0084290D" w:rsidRDefault="00CF5B93" w14:paraId="343EE775" w14:textId="77777777">
            <w:pPr>
              <w:pStyle w:val="p-table"/>
              <w:rPr>
                <w:sz w:val="13"/>
                <w:szCs w:val="13"/>
              </w:rPr>
            </w:pPr>
            <w:r w:rsidRPr="006F2FC4">
              <w:rPr>
                <w:sz w:val="13"/>
                <w:szCs w:val="13"/>
              </w:rPr>
              <w:t>Eigen personeel</w:t>
            </w:r>
          </w:p>
        </w:tc>
        <w:tc>
          <w:tcPr>
            <w:tcW w:w="425" w:type="pct"/>
            <w:tcBorders>
              <w:bottom w:val="single" w:color="009EE0" w:sz="2" w:space="0"/>
            </w:tcBorders>
            <w:tcMar>
              <w:top w:w="22" w:type="dxa"/>
              <w:left w:w="28" w:type="dxa"/>
              <w:bottom w:w="22" w:type="dxa"/>
              <w:right w:w="28" w:type="dxa"/>
            </w:tcMar>
          </w:tcPr>
          <w:p w:rsidRPr="006F2FC4" w:rsidR="0084290D" w:rsidRDefault="00CF5B93" w14:paraId="6C423BBB" w14:textId="77777777">
            <w:pPr>
              <w:pStyle w:val="p-table"/>
              <w:jc w:val="right"/>
              <w:rPr>
                <w:sz w:val="13"/>
                <w:szCs w:val="13"/>
              </w:rPr>
            </w:pPr>
            <w:r w:rsidRPr="006F2FC4">
              <w:rPr>
                <w:sz w:val="13"/>
                <w:szCs w:val="13"/>
              </w:rPr>
              <w:t>574.589</w:t>
            </w:r>
          </w:p>
        </w:tc>
        <w:tc>
          <w:tcPr>
            <w:tcW w:w="375" w:type="pct"/>
            <w:tcBorders>
              <w:bottom w:val="single" w:color="009EE0" w:sz="2" w:space="0"/>
            </w:tcBorders>
            <w:tcMar>
              <w:top w:w="22" w:type="dxa"/>
              <w:left w:w="28" w:type="dxa"/>
              <w:bottom w:w="22" w:type="dxa"/>
              <w:right w:w="28" w:type="dxa"/>
            </w:tcMar>
          </w:tcPr>
          <w:p w:rsidRPr="006F2FC4" w:rsidR="0084290D" w:rsidRDefault="00CF5B93" w14:paraId="43FA790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B020ABC" w14:textId="77777777">
            <w:pPr>
              <w:pStyle w:val="p-table"/>
              <w:jc w:val="right"/>
              <w:rPr>
                <w:sz w:val="13"/>
                <w:szCs w:val="13"/>
              </w:rPr>
            </w:pPr>
            <w:r w:rsidRPr="006F2FC4">
              <w:rPr>
                <w:sz w:val="13"/>
                <w:szCs w:val="13"/>
              </w:rPr>
              <w:t>574.589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62BE8B" w14:textId="77777777">
            <w:pPr>
              <w:pStyle w:val="p-table"/>
              <w:jc w:val="right"/>
              <w:rPr>
                <w:sz w:val="13"/>
                <w:szCs w:val="13"/>
              </w:rPr>
            </w:pPr>
            <w:r w:rsidRPr="006F2FC4">
              <w:rPr>
                <w:sz w:val="13"/>
                <w:szCs w:val="13"/>
              </w:rPr>
              <w:t>‒ 17.382</w:t>
            </w:r>
          </w:p>
        </w:tc>
        <w:tc>
          <w:tcPr>
            <w:tcW w:w="425" w:type="pct"/>
            <w:tcBorders>
              <w:bottom w:val="single" w:color="009EE0" w:sz="2" w:space="0"/>
            </w:tcBorders>
            <w:tcMar>
              <w:top w:w="22" w:type="dxa"/>
              <w:left w:w="28" w:type="dxa"/>
              <w:bottom w:w="22" w:type="dxa"/>
              <w:right w:w="28" w:type="dxa"/>
            </w:tcMar>
          </w:tcPr>
          <w:p w:rsidRPr="006F2FC4" w:rsidR="0084290D" w:rsidRDefault="00CF5B93" w14:paraId="1F3491DF" w14:textId="77777777">
            <w:pPr>
              <w:pStyle w:val="p-table"/>
              <w:jc w:val="right"/>
              <w:rPr>
                <w:sz w:val="13"/>
                <w:szCs w:val="13"/>
              </w:rPr>
            </w:pPr>
            <w:r w:rsidRPr="006F2FC4">
              <w:rPr>
                <w:sz w:val="13"/>
                <w:szCs w:val="13"/>
              </w:rPr>
              <w:t>557.207</w:t>
            </w:r>
          </w:p>
        </w:tc>
        <w:tc>
          <w:tcPr>
            <w:tcW w:w="425" w:type="pct"/>
            <w:tcBorders>
              <w:bottom w:val="single" w:color="009EE0" w:sz="2" w:space="0"/>
            </w:tcBorders>
            <w:tcMar>
              <w:top w:w="22" w:type="dxa"/>
              <w:left w:w="28" w:type="dxa"/>
              <w:bottom w:w="22" w:type="dxa"/>
              <w:right w:w="28" w:type="dxa"/>
            </w:tcMar>
          </w:tcPr>
          <w:p w:rsidRPr="006F2FC4" w:rsidR="0084290D" w:rsidRDefault="00CF5B93" w14:paraId="3ECCD468" w14:textId="77777777">
            <w:pPr>
              <w:pStyle w:val="p-table"/>
              <w:jc w:val="right"/>
              <w:rPr>
                <w:sz w:val="13"/>
                <w:szCs w:val="13"/>
              </w:rPr>
            </w:pPr>
            <w:r w:rsidRPr="006F2FC4">
              <w:rPr>
                <w:sz w:val="13"/>
                <w:szCs w:val="13"/>
              </w:rPr>
              <w:t>9.187</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FD5CB1" w14:textId="77777777">
            <w:pPr>
              <w:pStyle w:val="p-table"/>
              <w:jc w:val="right"/>
              <w:rPr>
                <w:sz w:val="13"/>
                <w:szCs w:val="13"/>
              </w:rPr>
            </w:pPr>
            <w:r w:rsidRPr="006F2FC4">
              <w:rPr>
                <w:sz w:val="13"/>
                <w:szCs w:val="13"/>
              </w:rPr>
              <w:t>29.063</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D9D401" w14:textId="77777777">
            <w:pPr>
              <w:pStyle w:val="p-table"/>
              <w:jc w:val="right"/>
              <w:rPr>
                <w:sz w:val="13"/>
                <w:szCs w:val="13"/>
              </w:rPr>
            </w:pPr>
            <w:r w:rsidRPr="006F2FC4">
              <w:rPr>
                <w:sz w:val="13"/>
                <w:szCs w:val="13"/>
              </w:rPr>
              <w:t>15.795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A7252C" w14:textId="77777777">
            <w:pPr>
              <w:pStyle w:val="p-table"/>
              <w:jc w:val="right"/>
              <w:rPr>
                <w:sz w:val="13"/>
                <w:szCs w:val="13"/>
              </w:rPr>
            </w:pPr>
            <w:r w:rsidRPr="006F2FC4">
              <w:rPr>
                <w:sz w:val="13"/>
                <w:szCs w:val="13"/>
              </w:rPr>
              <w:t>‒ 11.947</w:t>
            </w:r>
          </w:p>
        </w:tc>
        <w:tc>
          <w:tcPr>
            <w:tcW w:w="425" w:type="pct"/>
            <w:tcBorders>
              <w:bottom w:val="single" w:color="009EE0" w:sz="2" w:space="0"/>
            </w:tcBorders>
            <w:tcMar>
              <w:top w:w="22" w:type="dxa"/>
              <w:left w:w="28" w:type="dxa"/>
              <w:bottom w:w="22" w:type="dxa"/>
              <w:right w:w="28" w:type="dxa"/>
            </w:tcMar>
          </w:tcPr>
          <w:p w:rsidRPr="006F2FC4" w:rsidR="0084290D" w:rsidRDefault="00CF5B93" w14:paraId="4649D7A9" w14:textId="77777777">
            <w:pPr>
              <w:pStyle w:val="p-table"/>
              <w:jc w:val="right"/>
              <w:rPr>
                <w:sz w:val="13"/>
                <w:szCs w:val="13"/>
              </w:rPr>
            </w:pPr>
            <w:r w:rsidRPr="006F2FC4">
              <w:rPr>
                <w:sz w:val="13"/>
                <w:szCs w:val="13"/>
              </w:rPr>
              <w:t>584.964</w:t>
            </w:r>
          </w:p>
        </w:tc>
      </w:tr>
      <w:tr w:rsidR="0084290D" w:rsidTr="007433BE" w14:paraId="5BF204DC" w14:textId="77777777">
        <w:tc>
          <w:tcPr>
            <w:tcW w:w="800" w:type="pct"/>
            <w:tcBorders>
              <w:bottom w:val="single" w:color="009EE0" w:sz="2" w:space="0"/>
            </w:tcBorders>
            <w:tcMar>
              <w:top w:w="22" w:type="dxa"/>
              <w:bottom w:w="22" w:type="dxa"/>
              <w:right w:w="28" w:type="dxa"/>
            </w:tcMar>
          </w:tcPr>
          <w:p w:rsidRPr="006F2FC4" w:rsidR="0084290D" w:rsidRDefault="00CF5B93" w14:paraId="3DBEC9D5" w14:textId="77777777">
            <w:pPr>
              <w:pStyle w:val="p-table"/>
              <w:rPr>
                <w:sz w:val="13"/>
                <w:szCs w:val="13"/>
              </w:rPr>
            </w:pPr>
            <w:r w:rsidRPr="006F2FC4">
              <w:rPr>
                <w:sz w:val="13"/>
                <w:szCs w:val="13"/>
              </w:rPr>
              <w:t>Inhuur externen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51D382" w14:textId="77777777">
            <w:pPr>
              <w:pStyle w:val="p-table"/>
              <w:jc w:val="right"/>
              <w:rPr>
                <w:sz w:val="13"/>
                <w:szCs w:val="13"/>
              </w:rPr>
            </w:pPr>
            <w:r w:rsidRPr="006F2FC4">
              <w:rPr>
                <w:sz w:val="13"/>
                <w:szCs w:val="13"/>
              </w:rPr>
              <w:t>16.608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2C07F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D3AF549" w14:textId="77777777">
            <w:pPr>
              <w:pStyle w:val="p-table"/>
              <w:jc w:val="right"/>
              <w:rPr>
                <w:sz w:val="13"/>
                <w:szCs w:val="13"/>
              </w:rPr>
            </w:pPr>
            <w:r w:rsidRPr="006F2FC4">
              <w:rPr>
                <w:sz w:val="13"/>
                <w:szCs w:val="13"/>
              </w:rPr>
              <w:t>16.608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E0C7E9" w14:textId="77777777">
            <w:pPr>
              <w:pStyle w:val="p-table"/>
              <w:jc w:val="right"/>
              <w:rPr>
                <w:sz w:val="13"/>
                <w:szCs w:val="13"/>
              </w:rPr>
            </w:pPr>
            <w:r w:rsidRPr="006F2FC4">
              <w:rPr>
                <w:sz w:val="13"/>
                <w:szCs w:val="13"/>
              </w:rPr>
              <w:t>6.579</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62200A" w14:textId="77777777">
            <w:pPr>
              <w:pStyle w:val="p-table"/>
              <w:jc w:val="right"/>
              <w:rPr>
                <w:sz w:val="13"/>
                <w:szCs w:val="13"/>
              </w:rPr>
            </w:pPr>
            <w:r w:rsidRPr="006F2FC4">
              <w:rPr>
                <w:sz w:val="13"/>
                <w:szCs w:val="13"/>
              </w:rPr>
              <w:t>23.187</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741D24" w14:textId="77777777">
            <w:pPr>
              <w:pStyle w:val="p-table"/>
              <w:jc w:val="right"/>
              <w:rPr>
                <w:sz w:val="13"/>
                <w:szCs w:val="13"/>
              </w:rPr>
            </w:pPr>
            <w:r w:rsidRPr="006F2FC4">
              <w:rPr>
                <w:sz w:val="13"/>
                <w:szCs w:val="13"/>
              </w:rPr>
              <w:t>5.466</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8EAB25" w14:textId="77777777">
            <w:pPr>
              <w:pStyle w:val="p-table"/>
              <w:jc w:val="right"/>
              <w:rPr>
                <w:sz w:val="13"/>
                <w:szCs w:val="13"/>
              </w:rPr>
            </w:pPr>
            <w:r w:rsidRPr="006F2FC4">
              <w:rPr>
                <w:sz w:val="13"/>
                <w:szCs w:val="13"/>
              </w:rPr>
              <w:t>10.591</w:t>
            </w:r>
          </w:p>
        </w:tc>
        <w:tc>
          <w:tcPr>
            <w:tcW w:w="425" w:type="pct"/>
            <w:tcBorders>
              <w:bottom w:val="single" w:color="009EE0" w:sz="2" w:space="0"/>
            </w:tcBorders>
            <w:tcMar>
              <w:top w:w="22" w:type="dxa"/>
              <w:left w:w="28" w:type="dxa"/>
              <w:bottom w:w="22" w:type="dxa"/>
              <w:right w:w="28" w:type="dxa"/>
            </w:tcMar>
          </w:tcPr>
          <w:p w:rsidRPr="006F2FC4" w:rsidR="0084290D" w:rsidRDefault="00CF5B93" w14:paraId="0B4885B5" w14:textId="77777777">
            <w:pPr>
              <w:pStyle w:val="p-table"/>
              <w:jc w:val="right"/>
              <w:rPr>
                <w:sz w:val="13"/>
                <w:szCs w:val="13"/>
              </w:rPr>
            </w:pPr>
            <w:r w:rsidRPr="006F2FC4">
              <w:rPr>
                <w:sz w:val="13"/>
                <w:szCs w:val="13"/>
              </w:rPr>
              <w:t>9.603</w:t>
            </w:r>
          </w:p>
        </w:tc>
        <w:tc>
          <w:tcPr>
            <w:tcW w:w="425" w:type="pct"/>
            <w:tcBorders>
              <w:bottom w:val="single" w:color="009EE0" w:sz="2" w:space="0"/>
            </w:tcBorders>
            <w:tcMar>
              <w:top w:w="22" w:type="dxa"/>
              <w:left w:w="28" w:type="dxa"/>
              <w:bottom w:w="22" w:type="dxa"/>
              <w:right w:w="28" w:type="dxa"/>
            </w:tcMar>
          </w:tcPr>
          <w:p w:rsidRPr="006F2FC4" w:rsidR="0084290D" w:rsidRDefault="00CF5B93" w14:paraId="783E2D5E" w14:textId="77777777">
            <w:pPr>
              <w:pStyle w:val="p-table"/>
              <w:jc w:val="right"/>
              <w:rPr>
                <w:sz w:val="13"/>
                <w:szCs w:val="13"/>
              </w:rPr>
            </w:pPr>
            <w:r w:rsidRPr="006F2FC4">
              <w:rPr>
                <w:sz w:val="13"/>
                <w:szCs w:val="13"/>
              </w:rPr>
              <w:t>9.412</w:t>
            </w:r>
          </w:p>
        </w:tc>
        <w:tc>
          <w:tcPr>
            <w:tcW w:w="425" w:type="pct"/>
            <w:tcBorders>
              <w:bottom w:val="single" w:color="009EE0" w:sz="2" w:space="0"/>
            </w:tcBorders>
            <w:tcMar>
              <w:top w:w="22" w:type="dxa"/>
              <w:left w:w="28" w:type="dxa"/>
              <w:bottom w:w="22" w:type="dxa"/>
              <w:right w:w="28" w:type="dxa"/>
            </w:tcMar>
          </w:tcPr>
          <w:p w:rsidRPr="006F2FC4" w:rsidR="0084290D" w:rsidRDefault="00CF5B93" w14:paraId="045F6D55" w14:textId="77777777">
            <w:pPr>
              <w:pStyle w:val="p-table"/>
              <w:jc w:val="right"/>
              <w:rPr>
                <w:sz w:val="13"/>
                <w:szCs w:val="13"/>
              </w:rPr>
            </w:pPr>
            <w:r w:rsidRPr="006F2FC4">
              <w:rPr>
                <w:sz w:val="13"/>
                <w:szCs w:val="13"/>
              </w:rPr>
              <w:t>14.612</w:t>
            </w:r>
          </w:p>
        </w:tc>
      </w:tr>
      <w:tr w:rsidR="0084290D" w:rsidTr="007433BE" w14:paraId="3D07A2ED" w14:textId="77777777">
        <w:tc>
          <w:tcPr>
            <w:tcW w:w="800" w:type="pct"/>
            <w:tcBorders>
              <w:bottom w:val="single" w:color="009EE0" w:sz="2" w:space="0"/>
            </w:tcBorders>
            <w:tcMar>
              <w:top w:w="22" w:type="dxa"/>
              <w:bottom w:w="22" w:type="dxa"/>
              <w:right w:w="28" w:type="dxa"/>
            </w:tcMar>
          </w:tcPr>
          <w:p w:rsidRPr="006F2FC4" w:rsidR="0084290D" w:rsidRDefault="00CF5B93" w14:paraId="6EB1417D" w14:textId="77777777">
            <w:pPr>
              <w:pStyle w:val="p-table"/>
              <w:rPr>
                <w:sz w:val="13"/>
                <w:szCs w:val="13"/>
              </w:rPr>
            </w:pPr>
            <w:r w:rsidRPr="006F2FC4">
              <w:rPr>
                <w:sz w:val="13"/>
                <w:szCs w:val="13"/>
              </w:rPr>
              <w:t>Overig personeel</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2A42E3" w14:textId="77777777">
            <w:pPr>
              <w:pStyle w:val="p-table"/>
              <w:jc w:val="right"/>
              <w:rPr>
                <w:sz w:val="13"/>
                <w:szCs w:val="13"/>
              </w:rPr>
            </w:pPr>
            <w:r w:rsidRPr="006F2FC4">
              <w:rPr>
                <w:sz w:val="13"/>
                <w:szCs w:val="13"/>
              </w:rPr>
              <w:t>702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54B64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5E1F4B8" w14:textId="77777777">
            <w:pPr>
              <w:pStyle w:val="p-table"/>
              <w:jc w:val="right"/>
              <w:rPr>
                <w:sz w:val="13"/>
                <w:szCs w:val="13"/>
              </w:rPr>
            </w:pPr>
            <w:r w:rsidRPr="006F2FC4">
              <w:rPr>
                <w:sz w:val="13"/>
                <w:szCs w:val="13"/>
              </w:rPr>
              <w:t>702</w:t>
            </w:r>
          </w:p>
        </w:tc>
        <w:tc>
          <w:tcPr>
            <w:tcW w:w="425" w:type="pct"/>
            <w:tcBorders>
              <w:bottom w:val="single" w:color="009EE0" w:sz="2" w:space="0"/>
            </w:tcBorders>
            <w:tcMar>
              <w:top w:w="22" w:type="dxa"/>
              <w:left w:w="28" w:type="dxa"/>
              <w:bottom w:w="22" w:type="dxa"/>
              <w:right w:w="28" w:type="dxa"/>
            </w:tcMar>
          </w:tcPr>
          <w:p w:rsidRPr="006F2FC4" w:rsidR="0084290D" w:rsidRDefault="00CF5B93" w14:paraId="28762DC2" w14:textId="77777777">
            <w:pPr>
              <w:pStyle w:val="p-table"/>
              <w:jc w:val="right"/>
              <w:rPr>
                <w:sz w:val="13"/>
                <w:szCs w:val="13"/>
              </w:rPr>
            </w:pPr>
            <w:r w:rsidRPr="006F2FC4">
              <w:rPr>
                <w:sz w:val="13"/>
                <w:szCs w:val="13"/>
              </w:rPr>
              <w:t>4.785</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C62911" w14:textId="77777777">
            <w:pPr>
              <w:pStyle w:val="p-table"/>
              <w:jc w:val="right"/>
              <w:rPr>
                <w:sz w:val="13"/>
                <w:szCs w:val="13"/>
              </w:rPr>
            </w:pPr>
            <w:r w:rsidRPr="006F2FC4">
              <w:rPr>
                <w:sz w:val="13"/>
                <w:szCs w:val="13"/>
              </w:rPr>
              <w:t>5.487</w:t>
            </w:r>
          </w:p>
        </w:tc>
        <w:tc>
          <w:tcPr>
            <w:tcW w:w="425" w:type="pct"/>
            <w:tcBorders>
              <w:bottom w:val="single" w:color="009EE0" w:sz="2" w:space="0"/>
            </w:tcBorders>
            <w:tcMar>
              <w:top w:w="22" w:type="dxa"/>
              <w:left w:w="28" w:type="dxa"/>
              <w:bottom w:w="22" w:type="dxa"/>
              <w:right w:w="28" w:type="dxa"/>
            </w:tcMar>
          </w:tcPr>
          <w:p w:rsidRPr="006F2FC4" w:rsidR="0084290D" w:rsidRDefault="00CF5B93" w14:paraId="452256DA" w14:textId="77777777">
            <w:pPr>
              <w:pStyle w:val="p-table"/>
              <w:jc w:val="right"/>
              <w:rPr>
                <w:sz w:val="13"/>
                <w:szCs w:val="13"/>
              </w:rPr>
            </w:pPr>
            <w:r w:rsidRPr="006F2FC4">
              <w:rPr>
                <w:sz w:val="13"/>
                <w:szCs w:val="13"/>
              </w:rPr>
              <w:t>3.947</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6AD5B1" w14:textId="77777777">
            <w:pPr>
              <w:pStyle w:val="p-table"/>
              <w:jc w:val="right"/>
              <w:rPr>
                <w:sz w:val="13"/>
                <w:szCs w:val="13"/>
              </w:rPr>
            </w:pPr>
            <w:r w:rsidRPr="006F2FC4">
              <w:rPr>
                <w:sz w:val="13"/>
                <w:szCs w:val="13"/>
              </w:rPr>
              <w:t>3.743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94C1BE" w14:textId="77777777">
            <w:pPr>
              <w:pStyle w:val="p-table"/>
              <w:jc w:val="right"/>
              <w:rPr>
                <w:sz w:val="13"/>
                <w:szCs w:val="13"/>
              </w:rPr>
            </w:pPr>
            <w:r w:rsidRPr="006F2FC4">
              <w:rPr>
                <w:sz w:val="13"/>
                <w:szCs w:val="13"/>
              </w:rPr>
              <w:t>588</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D952B8" w14:textId="77777777">
            <w:pPr>
              <w:pStyle w:val="p-table"/>
              <w:jc w:val="right"/>
              <w:rPr>
                <w:sz w:val="13"/>
                <w:szCs w:val="13"/>
              </w:rPr>
            </w:pPr>
            <w:r w:rsidRPr="006F2FC4">
              <w:rPr>
                <w:sz w:val="13"/>
                <w:szCs w:val="13"/>
              </w:rPr>
              <w:t>579</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471544" w14:textId="77777777">
            <w:pPr>
              <w:pStyle w:val="p-table"/>
              <w:jc w:val="right"/>
              <w:rPr>
                <w:sz w:val="13"/>
                <w:szCs w:val="13"/>
              </w:rPr>
            </w:pPr>
            <w:r w:rsidRPr="006F2FC4">
              <w:rPr>
                <w:sz w:val="13"/>
                <w:szCs w:val="13"/>
              </w:rPr>
              <w:t>820</w:t>
            </w:r>
          </w:p>
        </w:tc>
      </w:tr>
      <w:tr w:rsidR="0084290D" w:rsidTr="007433BE" w14:paraId="61F40BE8" w14:textId="77777777">
        <w:tc>
          <w:tcPr>
            <w:tcW w:w="800" w:type="pct"/>
            <w:tcBorders>
              <w:bottom w:val="single" w:color="009EE0" w:sz="2" w:space="0"/>
            </w:tcBorders>
            <w:tcMar>
              <w:top w:w="22" w:type="dxa"/>
              <w:bottom w:w="22" w:type="dxa"/>
              <w:right w:w="28" w:type="dxa"/>
            </w:tcMar>
          </w:tcPr>
          <w:p w:rsidRPr="006F2FC4" w:rsidR="0084290D" w:rsidRDefault="0084290D" w14:paraId="6902340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4934A9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1A125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E3B88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CF9CA7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5D8670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9F676A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F32B42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736A4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65B060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D034828" w14:textId="77777777">
            <w:pPr>
              <w:pStyle w:val="p-table"/>
              <w:rPr>
                <w:sz w:val="13"/>
                <w:szCs w:val="13"/>
              </w:rPr>
            </w:pPr>
          </w:p>
        </w:tc>
      </w:tr>
      <w:tr w:rsidR="0084290D" w:rsidTr="007433BE" w14:paraId="136364FD" w14:textId="77777777">
        <w:tc>
          <w:tcPr>
            <w:tcW w:w="800" w:type="pct"/>
            <w:tcBorders>
              <w:bottom w:val="single" w:color="009EE0" w:sz="2" w:space="0"/>
            </w:tcBorders>
            <w:tcMar>
              <w:top w:w="22" w:type="dxa"/>
              <w:bottom w:w="22" w:type="dxa"/>
              <w:right w:w="28" w:type="dxa"/>
            </w:tcMar>
          </w:tcPr>
          <w:p w:rsidRPr="006F2FC4" w:rsidR="0084290D" w:rsidRDefault="00CF5B93" w14:paraId="6A79BA44" w14:textId="77777777">
            <w:pPr>
              <w:pStyle w:val="p-table"/>
              <w:rPr>
                <w:sz w:val="13"/>
                <w:szCs w:val="13"/>
              </w:rPr>
            </w:pPr>
            <w:r w:rsidRPr="006F2FC4">
              <w:rPr>
                <w:b/>
                <w:sz w:val="13"/>
                <w:szCs w:val="13"/>
              </w:rPr>
              <w:t>Materiële 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EBADA0" w14:textId="77777777">
            <w:pPr>
              <w:pStyle w:val="p-table"/>
              <w:jc w:val="right"/>
              <w:rPr>
                <w:sz w:val="13"/>
                <w:szCs w:val="13"/>
              </w:rPr>
            </w:pPr>
            <w:r w:rsidRPr="006F2FC4">
              <w:rPr>
                <w:b/>
                <w:sz w:val="13"/>
                <w:szCs w:val="13"/>
              </w:rPr>
              <w:t>6.613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70B4A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D06414" w14:textId="77777777">
            <w:pPr>
              <w:pStyle w:val="p-table"/>
              <w:jc w:val="right"/>
              <w:rPr>
                <w:sz w:val="13"/>
                <w:szCs w:val="13"/>
              </w:rPr>
            </w:pPr>
            <w:r w:rsidRPr="006F2FC4">
              <w:rPr>
                <w:b/>
                <w:sz w:val="13"/>
                <w:szCs w:val="13"/>
              </w:rPr>
              <w:t>6.613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299C508C" w14:textId="77777777">
            <w:pPr>
              <w:pStyle w:val="p-table"/>
              <w:jc w:val="right"/>
              <w:rPr>
                <w:sz w:val="13"/>
                <w:szCs w:val="13"/>
              </w:rPr>
            </w:pPr>
            <w:r w:rsidRPr="006F2FC4">
              <w:rPr>
                <w:b/>
                <w:sz w:val="13"/>
                <w:szCs w:val="13"/>
              </w:rPr>
              <w:t>681</w:t>
            </w:r>
          </w:p>
        </w:tc>
        <w:tc>
          <w:tcPr>
            <w:tcW w:w="425" w:type="pct"/>
            <w:tcBorders>
              <w:bottom w:val="single" w:color="009EE0" w:sz="2" w:space="0"/>
            </w:tcBorders>
            <w:tcMar>
              <w:top w:w="22" w:type="dxa"/>
              <w:left w:w="28" w:type="dxa"/>
              <w:bottom w:w="22" w:type="dxa"/>
              <w:right w:w="28" w:type="dxa"/>
            </w:tcMar>
          </w:tcPr>
          <w:p w:rsidRPr="006F2FC4" w:rsidR="0084290D" w:rsidRDefault="00CF5B93" w14:paraId="6CCAD94F" w14:textId="77777777">
            <w:pPr>
              <w:pStyle w:val="p-table"/>
              <w:jc w:val="right"/>
              <w:rPr>
                <w:sz w:val="13"/>
                <w:szCs w:val="13"/>
              </w:rPr>
            </w:pPr>
            <w:r w:rsidRPr="006F2FC4">
              <w:rPr>
                <w:b/>
                <w:sz w:val="13"/>
                <w:szCs w:val="13"/>
              </w:rPr>
              <w:t>7.294</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FF8C5B" w14:textId="77777777">
            <w:pPr>
              <w:pStyle w:val="p-table"/>
              <w:jc w:val="right"/>
              <w:rPr>
                <w:sz w:val="13"/>
                <w:szCs w:val="13"/>
              </w:rPr>
            </w:pPr>
            <w:r w:rsidRPr="006F2FC4">
              <w:rPr>
                <w:b/>
                <w:sz w:val="13"/>
                <w:szCs w:val="13"/>
              </w:rPr>
              <w:t>2.223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2B86530" w14:textId="77777777">
            <w:pPr>
              <w:pStyle w:val="p-table"/>
              <w:jc w:val="right"/>
              <w:rPr>
                <w:sz w:val="13"/>
                <w:szCs w:val="13"/>
              </w:rPr>
            </w:pPr>
            <w:r w:rsidRPr="006F2FC4">
              <w:rPr>
                <w:b/>
                <w:sz w:val="13"/>
                <w:szCs w:val="13"/>
              </w:rPr>
              <w:t>2.271</w:t>
            </w:r>
          </w:p>
        </w:tc>
        <w:tc>
          <w:tcPr>
            <w:tcW w:w="425" w:type="pct"/>
            <w:tcBorders>
              <w:bottom w:val="single" w:color="009EE0" w:sz="2" w:space="0"/>
            </w:tcBorders>
            <w:tcMar>
              <w:top w:w="22" w:type="dxa"/>
              <w:left w:w="28" w:type="dxa"/>
              <w:bottom w:w="22" w:type="dxa"/>
              <w:right w:w="28" w:type="dxa"/>
            </w:tcMar>
          </w:tcPr>
          <w:p w:rsidRPr="006F2FC4" w:rsidR="0084290D" w:rsidRDefault="00CF5B93" w14:paraId="670EAC04" w14:textId="77777777">
            <w:pPr>
              <w:pStyle w:val="p-table"/>
              <w:jc w:val="right"/>
              <w:rPr>
                <w:sz w:val="13"/>
                <w:szCs w:val="13"/>
              </w:rPr>
            </w:pPr>
            <w:r w:rsidRPr="006F2FC4">
              <w:rPr>
                <w:b/>
                <w:sz w:val="13"/>
                <w:szCs w:val="13"/>
              </w:rPr>
              <w:t>1.984</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E9FD87" w14:textId="77777777">
            <w:pPr>
              <w:pStyle w:val="p-table"/>
              <w:jc w:val="right"/>
              <w:rPr>
                <w:sz w:val="13"/>
                <w:szCs w:val="13"/>
              </w:rPr>
            </w:pPr>
            <w:r w:rsidRPr="006F2FC4">
              <w:rPr>
                <w:b/>
                <w:sz w:val="13"/>
                <w:szCs w:val="13"/>
              </w:rPr>
              <w:t>‒ 1.280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3B0095A" w14:textId="77777777">
            <w:pPr>
              <w:pStyle w:val="p-table"/>
              <w:jc w:val="right"/>
              <w:rPr>
                <w:sz w:val="13"/>
                <w:szCs w:val="13"/>
              </w:rPr>
            </w:pPr>
            <w:r w:rsidRPr="006F2FC4">
              <w:rPr>
                <w:b/>
                <w:sz w:val="13"/>
                <w:szCs w:val="13"/>
              </w:rPr>
              <w:t>66.742</w:t>
            </w:r>
          </w:p>
        </w:tc>
      </w:tr>
      <w:tr w:rsidR="0084290D" w:rsidTr="007433BE" w14:paraId="4EDCD4A6" w14:textId="77777777">
        <w:tc>
          <w:tcPr>
            <w:tcW w:w="800" w:type="pct"/>
            <w:tcBorders>
              <w:bottom w:val="single" w:color="009EE0" w:sz="2" w:space="0"/>
            </w:tcBorders>
            <w:tcMar>
              <w:top w:w="22" w:type="dxa"/>
              <w:bottom w:w="22" w:type="dxa"/>
              <w:right w:w="28" w:type="dxa"/>
            </w:tcMar>
          </w:tcPr>
          <w:p w:rsidRPr="006F2FC4" w:rsidR="0084290D" w:rsidRDefault="00CF5B93" w14:paraId="67260697" w14:textId="77777777">
            <w:pPr>
              <w:pStyle w:val="p-table"/>
              <w:rPr>
                <w:sz w:val="13"/>
                <w:szCs w:val="13"/>
              </w:rPr>
            </w:pPr>
            <w:r w:rsidRPr="006F2FC4">
              <w:rPr>
                <w:sz w:val="13"/>
                <w:szCs w:val="13"/>
              </w:rPr>
              <w:t>ICT</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D7B00A" w14:textId="77777777">
            <w:pPr>
              <w:pStyle w:val="p-table"/>
              <w:jc w:val="right"/>
              <w:rPr>
                <w:sz w:val="13"/>
                <w:szCs w:val="13"/>
              </w:rPr>
            </w:pPr>
            <w:r w:rsidRPr="006F2FC4">
              <w:rPr>
                <w:sz w:val="13"/>
                <w:szCs w:val="13"/>
              </w:rPr>
              <w:t>2.452</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8939A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75F3EB" w14:textId="77777777">
            <w:pPr>
              <w:pStyle w:val="p-table"/>
              <w:jc w:val="right"/>
              <w:rPr>
                <w:sz w:val="13"/>
                <w:szCs w:val="13"/>
              </w:rPr>
            </w:pPr>
            <w:r w:rsidRPr="006F2FC4">
              <w:rPr>
                <w:sz w:val="13"/>
                <w:szCs w:val="13"/>
              </w:rPr>
              <w:t>2.452</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1B4AF3" w14:textId="77777777">
            <w:pPr>
              <w:pStyle w:val="p-table"/>
              <w:jc w:val="right"/>
              <w:rPr>
                <w:sz w:val="13"/>
                <w:szCs w:val="13"/>
              </w:rPr>
            </w:pPr>
            <w:r w:rsidRPr="006F2FC4">
              <w:rPr>
                <w:sz w:val="13"/>
                <w:szCs w:val="13"/>
              </w:rPr>
              <w:t>‒ 1.500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617182D" w14:textId="77777777">
            <w:pPr>
              <w:pStyle w:val="p-table"/>
              <w:jc w:val="right"/>
              <w:rPr>
                <w:sz w:val="13"/>
                <w:szCs w:val="13"/>
              </w:rPr>
            </w:pPr>
            <w:r w:rsidRPr="006F2FC4">
              <w:rPr>
                <w:sz w:val="13"/>
                <w:szCs w:val="13"/>
              </w:rPr>
              <w:t>952</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07769F" w14:textId="77777777">
            <w:pPr>
              <w:pStyle w:val="p-table"/>
              <w:jc w:val="right"/>
              <w:rPr>
                <w:sz w:val="13"/>
                <w:szCs w:val="13"/>
              </w:rPr>
            </w:pPr>
            <w:r w:rsidRPr="006F2FC4">
              <w:rPr>
                <w:sz w:val="13"/>
                <w:szCs w:val="13"/>
              </w:rPr>
              <w:t>‒ 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C5EB0C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7B0248C" w14:textId="77777777">
            <w:pPr>
              <w:pStyle w:val="p-table"/>
              <w:jc w:val="right"/>
              <w:rPr>
                <w:sz w:val="13"/>
                <w:szCs w:val="13"/>
              </w:rPr>
            </w:pPr>
            <w:r w:rsidRPr="006F2FC4">
              <w:rPr>
                <w:sz w:val="13"/>
                <w:szCs w:val="13"/>
              </w:rPr>
              <w:t>‒ 88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76E46E" w14:textId="77777777">
            <w:pPr>
              <w:pStyle w:val="p-table"/>
              <w:jc w:val="right"/>
              <w:rPr>
                <w:sz w:val="13"/>
                <w:szCs w:val="13"/>
              </w:rPr>
            </w:pPr>
            <w:r w:rsidRPr="006F2FC4">
              <w:rPr>
                <w:sz w:val="13"/>
                <w:szCs w:val="13"/>
              </w:rPr>
              <w:t>‒ 180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B261413" w14:textId="77777777">
            <w:pPr>
              <w:pStyle w:val="p-table"/>
              <w:jc w:val="right"/>
              <w:rPr>
                <w:sz w:val="13"/>
                <w:szCs w:val="13"/>
              </w:rPr>
            </w:pPr>
            <w:r w:rsidRPr="006F2FC4">
              <w:rPr>
                <w:sz w:val="13"/>
                <w:szCs w:val="13"/>
              </w:rPr>
              <w:t>2.314</w:t>
            </w:r>
          </w:p>
        </w:tc>
      </w:tr>
      <w:tr w:rsidR="0084290D" w:rsidTr="007433BE" w14:paraId="4B10066F" w14:textId="77777777">
        <w:tc>
          <w:tcPr>
            <w:tcW w:w="800" w:type="pct"/>
            <w:tcBorders>
              <w:bottom w:val="single" w:color="009EE0" w:sz="2" w:space="0"/>
            </w:tcBorders>
            <w:tcMar>
              <w:top w:w="22" w:type="dxa"/>
              <w:bottom w:w="22" w:type="dxa"/>
              <w:right w:w="28" w:type="dxa"/>
            </w:tcMar>
          </w:tcPr>
          <w:p w:rsidRPr="006F2FC4" w:rsidR="0084290D" w:rsidRDefault="00CF5B93" w14:paraId="08D6C38B" w14:textId="77777777">
            <w:pPr>
              <w:pStyle w:val="p-table"/>
              <w:rPr>
                <w:sz w:val="13"/>
                <w:szCs w:val="13"/>
              </w:rPr>
            </w:pPr>
            <w:r w:rsidRPr="006F2FC4">
              <w:rPr>
                <w:sz w:val="13"/>
                <w:szCs w:val="13"/>
              </w:rPr>
              <w:t>Bijdrage aan SSO's</w:t>
            </w:r>
          </w:p>
        </w:tc>
        <w:tc>
          <w:tcPr>
            <w:tcW w:w="425" w:type="pct"/>
            <w:tcBorders>
              <w:bottom w:val="single" w:color="009EE0" w:sz="2" w:space="0"/>
            </w:tcBorders>
            <w:tcMar>
              <w:top w:w="22" w:type="dxa"/>
              <w:left w:w="28" w:type="dxa"/>
              <w:bottom w:w="22" w:type="dxa"/>
              <w:right w:w="28" w:type="dxa"/>
            </w:tcMar>
          </w:tcPr>
          <w:p w:rsidRPr="006F2FC4" w:rsidR="0084290D" w:rsidRDefault="00CF5B93" w14:paraId="321859C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39F10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8E168E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830078" w14:textId="77777777">
            <w:pPr>
              <w:pStyle w:val="p-table"/>
              <w:jc w:val="right"/>
              <w:rPr>
                <w:sz w:val="13"/>
                <w:szCs w:val="13"/>
              </w:rPr>
            </w:pPr>
            <w:r w:rsidRPr="006F2FC4">
              <w:rPr>
                <w:sz w:val="13"/>
                <w:szCs w:val="13"/>
              </w:rPr>
              <w:t>1.003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EB5FA86" w14:textId="77777777">
            <w:pPr>
              <w:pStyle w:val="p-table"/>
              <w:jc w:val="right"/>
              <w:rPr>
                <w:sz w:val="13"/>
                <w:szCs w:val="13"/>
              </w:rPr>
            </w:pPr>
            <w:r w:rsidRPr="006F2FC4">
              <w:rPr>
                <w:sz w:val="13"/>
                <w:szCs w:val="13"/>
              </w:rPr>
              <w:t>1.003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58B4FA" w14:textId="77777777">
            <w:pPr>
              <w:pStyle w:val="p-table"/>
              <w:jc w:val="right"/>
              <w:rPr>
                <w:sz w:val="13"/>
                <w:szCs w:val="13"/>
              </w:rPr>
            </w:pPr>
            <w:r w:rsidRPr="006F2FC4">
              <w:rPr>
                <w:sz w:val="13"/>
                <w:szCs w:val="13"/>
              </w:rPr>
              <w:t>1.517</w:t>
            </w:r>
          </w:p>
        </w:tc>
        <w:tc>
          <w:tcPr>
            <w:tcW w:w="425" w:type="pct"/>
            <w:tcBorders>
              <w:bottom w:val="single" w:color="009EE0" w:sz="2" w:space="0"/>
            </w:tcBorders>
            <w:tcMar>
              <w:top w:w="22" w:type="dxa"/>
              <w:left w:w="28" w:type="dxa"/>
              <w:bottom w:w="22" w:type="dxa"/>
              <w:right w:w="28" w:type="dxa"/>
            </w:tcMar>
          </w:tcPr>
          <w:p w:rsidRPr="006F2FC4" w:rsidR="0084290D" w:rsidRDefault="00CF5B93" w14:paraId="7423D3E7" w14:textId="77777777">
            <w:pPr>
              <w:pStyle w:val="p-table"/>
              <w:jc w:val="right"/>
              <w:rPr>
                <w:sz w:val="13"/>
                <w:szCs w:val="13"/>
              </w:rPr>
            </w:pPr>
            <w:r w:rsidRPr="006F2FC4">
              <w:rPr>
                <w:sz w:val="13"/>
                <w:szCs w:val="13"/>
              </w:rPr>
              <w:t>1.567</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853324" w14:textId="77777777">
            <w:pPr>
              <w:pStyle w:val="p-table"/>
              <w:jc w:val="right"/>
              <w:rPr>
                <w:sz w:val="13"/>
                <w:szCs w:val="13"/>
              </w:rPr>
            </w:pPr>
            <w:r w:rsidRPr="006F2FC4">
              <w:rPr>
                <w:sz w:val="13"/>
                <w:szCs w:val="13"/>
              </w:rPr>
              <w:t>1.503</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07A70D" w14:textId="77777777">
            <w:pPr>
              <w:pStyle w:val="p-table"/>
              <w:jc w:val="right"/>
              <w:rPr>
                <w:sz w:val="13"/>
                <w:szCs w:val="13"/>
              </w:rPr>
            </w:pPr>
            <w:r w:rsidRPr="006F2FC4">
              <w:rPr>
                <w:sz w:val="13"/>
                <w:szCs w:val="13"/>
              </w:rPr>
              <w:t>‒ 1.041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32A04F54" w14:textId="77777777">
            <w:pPr>
              <w:pStyle w:val="p-table"/>
              <w:jc w:val="right"/>
              <w:rPr>
                <w:sz w:val="13"/>
                <w:szCs w:val="13"/>
              </w:rPr>
            </w:pPr>
            <w:r w:rsidRPr="006F2FC4">
              <w:rPr>
                <w:sz w:val="13"/>
                <w:szCs w:val="13"/>
              </w:rPr>
              <w:t>40.342</w:t>
            </w:r>
          </w:p>
        </w:tc>
      </w:tr>
      <w:tr w:rsidR="0084290D" w:rsidTr="007433BE" w14:paraId="51BB1D70" w14:textId="77777777">
        <w:tc>
          <w:tcPr>
            <w:tcW w:w="800" w:type="pct"/>
            <w:tcBorders>
              <w:bottom w:val="single" w:color="009EE0" w:sz="2" w:space="0"/>
            </w:tcBorders>
            <w:tcMar>
              <w:top w:w="22" w:type="dxa"/>
              <w:bottom w:w="22" w:type="dxa"/>
              <w:right w:w="28" w:type="dxa"/>
            </w:tcMar>
          </w:tcPr>
          <w:p w:rsidRPr="006F2FC4" w:rsidR="0084290D" w:rsidRDefault="00CF5B93" w14:paraId="40D39DA7" w14:textId="77777777">
            <w:pPr>
              <w:pStyle w:val="p-table"/>
              <w:rPr>
                <w:sz w:val="13"/>
                <w:szCs w:val="13"/>
              </w:rPr>
            </w:pPr>
            <w:r w:rsidRPr="006F2FC4">
              <w:rPr>
                <w:sz w:val="13"/>
                <w:szCs w:val="13"/>
              </w:rPr>
              <w:t>Overig materieel</w:t>
            </w:r>
          </w:p>
        </w:tc>
        <w:tc>
          <w:tcPr>
            <w:tcW w:w="425" w:type="pct"/>
            <w:tcBorders>
              <w:bottom w:val="single" w:color="009EE0" w:sz="2" w:space="0"/>
            </w:tcBorders>
            <w:tcMar>
              <w:top w:w="22" w:type="dxa"/>
              <w:left w:w="28" w:type="dxa"/>
              <w:bottom w:w="22" w:type="dxa"/>
              <w:right w:w="28" w:type="dxa"/>
            </w:tcMar>
          </w:tcPr>
          <w:p w:rsidRPr="006F2FC4" w:rsidR="0084290D" w:rsidRDefault="00CF5B93" w14:paraId="1153D488" w14:textId="77777777">
            <w:pPr>
              <w:pStyle w:val="p-table"/>
              <w:jc w:val="right"/>
              <w:rPr>
                <w:sz w:val="13"/>
                <w:szCs w:val="13"/>
              </w:rPr>
            </w:pPr>
            <w:r w:rsidRPr="006F2FC4">
              <w:rPr>
                <w:sz w:val="13"/>
                <w:szCs w:val="13"/>
              </w:rPr>
              <w:t>4.161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0D161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9160C90" w14:textId="77777777">
            <w:pPr>
              <w:pStyle w:val="p-table"/>
              <w:jc w:val="right"/>
              <w:rPr>
                <w:sz w:val="13"/>
                <w:szCs w:val="13"/>
              </w:rPr>
            </w:pPr>
            <w:r w:rsidRPr="006F2FC4">
              <w:rPr>
                <w:sz w:val="13"/>
                <w:szCs w:val="13"/>
              </w:rPr>
              <w:t>4.161</w:t>
            </w:r>
          </w:p>
        </w:tc>
        <w:tc>
          <w:tcPr>
            <w:tcW w:w="425" w:type="pct"/>
            <w:tcBorders>
              <w:bottom w:val="single" w:color="009EE0" w:sz="2" w:space="0"/>
            </w:tcBorders>
            <w:tcMar>
              <w:top w:w="22" w:type="dxa"/>
              <w:left w:w="28" w:type="dxa"/>
              <w:bottom w:w="22" w:type="dxa"/>
              <w:right w:w="28" w:type="dxa"/>
            </w:tcMar>
          </w:tcPr>
          <w:p w:rsidRPr="006F2FC4" w:rsidR="0084290D" w:rsidRDefault="00CF5B93" w14:paraId="2DECA25E" w14:textId="77777777">
            <w:pPr>
              <w:pStyle w:val="p-table"/>
              <w:jc w:val="right"/>
              <w:rPr>
                <w:sz w:val="13"/>
                <w:szCs w:val="13"/>
              </w:rPr>
            </w:pPr>
            <w:r w:rsidRPr="006F2FC4">
              <w:rPr>
                <w:sz w:val="13"/>
                <w:szCs w:val="13"/>
              </w:rPr>
              <w:t>1.178</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1DB082" w14:textId="77777777">
            <w:pPr>
              <w:pStyle w:val="p-table"/>
              <w:jc w:val="right"/>
              <w:rPr>
                <w:sz w:val="13"/>
                <w:szCs w:val="13"/>
              </w:rPr>
            </w:pPr>
            <w:r w:rsidRPr="006F2FC4">
              <w:rPr>
                <w:sz w:val="13"/>
                <w:szCs w:val="13"/>
              </w:rPr>
              <w:t>5.339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0096C8E" w14:textId="77777777">
            <w:pPr>
              <w:pStyle w:val="p-table"/>
              <w:jc w:val="right"/>
              <w:rPr>
                <w:sz w:val="13"/>
                <w:szCs w:val="13"/>
              </w:rPr>
            </w:pPr>
            <w:r w:rsidRPr="006F2FC4">
              <w:rPr>
                <w:sz w:val="13"/>
                <w:szCs w:val="13"/>
              </w:rPr>
              <w:t>709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4964AB1" w14:textId="77777777">
            <w:pPr>
              <w:pStyle w:val="p-table"/>
              <w:jc w:val="right"/>
              <w:rPr>
                <w:sz w:val="13"/>
                <w:szCs w:val="13"/>
              </w:rPr>
            </w:pPr>
            <w:r w:rsidRPr="006F2FC4">
              <w:rPr>
                <w:sz w:val="13"/>
                <w:szCs w:val="13"/>
              </w:rPr>
              <w:t>704</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BC509A" w14:textId="77777777">
            <w:pPr>
              <w:pStyle w:val="p-table"/>
              <w:jc w:val="right"/>
              <w:rPr>
                <w:sz w:val="13"/>
                <w:szCs w:val="13"/>
              </w:rPr>
            </w:pPr>
            <w:r w:rsidRPr="006F2FC4">
              <w:rPr>
                <w:sz w:val="13"/>
                <w:szCs w:val="13"/>
              </w:rPr>
              <w:t>569</w:t>
            </w:r>
          </w:p>
        </w:tc>
        <w:tc>
          <w:tcPr>
            <w:tcW w:w="425" w:type="pct"/>
            <w:tcBorders>
              <w:bottom w:val="single" w:color="009EE0" w:sz="2" w:space="0"/>
            </w:tcBorders>
            <w:tcMar>
              <w:top w:w="22" w:type="dxa"/>
              <w:left w:w="28" w:type="dxa"/>
              <w:bottom w:w="22" w:type="dxa"/>
              <w:right w:w="28" w:type="dxa"/>
            </w:tcMar>
          </w:tcPr>
          <w:p w:rsidRPr="006F2FC4" w:rsidR="0084290D" w:rsidRDefault="00CF5B93" w14:paraId="676CF7CA" w14:textId="77777777">
            <w:pPr>
              <w:pStyle w:val="p-table"/>
              <w:jc w:val="right"/>
              <w:rPr>
                <w:sz w:val="13"/>
                <w:szCs w:val="13"/>
              </w:rPr>
            </w:pPr>
            <w:r w:rsidRPr="006F2FC4">
              <w:rPr>
                <w:sz w:val="13"/>
                <w:szCs w:val="13"/>
              </w:rPr>
              <w:t>‒ 59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6AE409" w14:textId="77777777">
            <w:pPr>
              <w:pStyle w:val="p-table"/>
              <w:jc w:val="right"/>
              <w:rPr>
                <w:sz w:val="13"/>
                <w:szCs w:val="13"/>
              </w:rPr>
            </w:pPr>
            <w:r w:rsidRPr="006F2FC4">
              <w:rPr>
                <w:sz w:val="13"/>
                <w:szCs w:val="13"/>
              </w:rPr>
              <w:t>24.086</w:t>
            </w:r>
          </w:p>
        </w:tc>
      </w:tr>
      <w:tr w:rsidR="0084290D" w:rsidTr="007433BE" w14:paraId="4C434A38" w14:textId="77777777">
        <w:tc>
          <w:tcPr>
            <w:tcW w:w="800" w:type="pct"/>
            <w:tcBorders>
              <w:bottom w:val="single" w:color="009EE0" w:sz="2" w:space="0"/>
            </w:tcBorders>
            <w:tcMar>
              <w:top w:w="22" w:type="dxa"/>
              <w:bottom w:w="22" w:type="dxa"/>
              <w:right w:w="28" w:type="dxa"/>
            </w:tcMar>
          </w:tcPr>
          <w:p w:rsidRPr="006F2FC4" w:rsidR="0084290D" w:rsidRDefault="0084290D" w14:paraId="1265284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DC8114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F4B9B9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29C148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8CBFC0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491280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FB8B1C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B895CC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FB9730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87E652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3FB56F2" w14:textId="77777777">
            <w:pPr>
              <w:pStyle w:val="p-table"/>
              <w:rPr>
                <w:sz w:val="13"/>
                <w:szCs w:val="13"/>
              </w:rPr>
            </w:pPr>
          </w:p>
        </w:tc>
      </w:tr>
      <w:tr w:rsidR="0084290D" w:rsidTr="007433BE" w14:paraId="4BFC5626" w14:textId="77777777">
        <w:tc>
          <w:tcPr>
            <w:tcW w:w="800" w:type="pct"/>
            <w:tcBorders>
              <w:bottom w:val="single" w:color="009EE0" w:sz="2" w:space="0"/>
            </w:tcBorders>
            <w:tcMar>
              <w:top w:w="22" w:type="dxa"/>
              <w:bottom w:w="22" w:type="dxa"/>
              <w:right w:w="28" w:type="dxa"/>
            </w:tcMar>
          </w:tcPr>
          <w:p w:rsidRPr="006F2FC4" w:rsidR="0084290D" w:rsidRDefault="00CF5B93" w14:paraId="4C832B0C" w14:textId="77777777">
            <w:pPr>
              <w:pStyle w:val="p-table"/>
              <w:rPr>
                <w:sz w:val="13"/>
                <w:szCs w:val="13"/>
              </w:rPr>
            </w:pPr>
            <w:r w:rsidRPr="006F2FC4">
              <w:rPr>
                <w:b/>
                <w:sz w:val="13"/>
                <w:szCs w:val="13"/>
              </w:rPr>
              <w:t>(2) Programma-uitgaven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F1749FE" w14:textId="77777777">
            <w:pPr>
              <w:pStyle w:val="p-table"/>
              <w:jc w:val="right"/>
              <w:rPr>
                <w:sz w:val="13"/>
                <w:szCs w:val="13"/>
              </w:rPr>
            </w:pPr>
            <w:r w:rsidRPr="006F2FC4">
              <w:rPr>
                <w:b/>
                <w:sz w:val="13"/>
                <w:szCs w:val="13"/>
              </w:rPr>
              <w:t>291.099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7E7EED"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D801EB" w14:textId="77777777">
            <w:pPr>
              <w:pStyle w:val="p-table"/>
              <w:jc w:val="right"/>
              <w:rPr>
                <w:sz w:val="13"/>
                <w:szCs w:val="13"/>
              </w:rPr>
            </w:pPr>
            <w:r w:rsidRPr="006F2FC4">
              <w:rPr>
                <w:b/>
                <w:sz w:val="13"/>
                <w:szCs w:val="13"/>
              </w:rPr>
              <w:t>291.099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FCE7A93" w14:textId="77777777">
            <w:pPr>
              <w:pStyle w:val="p-table"/>
              <w:jc w:val="right"/>
              <w:rPr>
                <w:sz w:val="13"/>
                <w:szCs w:val="13"/>
              </w:rPr>
            </w:pPr>
            <w:r w:rsidRPr="006F2FC4">
              <w:rPr>
                <w:b/>
                <w:sz w:val="13"/>
                <w:szCs w:val="13"/>
              </w:rPr>
              <w:t>25.634</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4129F3" w14:textId="77777777">
            <w:pPr>
              <w:pStyle w:val="p-table"/>
              <w:jc w:val="right"/>
              <w:rPr>
                <w:sz w:val="13"/>
                <w:szCs w:val="13"/>
              </w:rPr>
            </w:pPr>
            <w:r w:rsidRPr="006F2FC4">
              <w:rPr>
                <w:b/>
                <w:sz w:val="13"/>
                <w:szCs w:val="13"/>
              </w:rPr>
              <w:t>316.733</w:t>
            </w:r>
          </w:p>
        </w:tc>
        <w:tc>
          <w:tcPr>
            <w:tcW w:w="425" w:type="pct"/>
            <w:tcBorders>
              <w:bottom w:val="single" w:color="009EE0" w:sz="2" w:space="0"/>
            </w:tcBorders>
            <w:tcMar>
              <w:top w:w="22" w:type="dxa"/>
              <w:left w:w="28" w:type="dxa"/>
              <w:bottom w:w="22" w:type="dxa"/>
              <w:right w:w="28" w:type="dxa"/>
            </w:tcMar>
          </w:tcPr>
          <w:p w:rsidRPr="006F2FC4" w:rsidR="0084290D" w:rsidRDefault="00CF5B93" w14:paraId="11F3333C" w14:textId="77777777">
            <w:pPr>
              <w:pStyle w:val="p-table"/>
              <w:jc w:val="right"/>
              <w:rPr>
                <w:sz w:val="13"/>
                <w:szCs w:val="13"/>
              </w:rPr>
            </w:pPr>
            <w:r w:rsidRPr="006F2FC4">
              <w:rPr>
                <w:b/>
                <w:sz w:val="13"/>
                <w:szCs w:val="13"/>
              </w:rPr>
              <w:t>78.835</w:t>
            </w:r>
          </w:p>
        </w:tc>
        <w:tc>
          <w:tcPr>
            <w:tcW w:w="425" w:type="pct"/>
            <w:tcBorders>
              <w:bottom w:val="single" w:color="009EE0" w:sz="2" w:space="0"/>
            </w:tcBorders>
            <w:tcMar>
              <w:top w:w="22" w:type="dxa"/>
              <w:left w:w="28" w:type="dxa"/>
              <w:bottom w:w="22" w:type="dxa"/>
              <w:right w:w="28" w:type="dxa"/>
            </w:tcMar>
          </w:tcPr>
          <w:p w:rsidRPr="006F2FC4" w:rsidR="0084290D" w:rsidRDefault="00CF5B93" w14:paraId="3A01441D" w14:textId="77777777">
            <w:pPr>
              <w:pStyle w:val="p-table"/>
              <w:jc w:val="right"/>
              <w:rPr>
                <w:sz w:val="13"/>
                <w:szCs w:val="13"/>
              </w:rPr>
            </w:pPr>
            <w:r w:rsidRPr="006F2FC4">
              <w:rPr>
                <w:b/>
                <w:sz w:val="13"/>
                <w:szCs w:val="13"/>
              </w:rPr>
              <w:t>49.892</w:t>
            </w:r>
          </w:p>
        </w:tc>
        <w:tc>
          <w:tcPr>
            <w:tcW w:w="425" w:type="pct"/>
            <w:tcBorders>
              <w:bottom w:val="single" w:color="009EE0" w:sz="2" w:space="0"/>
            </w:tcBorders>
            <w:tcMar>
              <w:top w:w="22" w:type="dxa"/>
              <w:left w:w="28" w:type="dxa"/>
              <w:bottom w:w="22" w:type="dxa"/>
              <w:right w:w="28" w:type="dxa"/>
            </w:tcMar>
          </w:tcPr>
          <w:p w:rsidRPr="006F2FC4" w:rsidR="0084290D" w:rsidRDefault="00CF5B93" w14:paraId="5D9ED2AB" w14:textId="77777777">
            <w:pPr>
              <w:pStyle w:val="p-table"/>
              <w:jc w:val="right"/>
              <w:rPr>
                <w:sz w:val="13"/>
                <w:szCs w:val="13"/>
              </w:rPr>
            </w:pPr>
            <w:r w:rsidRPr="006F2FC4">
              <w:rPr>
                <w:b/>
                <w:sz w:val="13"/>
                <w:szCs w:val="13"/>
              </w:rPr>
              <w:t>51.739</w:t>
            </w:r>
          </w:p>
        </w:tc>
        <w:tc>
          <w:tcPr>
            <w:tcW w:w="425" w:type="pct"/>
            <w:tcBorders>
              <w:bottom w:val="single" w:color="009EE0" w:sz="2" w:space="0"/>
            </w:tcBorders>
            <w:tcMar>
              <w:top w:w="22" w:type="dxa"/>
              <w:left w:w="28" w:type="dxa"/>
              <w:bottom w:w="22" w:type="dxa"/>
              <w:right w:w="28" w:type="dxa"/>
            </w:tcMar>
          </w:tcPr>
          <w:p w:rsidRPr="006F2FC4" w:rsidR="0084290D" w:rsidRDefault="00CF5B93" w14:paraId="3104C490" w14:textId="77777777">
            <w:pPr>
              <w:pStyle w:val="p-table"/>
              <w:jc w:val="right"/>
              <w:rPr>
                <w:sz w:val="13"/>
                <w:szCs w:val="13"/>
              </w:rPr>
            </w:pPr>
            <w:r w:rsidRPr="006F2FC4">
              <w:rPr>
                <w:b/>
                <w:sz w:val="13"/>
                <w:szCs w:val="13"/>
              </w:rPr>
              <w:t>36.791</w:t>
            </w:r>
          </w:p>
        </w:tc>
        <w:tc>
          <w:tcPr>
            <w:tcW w:w="425" w:type="pct"/>
            <w:tcBorders>
              <w:bottom w:val="single" w:color="009EE0" w:sz="2" w:space="0"/>
            </w:tcBorders>
            <w:tcMar>
              <w:top w:w="22" w:type="dxa"/>
              <w:left w:w="28" w:type="dxa"/>
              <w:bottom w:w="22" w:type="dxa"/>
              <w:right w:w="28" w:type="dxa"/>
            </w:tcMar>
          </w:tcPr>
          <w:p w:rsidRPr="006F2FC4" w:rsidR="0084290D" w:rsidRDefault="00CF5B93" w14:paraId="1EF58502" w14:textId="77777777">
            <w:pPr>
              <w:pStyle w:val="p-table"/>
              <w:jc w:val="right"/>
              <w:rPr>
                <w:sz w:val="13"/>
                <w:szCs w:val="13"/>
              </w:rPr>
            </w:pPr>
            <w:r w:rsidRPr="006F2FC4">
              <w:rPr>
                <w:b/>
                <w:sz w:val="13"/>
                <w:szCs w:val="13"/>
              </w:rPr>
              <w:t>228.104</w:t>
            </w:r>
          </w:p>
        </w:tc>
      </w:tr>
      <w:tr w:rsidR="0084290D" w:rsidTr="007433BE" w14:paraId="4E9A223B" w14:textId="77777777">
        <w:tc>
          <w:tcPr>
            <w:tcW w:w="800" w:type="pct"/>
            <w:tcBorders>
              <w:bottom w:val="single" w:color="009EE0" w:sz="2" w:space="0"/>
            </w:tcBorders>
            <w:tcMar>
              <w:top w:w="22" w:type="dxa"/>
              <w:bottom w:w="22" w:type="dxa"/>
              <w:right w:w="28" w:type="dxa"/>
            </w:tcMar>
          </w:tcPr>
          <w:p w:rsidRPr="006F2FC4" w:rsidR="0084290D" w:rsidRDefault="0084290D" w14:paraId="2A81C10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ED6FF7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9141F0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3F60C8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14A91F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4CEC08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ABC779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B44F4E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F75522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2DEBB8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5CC02F5" w14:textId="77777777">
            <w:pPr>
              <w:pStyle w:val="p-table"/>
              <w:rPr>
                <w:sz w:val="13"/>
                <w:szCs w:val="13"/>
              </w:rPr>
            </w:pPr>
          </w:p>
        </w:tc>
      </w:tr>
      <w:tr w:rsidR="0084290D" w:rsidTr="007433BE" w14:paraId="111676CB" w14:textId="77777777">
        <w:tc>
          <w:tcPr>
            <w:tcW w:w="800" w:type="pct"/>
            <w:tcBorders>
              <w:bottom w:val="single" w:color="009EE0" w:sz="2" w:space="0"/>
            </w:tcBorders>
            <w:tcMar>
              <w:top w:w="22" w:type="dxa"/>
              <w:bottom w:w="22" w:type="dxa"/>
              <w:right w:w="28" w:type="dxa"/>
            </w:tcMar>
          </w:tcPr>
          <w:p w:rsidRPr="006F2FC4" w:rsidR="0084290D" w:rsidRDefault="00CF5B93" w14:paraId="0A20183D" w14:textId="77777777">
            <w:pPr>
              <w:pStyle w:val="p-table"/>
              <w:rPr>
                <w:sz w:val="13"/>
                <w:szCs w:val="13"/>
              </w:rPr>
            </w:pPr>
            <w:r w:rsidRPr="006F2FC4">
              <w:rPr>
                <w:b/>
                <w:sz w:val="13"/>
                <w:szCs w:val="13"/>
              </w:rPr>
              <w:t>Bijdrage aan ZBO's/RWT's</w:t>
            </w:r>
          </w:p>
        </w:tc>
        <w:tc>
          <w:tcPr>
            <w:tcW w:w="425" w:type="pct"/>
            <w:tcBorders>
              <w:bottom w:val="single" w:color="009EE0" w:sz="2" w:space="0"/>
            </w:tcBorders>
            <w:tcMar>
              <w:top w:w="22" w:type="dxa"/>
              <w:left w:w="28" w:type="dxa"/>
              <w:bottom w:w="22" w:type="dxa"/>
              <w:right w:w="28" w:type="dxa"/>
            </w:tcMar>
          </w:tcPr>
          <w:p w:rsidRPr="006F2FC4" w:rsidR="0084290D" w:rsidRDefault="00CF5B93" w14:paraId="0C4E97BB" w14:textId="77777777">
            <w:pPr>
              <w:pStyle w:val="p-table"/>
              <w:jc w:val="right"/>
              <w:rPr>
                <w:sz w:val="13"/>
                <w:szCs w:val="13"/>
              </w:rPr>
            </w:pPr>
            <w:r w:rsidRPr="006F2FC4">
              <w:rPr>
                <w:b/>
                <w:sz w:val="13"/>
                <w:szCs w:val="13"/>
              </w:rPr>
              <w:t>513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1FA3E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E0570B" w14:textId="77777777">
            <w:pPr>
              <w:pStyle w:val="p-table"/>
              <w:jc w:val="right"/>
              <w:rPr>
                <w:sz w:val="13"/>
                <w:szCs w:val="13"/>
              </w:rPr>
            </w:pPr>
            <w:r w:rsidRPr="006F2FC4">
              <w:rPr>
                <w:b/>
                <w:sz w:val="13"/>
                <w:szCs w:val="13"/>
              </w:rPr>
              <w:t>513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5F7837AE" w14:textId="77777777">
            <w:pPr>
              <w:pStyle w:val="p-table"/>
              <w:jc w:val="right"/>
              <w:rPr>
                <w:sz w:val="13"/>
                <w:szCs w:val="13"/>
              </w:rPr>
            </w:pPr>
            <w:r w:rsidRPr="006F2FC4">
              <w:rPr>
                <w:b/>
                <w:sz w:val="13"/>
                <w:szCs w:val="13"/>
              </w:rPr>
              <w:t>1.962</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FD03A0" w14:textId="77777777">
            <w:pPr>
              <w:pStyle w:val="p-table"/>
              <w:jc w:val="right"/>
              <w:rPr>
                <w:sz w:val="13"/>
                <w:szCs w:val="13"/>
              </w:rPr>
            </w:pPr>
            <w:r w:rsidRPr="006F2FC4">
              <w:rPr>
                <w:b/>
                <w:sz w:val="13"/>
                <w:szCs w:val="13"/>
              </w:rPr>
              <w:t>2.475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280DCCF" w14:textId="77777777">
            <w:pPr>
              <w:pStyle w:val="p-table"/>
              <w:jc w:val="right"/>
              <w:rPr>
                <w:sz w:val="13"/>
                <w:szCs w:val="13"/>
              </w:rPr>
            </w:pPr>
            <w:r w:rsidRPr="006F2FC4">
              <w:rPr>
                <w:b/>
                <w:sz w:val="13"/>
                <w:szCs w:val="13"/>
              </w:rPr>
              <w:t>1.916</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A38FD9" w14:textId="77777777">
            <w:pPr>
              <w:pStyle w:val="p-table"/>
              <w:jc w:val="right"/>
              <w:rPr>
                <w:sz w:val="13"/>
                <w:szCs w:val="13"/>
              </w:rPr>
            </w:pPr>
            <w:r w:rsidRPr="006F2FC4">
              <w:rPr>
                <w:b/>
                <w:sz w:val="13"/>
                <w:szCs w:val="13"/>
              </w:rPr>
              <w:t>1.913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1D2367A" w14:textId="77777777">
            <w:pPr>
              <w:pStyle w:val="p-table"/>
              <w:jc w:val="right"/>
              <w:rPr>
                <w:sz w:val="13"/>
                <w:szCs w:val="13"/>
              </w:rPr>
            </w:pPr>
            <w:r w:rsidRPr="006F2FC4">
              <w:rPr>
                <w:b/>
                <w:sz w:val="13"/>
                <w:szCs w:val="13"/>
              </w:rPr>
              <w:t>1.899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80AB1A" w14:textId="77777777">
            <w:pPr>
              <w:pStyle w:val="p-table"/>
              <w:jc w:val="right"/>
              <w:rPr>
                <w:sz w:val="13"/>
                <w:szCs w:val="13"/>
              </w:rPr>
            </w:pPr>
            <w:r w:rsidRPr="006F2FC4">
              <w:rPr>
                <w:b/>
                <w:sz w:val="13"/>
                <w:szCs w:val="13"/>
              </w:rPr>
              <w:t>1.881</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30FAE9" w14:textId="77777777">
            <w:pPr>
              <w:pStyle w:val="p-table"/>
              <w:jc w:val="right"/>
              <w:rPr>
                <w:sz w:val="13"/>
                <w:szCs w:val="13"/>
              </w:rPr>
            </w:pPr>
            <w:r w:rsidRPr="006F2FC4">
              <w:rPr>
                <w:b/>
                <w:sz w:val="13"/>
                <w:szCs w:val="13"/>
              </w:rPr>
              <w:t>2.393</w:t>
            </w:r>
          </w:p>
        </w:tc>
      </w:tr>
      <w:tr w:rsidR="0084290D" w:rsidTr="007433BE" w14:paraId="128677FA" w14:textId="77777777">
        <w:tc>
          <w:tcPr>
            <w:tcW w:w="800" w:type="pct"/>
            <w:tcBorders>
              <w:bottom w:val="single" w:color="009EE0" w:sz="2" w:space="0"/>
            </w:tcBorders>
            <w:tcMar>
              <w:top w:w="22" w:type="dxa"/>
              <w:bottom w:w="22" w:type="dxa"/>
              <w:right w:w="28" w:type="dxa"/>
            </w:tcMar>
          </w:tcPr>
          <w:p w:rsidRPr="006F2FC4" w:rsidR="0084290D" w:rsidRDefault="00CF5B93" w14:paraId="25D7FB6D" w14:textId="77777777">
            <w:pPr>
              <w:pStyle w:val="p-table"/>
              <w:rPr>
                <w:sz w:val="13"/>
                <w:szCs w:val="13"/>
              </w:rPr>
            </w:pPr>
            <w:r w:rsidRPr="006F2FC4">
              <w:rPr>
                <w:sz w:val="13"/>
                <w:szCs w:val="13"/>
              </w:rPr>
              <w:t>Overige bijdrage ZBO's/RWT's</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D5487B" w14:textId="77777777">
            <w:pPr>
              <w:pStyle w:val="p-table"/>
              <w:jc w:val="right"/>
              <w:rPr>
                <w:sz w:val="13"/>
                <w:szCs w:val="13"/>
              </w:rPr>
            </w:pPr>
            <w:r w:rsidRPr="006F2FC4">
              <w:rPr>
                <w:sz w:val="13"/>
                <w:szCs w:val="13"/>
              </w:rPr>
              <w:t>513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4A864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0D30D8" w14:textId="77777777">
            <w:pPr>
              <w:pStyle w:val="p-table"/>
              <w:jc w:val="right"/>
              <w:rPr>
                <w:sz w:val="13"/>
                <w:szCs w:val="13"/>
              </w:rPr>
            </w:pPr>
            <w:r w:rsidRPr="006F2FC4">
              <w:rPr>
                <w:sz w:val="13"/>
                <w:szCs w:val="13"/>
              </w:rPr>
              <w:t>513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17C860" w14:textId="77777777">
            <w:pPr>
              <w:pStyle w:val="p-table"/>
              <w:jc w:val="right"/>
              <w:rPr>
                <w:sz w:val="13"/>
                <w:szCs w:val="13"/>
              </w:rPr>
            </w:pPr>
            <w:r w:rsidRPr="006F2FC4">
              <w:rPr>
                <w:sz w:val="13"/>
                <w:szCs w:val="13"/>
              </w:rPr>
              <w:t>1.962</w:t>
            </w:r>
          </w:p>
        </w:tc>
        <w:tc>
          <w:tcPr>
            <w:tcW w:w="425" w:type="pct"/>
            <w:tcBorders>
              <w:bottom w:val="single" w:color="009EE0" w:sz="2" w:space="0"/>
            </w:tcBorders>
            <w:tcMar>
              <w:top w:w="22" w:type="dxa"/>
              <w:left w:w="28" w:type="dxa"/>
              <w:bottom w:w="22" w:type="dxa"/>
              <w:right w:w="28" w:type="dxa"/>
            </w:tcMar>
          </w:tcPr>
          <w:p w:rsidRPr="006F2FC4" w:rsidR="0084290D" w:rsidRDefault="00CF5B93" w14:paraId="506EF905" w14:textId="77777777">
            <w:pPr>
              <w:pStyle w:val="p-table"/>
              <w:jc w:val="right"/>
              <w:rPr>
                <w:sz w:val="13"/>
                <w:szCs w:val="13"/>
              </w:rPr>
            </w:pPr>
            <w:r w:rsidRPr="006F2FC4">
              <w:rPr>
                <w:sz w:val="13"/>
                <w:szCs w:val="13"/>
              </w:rPr>
              <w:t>2.475</w:t>
            </w:r>
          </w:p>
        </w:tc>
        <w:tc>
          <w:tcPr>
            <w:tcW w:w="425" w:type="pct"/>
            <w:tcBorders>
              <w:bottom w:val="single" w:color="009EE0" w:sz="2" w:space="0"/>
            </w:tcBorders>
            <w:tcMar>
              <w:top w:w="22" w:type="dxa"/>
              <w:left w:w="28" w:type="dxa"/>
              <w:bottom w:w="22" w:type="dxa"/>
              <w:right w:w="28" w:type="dxa"/>
            </w:tcMar>
          </w:tcPr>
          <w:p w:rsidRPr="006F2FC4" w:rsidR="0084290D" w:rsidRDefault="00CF5B93" w14:paraId="4C540F1B" w14:textId="77777777">
            <w:pPr>
              <w:pStyle w:val="p-table"/>
              <w:jc w:val="right"/>
              <w:rPr>
                <w:sz w:val="13"/>
                <w:szCs w:val="13"/>
              </w:rPr>
            </w:pPr>
            <w:r w:rsidRPr="006F2FC4">
              <w:rPr>
                <w:sz w:val="13"/>
                <w:szCs w:val="13"/>
              </w:rPr>
              <w:t>1.916</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D453ED" w14:textId="77777777">
            <w:pPr>
              <w:pStyle w:val="p-table"/>
              <w:jc w:val="right"/>
              <w:rPr>
                <w:sz w:val="13"/>
                <w:szCs w:val="13"/>
              </w:rPr>
            </w:pPr>
            <w:r w:rsidRPr="006F2FC4">
              <w:rPr>
                <w:sz w:val="13"/>
                <w:szCs w:val="13"/>
              </w:rPr>
              <w:t>1.913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1FA49220" w14:textId="77777777">
            <w:pPr>
              <w:pStyle w:val="p-table"/>
              <w:jc w:val="right"/>
              <w:rPr>
                <w:sz w:val="13"/>
                <w:szCs w:val="13"/>
              </w:rPr>
            </w:pPr>
            <w:r w:rsidRPr="006F2FC4">
              <w:rPr>
                <w:sz w:val="13"/>
                <w:szCs w:val="13"/>
              </w:rPr>
              <w:t>1.899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86A61A" w14:textId="77777777">
            <w:pPr>
              <w:pStyle w:val="p-table"/>
              <w:jc w:val="right"/>
              <w:rPr>
                <w:sz w:val="13"/>
                <w:szCs w:val="13"/>
              </w:rPr>
            </w:pPr>
            <w:r w:rsidRPr="006F2FC4">
              <w:rPr>
                <w:sz w:val="13"/>
                <w:szCs w:val="13"/>
              </w:rPr>
              <w:t>1.881</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9EEA11" w14:textId="77777777">
            <w:pPr>
              <w:pStyle w:val="p-table"/>
              <w:jc w:val="right"/>
              <w:rPr>
                <w:sz w:val="13"/>
                <w:szCs w:val="13"/>
              </w:rPr>
            </w:pPr>
            <w:r w:rsidRPr="006F2FC4">
              <w:rPr>
                <w:sz w:val="13"/>
                <w:szCs w:val="13"/>
              </w:rPr>
              <w:t>2.393</w:t>
            </w:r>
          </w:p>
        </w:tc>
      </w:tr>
      <w:tr w:rsidR="0084290D" w:rsidTr="007433BE" w14:paraId="4AE8DCC0" w14:textId="77777777">
        <w:tc>
          <w:tcPr>
            <w:tcW w:w="800" w:type="pct"/>
            <w:tcBorders>
              <w:bottom w:val="single" w:color="009EE0" w:sz="2" w:space="0"/>
            </w:tcBorders>
            <w:tcMar>
              <w:top w:w="22" w:type="dxa"/>
              <w:bottom w:w="22" w:type="dxa"/>
              <w:right w:w="28" w:type="dxa"/>
            </w:tcMar>
          </w:tcPr>
          <w:p w:rsidRPr="006F2FC4" w:rsidR="0084290D" w:rsidRDefault="0084290D" w14:paraId="4BB5779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BB946B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DDB1ED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A3C078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BFADBC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1CE518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31AD25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704C1E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C8E9FE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698CEC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F41D081" w14:textId="77777777">
            <w:pPr>
              <w:pStyle w:val="p-table"/>
              <w:rPr>
                <w:sz w:val="13"/>
                <w:szCs w:val="13"/>
              </w:rPr>
            </w:pPr>
          </w:p>
        </w:tc>
      </w:tr>
      <w:tr w:rsidR="0084290D" w:rsidTr="007433BE" w14:paraId="08358801" w14:textId="77777777">
        <w:tc>
          <w:tcPr>
            <w:tcW w:w="800" w:type="pct"/>
            <w:tcBorders>
              <w:bottom w:val="single" w:color="009EE0" w:sz="2" w:space="0"/>
            </w:tcBorders>
            <w:tcMar>
              <w:top w:w="22" w:type="dxa"/>
              <w:bottom w:w="22" w:type="dxa"/>
              <w:right w:w="28" w:type="dxa"/>
            </w:tcMar>
          </w:tcPr>
          <w:p w:rsidRPr="006F2FC4" w:rsidR="0084290D" w:rsidRDefault="00CF5B93" w14:paraId="62697D33" w14:textId="77777777">
            <w:pPr>
              <w:pStyle w:val="p-table"/>
              <w:rPr>
                <w:sz w:val="13"/>
                <w:szCs w:val="13"/>
              </w:rPr>
            </w:pPr>
            <w:r w:rsidRPr="006F2FC4">
              <w:rPr>
                <w:b/>
                <w:sz w:val="13"/>
                <w:szCs w:val="13"/>
              </w:rPr>
              <w:t>Bijdrage aan (inter-)nationale organisaties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03F50A5D" w14:textId="77777777">
            <w:pPr>
              <w:pStyle w:val="p-table"/>
              <w:jc w:val="right"/>
              <w:rPr>
                <w:sz w:val="13"/>
                <w:szCs w:val="13"/>
              </w:rPr>
            </w:pPr>
            <w:r w:rsidRPr="006F2FC4">
              <w:rPr>
                <w:b/>
                <w:sz w:val="13"/>
                <w:szCs w:val="13"/>
              </w:rPr>
              <w:t>199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9B366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F83C69E" w14:textId="77777777">
            <w:pPr>
              <w:pStyle w:val="p-table"/>
              <w:jc w:val="right"/>
              <w:rPr>
                <w:sz w:val="13"/>
                <w:szCs w:val="13"/>
              </w:rPr>
            </w:pPr>
            <w:r w:rsidRPr="006F2FC4">
              <w:rPr>
                <w:b/>
                <w:sz w:val="13"/>
                <w:szCs w:val="13"/>
              </w:rPr>
              <w:t>199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D677F20" w14:textId="77777777">
            <w:pPr>
              <w:pStyle w:val="p-table"/>
              <w:jc w:val="right"/>
              <w:rPr>
                <w:sz w:val="13"/>
                <w:szCs w:val="13"/>
              </w:rPr>
            </w:pPr>
            <w:r w:rsidRPr="006F2FC4">
              <w:rPr>
                <w:b/>
                <w:sz w:val="13"/>
                <w:szCs w:val="13"/>
              </w:rPr>
              <w:t>46</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84E5C2" w14:textId="77777777">
            <w:pPr>
              <w:pStyle w:val="p-table"/>
              <w:jc w:val="right"/>
              <w:rPr>
                <w:sz w:val="13"/>
                <w:szCs w:val="13"/>
              </w:rPr>
            </w:pPr>
            <w:r w:rsidRPr="006F2FC4">
              <w:rPr>
                <w:b/>
                <w:sz w:val="13"/>
                <w:szCs w:val="13"/>
              </w:rPr>
              <w:t>245</w:t>
            </w:r>
          </w:p>
        </w:tc>
        <w:tc>
          <w:tcPr>
            <w:tcW w:w="425" w:type="pct"/>
            <w:tcBorders>
              <w:bottom w:val="single" w:color="009EE0" w:sz="2" w:space="0"/>
            </w:tcBorders>
            <w:tcMar>
              <w:top w:w="22" w:type="dxa"/>
              <w:left w:w="28" w:type="dxa"/>
              <w:bottom w:w="22" w:type="dxa"/>
              <w:right w:w="28" w:type="dxa"/>
            </w:tcMar>
          </w:tcPr>
          <w:p w:rsidRPr="006F2FC4" w:rsidR="0084290D" w:rsidRDefault="00CF5B93" w14:paraId="136F3C57"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D6A888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059D3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6CCA2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931FBD" w14:textId="77777777">
            <w:pPr>
              <w:pStyle w:val="p-table"/>
              <w:jc w:val="right"/>
              <w:rPr>
                <w:sz w:val="13"/>
                <w:szCs w:val="13"/>
              </w:rPr>
            </w:pPr>
            <w:r w:rsidRPr="006F2FC4">
              <w:rPr>
                <w:b/>
                <w:sz w:val="13"/>
                <w:szCs w:val="13"/>
              </w:rPr>
              <w:t>199</w:t>
            </w:r>
          </w:p>
        </w:tc>
      </w:tr>
      <w:tr w:rsidR="0084290D" w:rsidTr="007433BE" w14:paraId="0B2FA534" w14:textId="77777777">
        <w:tc>
          <w:tcPr>
            <w:tcW w:w="800" w:type="pct"/>
            <w:tcBorders>
              <w:bottom w:val="single" w:color="009EE0" w:sz="2" w:space="0"/>
            </w:tcBorders>
            <w:tcMar>
              <w:top w:w="22" w:type="dxa"/>
              <w:bottom w:w="22" w:type="dxa"/>
              <w:right w:w="28" w:type="dxa"/>
            </w:tcMar>
          </w:tcPr>
          <w:p w:rsidRPr="006F2FC4" w:rsidR="0084290D" w:rsidRDefault="00CF5B93" w14:paraId="08AF48E3" w14:textId="77777777">
            <w:pPr>
              <w:pStyle w:val="p-table"/>
              <w:rPr>
                <w:sz w:val="13"/>
                <w:szCs w:val="13"/>
              </w:rPr>
            </w:pPr>
            <w:r w:rsidRPr="006F2FC4">
              <w:rPr>
                <w:sz w:val="13"/>
                <w:szCs w:val="13"/>
              </w:rPr>
              <w:t>Wereld Douane Organisatie</w:t>
            </w:r>
          </w:p>
        </w:tc>
        <w:tc>
          <w:tcPr>
            <w:tcW w:w="425" w:type="pct"/>
            <w:tcBorders>
              <w:bottom w:val="single" w:color="009EE0" w:sz="2" w:space="0"/>
            </w:tcBorders>
            <w:tcMar>
              <w:top w:w="22" w:type="dxa"/>
              <w:left w:w="28" w:type="dxa"/>
              <w:bottom w:w="22" w:type="dxa"/>
              <w:right w:w="28" w:type="dxa"/>
            </w:tcMar>
          </w:tcPr>
          <w:p w:rsidRPr="006F2FC4" w:rsidR="0084290D" w:rsidRDefault="00CF5B93" w14:paraId="478BDA9F" w14:textId="77777777">
            <w:pPr>
              <w:pStyle w:val="p-table"/>
              <w:jc w:val="right"/>
              <w:rPr>
                <w:sz w:val="13"/>
                <w:szCs w:val="13"/>
              </w:rPr>
            </w:pPr>
            <w:r w:rsidRPr="006F2FC4">
              <w:rPr>
                <w:sz w:val="13"/>
                <w:szCs w:val="13"/>
              </w:rPr>
              <w:t>199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4EDB6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B43EFDB" w14:textId="77777777">
            <w:pPr>
              <w:pStyle w:val="p-table"/>
              <w:jc w:val="right"/>
              <w:rPr>
                <w:sz w:val="13"/>
                <w:szCs w:val="13"/>
              </w:rPr>
            </w:pPr>
            <w:r w:rsidRPr="006F2FC4">
              <w:rPr>
                <w:sz w:val="13"/>
                <w:szCs w:val="13"/>
              </w:rPr>
              <w:t>199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7855A4E8" w14:textId="77777777">
            <w:pPr>
              <w:pStyle w:val="p-table"/>
              <w:jc w:val="right"/>
              <w:rPr>
                <w:sz w:val="13"/>
                <w:szCs w:val="13"/>
              </w:rPr>
            </w:pPr>
            <w:r w:rsidRPr="006F2FC4">
              <w:rPr>
                <w:sz w:val="13"/>
                <w:szCs w:val="13"/>
              </w:rPr>
              <w:t>46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A45E55" w14:textId="77777777">
            <w:pPr>
              <w:pStyle w:val="p-table"/>
              <w:jc w:val="right"/>
              <w:rPr>
                <w:sz w:val="13"/>
                <w:szCs w:val="13"/>
              </w:rPr>
            </w:pPr>
            <w:r w:rsidRPr="006F2FC4">
              <w:rPr>
                <w:sz w:val="13"/>
                <w:szCs w:val="13"/>
              </w:rPr>
              <w:t>245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C394B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E2CB59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3EAFB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3E85EF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9109BE" w14:textId="77777777">
            <w:pPr>
              <w:pStyle w:val="p-table"/>
              <w:jc w:val="right"/>
              <w:rPr>
                <w:sz w:val="13"/>
                <w:szCs w:val="13"/>
              </w:rPr>
            </w:pPr>
            <w:r w:rsidRPr="006F2FC4">
              <w:rPr>
                <w:sz w:val="13"/>
                <w:szCs w:val="13"/>
              </w:rPr>
              <w:t>199</w:t>
            </w:r>
          </w:p>
        </w:tc>
      </w:tr>
      <w:tr w:rsidR="0084290D" w:rsidTr="007433BE" w14:paraId="1CD1F67F" w14:textId="77777777">
        <w:tc>
          <w:tcPr>
            <w:tcW w:w="800" w:type="pct"/>
            <w:tcBorders>
              <w:bottom w:val="single" w:color="009EE0" w:sz="2" w:space="0"/>
            </w:tcBorders>
            <w:tcMar>
              <w:top w:w="22" w:type="dxa"/>
              <w:bottom w:w="22" w:type="dxa"/>
              <w:right w:w="28" w:type="dxa"/>
            </w:tcMar>
          </w:tcPr>
          <w:p w:rsidRPr="006F2FC4" w:rsidR="0084290D" w:rsidRDefault="00CF5B93" w14:paraId="3DE173F0" w14:textId="77777777">
            <w:pPr>
              <w:pStyle w:val="p-table"/>
              <w:rPr>
                <w:sz w:val="13"/>
                <w:szCs w:val="13"/>
              </w:rPr>
            </w:pPr>
            <w:r w:rsidRPr="006F2FC4">
              <w:rPr>
                <w:sz w:val="13"/>
                <w:szCs w:val="13"/>
              </w:rPr>
              <w:t>Bijdragen vertragingsrente EU</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2992E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F69F0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63EF4C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425DF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1B085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1B11D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E88866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699E04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3E1E7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22D1A8" w14:textId="77777777">
            <w:pPr>
              <w:pStyle w:val="p-table"/>
              <w:jc w:val="right"/>
              <w:rPr>
                <w:sz w:val="13"/>
                <w:szCs w:val="13"/>
              </w:rPr>
            </w:pPr>
            <w:r w:rsidRPr="006F2FC4">
              <w:rPr>
                <w:sz w:val="13"/>
                <w:szCs w:val="13"/>
              </w:rPr>
              <w:t>0</w:t>
            </w:r>
          </w:p>
        </w:tc>
      </w:tr>
      <w:tr w:rsidR="0084290D" w:rsidTr="007433BE" w14:paraId="5F406741" w14:textId="77777777">
        <w:tc>
          <w:tcPr>
            <w:tcW w:w="800" w:type="pct"/>
            <w:tcBorders>
              <w:bottom w:val="single" w:color="009EE0" w:sz="2" w:space="0"/>
            </w:tcBorders>
            <w:tcMar>
              <w:top w:w="22" w:type="dxa"/>
              <w:bottom w:w="22" w:type="dxa"/>
              <w:right w:w="28" w:type="dxa"/>
            </w:tcMar>
          </w:tcPr>
          <w:p w:rsidRPr="006F2FC4" w:rsidR="0084290D" w:rsidRDefault="00CF5B93" w14:paraId="3DEA1F28" w14:textId="77777777">
            <w:pPr>
              <w:pStyle w:val="p-table"/>
              <w:rPr>
                <w:sz w:val="13"/>
                <w:szCs w:val="13"/>
              </w:rPr>
            </w:pPr>
            <w:r w:rsidRPr="006F2FC4">
              <w:rPr>
                <w:sz w:val="13"/>
                <w:szCs w:val="13"/>
              </w:rPr>
              <w:t>Bijdrage aan overige (inter)nationale organisaties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59BA242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092E0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3892A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15FA42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D2A4E6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0FA40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13C20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08917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2C252A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3E9E69A" w14:textId="77777777">
            <w:pPr>
              <w:pStyle w:val="p-table"/>
              <w:jc w:val="right"/>
              <w:rPr>
                <w:sz w:val="13"/>
                <w:szCs w:val="13"/>
              </w:rPr>
            </w:pPr>
            <w:r w:rsidRPr="006F2FC4">
              <w:rPr>
                <w:sz w:val="13"/>
                <w:szCs w:val="13"/>
              </w:rPr>
              <w:t>0</w:t>
            </w:r>
          </w:p>
        </w:tc>
      </w:tr>
      <w:tr w:rsidR="0084290D" w:rsidTr="007433BE" w14:paraId="76B28D61" w14:textId="77777777">
        <w:tc>
          <w:tcPr>
            <w:tcW w:w="800" w:type="pct"/>
            <w:tcBorders>
              <w:bottom w:val="single" w:color="009EE0" w:sz="2" w:space="0"/>
            </w:tcBorders>
            <w:tcMar>
              <w:top w:w="22" w:type="dxa"/>
              <w:bottom w:w="22" w:type="dxa"/>
              <w:right w:w="28" w:type="dxa"/>
            </w:tcMar>
          </w:tcPr>
          <w:p w:rsidRPr="006F2FC4" w:rsidR="0084290D" w:rsidRDefault="0084290D" w14:paraId="44C6032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B72CCA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E21D6F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340B9D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5264D8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979784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408312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951AA3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CFBB0B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EB605F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80F86C9" w14:textId="77777777">
            <w:pPr>
              <w:pStyle w:val="p-table"/>
              <w:rPr>
                <w:sz w:val="13"/>
                <w:szCs w:val="13"/>
              </w:rPr>
            </w:pPr>
          </w:p>
        </w:tc>
      </w:tr>
      <w:tr w:rsidR="0084290D" w:rsidTr="007433BE" w14:paraId="27AC657B" w14:textId="77777777">
        <w:tc>
          <w:tcPr>
            <w:tcW w:w="800" w:type="pct"/>
            <w:tcBorders>
              <w:bottom w:val="single" w:color="009EE0" w:sz="2" w:space="0"/>
            </w:tcBorders>
            <w:tcMar>
              <w:top w:w="22" w:type="dxa"/>
              <w:bottom w:w="22" w:type="dxa"/>
              <w:right w:w="28" w:type="dxa"/>
            </w:tcMar>
          </w:tcPr>
          <w:p w:rsidRPr="006F2FC4" w:rsidR="0084290D" w:rsidRDefault="00CF5B93" w14:paraId="3AE6C391" w14:textId="77777777">
            <w:pPr>
              <w:pStyle w:val="p-table"/>
              <w:rPr>
                <w:sz w:val="13"/>
                <w:szCs w:val="13"/>
              </w:rPr>
            </w:pPr>
            <w:r w:rsidRPr="006F2FC4">
              <w:rPr>
                <w:b/>
                <w:sz w:val="13"/>
                <w:szCs w:val="13"/>
              </w:rPr>
              <w:t>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41E958EF" w14:textId="77777777">
            <w:pPr>
              <w:pStyle w:val="p-table"/>
              <w:jc w:val="right"/>
              <w:rPr>
                <w:sz w:val="13"/>
                <w:szCs w:val="13"/>
              </w:rPr>
            </w:pPr>
            <w:r w:rsidRPr="006F2FC4">
              <w:rPr>
                <w:b/>
                <w:sz w:val="13"/>
                <w:szCs w:val="13"/>
              </w:rPr>
              <w:t>44.566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00598B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1BFD6A1" w14:textId="77777777">
            <w:pPr>
              <w:pStyle w:val="p-table"/>
              <w:jc w:val="right"/>
              <w:rPr>
                <w:sz w:val="13"/>
                <w:szCs w:val="13"/>
              </w:rPr>
            </w:pPr>
            <w:r w:rsidRPr="006F2FC4">
              <w:rPr>
                <w:b/>
                <w:sz w:val="13"/>
                <w:szCs w:val="13"/>
              </w:rPr>
              <w:t>44.566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99C2E5" w14:textId="77777777">
            <w:pPr>
              <w:pStyle w:val="p-table"/>
              <w:jc w:val="right"/>
              <w:rPr>
                <w:sz w:val="13"/>
                <w:szCs w:val="13"/>
              </w:rPr>
            </w:pPr>
            <w:r w:rsidRPr="006F2FC4">
              <w:rPr>
                <w:b/>
                <w:sz w:val="13"/>
                <w:szCs w:val="13"/>
              </w:rPr>
              <w:t>28.395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0D68DF5" w14:textId="77777777">
            <w:pPr>
              <w:pStyle w:val="p-table"/>
              <w:jc w:val="right"/>
              <w:rPr>
                <w:sz w:val="13"/>
                <w:szCs w:val="13"/>
              </w:rPr>
            </w:pPr>
            <w:r w:rsidRPr="006F2FC4">
              <w:rPr>
                <w:b/>
                <w:sz w:val="13"/>
                <w:szCs w:val="13"/>
              </w:rPr>
              <w:t>72.961</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109D69" w14:textId="77777777">
            <w:pPr>
              <w:pStyle w:val="p-table"/>
              <w:jc w:val="right"/>
              <w:rPr>
                <w:sz w:val="13"/>
                <w:szCs w:val="13"/>
              </w:rPr>
            </w:pPr>
            <w:r w:rsidRPr="006F2FC4">
              <w:rPr>
                <w:b/>
                <w:sz w:val="13"/>
                <w:szCs w:val="13"/>
              </w:rPr>
              <w:t>81.109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73A1D6" w14:textId="77777777">
            <w:pPr>
              <w:pStyle w:val="p-table"/>
              <w:jc w:val="right"/>
              <w:rPr>
                <w:sz w:val="13"/>
                <w:szCs w:val="13"/>
              </w:rPr>
            </w:pPr>
            <w:r w:rsidRPr="006F2FC4">
              <w:rPr>
                <w:b/>
                <w:sz w:val="13"/>
                <w:szCs w:val="13"/>
              </w:rPr>
              <w:t>51.590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1441C4" w14:textId="77777777">
            <w:pPr>
              <w:pStyle w:val="p-table"/>
              <w:jc w:val="right"/>
              <w:rPr>
                <w:sz w:val="13"/>
                <w:szCs w:val="13"/>
              </w:rPr>
            </w:pPr>
            <w:r w:rsidRPr="006F2FC4">
              <w:rPr>
                <w:b/>
                <w:sz w:val="13"/>
                <w:szCs w:val="13"/>
              </w:rPr>
              <w:t>53.545</w:t>
            </w:r>
          </w:p>
        </w:tc>
        <w:tc>
          <w:tcPr>
            <w:tcW w:w="425" w:type="pct"/>
            <w:tcBorders>
              <w:bottom w:val="single" w:color="009EE0" w:sz="2" w:space="0"/>
            </w:tcBorders>
            <w:tcMar>
              <w:top w:w="22" w:type="dxa"/>
              <w:left w:w="28" w:type="dxa"/>
              <w:bottom w:w="22" w:type="dxa"/>
              <w:right w:w="28" w:type="dxa"/>
            </w:tcMar>
          </w:tcPr>
          <w:p w:rsidRPr="006F2FC4" w:rsidR="0084290D" w:rsidRDefault="00CF5B93" w14:paraId="192BF0CB" w14:textId="77777777">
            <w:pPr>
              <w:pStyle w:val="p-table"/>
              <w:jc w:val="right"/>
              <w:rPr>
                <w:sz w:val="13"/>
                <w:szCs w:val="13"/>
              </w:rPr>
            </w:pPr>
            <w:r w:rsidRPr="006F2FC4">
              <w:rPr>
                <w:b/>
                <w:sz w:val="13"/>
                <w:szCs w:val="13"/>
              </w:rPr>
              <w:t>38.746</w:t>
            </w:r>
          </w:p>
        </w:tc>
        <w:tc>
          <w:tcPr>
            <w:tcW w:w="425" w:type="pct"/>
            <w:tcBorders>
              <w:bottom w:val="single" w:color="009EE0" w:sz="2" w:space="0"/>
            </w:tcBorders>
            <w:tcMar>
              <w:top w:w="22" w:type="dxa"/>
              <w:left w:w="28" w:type="dxa"/>
              <w:bottom w:w="22" w:type="dxa"/>
              <w:right w:w="28" w:type="dxa"/>
            </w:tcMar>
          </w:tcPr>
          <w:p w:rsidRPr="006F2FC4" w:rsidR="0084290D" w:rsidRDefault="00CF5B93" w14:paraId="45C16780" w14:textId="77777777">
            <w:pPr>
              <w:pStyle w:val="p-table"/>
              <w:jc w:val="right"/>
              <w:rPr>
                <w:sz w:val="13"/>
                <w:szCs w:val="13"/>
              </w:rPr>
            </w:pPr>
            <w:r w:rsidRPr="006F2FC4">
              <w:rPr>
                <w:b/>
                <w:sz w:val="13"/>
                <w:szCs w:val="13"/>
              </w:rPr>
              <w:t>71.017</w:t>
            </w:r>
          </w:p>
        </w:tc>
      </w:tr>
      <w:tr w:rsidR="0084290D" w:rsidTr="007433BE" w14:paraId="03E20679" w14:textId="77777777">
        <w:tc>
          <w:tcPr>
            <w:tcW w:w="800" w:type="pct"/>
            <w:tcBorders>
              <w:bottom w:val="single" w:color="009EE0" w:sz="2" w:space="0"/>
            </w:tcBorders>
            <w:tcMar>
              <w:top w:w="22" w:type="dxa"/>
              <w:bottom w:w="22" w:type="dxa"/>
              <w:right w:w="28" w:type="dxa"/>
            </w:tcMar>
          </w:tcPr>
          <w:p w:rsidRPr="006F2FC4" w:rsidR="0084290D" w:rsidRDefault="00CF5B93" w14:paraId="1BBDDA35" w14:textId="77777777">
            <w:pPr>
              <w:pStyle w:val="p-table"/>
              <w:rPr>
                <w:sz w:val="13"/>
                <w:szCs w:val="13"/>
              </w:rPr>
            </w:pPr>
            <w:r w:rsidRPr="006F2FC4">
              <w:rPr>
                <w:sz w:val="13"/>
                <w:szCs w:val="13"/>
              </w:rPr>
              <w:t>ICT 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D68D169" w14:textId="77777777">
            <w:pPr>
              <w:pStyle w:val="p-table"/>
              <w:jc w:val="right"/>
              <w:rPr>
                <w:sz w:val="13"/>
                <w:szCs w:val="13"/>
              </w:rPr>
            </w:pPr>
            <w:r w:rsidRPr="006F2FC4">
              <w:rPr>
                <w:sz w:val="13"/>
                <w:szCs w:val="13"/>
              </w:rPr>
              <w:t>7.273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367EC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AAD676" w14:textId="77777777">
            <w:pPr>
              <w:pStyle w:val="p-table"/>
              <w:jc w:val="right"/>
              <w:rPr>
                <w:sz w:val="13"/>
                <w:szCs w:val="13"/>
              </w:rPr>
            </w:pPr>
            <w:r w:rsidRPr="006F2FC4">
              <w:rPr>
                <w:sz w:val="13"/>
                <w:szCs w:val="13"/>
              </w:rPr>
              <w:t>7.273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F246DB" w14:textId="77777777">
            <w:pPr>
              <w:pStyle w:val="p-table"/>
              <w:jc w:val="right"/>
              <w:rPr>
                <w:sz w:val="13"/>
                <w:szCs w:val="13"/>
              </w:rPr>
            </w:pPr>
            <w:r w:rsidRPr="006F2FC4">
              <w:rPr>
                <w:sz w:val="13"/>
                <w:szCs w:val="13"/>
              </w:rPr>
              <w:t>14.172</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951F2A" w14:textId="77777777">
            <w:pPr>
              <w:pStyle w:val="p-table"/>
              <w:jc w:val="right"/>
              <w:rPr>
                <w:sz w:val="13"/>
                <w:szCs w:val="13"/>
              </w:rPr>
            </w:pPr>
            <w:r w:rsidRPr="006F2FC4">
              <w:rPr>
                <w:sz w:val="13"/>
                <w:szCs w:val="13"/>
              </w:rPr>
              <w:t>21.445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ED985C5" w14:textId="77777777">
            <w:pPr>
              <w:pStyle w:val="p-table"/>
              <w:jc w:val="right"/>
              <w:rPr>
                <w:sz w:val="13"/>
                <w:szCs w:val="13"/>
              </w:rPr>
            </w:pPr>
            <w:r w:rsidRPr="006F2FC4">
              <w:rPr>
                <w:sz w:val="13"/>
                <w:szCs w:val="13"/>
              </w:rPr>
              <w:t>22.482</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EDA59D" w14:textId="77777777">
            <w:pPr>
              <w:pStyle w:val="p-table"/>
              <w:jc w:val="right"/>
              <w:rPr>
                <w:sz w:val="13"/>
                <w:szCs w:val="13"/>
              </w:rPr>
            </w:pPr>
            <w:r w:rsidRPr="006F2FC4">
              <w:rPr>
                <w:sz w:val="13"/>
                <w:szCs w:val="13"/>
              </w:rPr>
              <w:t>9.507</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F76A13" w14:textId="77777777">
            <w:pPr>
              <w:pStyle w:val="p-table"/>
              <w:jc w:val="right"/>
              <w:rPr>
                <w:sz w:val="13"/>
                <w:szCs w:val="13"/>
              </w:rPr>
            </w:pPr>
            <w:r w:rsidRPr="006F2FC4">
              <w:rPr>
                <w:sz w:val="13"/>
                <w:szCs w:val="13"/>
              </w:rPr>
              <w:t>6.527</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AD4647" w14:textId="77777777">
            <w:pPr>
              <w:pStyle w:val="p-table"/>
              <w:jc w:val="right"/>
              <w:rPr>
                <w:sz w:val="13"/>
                <w:szCs w:val="13"/>
              </w:rPr>
            </w:pPr>
            <w:r w:rsidRPr="006F2FC4">
              <w:rPr>
                <w:sz w:val="13"/>
                <w:szCs w:val="13"/>
              </w:rPr>
              <w:t>6.528</w:t>
            </w:r>
          </w:p>
        </w:tc>
        <w:tc>
          <w:tcPr>
            <w:tcW w:w="425" w:type="pct"/>
            <w:tcBorders>
              <w:bottom w:val="single" w:color="009EE0" w:sz="2" w:space="0"/>
            </w:tcBorders>
            <w:tcMar>
              <w:top w:w="22" w:type="dxa"/>
              <w:left w:w="28" w:type="dxa"/>
              <w:bottom w:w="22" w:type="dxa"/>
              <w:right w:w="28" w:type="dxa"/>
            </w:tcMar>
          </w:tcPr>
          <w:p w:rsidRPr="006F2FC4" w:rsidR="0084290D" w:rsidRDefault="00CF5B93" w14:paraId="046DD070" w14:textId="77777777">
            <w:pPr>
              <w:pStyle w:val="p-table"/>
              <w:jc w:val="right"/>
              <w:rPr>
                <w:sz w:val="13"/>
                <w:szCs w:val="13"/>
              </w:rPr>
            </w:pPr>
            <w:r w:rsidRPr="006F2FC4">
              <w:rPr>
                <w:sz w:val="13"/>
                <w:szCs w:val="13"/>
              </w:rPr>
              <w:t>15.352</w:t>
            </w:r>
          </w:p>
        </w:tc>
      </w:tr>
      <w:tr w:rsidR="0084290D" w:rsidTr="007433BE" w14:paraId="32B0D3BE" w14:textId="77777777">
        <w:tc>
          <w:tcPr>
            <w:tcW w:w="800" w:type="pct"/>
            <w:tcBorders>
              <w:bottom w:val="single" w:color="009EE0" w:sz="2" w:space="0"/>
            </w:tcBorders>
            <w:tcMar>
              <w:top w:w="22" w:type="dxa"/>
              <w:bottom w:w="22" w:type="dxa"/>
              <w:right w:w="28" w:type="dxa"/>
            </w:tcMar>
          </w:tcPr>
          <w:p w:rsidRPr="006F2FC4" w:rsidR="0084290D" w:rsidRDefault="00CF5B93" w14:paraId="111F02C3" w14:textId="77777777">
            <w:pPr>
              <w:pStyle w:val="p-table"/>
              <w:rPr>
                <w:sz w:val="13"/>
                <w:szCs w:val="13"/>
              </w:rPr>
            </w:pPr>
            <w:r w:rsidRPr="006F2FC4">
              <w:rPr>
                <w:sz w:val="13"/>
                <w:szCs w:val="13"/>
              </w:rPr>
              <w:t>Overige 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DB9AC28" w14:textId="77777777">
            <w:pPr>
              <w:pStyle w:val="p-table"/>
              <w:jc w:val="right"/>
              <w:rPr>
                <w:sz w:val="13"/>
                <w:szCs w:val="13"/>
              </w:rPr>
            </w:pPr>
            <w:r w:rsidRPr="006F2FC4">
              <w:rPr>
                <w:sz w:val="13"/>
                <w:szCs w:val="13"/>
              </w:rPr>
              <w:t>37.293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0E790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4532F1" w14:textId="77777777">
            <w:pPr>
              <w:pStyle w:val="p-table"/>
              <w:jc w:val="right"/>
              <w:rPr>
                <w:sz w:val="13"/>
                <w:szCs w:val="13"/>
              </w:rPr>
            </w:pPr>
            <w:r w:rsidRPr="006F2FC4">
              <w:rPr>
                <w:sz w:val="13"/>
                <w:szCs w:val="13"/>
              </w:rPr>
              <w:t>37.293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C032FF" w14:textId="77777777">
            <w:pPr>
              <w:pStyle w:val="p-table"/>
              <w:jc w:val="right"/>
              <w:rPr>
                <w:sz w:val="13"/>
                <w:szCs w:val="13"/>
              </w:rPr>
            </w:pPr>
            <w:r w:rsidRPr="006F2FC4">
              <w:rPr>
                <w:sz w:val="13"/>
                <w:szCs w:val="13"/>
              </w:rPr>
              <w:t>14.223</w:t>
            </w:r>
          </w:p>
        </w:tc>
        <w:tc>
          <w:tcPr>
            <w:tcW w:w="425" w:type="pct"/>
            <w:tcBorders>
              <w:bottom w:val="single" w:color="009EE0" w:sz="2" w:space="0"/>
            </w:tcBorders>
            <w:tcMar>
              <w:top w:w="22" w:type="dxa"/>
              <w:left w:w="28" w:type="dxa"/>
              <w:bottom w:w="22" w:type="dxa"/>
              <w:right w:w="28" w:type="dxa"/>
            </w:tcMar>
          </w:tcPr>
          <w:p w:rsidRPr="006F2FC4" w:rsidR="0084290D" w:rsidRDefault="00CF5B93" w14:paraId="76714C9B" w14:textId="77777777">
            <w:pPr>
              <w:pStyle w:val="p-table"/>
              <w:jc w:val="right"/>
              <w:rPr>
                <w:sz w:val="13"/>
                <w:szCs w:val="13"/>
              </w:rPr>
            </w:pPr>
            <w:r w:rsidRPr="006F2FC4">
              <w:rPr>
                <w:sz w:val="13"/>
                <w:szCs w:val="13"/>
              </w:rPr>
              <w:t>51.516</w:t>
            </w:r>
          </w:p>
        </w:tc>
        <w:tc>
          <w:tcPr>
            <w:tcW w:w="425" w:type="pct"/>
            <w:tcBorders>
              <w:bottom w:val="single" w:color="009EE0" w:sz="2" w:space="0"/>
            </w:tcBorders>
            <w:tcMar>
              <w:top w:w="22" w:type="dxa"/>
              <w:left w:w="28" w:type="dxa"/>
              <w:bottom w:w="22" w:type="dxa"/>
              <w:right w:w="28" w:type="dxa"/>
            </w:tcMar>
          </w:tcPr>
          <w:p w:rsidRPr="006F2FC4" w:rsidR="0084290D" w:rsidRDefault="00CF5B93" w14:paraId="7394CCB1" w14:textId="77777777">
            <w:pPr>
              <w:pStyle w:val="p-table"/>
              <w:jc w:val="right"/>
              <w:rPr>
                <w:sz w:val="13"/>
                <w:szCs w:val="13"/>
              </w:rPr>
            </w:pPr>
            <w:r w:rsidRPr="006F2FC4">
              <w:rPr>
                <w:sz w:val="13"/>
                <w:szCs w:val="13"/>
              </w:rPr>
              <w:t>58.627</w:t>
            </w:r>
          </w:p>
        </w:tc>
        <w:tc>
          <w:tcPr>
            <w:tcW w:w="425" w:type="pct"/>
            <w:tcBorders>
              <w:bottom w:val="single" w:color="009EE0" w:sz="2" w:space="0"/>
            </w:tcBorders>
            <w:tcMar>
              <w:top w:w="22" w:type="dxa"/>
              <w:left w:w="28" w:type="dxa"/>
              <w:bottom w:w="22" w:type="dxa"/>
              <w:right w:w="28" w:type="dxa"/>
            </w:tcMar>
          </w:tcPr>
          <w:p w:rsidRPr="006F2FC4" w:rsidR="0084290D" w:rsidRDefault="00CF5B93" w14:paraId="2E7DA234" w14:textId="77777777">
            <w:pPr>
              <w:pStyle w:val="p-table"/>
              <w:jc w:val="right"/>
              <w:rPr>
                <w:sz w:val="13"/>
                <w:szCs w:val="13"/>
              </w:rPr>
            </w:pPr>
            <w:r w:rsidRPr="006F2FC4">
              <w:rPr>
                <w:sz w:val="13"/>
                <w:szCs w:val="13"/>
              </w:rPr>
              <w:t>42.083</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C48121" w14:textId="77777777">
            <w:pPr>
              <w:pStyle w:val="p-table"/>
              <w:jc w:val="right"/>
              <w:rPr>
                <w:sz w:val="13"/>
                <w:szCs w:val="13"/>
              </w:rPr>
            </w:pPr>
            <w:r w:rsidRPr="006F2FC4">
              <w:rPr>
                <w:sz w:val="13"/>
                <w:szCs w:val="13"/>
              </w:rPr>
              <w:t>47.018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9A9978" w14:textId="77777777">
            <w:pPr>
              <w:pStyle w:val="p-table"/>
              <w:jc w:val="right"/>
              <w:rPr>
                <w:sz w:val="13"/>
                <w:szCs w:val="13"/>
              </w:rPr>
            </w:pPr>
            <w:r w:rsidRPr="006F2FC4">
              <w:rPr>
                <w:sz w:val="13"/>
                <w:szCs w:val="13"/>
              </w:rPr>
              <w:t>32.218</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FE5933" w14:textId="77777777">
            <w:pPr>
              <w:pStyle w:val="p-table"/>
              <w:jc w:val="right"/>
              <w:rPr>
                <w:sz w:val="13"/>
                <w:szCs w:val="13"/>
              </w:rPr>
            </w:pPr>
            <w:r w:rsidRPr="006F2FC4">
              <w:rPr>
                <w:sz w:val="13"/>
                <w:szCs w:val="13"/>
              </w:rPr>
              <w:t>55.665</w:t>
            </w:r>
          </w:p>
        </w:tc>
      </w:tr>
      <w:tr w:rsidR="0084290D" w:rsidTr="007433BE" w14:paraId="48A4F9DF" w14:textId="77777777">
        <w:tc>
          <w:tcPr>
            <w:tcW w:w="800" w:type="pct"/>
            <w:tcBorders>
              <w:bottom w:val="single" w:color="009EE0" w:sz="2" w:space="0"/>
            </w:tcBorders>
            <w:tcMar>
              <w:top w:w="22" w:type="dxa"/>
              <w:bottom w:w="22" w:type="dxa"/>
              <w:right w:w="28" w:type="dxa"/>
            </w:tcMar>
          </w:tcPr>
          <w:p w:rsidRPr="006F2FC4" w:rsidR="0084290D" w:rsidRDefault="0084290D" w14:paraId="44B7EE2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F38F92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7BA5D7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39FE54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82BF99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A11CD3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7F9E6B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9157F8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8CA57F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59CF36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1335086" w14:textId="77777777">
            <w:pPr>
              <w:pStyle w:val="p-table"/>
              <w:rPr>
                <w:sz w:val="13"/>
                <w:szCs w:val="13"/>
              </w:rPr>
            </w:pPr>
          </w:p>
        </w:tc>
      </w:tr>
      <w:tr w:rsidR="0084290D" w:rsidTr="007433BE" w14:paraId="5561E562" w14:textId="77777777">
        <w:tc>
          <w:tcPr>
            <w:tcW w:w="800" w:type="pct"/>
            <w:tcBorders>
              <w:bottom w:val="single" w:color="009EE0" w:sz="2" w:space="0"/>
            </w:tcBorders>
            <w:tcMar>
              <w:top w:w="22" w:type="dxa"/>
              <w:bottom w:w="22" w:type="dxa"/>
              <w:right w:w="28" w:type="dxa"/>
            </w:tcMar>
          </w:tcPr>
          <w:p w:rsidRPr="006F2FC4" w:rsidR="0084290D" w:rsidRDefault="00CF5B93" w14:paraId="7C12CE01" w14:textId="77777777">
            <w:pPr>
              <w:pStyle w:val="p-table"/>
              <w:rPr>
                <w:sz w:val="13"/>
                <w:szCs w:val="13"/>
              </w:rPr>
            </w:pPr>
            <w:r w:rsidRPr="006F2FC4">
              <w:rPr>
                <w:b/>
                <w:sz w:val="13"/>
                <w:szCs w:val="13"/>
              </w:rPr>
              <w:t>Bijdrage aan agentschappen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7875EF13" w14:textId="77777777">
            <w:pPr>
              <w:pStyle w:val="p-table"/>
              <w:jc w:val="right"/>
              <w:rPr>
                <w:sz w:val="13"/>
                <w:szCs w:val="13"/>
              </w:rPr>
            </w:pPr>
            <w:r w:rsidRPr="006F2FC4">
              <w:rPr>
                <w:b/>
                <w:sz w:val="13"/>
                <w:szCs w:val="13"/>
              </w:rPr>
              <w:t>3.572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61AFB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19E5359" w14:textId="77777777">
            <w:pPr>
              <w:pStyle w:val="p-table"/>
              <w:jc w:val="right"/>
              <w:rPr>
                <w:sz w:val="13"/>
                <w:szCs w:val="13"/>
              </w:rPr>
            </w:pPr>
            <w:r w:rsidRPr="006F2FC4">
              <w:rPr>
                <w:b/>
                <w:sz w:val="13"/>
                <w:szCs w:val="13"/>
              </w:rPr>
              <w:t>3.572</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F057B1" w14:textId="77777777">
            <w:pPr>
              <w:pStyle w:val="p-table"/>
              <w:jc w:val="right"/>
              <w:rPr>
                <w:sz w:val="13"/>
                <w:szCs w:val="13"/>
              </w:rPr>
            </w:pPr>
            <w:r w:rsidRPr="006F2FC4">
              <w:rPr>
                <w:b/>
                <w:sz w:val="13"/>
                <w:szCs w:val="13"/>
              </w:rPr>
              <w:t>2.286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2C6123C1" w14:textId="77777777">
            <w:pPr>
              <w:pStyle w:val="p-table"/>
              <w:jc w:val="right"/>
              <w:rPr>
                <w:sz w:val="13"/>
                <w:szCs w:val="13"/>
              </w:rPr>
            </w:pPr>
            <w:r w:rsidRPr="006F2FC4">
              <w:rPr>
                <w:b/>
                <w:sz w:val="13"/>
                <w:szCs w:val="13"/>
              </w:rPr>
              <w:t>5.858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5A55FBB" w14:textId="77777777">
            <w:pPr>
              <w:pStyle w:val="p-table"/>
              <w:jc w:val="right"/>
              <w:rPr>
                <w:sz w:val="13"/>
                <w:szCs w:val="13"/>
              </w:rPr>
            </w:pPr>
            <w:r w:rsidRPr="006F2FC4">
              <w:rPr>
                <w:b/>
                <w:sz w:val="13"/>
                <w:szCs w:val="13"/>
              </w:rPr>
              <w:t>2.865</w:t>
            </w:r>
          </w:p>
        </w:tc>
        <w:tc>
          <w:tcPr>
            <w:tcW w:w="425" w:type="pct"/>
            <w:tcBorders>
              <w:bottom w:val="single" w:color="009EE0" w:sz="2" w:space="0"/>
            </w:tcBorders>
            <w:tcMar>
              <w:top w:w="22" w:type="dxa"/>
              <w:left w:w="28" w:type="dxa"/>
              <w:bottom w:w="22" w:type="dxa"/>
              <w:right w:w="28" w:type="dxa"/>
            </w:tcMar>
          </w:tcPr>
          <w:p w:rsidRPr="006F2FC4" w:rsidR="0084290D" w:rsidRDefault="00CF5B93" w14:paraId="545660C0" w14:textId="77777777">
            <w:pPr>
              <w:pStyle w:val="p-table"/>
              <w:jc w:val="right"/>
              <w:rPr>
                <w:sz w:val="13"/>
                <w:szCs w:val="13"/>
              </w:rPr>
            </w:pPr>
            <w:r w:rsidRPr="006F2FC4">
              <w:rPr>
                <w:b/>
                <w:sz w:val="13"/>
                <w:szCs w:val="13"/>
              </w:rPr>
              <w:t>3.444</w:t>
            </w:r>
          </w:p>
        </w:tc>
        <w:tc>
          <w:tcPr>
            <w:tcW w:w="425" w:type="pct"/>
            <w:tcBorders>
              <w:bottom w:val="single" w:color="009EE0" w:sz="2" w:space="0"/>
            </w:tcBorders>
            <w:tcMar>
              <w:top w:w="22" w:type="dxa"/>
              <w:left w:w="28" w:type="dxa"/>
              <w:bottom w:w="22" w:type="dxa"/>
              <w:right w:w="28" w:type="dxa"/>
            </w:tcMar>
          </w:tcPr>
          <w:p w:rsidRPr="006F2FC4" w:rsidR="0084290D" w:rsidRDefault="00CF5B93" w14:paraId="10CA7B19" w14:textId="77777777">
            <w:pPr>
              <w:pStyle w:val="p-table"/>
              <w:jc w:val="right"/>
              <w:rPr>
                <w:sz w:val="13"/>
                <w:szCs w:val="13"/>
              </w:rPr>
            </w:pPr>
            <w:r w:rsidRPr="006F2FC4">
              <w:rPr>
                <w:b/>
                <w:sz w:val="13"/>
                <w:szCs w:val="13"/>
              </w:rPr>
              <w:t>3.350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E11D49" w14:textId="77777777">
            <w:pPr>
              <w:pStyle w:val="p-table"/>
              <w:jc w:val="right"/>
              <w:rPr>
                <w:sz w:val="13"/>
                <w:szCs w:val="13"/>
              </w:rPr>
            </w:pPr>
            <w:r w:rsidRPr="006F2FC4">
              <w:rPr>
                <w:b/>
                <w:sz w:val="13"/>
                <w:szCs w:val="13"/>
              </w:rPr>
              <w:t>3.219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2D63FE" w14:textId="77777777">
            <w:pPr>
              <w:pStyle w:val="p-table"/>
              <w:jc w:val="right"/>
              <w:rPr>
                <w:sz w:val="13"/>
                <w:szCs w:val="13"/>
              </w:rPr>
            </w:pPr>
            <w:r w:rsidRPr="006F2FC4">
              <w:rPr>
                <w:b/>
                <w:sz w:val="13"/>
                <w:szCs w:val="13"/>
              </w:rPr>
              <w:t>6.791</w:t>
            </w:r>
          </w:p>
        </w:tc>
      </w:tr>
      <w:tr w:rsidR="0084290D" w:rsidTr="007433BE" w14:paraId="7AFD36D3" w14:textId="77777777">
        <w:tc>
          <w:tcPr>
            <w:tcW w:w="800" w:type="pct"/>
            <w:tcBorders>
              <w:bottom w:val="single" w:color="009EE0" w:sz="2" w:space="0"/>
            </w:tcBorders>
            <w:tcMar>
              <w:top w:w="22" w:type="dxa"/>
              <w:bottom w:w="22" w:type="dxa"/>
              <w:right w:w="28" w:type="dxa"/>
            </w:tcMar>
          </w:tcPr>
          <w:p w:rsidRPr="006F2FC4" w:rsidR="0084290D" w:rsidRDefault="00CF5B93" w14:paraId="27A9BFD6" w14:textId="77777777">
            <w:pPr>
              <w:pStyle w:val="p-table"/>
              <w:rPr>
                <w:sz w:val="13"/>
                <w:szCs w:val="13"/>
              </w:rPr>
            </w:pPr>
            <w:r w:rsidRPr="006F2FC4">
              <w:rPr>
                <w:sz w:val="13"/>
                <w:szCs w:val="13"/>
              </w:rPr>
              <w:t>Bijdrage overige agentschappen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314969" w14:textId="77777777">
            <w:pPr>
              <w:pStyle w:val="p-table"/>
              <w:jc w:val="right"/>
              <w:rPr>
                <w:sz w:val="13"/>
                <w:szCs w:val="13"/>
              </w:rPr>
            </w:pPr>
            <w:r w:rsidRPr="006F2FC4">
              <w:rPr>
                <w:sz w:val="13"/>
                <w:szCs w:val="13"/>
              </w:rPr>
              <w:t>3.572</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DA24B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BFB669" w14:textId="77777777">
            <w:pPr>
              <w:pStyle w:val="p-table"/>
              <w:jc w:val="right"/>
              <w:rPr>
                <w:sz w:val="13"/>
                <w:szCs w:val="13"/>
              </w:rPr>
            </w:pPr>
            <w:r w:rsidRPr="006F2FC4">
              <w:rPr>
                <w:sz w:val="13"/>
                <w:szCs w:val="13"/>
              </w:rPr>
              <w:t>3.572</w:t>
            </w:r>
          </w:p>
        </w:tc>
        <w:tc>
          <w:tcPr>
            <w:tcW w:w="425" w:type="pct"/>
            <w:tcBorders>
              <w:bottom w:val="single" w:color="009EE0" w:sz="2" w:space="0"/>
            </w:tcBorders>
            <w:tcMar>
              <w:top w:w="22" w:type="dxa"/>
              <w:left w:w="28" w:type="dxa"/>
              <w:bottom w:w="22" w:type="dxa"/>
              <w:right w:w="28" w:type="dxa"/>
            </w:tcMar>
          </w:tcPr>
          <w:p w:rsidRPr="006F2FC4" w:rsidR="0084290D" w:rsidRDefault="00CF5B93" w14:paraId="47C58E85" w14:textId="77777777">
            <w:pPr>
              <w:pStyle w:val="p-table"/>
              <w:jc w:val="right"/>
              <w:rPr>
                <w:sz w:val="13"/>
                <w:szCs w:val="13"/>
              </w:rPr>
            </w:pPr>
            <w:r w:rsidRPr="006F2FC4">
              <w:rPr>
                <w:sz w:val="13"/>
                <w:szCs w:val="13"/>
              </w:rPr>
              <w:t>2.286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0F95CE3" w14:textId="77777777">
            <w:pPr>
              <w:pStyle w:val="p-table"/>
              <w:jc w:val="right"/>
              <w:rPr>
                <w:sz w:val="13"/>
                <w:szCs w:val="13"/>
              </w:rPr>
            </w:pPr>
            <w:r w:rsidRPr="006F2FC4">
              <w:rPr>
                <w:sz w:val="13"/>
                <w:szCs w:val="13"/>
              </w:rPr>
              <w:t>5.858</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6D1866" w14:textId="77777777">
            <w:pPr>
              <w:pStyle w:val="p-table"/>
              <w:jc w:val="right"/>
              <w:rPr>
                <w:sz w:val="13"/>
                <w:szCs w:val="13"/>
              </w:rPr>
            </w:pPr>
            <w:r w:rsidRPr="006F2FC4">
              <w:rPr>
                <w:sz w:val="13"/>
                <w:szCs w:val="13"/>
              </w:rPr>
              <w:t>2.865</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4DFA23" w14:textId="77777777">
            <w:pPr>
              <w:pStyle w:val="p-table"/>
              <w:jc w:val="right"/>
              <w:rPr>
                <w:sz w:val="13"/>
                <w:szCs w:val="13"/>
              </w:rPr>
            </w:pPr>
            <w:r w:rsidRPr="006F2FC4">
              <w:rPr>
                <w:sz w:val="13"/>
                <w:szCs w:val="13"/>
              </w:rPr>
              <w:t>3.444</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820A79" w14:textId="77777777">
            <w:pPr>
              <w:pStyle w:val="p-table"/>
              <w:jc w:val="right"/>
              <w:rPr>
                <w:sz w:val="13"/>
                <w:szCs w:val="13"/>
              </w:rPr>
            </w:pPr>
            <w:r w:rsidRPr="006F2FC4">
              <w:rPr>
                <w:sz w:val="13"/>
                <w:szCs w:val="13"/>
              </w:rPr>
              <w:t>3.350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D8A42A" w14:textId="77777777">
            <w:pPr>
              <w:pStyle w:val="p-table"/>
              <w:jc w:val="right"/>
              <w:rPr>
                <w:sz w:val="13"/>
                <w:szCs w:val="13"/>
              </w:rPr>
            </w:pPr>
            <w:r w:rsidRPr="006F2FC4">
              <w:rPr>
                <w:sz w:val="13"/>
                <w:szCs w:val="13"/>
              </w:rPr>
              <w:t>3.219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1EC1CB" w14:textId="77777777">
            <w:pPr>
              <w:pStyle w:val="p-table"/>
              <w:jc w:val="right"/>
              <w:rPr>
                <w:sz w:val="13"/>
                <w:szCs w:val="13"/>
              </w:rPr>
            </w:pPr>
            <w:r w:rsidRPr="006F2FC4">
              <w:rPr>
                <w:sz w:val="13"/>
                <w:szCs w:val="13"/>
              </w:rPr>
              <w:t>6.791</w:t>
            </w:r>
          </w:p>
        </w:tc>
      </w:tr>
      <w:tr w:rsidR="0084290D" w:rsidTr="007433BE" w14:paraId="6781FAAA" w14:textId="77777777">
        <w:tc>
          <w:tcPr>
            <w:tcW w:w="800" w:type="pct"/>
            <w:tcBorders>
              <w:bottom w:val="single" w:color="009EE0" w:sz="2" w:space="0"/>
            </w:tcBorders>
            <w:tcMar>
              <w:top w:w="22" w:type="dxa"/>
              <w:bottom w:w="22" w:type="dxa"/>
              <w:right w:w="28" w:type="dxa"/>
            </w:tcMar>
          </w:tcPr>
          <w:p w:rsidRPr="006F2FC4" w:rsidR="0084290D" w:rsidRDefault="0084290D" w14:paraId="5F2D31B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3D822A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5B621D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73DA97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39A60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487BD4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676025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843EB5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0A8437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2321F4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7E6ACD9" w14:textId="77777777">
            <w:pPr>
              <w:pStyle w:val="p-table"/>
              <w:rPr>
                <w:sz w:val="13"/>
                <w:szCs w:val="13"/>
              </w:rPr>
            </w:pPr>
          </w:p>
        </w:tc>
      </w:tr>
      <w:tr w:rsidR="0084290D" w:rsidTr="007433BE" w14:paraId="710E0A28" w14:textId="77777777">
        <w:tc>
          <w:tcPr>
            <w:tcW w:w="800" w:type="pct"/>
            <w:tcBorders>
              <w:bottom w:val="single" w:color="009EE0" w:sz="2" w:space="0"/>
            </w:tcBorders>
            <w:tcMar>
              <w:top w:w="22" w:type="dxa"/>
              <w:bottom w:w="22" w:type="dxa"/>
              <w:right w:w="28" w:type="dxa"/>
            </w:tcMar>
          </w:tcPr>
          <w:p w:rsidRPr="006F2FC4" w:rsidR="0084290D" w:rsidRDefault="00CF5B93" w14:paraId="007A3317" w14:textId="77777777">
            <w:pPr>
              <w:pStyle w:val="p-table"/>
              <w:rPr>
                <w:sz w:val="13"/>
                <w:szCs w:val="13"/>
              </w:rPr>
            </w:pPr>
            <w:r w:rsidRPr="006F2FC4">
              <w:rPr>
                <w:b/>
                <w:sz w:val="13"/>
                <w:szCs w:val="13"/>
              </w:rPr>
              <w:t>Rente</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0698F9" w14:textId="77777777">
            <w:pPr>
              <w:pStyle w:val="p-table"/>
              <w:jc w:val="right"/>
              <w:rPr>
                <w:sz w:val="13"/>
                <w:szCs w:val="13"/>
              </w:rPr>
            </w:pPr>
            <w:r w:rsidRPr="006F2FC4">
              <w:rPr>
                <w:b/>
                <w:sz w:val="13"/>
                <w:szCs w:val="13"/>
              </w:rPr>
              <w:t>13.000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277B5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0B2EFB3" w14:textId="77777777">
            <w:pPr>
              <w:pStyle w:val="p-table"/>
              <w:jc w:val="right"/>
              <w:rPr>
                <w:sz w:val="13"/>
                <w:szCs w:val="13"/>
              </w:rPr>
            </w:pPr>
            <w:r w:rsidRPr="006F2FC4">
              <w:rPr>
                <w:b/>
                <w:sz w:val="13"/>
                <w:szCs w:val="13"/>
              </w:rPr>
              <w:t>13.000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A28A0F"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59727BC" w14:textId="77777777">
            <w:pPr>
              <w:pStyle w:val="p-table"/>
              <w:jc w:val="right"/>
              <w:rPr>
                <w:sz w:val="13"/>
                <w:szCs w:val="13"/>
              </w:rPr>
            </w:pPr>
            <w:r w:rsidRPr="006F2FC4">
              <w:rPr>
                <w:b/>
                <w:sz w:val="13"/>
                <w:szCs w:val="13"/>
              </w:rPr>
              <w:t>6.000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2DC194F"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C3C683"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1A36F1F"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EAE8CE"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FF1F9EF" w14:textId="77777777">
            <w:pPr>
              <w:pStyle w:val="p-table"/>
              <w:jc w:val="right"/>
              <w:rPr>
                <w:sz w:val="13"/>
                <w:szCs w:val="13"/>
              </w:rPr>
            </w:pPr>
            <w:r w:rsidRPr="006F2FC4">
              <w:rPr>
                <w:b/>
                <w:sz w:val="13"/>
                <w:szCs w:val="13"/>
              </w:rPr>
              <w:t>6.000</w:t>
            </w:r>
          </w:p>
        </w:tc>
      </w:tr>
      <w:tr w:rsidR="0084290D" w:rsidTr="007433BE" w14:paraId="6063609C" w14:textId="77777777">
        <w:tc>
          <w:tcPr>
            <w:tcW w:w="800" w:type="pct"/>
            <w:tcBorders>
              <w:bottom w:val="single" w:color="009EE0" w:sz="2" w:space="0"/>
            </w:tcBorders>
            <w:tcMar>
              <w:top w:w="22" w:type="dxa"/>
              <w:bottom w:w="22" w:type="dxa"/>
              <w:right w:w="28" w:type="dxa"/>
            </w:tcMar>
          </w:tcPr>
          <w:p w:rsidRPr="006F2FC4" w:rsidR="0084290D" w:rsidRDefault="00CF5B93" w14:paraId="42A8938C" w14:textId="77777777">
            <w:pPr>
              <w:pStyle w:val="p-table"/>
              <w:rPr>
                <w:sz w:val="13"/>
                <w:szCs w:val="13"/>
              </w:rPr>
            </w:pPr>
            <w:r w:rsidRPr="006F2FC4">
              <w:rPr>
                <w:sz w:val="13"/>
                <w:szCs w:val="13"/>
              </w:rPr>
              <w:t>Belasting- en invorderingsrente</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3134CE" w14:textId="77777777">
            <w:pPr>
              <w:pStyle w:val="p-table"/>
              <w:jc w:val="right"/>
              <w:rPr>
                <w:sz w:val="13"/>
                <w:szCs w:val="13"/>
              </w:rPr>
            </w:pPr>
            <w:r w:rsidRPr="006F2FC4">
              <w:rPr>
                <w:sz w:val="13"/>
                <w:szCs w:val="13"/>
              </w:rPr>
              <w:t>13.000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C39F9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CE857A" w14:textId="77777777">
            <w:pPr>
              <w:pStyle w:val="p-table"/>
              <w:jc w:val="right"/>
              <w:rPr>
                <w:sz w:val="13"/>
                <w:szCs w:val="13"/>
              </w:rPr>
            </w:pPr>
            <w:r w:rsidRPr="006F2FC4">
              <w:rPr>
                <w:sz w:val="13"/>
                <w:szCs w:val="13"/>
              </w:rPr>
              <w:t>13.000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E36B84"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5A08AC2" w14:textId="77777777">
            <w:pPr>
              <w:pStyle w:val="p-table"/>
              <w:jc w:val="right"/>
              <w:rPr>
                <w:sz w:val="13"/>
                <w:szCs w:val="13"/>
              </w:rPr>
            </w:pPr>
            <w:r w:rsidRPr="006F2FC4">
              <w:rPr>
                <w:sz w:val="13"/>
                <w:szCs w:val="13"/>
              </w:rPr>
              <w:t>6.000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F80C38"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F98EB8"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E50288"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9F0581"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3A3077F" w14:textId="77777777">
            <w:pPr>
              <w:pStyle w:val="p-table"/>
              <w:jc w:val="right"/>
              <w:rPr>
                <w:sz w:val="13"/>
                <w:szCs w:val="13"/>
              </w:rPr>
            </w:pPr>
            <w:r w:rsidRPr="006F2FC4">
              <w:rPr>
                <w:sz w:val="13"/>
                <w:szCs w:val="13"/>
              </w:rPr>
              <w:t>6.000</w:t>
            </w:r>
          </w:p>
        </w:tc>
      </w:tr>
      <w:tr w:rsidR="0084290D" w:rsidTr="007433BE" w14:paraId="09E177FB" w14:textId="77777777">
        <w:tc>
          <w:tcPr>
            <w:tcW w:w="800" w:type="pct"/>
            <w:tcBorders>
              <w:bottom w:val="single" w:color="009EE0" w:sz="2" w:space="0"/>
            </w:tcBorders>
            <w:tcMar>
              <w:top w:w="22" w:type="dxa"/>
              <w:bottom w:w="22" w:type="dxa"/>
              <w:right w:w="28" w:type="dxa"/>
            </w:tcMar>
          </w:tcPr>
          <w:p w:rsidRPr="006F2FC4" w:rsidR="0084290D" w:rsidRDefault="0084290D" w14:paraId="5F7E39D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87D6F3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F1FFB0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8EE0CE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F7250E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F95F32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69ECF9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58F210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EF2304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C33ED5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F25D823" w14:textId="77777777">
            <w:pPr>
              <w:pStyle w:val="p-table"/>
              <w:rPr>
                <w:sz w:val="13"/>
                <w:szCs w:val="13"/>
              </w:rPr>
            </w:pPr>
          </w:p>
        </w:tc>
      </w:tr>
      <w:tr w:rsidR="0084290D" w:rsidTr="007433BE" w14:paraId="18A3BABA" w14:textId="77777777">
        <w:tc>
          <w:tcPr>
            <w:tcW w:w="800" w:type="pct"/>
            <w:tcBorders>
              <w:bottom w:val="single" w:color="009EE0" w:sz="2" w:space="0"/>
            </w:tcBorders>
            <w:tcMar>
              <w:top w:w="22" w:type="dxa"/>
              <w:bottom w:w="22" w:type="dxa"/>
              <w:right w:w="28" w:type="dxa"/>
            </w:tcMar>
          </w:tcPr>
          <w:p w:rsidRPr="006F2FC4" w:rsidR="0084290D" w:rsidRDefault="00CF5B93" w14:paraId="29C493AE" w14:textId="77777777">
            <w:pPr>
              <w:pStyle w:val="p-table"/>
              <w:rPr>
                <w:sz w:val="13"/>
                <w:szCs w:val="13"/>
              </w:rPr>
            </w:pPr>
            <w:r w:rsidRPr="006F2FC4">
              <w:rPr>
                <w:b/>
                <w:sz w:val="13"/>
                <w:szCs w:val="13"/>
              </w:rPr>
              <w:t>(Schade)vergoeding</w:t>
            </w:r>
          </w:p>
        </w:tc>
        <w:tc>
          <w:tcPr>
            <w:tcW w:w="425" w:type="pct"/>
            <w:tcBorders>
              <w:bottom w:val="single" w:color="009EE0" w:sz="2" w:space="0"/>
            </w:tcBorders>
            <w:tcMar>
              <w:top w:w="22" w:type="dxa"/>
              <w:left w:w="28" w:type="dxa"/>
              <w:bottom w:w="22" w:type="dxa"/>
              <w:right w:w="28" w:type="dxa"/>
            </w:tcMar>
          </w:tcPr>
          <w:p w:rsidRPr="006F2FC4" w:rsidR="0084290D" w:rsidRDefault="00CF5B93" w14:paraId="7562363A" w14:textId="77777777">
            <w:pPr>
              <w:pStyle w:val="p-table"/>
              <w:jc w:val="right"/>
              <w:rPr>
                <w:sz w:val="13"/>
                <w:szCs w:val="13"/>
              </w:rPr>
            </w:pPr>
            <w:r w:rsidRPr="006F2FC4">
              <w:rPr>
                <w:b/>
                <w:sz w:val="13"/>
                <w:szCs w:val="13"/>
              </w:rPr>
              <w:t>141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3C73BD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508399" w14:textId="77777777">
            <w:pPr>
              <w:pStyle w:val="p-table"/>
              <w:jc w:val="right"/>
              <w:rPr>
                <w:sz w:val="13"/>
                <w:szCs w:val="13"/>
              </w:rPr>
            </w:pPr>
            <w:r w:rsidRPr="006F2FC4">
              <w:rPr>
                <w:b/>
                <w:sz w:val="13"/>
                <w:szCs w:val="13"/>
              </w:rPr>
              <w:t>141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34D55727"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7D5373" w14:textId="77777777">
            <w:pPr>
              <w:pStyle w:val="p-table"/>
              <w:jc w:val="right"/>
              <w:rPr>
                <w:sz w:val="13"/>
                <w:szCs w:val="13"/>
              </w:rPr>
            </w:pPr>
            <w:r w:rsidRPr="006F2FC4">
              <w:rPr>
                <w:b/>
                <w:sz w:val="13"/>
                <w:szCs w:val="13"/>
              </w:rPr>
              <w:t>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F74C47"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3336100B"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123E14"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E45511"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CA031D0" w14:textId="77777777">
            <w:pPr>
              <w:pStyle w:val="p-table"/>
              <w:jc w:val="right"/>
              <w:rPr>
                <w:sz w:val="13"/>
                <w:szCs w:val="13"/>
              </w:rPr>
            </w:pPr>
            <w:r w:rsidRPr="006F2FC4">
              <w:rPr>
                <w:b/>
                <w:sz w:val="13"/>
                <w:szCs w:val="13"/>
              </w:rPr>
              <w:t>86</w:t>
            </w:r>
          </w:p>
        </w:tc>
      </w:tr>
      <w:tr w:rsidR="0084290D" w:rsidTr="007433BE" w14:paraId="17ADF539" w14:textId="77777777">
        <w:tc>
          <w:tcPr>
            <w:tcW w:w="800" w:type="pct"/>
            <w:tcBorders>
              <w:bottom w:val="single" w:color="009EE0" w:sz="2" w:space="0"/>
            </w:tcBorders>
            <w:tcMar>
              <w:top w:w="22" w:type="dxa"/>
              <w:bottom w:w="22" w:type="dxa"/>
              <w:right w:w="28" w:type="dxa"/>
            </w:tcMar>
          </w:tcPr>
          <w:p w:rsidRPr="006F2FC4" w:rsidR="0084290D" w:rsidRDefault="00CF5B93" w14:paraId="5C3F33F5" w14:textId="77777777">
            <w:pPr>
              <w:pStyle w:val="p-table"/>
              <w:rPr>
                <w:sz w:val="13"/>
                <w:szCs w:val="13"/>
              </w:rPr>
            </w:pPr>
            <w:r w:rsidRPr="006F2FC4">
              <w:rPr>
                <w:sz w:val="13"/>
                <w:szCs w:val="13"/>
              </w:rPr>
              <w:t>(Schade)vergoedingen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7FB9154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72CF8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90AD3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650CC0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AEF35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BB2F0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08A74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06AA1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B8C10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9D2D123" w14:textId="77777777">
            <w:pPr>
              <w:pStyle w:val="p-table"/>
              <w:jc w:val="right"/>
              <w:rPr>
                <w:sz w:val="13"/>
                <w:szCs w:val="13"/>
              </w:rPr>
            </w:pPr>
            <w:r w:rsidRPr="006F2FC4">
              <w:rPr>
                <w:sz w:val="13"/>
                <w:szCs w:val="13"/>
              </w:rPr>
              <w:t>0</w:t>
            </w:r>
          </w:p>
        </w:tc>
      </w:tr>
      <w:tr w:rsidR="0084290D" w:rsidTr="007433BE" w14:paraId="62BC91EB" w14:textId="77777777">
        <w:tc>
          <w:tcPr>
            <w:tcW w:w="800" w:type="pct"/>
            <w:tcBorders>
              <w:bottom w:val="single" w:color="009EE0" w:sz="2" w:space="0"/>
            </w:tcBorders>
            <w:tcMar>
              <w:top w:w="22" w:type="dxa"/>
              <w:bottom w:w="22" w:type="dxa"/>
              <w:right w:w="28" w:type="dxa"/>
            </w:tcMar>
          </w:tcPr>
          <w:p w:rsidRPr="006F2FC4" w:rsidR="0084290D" w:rsidRDefault="00CF5B93" w14:paraId="07A54674" w14:textId="77777777">
            <w:pPr>
              <w:pStyle w:val="p-table"/>
              <w:rPr>
                <w:sz w:val="13"/>
                <w:szCs w:val="13"/>
              </w:rPr>
            </w:pPr>
            <w:r w:rsidRPr="006F2FC4">
              <w:rPr>
                <w:sz w:val="13"/>
                <w:szCs w:val="13"/>
              </w:rPr>
              <w:t>Vergoeding proceskosten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8C9333" w14:textId="77777777">
            <w:pPr>
              <w:pStyle w:val="p-table"/>
              <w:jc w:val="right"/>
              <w:rPr>
                <w:sz w:val="13"/>
                <w:szCs w:val="13"/>
              </w:rPr>
            </w:pPr>
            <w:r w:rsidRPr="006F2FC4">
              <w:rPr>
                <w:sz w:val="13"/>
                <w:szCs w:val="13"/>
              </w:rPr>
              <w:t>141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F7FB2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6B9330" w14:textId="77777777">
            <w:pPr>
              <w:pStyle w:val="p-table"/>
              <w:jc w:val="right"/>
              <w:rPr>
                <w:sz w:val="13"/>
                <w:szCs w:val="13"/>
              </w:rPr>
            </w:pPr>
            <w:r w:rsidRPr="006F2FC4">
              <w:rPr>
                <w:sz w:val="13"/>
                <w:szCs w:val="13"/>
              </w:rPr>
              <w:t>141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FA67DD"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1B6F5172" w14:textId="77777777">
            <w:pPr>
              <w:pStyle w:val="p-table"/>
              <w:jc w:val="right"/>
              <w:rPr>
                <w:sz w:val="13"/>
                <w:szCs w:val="13"/>
              </w:rPr>
            </w:pPr>
            <w:r w:rsidRPr="006F2FC4">
              <w:rPr>
                <w:sz w:val="13"/>
                <w:szCs w:val="13"/>
              </w:rPr>
              <w:t>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9432D2"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6E62CE"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D13B60"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EDF90BE"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C08BB5" w14:textId="77777777">
            <w:pPr>
              <w:pStyle w:val="p-table"/>
              <w:jc w:val="right"/>
              <w:rPr>
                <w:sz w:val="13"/>
                <w:szCs w:val="13"/>
              </w:rPr>
            </w:pPr>
            <w:r w:rsidRPr="006F2FC4">
              <w:rPr>
                <w:sz w:val="13"/>
                <w:szCs w:val="13"/>
              </w:rPr>
              <w:t>86</w:t>
            </w:r>
          </w:p>
        </w:tc>
      </w:tr>
      <w:tr w:rsidR="0084290D" w:rsidTr="007433BE" w14:paraId="7F994A4A" w14:textId="77777777">
        <w:tc>
          <w:tcPr>
            <w:tcW w:w="800" w:type="pct"/>
            <w:tcBorders>
              <w:bottom w:val="single" w:color="009EE0" w:sz="2" w:space="0"/>
            </w:tcBorders>
            <w:tcMar>
              <w:top w:w="22" w:type="dxa"/>
              <w:bottom w:w="22" w:type="dxa"/>
              <w:right w:w="28" w:type="dxa"/>
            </w:tcMar>
          </w:tcPr>
          <w:p w:rsidRPr="006F2FC4" w:rsidR="0084290D" w:rsidRDefault="0084290D" w14:paraId="7736C52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B37434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21C3B2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017256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301F9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DE0539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1F3011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27EF07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ADC7FF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825118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11F0F42" w14:textId="77777777">
            <w:pPr>
              <w:pStyle w:val="p-table"/>
              <w:rPr>
                <w:sz w:val="13"/>
                <w:szCs w:val="13"/>
              </w:rPr>
            </w:pPr>
          </w:p>
        </w:tc>
      </w:tr>
      <w:tr w:rsidR="0084290D" w:rsidTr="007433BE" w14:paraId="3ED2318B" w14:textId="77777777">
        <w:tc>
          <w:tcPr>
            <w:tcW w:w="800" w:type="pct"/>
            <w:tcBorders>
              <w:bottom w:val="single" w:color="009EE0" w:sz="2" w:space="0"/>
            </w:tcBorders>
            <w:tcMar>
              <w:top w:w="22" w:type="dxa"/>
              <w:bottom w:w="22" w:type="dxa"/>
              <w:right w:w="28" w:type="dxa"/>
            </w:tcMar>
          </w:tcPr>
          <w:p w:rsidRPr="006F2FC4" w:rsidR="0084290D" w:rsidRDefault="00CF5B93" w14:paraId="36C3E7A1" w14:textId="77777777">
            <w:pPr>
              <w:pStyle w:val="p-table"/>
              <w:rPr>
                <w:sz w:val="13"/>
                <w:szCs w:val="13"/>
              </w:rPr>
            </w:pPr>
            <w:r w:rsidRPr="006F2FC4">
              <w:rPr>
                <w:b/>
                <w:sz w:val="13"/>
                <w:szCs w:val="13"/>
              </w:rPr>
              <w:t>Bijdrage aan (andere) begrotingshoofdstukken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99D0F3" w14:textId="77777777">
            <w:pPr>
              <w:pStyle w:val="p-table"/>
              <w:jc w:val="right"/>
              <w:rPr>
                <w:sz w:val="13"/>
                <w:szCs w:val="13"/>
              </w:rPr>
            </w:pPr>
            <w:r w:rsidRPr="006F2FC4">
              <w:rPr>
                <w:b/>
                <w:sz w:val="13"/>
                <w:szCs w:val="13"/>
              </w:rPr>
              <w:t>229.108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F1BC5D"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3D41D91" w14:textId="77777777">
            <w:pPr>
              <w:pStyle w:val="p-table"/>
              <w:jc w:val="right"/>
              <w:rPr>
                <w:sz w:val="13"/>
                <w:szCs w:val="13"/>
              </w:rPr>
            </w:pPr>
            <w:r w:rsidRPr="006F2FC4">
              <w:rPr>
                <w:b/>
                <w:sz w:val="13"/>
                <w:szCs w:val="13"/>
              </w:rPr>
              <w:t>229.108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7F1F2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6DB5FC9" w14:textId="77777777">
            <w:pPr>
              <w:pStyle w:val="p-table"/>
              <w:jc w:val="right"/>
              <w:rPr>
                <w:sz w:val="13"/>
                <w:szCs w:val="13"/>
              </w:rPr>
            </w:pPr>
            <w:r w:rsidRPr="006F2FC4">
              <w:rPr>
                <w:b/>
                <w:sz w:val="13"/>
                <w:szCs w:val="13"/>
              </w:rPr>
              <w:t>229.108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8F6471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B12D3A5"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C4E059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38F827"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C94AD8A" w14:textId="77777777">
            <w:pPr>
              <w:pStyle w:val="p-table"/>
              <w:jc w:val="right"/>
              <w:rPr>
                <w:sz w:val="13"/>
                <w:szCs w:val="13"/>
              </w:rPr>
            </w:pPr>
            <w:r w:rsidRPr="006F2FC4">
              <w:rPr>
                <w:b/>
                <w:sz w:val="13"/>
                <w:szCs w:val="13"/>
              </w:rPr>
              <w:t>141.618</w:t>
            </w:r>
          </w:p>
        </w:tc>
      </w:tr>
      <w:tr w:rsidR="0084290D" w:rsidTr="007433BE" w14:paraId="7F2807C2" w14:textId="77777777">
        <w:tc>
          <w:tcPr>
            <w:tcW w:w="800" w:type="pct"/>
            <w:tcBorders>
              <w:bottom w:val="single" w:color="009EE0" w:sz="2" w:space="0"/>
            </w:tcBorders>
            <w:tcMar>
              <w:top w:w="22" w:type="dxa"/>
              <w:bottom w:w="22" w:type="dxa"/>
              <w:right w:w="28" w:type="dxa"/>
            </w:tcMar>
          </w:tcPr>
          <w:p w:rsidRPr="006F2FC4" w:rsidR="0084290D" w:rsidRDefault="00CF5B93" w14:paraId="20C373FF" w14:textId="77777777">
            <w:pPr>
              <w:pStyle w:val="p-table"/>
              <w:rPr>
                <w:sz w:val="13"/>
                <w:szCs w:val="13"/>
              </w:rPr>
            </w:pPr>
            <w:r w:rsidRPr="006F2FC4">
              <w:rPr>
                <w:sz w:val="13"/>
                <w:szCs w:val="13"/>
              </w:rPr>
              <w:t>Toegerekende uitgaven van Belastingen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45B098" w14:textId="77777777">
            <w:pPr>
              <w:pStyle w:val="p-table"/>
              <w:jc w:val="right"/>
              <w:rPr>
                <w:sz w:val="13"/>
                <w:szCs w:val="13"/>
              </w:rPr>
            </w:pPr>
            <w:r w:rsidRPr="006F2FC4">
              <w:rPr>
                <w:sz w:val="13"/>
                <w:szCs w:val="13"/>
              </w:rPr>
              <w:t>229.108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94581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F052069" w14:textId="77777777">
            <w:pPr>
              <w:pStyle w:val="p-table"/>
              <w:jc w:val="right"/>
              <w:rPr>
                <w:sz w:val="13"/>
                <w:szCs w:val="13"/>
              </w:rPr>
            </w:pPr>
            <w:r w:rsidRPr="006F2FC4">
              <w:rPr>
                <w:sz w:val="13"/>
                <w:szCs w:val="13"/>
              </w:rPr>
              <w:t>229.108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B927C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436AECB" w14:textId="77777777">
            <w:pPr>
              <w:pStyle w:val="p-table"/>
              <w:jc w:val="right"/>
              <w:rPr>
                <w:sz w:val="13"/>
                <w:szCs w:val="13"/>
              </w:rPr>
            </w:pPr>
            <w:r w:rsidRPr="006F2FC4">
              <w:rPr>
                <w:sz w:val="13"/>
                <w:szCs w:val="13"/>
              </w:rPr>
              <w:t>229.108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DC648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08A30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061ED5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DA571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E4B7083" w14:textId="77777777">
            <w:pPr>
              <w:pStyle w:val="p-table"/>
              <w:jc w:val="right"/>
              <w:rPr>
                <w:sz w:val="13"/>
                <w:szCs w:val="13"/>
              </w:rPr>
            </w:pPr>
            <w:r w:rsidRPr="006F2FC4">
              <w:rPr>
                <w:sz w:val="13"/>
                <w:szCs w:val="13"/>
              </w:rPr>
              <w:t>141.618</w:t>
            </w:r>
          </w:p>
        </w:tc>
      </w:tr>
      <w:tr w:rsidR="0084290D" w:rsidTr="007433BE" w14:paraId="08A464D7" w14:textId="77777777">
        <w:tc>
          <w:tcPr>
            <w:tcW w:w="800" w:type="pct"/>
            <w:tcMar>
              <w:top w:w="22" w:type="dxa"/>
              <w:bottom w:w="22" w:type="dxa"/>
              <w:right w:w="28" w:type="dxa"/>
            </w:tcMar>
          </w:tcPr>
          <w:p w:rsidRPr="006F2FC4" w:rsidR="0084290D" w:rsidRDefault="0084290D" w14:paraId="3DBEAA31"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5693F86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5AEA3FA"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7D565A5"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70A92AC7"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24DB0B35"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0249ADED"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5FA1FD04"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4746AD4"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13338D4"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051819DA" w14:textId="77777777">
            <w:pPr>
              <w:pStyle w:val="p-table"/>
              <w:rPr>
                <w:sz w:val="13"/>
                <w:szCs w:val="13"/>
              </w:rPr>
            </w:pPr>
          </w:p>
        </w:tc>
      </w:tr>
      <w:tr w:rsidR="0084290D" w:rsidTr="007433BE" w14:paraId="04D15DED" w14:textId="77777777">
        <w:tc>
          <w:tcPr>
            <w:tcW w:w="800" w:type="pct"/>
            <w:tcBorders>
              <w:bottom w:val="single" w:color="009EE0" w:sz="2" w:space="0"/>
            </w:tcBorders>
            <w:tcMar>
              <w:top w:w="22" w:type="dxa"/>
              <w:bottom w:w="22" w:type="dxa"/>
              <w:right w:w="28" w:type="dxa"/>
            </w:tcMar>
          </w:tcPr>
          <w:p w:rsidRPr="006F2FC4" w:rsidR="0084290D" w:rsidRDefault="00CF5B93" w14:paraId="25BD38C4" w14:textId="77777777">
            <w:pPr>
              <w:pStyle w:val="p-table"/>
              <w:rPr>
                <w:sz w:val="13"/>
                <w:szCs w:val="13"/>
              </w:rPr>
            </w:pPr>
            <w:r w:rsidRPr="006F2FC4">
              <w:rPr>
                <w:b/>
                <w:sz w:val="13"/>
                <w:szCs w:val="13"/>
              </w:rPr>
              <w:t>Ontvangsten (3) +(4)</w:t>
            </w:r>
          </w:p>
        </w:tc>
        <w:tc>
          <w:tcPr>
            <w:tcW w:w="425" w:type="pct"/>
            <w:tcBorders>
              <w:bottom w:val="single" w:color="009EE0" w:sz="2" w:space="0"/>
            </w:tcBorders>
            <w:tcMar>
              <w:top w:w="22" w:type="dxa"/>
              <w:left w:w="28" w:type="dxa"/>
              <w:bottom w:w="22" w:type="dxa"/>
              <w:right w:w="28" w:type="dxa"/>
            </w:tcMar>
          </w:tcPr>
          <w:p w:rsidRPr="006F2FC4" w:rsidR="0084290D" w:rsidRDefault="00CF5B93" w14:paraId="67377491" w14:textId="77777777">
            <w:pPr>
              <w:pStyle w:val="p-table"/>
              <w:jc w:val="right"/>
              <w:rPr>
                <w:sz w:val="13"/>
                <w:szCs w:val="13"/>
              </w:rPr>
            </w:pPr>
            <w:r w:rsidRPr="006F2FC4">
              <w:rPr>
                <w:b/>
                <w:sz w:val="13"/>
                <w:szCs w:val="13"/>
              </w:rPr>
              <w:t>18.709.092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7FD5D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3A5F10" w14:textId="77777777">
            <w:pPr>
              <w:pStyle w:val="p-table"/>
              <w:jc w:val="right"/>
              <w:rPr>
                <w:sz w:val="13"/>
                <w:szCs w:val="13"/>
              </w:rPr>
            </w:pPr>
            <w:r w:rsidRPr="006F2FC4">
              <w:rPr>
                <w:b/>
                <w:sz w:val="13"/>
                <w:szCs w:val="13"/>
              </w:rPr>
              <w:t>18.709.092</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5D9BC3" w14:textId="77777777">
            <w:pPr>
              <w:pStyle w:val="p-table"/>
              <w:jc w:val="right"/>
              <w:rPr>
                <w:sz w:val="13"/>
                <w:szCs w:val="13"/>
              </w:rPr>
            </w:pPr>
            <w:r w:rsidRPr="006F2FC4">
              <w:rPr>
                <w:b/>
                <w:sz w:val="13"/>
                <w:szCs w:val="13"/>
              </w:rPr>
              <w:t>839.740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2D7576" w14:textId="77777777">
            <w:pPr>
              <w:pStyle w:val="p-table"/>
              <w:jc w:val="right"/>
              <w:rPr>
                <w:sz w:val="13"/>
                <w:szCs w:val="13"/>
              </w:rPr>
            </w:pPr>
            <w:r w:rsidRPr="006F2FC4">
              <w:rPr>
                <w:b/>
                <w:sz w:val="13"/>
                <w:szCs w:val="13"/>
              </w:rPr>
              <w:t>19.548.832</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FFFFD1" w14:textId="77777777">
            <w:pPr>
              <w:pStyle w:val="p-table"/>
              <w:jc w:val="right"/>
              <w:rPr>
                <w:sz w:val="13"/>
                <w:szCs w:val="13"/>
              </w:rPr>
            </w:pPr>
            <w:r w:rsidRPr="006F2FC4">
              <w:rPr>
                <w:b/>
                <w:sz w:val="13"/>
                <w:szCs w:val="13"/>
              </w:rPr>
              <w:t>308.669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05C77F" w14:textId="77777777">
            <w:pPr>
              <w:pStyle w:val="p-table"/>
              <w:jc w:val="right"/>
              <w:rPr>
                <w:sz w:val="13"/>
                <w:szCs w:val="13"/>
              </w:rPr>
            </w:pPr>
            <w:r w:rsidRPr="006F2FC4">
              <w:rPr>
                <w:b/>
                <w:sz w:val="13"/>
                <w:szCs w:val="13"/>
              </w:rPr>
              <w:t>1.329.609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C3336B" w14:textId="77777777">
            <w:pPr>
              <w:pStyle w:val="p-table"/>
              <w:jc w:val="right"/>
              <w:rPr>
                <w:sz w:val="13"/>
                <w:szCs w:val="13"/>
              </w:rPr>
            </w:pPr>
            <w:r w:rsidRPr="006F2FC4">
              <w:rPr>
                <w:b/>
                <w:sz w:val="13"/>
                <w:szCs w:val="13"/>
              </w:rPr>
              <w:t>742.846</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98795E" w14:textId="77777777">
            <w:pPr>
              <w:pStyle w:val="p-table"/>
              <w:jc w:val="right"/>
              <w:rPr>
                <w:sz w:val="13"/>
                <w:szCs w:val="13"/>
              </w:rPr>
            </w:pPr>
            <w:r w:rsidRPr="006F2FC4">
              <w:rPr>
                <w:b/>
                <w:sz w:val="13"/>
                <w:szCs w:val="13"/>
              </w:rPr>
              <w:t>1.587.164</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7501C2" w14:textId="77777777">
            <w:pPr>
              <w:pStyle w:val="p-table"/>
              <w:jc w:val="right"/>
              <w:rPr>
                <w:sz w:val="13"/>
                <w:szCs w:val="13"/>
              </w:rPr>
            </w:pPr>
            <w:r w:rsidRPr="006F2FC4">
              <w:rPr>
                <w:b/>
                <w:sz w:val="13"/>
                <w:szCs w:val="13"/>
              </w:rPr>
              <w:t>22.593.060</w:t>
            </w:r>
          </w:p>
        </w:tc>
      </w:tr>
      <w:tr w:rsidR="0084290D" w:rsidTr="007433BE" w14:paraId="0F999116" w14:textId="77777777">
        <w:tc>
          <w:tcPr>
            <w:tcW w:w="800" w:type="pct"/>
            <w:tcBorders>
              <w:bottom w:val="single" w:color="009EE0" w:sz="2" w:space="0"/>
            </w:tcBorders>
            <w:tcMar>
              <w:top w:w="22" w:type="dxa"/>
              <w:bottom w:w="22" w:type="dxa"/>
              <w:right w:w="28" w:type="dxa"/>
            </w:tcMar>
          </w:tcPr>
          <w:p w:rsidRPr="003268EE" w:rsidR="0084290D" w:rsidRDefault="0084290D" w14:paraId="6F0CF68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5F5AAA6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44819F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4D181B4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0DC304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A346BA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811F1E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37A12C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7D2EDFF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A52DCC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7EB794F" w14:textId="77777777">
            <w:pPr>
              <w:pStyle w:val="p-table"/>
              <w:rPr>
                <w:sz w:val="13"/>
                <w:szCs w:val="13"/>
              </w:rPr>
            </w:pPr>
          </w:p>
        </w:tc>
      </w:tr>
      <w:tr w:rsidR="0084290D" w:rsidTr="007433BE" w14:paraId="78148E3D" w14:textId="77777777">
        <w:tc>
          <w:tcPr>
            <w:tcW w:w="800" w:type="pct"/>
            <w:tcBorders>
              <w:bottom w:val="single" w:color="009EE0" w:sz="2" w:space="0"/>
            </w:tcBorders>
            <w:tcMar>
              <w:top w:w="22" w:type="dxa"/>
              <w:bottom w:w="22" w:type="dxa"/>
              <w:right w:w="28" w:type="dxa"/>
            </w:tcMar>
          </w:tcPr>
          <w:p w:rsidRPr="003268EE" w:rsidR="0084290D" w:rsidRDefault="00CF5B93" w14:paraId="115FB41D" w14:textId="77777777">
            <w:pPr>
              <w:pStyle w:val="p-table"/>
              <w:rPr>
                <w:sz w:val="13"/>
                <w:szCs w:val="13"/>
              </w:rPr>
            </w:pPr>
            <w:r w:rsidRPr="003268EE">
              <w:rPr>
                <w:b/>
                <w:sz w:val="13"/>
                <w:szCs w:val="13"/>
              </w:rPr>
              <w:t>Programma-ontvangsten (3)</w:t>
            </w:r>
          </w:p>
        </w:tc>
        <w:tc>
          <w:tcPr>
            <w:tcW w:w="425" w:type="pct"/>
            <w:tcBorders>
              <w:bottom w:val="single" w:color="009EE0" w:sz="2" w:space="0"/>
            </w:tcBorders>
            <w:tcMar>
              <w:top w:w="22" w:type="dxa"/>
              <w:left w:w="28" w:type="dxa"/>
              <w:bottom w:w="22" w:type="dxa"/>
              <w:right w:w="28" w:type="dxa"/>
            </w:tcMar>
          </w:tcPr>
          <w:p w:rsidRPr="003268EE" w:rsidR="0084290D" w:rsidRDefault="00CF5B93" w14:paraId="1F8D7C14" w14:textId="77777777">
            <w:pPr>
              <w:pStyle w:val="p-table"/>
              <w:jc w:val="right"/>
              <w:rPr>
                <w:sz w:val="13"/>
                <w:szCs w:val="13"/>
              </w:rPr>
            </w:pPr>
            <w:r w:rsidRPr="003268EE">
              <w:rPr>
                <w:b/>
                <w:sz w:val="13"/>
                <w:szCs w:val="13"/>
              </w:rPr>
              <w:t>18.708.487</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DDBFF2"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03194EA1" w14:textId="77777777">
            <w:pPr>
              <w:pStyle w:val="p-table"/>
              <w:jc w:val="right"/>
              <w:rPr>
                <w:sz w:val="13"/>
                <w:szCs w:val="13"/>
              </w:rPr>
            </w:pPr>
            <w:r w:rsidRPr="003268EE">
              <w:rPr>
                <w:b/>
                <w:sz w:val="13"/>
                <w:szCs w:val="13"/>
              </w:rPr>
              <w:t>18.708.487</w:t>
            </w:r>
          </w:p>
        </w:tc>
        <w:tc>
          <w:tcPr>
            <w:tcW w:w="425" w:type="pct"/>
            <w:tcBorders>
              <w:bottom w:val="single" w:color="009EE0" w:sz="2" w:space="0"/>
            </w:tcBorders>
            <w:tcMar>
              <w:top w:w="22" w:type="dxa"/>
              <w:left w:w="28" w:type="dxa"/>
              <w:bottom w:w="22" w:type="dxa"/>
              <w:right w:w="28" w:type="dxa"/>
            </w:tcMar>
          </w:tcPr>
          <w:p w:rsidRPr="003268EE" w:rsidR="0084290D" w:rsidRDefault="00CF5B93" w14:paraId="7CEA344D" w14:textId="77777777">
            <w:pPr>
              <w:pStyle w:val="p-table"/>
              <w:jc w:val="right"/>
              <w:rPr>
                <w:sz w:val="13"/>
                <w:szCs w:val="13"/>
              </w:rPr>
            </w:pPr>
            <w:r w:rsidRPr="003268EE">
              <w:rPr>
                <w:b/>
                <w:sz w:val="13"/>
                <w:szCs w:val="13"/>
              </w:rPr>
              <w:t>822.740</w:t>
            </w:r>
          </w:p>
        </w:tc>
        <w:tc>
          <w:tcPr>
            <w:tcW w:w="425" w:type="pct"/>
            <w:tcBorders>
              <w:bottom w:val="single" w:color="009EE0" w:sz="2" w:space="0"/>
            </w:tcBorders>
            <w:tcMar>
              <w:top w:w="22" w:type="dxa"/>
              <w:left w:w="28" w:type="dxa"/>
              <w:bottom w:w="22" w:type="dxa"/>
              <w:right w:w="28" w:type="dxa"/>
            </w:tcMar>
          </w:tcPr>
          <w:p w:rsidRPr="003268EE" w:rsidR="0084290D" w:rsidRDefault="00CF5B93" w14:paraId="3FE5688F" w14:textId="77777777">
            <w:pPr>
              <w:pStyle w:val="p-table"/>
              <w:jc w:val="right"/>
              <w:rPr>
                <w:sz w:val="13"/>
                <w:szCs w:val="13"/>
              </w:rPr>
            </w:pPr>
            <w:r w:rsidRPr="003268EE">
              <w:rPr>
                <w:b/>
                <w:sz w:val="13"/>
                <w:szCs w:val="13"/>
              </w:rPr>
              <w:t>19.531.227</w:t>
            </w:r>
          </w:p>
        </w:tc>
        <w:tc>
          <w:tcPr>
            <w:tcW w:w="425" w:type="pct"/>
            <w:tcBorders>
              <w:bottom w:val="single" w:color="009EE0" w:sz="2" w:space="0"/>
            </w:tcBorders>
            <w:tcMar>
              <w:top w:w="22" w:type="dxa"/>
              <w:left w:w="28" w:type="dxa"/>
              <w:bottom w:w="22" w:type="dxa"/>
              <w:right w:w="28" w:type="dxa"/>
            </w:tcMar>
          </w:tcPr>
          <w:p w:rsidRPr="003268EE" w:rsidR="0084290D" w:rsidRDefault="00CF5B93" w14:paraId="5EE906CC" w14:textId="77777777">
            <w:pPr>
              <w:pStyle w:val="p-table"/>
              <w:jc w:val="right"/>
              <w:rPr>
                <w:sz w:val="13"/>
                <w:szCs w:val="13"/>
              </w:rPr>
            </w:pPr>
            <w:r w:rsidRPr="003268EE">
              <w:rPr>
                <w:b/>
                <w:sz w:val="13"/>
                <w:szCs w:val="13"/>
              </w:rPr>
              <w:t>308.673</w:t>
            </w:r>
          </w:p>
        </w:tc>
        <w:tc>
          <w:tcPr>
            <w:tcW w:w="425" w:type="pct"/>
            <w:tcBorders>
              <w:bottom w:val="single" w:color="009EE0" w:sz="2" w:space="0"/>
            </w:tcBorders>
            <w:tcMar>
              <w:top w:w="22" w:type="dxa"/>
              <w:left w:w="28" w:type="dxa"/>
              <w:bottom w:w="22" w:type="dxa"/>
              <w:right w:w="28" w:type="dxa"/>
            </w:tcMar>
          </w:tcPr>
          <w:p w:rsidRPr="003268EE" w:rsidR="0084290D" w:rsidRDefault="00CF5B93" w14:paraId="2CB69993" w14:textId="77777777">
            <w:pPr>
              <w:pStyle w:val="p-table"/>
              <w:jc w:val="right"/>
              <w:rPr>
                <w:sz w:val="13"/>
                <w:szCs w:val="13"/>
              </w:rPr>
            </w:pPr>
            <w:r w:rsidRPr="003268EE">
              <w:rPr>
                <w:b/>
                <w:sz w:val="13"/>
                <w:szCs w:val="13"/>
              </w:rPr>
              <w:t>1.329.616</w:t>
            </w:r>
          </w:p>
        </w:tc>
        <w:tc>
          <w:tcPr>
            <w:tcW w:w="425" w:type="pct"/>
            <w:tcBorders>
              <w:bottom w:val="single" w:color="009EE0" w:sz="2" w:space="0"/>
            </w:tcBorders>
            <w:tcMar>
              <w:top w:w="22" w:type="dxa"/>
              <w:left w:w="28" w:type="dxa"/>
              <w:bottom w:w="22" w:type="dxa"/>
              <w:right w:w="28" w:type="dxa"/>
            </w:tcMar>
          </w:tcPr>
          <w:p w:rsidRPr="003268EE" w:rsidR="0084290D" w:rsidRDefault="00CF5B93" w14:paraId="742E7198" w14:textId="77777777">
            <w:pPr>
              <w:pStyle w:val="p-table"/>
              <w:jc w:val="right"/>
              <w:rPr>
                <w:sz w:val="13"/>
                <w:szCs w:val="13"/>
              </w:rPr>
            </w:pPr>
            <w:r w:rsidRPr="003268EE">
              <w:rPr>
                <w:b/>
                <w:sz w:val="13"/>
                <w:szCs w:val="13"/>
              </w:rPr>
              <w:t>742.869</w:t>
            </w:r>
          </w:p>
        </w:tc>
        <w:tc>
          <w:tcPr>
            <w:tcW w:w="425" w:type="pct"/>
            <w:tcBorders>
              <w:bottom w:val="single" w:color="009EE0" w:sz="2" w:space="0"/>
            </w:tcBorders>
            <w:tcMar>
              <w:top w:w="22" w:type="dxa"/>
              <w:left w:w="28" w:type="dxa"/>
              <w:bottom w:w="22" w:type="dxa"/>
              <w:right w:w="28" w:type="dxa"/>
            </w:tcMar>
          </w:tcPr>
          <w:p w:rsidRPr="003268EE" w:rsidR="0084290D" w:rsidRDefault="00CF5B93" w14:paraId="34C8C237" w14:textId="77777777">
            <w:pPr>
              <w:pStyle w:val="p-table"/>
              <w:jc w:val="right"/>
              <w:rPr>
                <w:sz w:val="13"/>
                <w:szCs w:val="13"/>
              </w:rPr>
            </w:pPr>
            <w:r w:rsidRPr="003268EE">
              <w:rPr>
                <w:b/>
                <w:sz w:val="13"/>
                <w:szCs w:val="13"/>
              </w:rPr>
              <w:t>1.587.209</w:t>
            </w:r>
          </w:p>
        </w:tc>
        <w:tc>
          <w:tcPr>
            <w:tcW w:w="425" w:type="pct"/>
            <w:tcBorders>
              <w:bottom w:val="single" w:color="009EE0" w:sz="2" w:space="0"/>
            </w:tcBorders>
            <w:tcMar>
              <w:top w:w="22" w:type="dxa"/>
              <w:left w:w="28" w:type="dxa"/>
              <w:bottom w:w="22" w:type="dxa"/>
              <w:right w:w="28" w:type="dxa"/>
            </w:tcMar>
          </w:tcPr>
          <w:p w:rsidRPr="003268EE" w:rsidR="0084290D" w:rsidRDefault="00CF5B93" w14:paraId="14CF8456" w14:textId="77777777">
            <w:pPr>
              <w:pStyle w:val="p-table"/>
              <w:jc w:val="right"/>
              <w:rPr>
                <w:sz w:val="13"/>
                <w:szCs w:val="13"/>
              </w:rPr>
            </w:pPr>
            <w:r w:rsidRPr="003268EE">
              <w:rPr>
                <w:b/>
                <w:sz w:val="13"/>
                <w:szCs w:val="13"/>
              </w:rPr>
              <w:t>22.592.500</w:t>
            </w:r>
          </w:p>
        </w:tc>
      </w:tr>
      <w:tr w:rsidR="0084290D" w:rsidTr="007433BE" w14:paraId="4DD70DEE" w14:textId="77777777">
        <w:tc>
          <w:tcPr>
            <w:tcW w:w="800" w:type="pct"/>
            <w:tcBorders>
              <w:bottom w:val="single" w:color="009EE0" w:sz="2" w:space="0"/>
            </w:tcBorders>
            <w:tcMar>
              <w:top w:w="22" w:type="dxa"/>
              <w:bottom w:w="22" w:type="dxa"/>
              <w:right w:w="28" w:type="dxa"/>
            </w:tcMar>
          </w:tcPr>
          <w:p w:rsidRPr="003268EE" w:rsidR="0084290D" w:rsidRDefault="0084290D" w14:paraId="47A1A07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E94C04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BA14A9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5B78B2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6D621A2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679232D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6EB558D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E1F12A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491BF1A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5013659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32D59B4" w14:textId="77777777">
            <w:pPr>
              <w:pStyle w:val="p-table"/>
              <w:rPr>
                <w:sz w:val="13"/>
                <w:szCs w:val="13"/>
              </w:rPr>
            </w:pPr>
          </w:p>
        </w:tc>
      </w:tr>
      <w:tr w:rsidR="0084290D" w:rsidTr="007433BE" w14:paraId="3561315F" w14:textId="77777777">
        <w:tc>
          <w:tcPr>
            <w:tcW w:w="800" w:type="pct"/>
            <w:tcBorders>
              <w:bottom w:val="single" w:color="009EE0" w:sz="2" w:space="0"/>
            </w:tcBorders>
            <w:tcMar>
              <w:top w:w="22" w:type="dxa"/>
              <w:bottom w:w="22" w:type="dxa"/>
              <w:right w:w="28" w:type="dxa"/>
            </w:tcMar>
          </w:tcPr>
          <w:p w:rsidRPr="003268EE" w:rsidR="0084290D" w:rsidRDefault="00CF5B93" w14:paraId="4E3E3E80" w14:textId="77777777">
            <w:pPr>
              <w:pStyle w:val="p-table"/>
              <w:rPr>
                <w:sz w:val="13"/>
                <w:szCs w:val="13"/>
              </w:rPr>
            </w:pPr>
            <w:r w:rsidRPr="003268EE">
              <w:rPr>
                <w:sz w:val="13"/>
                <w:szCs w:val="13"/>
              </w:rPr>
              <w:t>waarvan: Belastingontvangsten</w:t>
            </w:r>
          </w:p>
        </w:tc>
        <w:tc>
          <w:tcPr>
            <w:tcW w:w="425" w:type="pct"/>
            <w:tcBorders>
              <w:bottom w:val="single" w:color="009EE0" w:sz="2" w:space="0"/>
            </w:tcBorders>
            <w:tcMar>
              <w:top w:w="22" w:type="dxa"/>
              <w:left w:w="28" w:type="dxa"/>
              <w:bottom w:w="22" w:type="dxa"/>
              <w:right w:w="28" w:type="dxa"/>
            </w:tcMar>
          </w:tcPr>
          <w:p w:rsidRPr="003268EE" w:rsidR="0084290D" w:rsidRDefault="00CF5B93" w14:paraId="44F08293" w14:textId="77777777">
            <w:pPr>
              <w:pStyle w:val="p-table"/>
              <w:jc w:val="right"/>
              <w:rPr>
                <w:sz w:val="13"/>
                <w:szCs w:val="13"/>
              </w:rPr>
            </w:pPr>
            <w:r w:rsidRPr="003268EE">
              <w:rPr>
                <w:sz w:val="13"/>
                <w:szCs w:val="13"/>
              </w:rPr>
              <w:t>18.475.215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CE2595"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54849959" w14:textId="77777777">
            <w:pPr>
              <w:pStyle w:val="p-table"/>
              <w:jc w:val="right"/>
              <w:rPr>
                <w:sz w:val="13"/>
                <w:szCs w:val="13"/>
              </w:rPr>
            </w:pPr>
            <w:r w:rsidRPr="003268EE">
              <w:rPr>
                <w:sz w:val="13"/>
                <w:szCs w:val="13"/>
              </w:rPr>
              <w:t>18.475.215</w:t>
            </w:r>
          </w:p>
        </w:tc>
        <w:tc>
          <w:tcPr>
            <w:tcW w:w="425" w:type="pct"/>
            <w:tcBorders>
              <w:bottom w:val="single" w:color="009EE0" w:sz="2" w:space="0"/>
            </w:tcBorders>
            <w:tcMar>
              <w:top w:w="22" w:type="dxa"/>
              <w:left w:w="28" w:type="dxa"/>
              <w:bottom w:w="22" w:type="dxa"/>
              <w:right w:w="28" w:type="dxa"/>
            </w:tcMar>
          </w:tcPr>
          <w:p w:rsidRPr="003268EE" w:rsidR="0084290D" w:rsidRDefault="00CF5B93" w14:paraId="7DFBCB76" w14:textId="77777777">
            <w:pPr>
              <w:pStyle w:val="p-table"/>
              <w:jc w:val="right"/>
              <w:rPr>
                <w:sz w:val="13"/>
                <w:szCs w:val="13"/>
              </w:rPr>
            </w:pPr>
            <w:r w:rsidRPr="003268EE">
              <w:rPr>
                <w:sz w:val="13"/>
                <w:szCs w:val="13"/>
              </w:rPr>
              <w:t>820.121</w:t>
            </w:r>
          </w:p>
        </w:tc>
        <w:tc>
          <w:tcPr>
            <w:tcW w:w="425" w:type="pct"/>
            <w:tcBorders>
              <w:bottom w:val="single" w:color="009EE0" w:sz="2" w:space="0"/>
            </w:tcBorders>
            <w:tcMar>
              <w:top w:w="22" w:type="dxa"/>
              <w:left w:w="28" w:type="dxa"/>
              <w:bottom w:w="22" w:type="dxa"/>
              <w:right w:w="28" w:type="dxa"/>
            </w:tcMar>
          </w:tcPr>
          <w:p w:rsidRPr="003268EE" w:rsidR="0084290D" w:rsidRDefault="00CF5B93" w14:paraId="3FB96FCB" w14:textId="77777777">
            <w:pPr>
              <w:pStyle w:val="p-table"/>
              <w:jc w:val="right"/>
              <w:rPr>
                <w:sz w:val="13"/>
                <w:szCs w:val="13"/>
              </w:rPr>
            </w:pPr>
            <w:r w:rsidRPr="003268EE">
              <w:rPr>
                <w:sz w:val="13"/>
                <w:szCs w:val="13"/>
              </w:rPr>
              <w:t>19.295.336</w:t>
            </w:r>
          </w:p>
        </w:tc>
        <w:tc>
          <w:tcPr>
            <w:tcW w:w="425" w:type="pct"/>
            <w:tcBorders>
              <w:bottom w:val="single" w:color="009EE0" w:sz="2" w:space="0"/>
            </w:tcBorders>
            <w:tcMar>
              <w:top w:w="22" w:type="dxa"/>
              <w:left w:w="28" w:type="dxa"/>
              <w:bottom w:w="22" w:type="dxa"/>
              <w:right w:w="28" w:type="dxa"/>
            </w:tcMar>
          </w:tcPr>
          <w:p w:rsidRPr="003268EE" w:rsidR="0084290D" w:rsidRDefault="00CF5B93" w14:paraId="48029763" w14:textId="77777777">
            <w:pPr>
              <w:pStyle w:val="p-table"/>
              <w:jc w:val="right"/>
              <w:rPr>
                <w:sz w:val="13"/>
                <w:szCs w:val="13"/>
              </w:rPr>
            </w:pPr>
            <w:r w:rsidRPr="003268EE">
              <w:rPr>
                <w:sz w:val="13"/>
                <w:szCs w:val="13"/>
              </w:rPr>
              <w:t>208.263</w:t>
            </w:r>
          </w:p>
        </w:tc>
        <w:tc>
          <w:tcPr>
            <w:tcW w:w="425" w:type="pct"/>
            <w:tcBorders>
              <w:bottom w:val="single" w:color="009EE0" w:sz="2" w:space="0"/>
            </w:tcBorders>
            <w:tcMar>
              <w:top w:w="22" w:type="dxa"/>
              <w:left w:w="28" w:type="dxa"/>
              <w:bottom w:w="22" w:type="dxa"/>
              <w:right w:w="28" w:type="dxa"/>
            </w:tcMar>
          </w:tcPr>
          <w:p w:rsidRPr="003268EE" w:rsidR="0084290D" w:rsidRDefault="00CF5B93" w14:paraId="2676863C" w14:textId="77777777">
            <w:pPr>
              <w:pStyle w:val="p-table"/>
              <w:jc w:val="right"/>
              <w:rPr>
                <w:sz w:val="13"/>
                <w:szCs w:val="13"/>
              </w:rPr>
            </w:pPr>
            <w:r w:rsidRPr="003268EE">
              <w:rPr>
                <w:sz w:val="13"/>
                <w:szCs w:val="13"/>
              </w:rPr>
              <w:t>828.519</w:t>
            </w:r>
          </w:p>
        </w:tc>
        <w:tc>
          <w:tcPr>
            <w:tcW w:w="425" w:type="pct"/>
            <w:tcBorders>
              <w:bottom w:val="single" w:color="009EE0" w:sz="2" w:space="0"/>
            </w:tcBorders>
            <w:tcMar>
              <w:top w:w="22" w:type="dxa"/>
              <w:left w:w="28" w:type="dxa"/>
              <w:bottom w:w="22" w:type="dxa"/>
              <w:right w:w="28" w:type="dxa"/>
            </w:tcMar>
          </w:tcPr>
          <w:p w:rsidRPr="003268EE" w:rsidR="0084290D" w:rsidRDefault="00CF5B93" w14:paraId="2C087A66" w14:textId="77777777">
            <w:pPr>
              <w:pStyle w:val="p-table"/>
              <w:jc w:val="right"/>
              <w:rPr>
                <w:sz w:val="13"/>
                <w:szCs w:val="13"/>
              </w:rPr>
            </w:pPr>
            <w:r w:rsidRPr="003268EE">
              <w:rPr>
                <w:sz w:val="13"/>
                <w:szCs w:val="13"/>
              </w:rPr>
              <w:t>740.469</w:t>
            </w:r>
          </w:p>
        </w:tc>
        <w:tc>
          <w:tcPr>
            <w:tcW w:w="425" w:type="pct"/>
            <w:tcBorders>
              <w:bottom w:val="single" w:color="009EE0" w:sz="2" w:space="0"/>
            </w:tcBorders>
            <w:tcMar>
              <w:top w:w="22" w:type="dxa"/>
              <w:left w:w="28" w:type="dxa"/>
              <w:bottom w:w="22" w:type="dxa"/>
              <w:right w:w="28" w:type="dxa"/>
            </w:tcMar>
          </w:tcPr>
          <w:p w:rsidRPr="003268EE" w:rsidR="0084290D" w:rsidRDefault="00CF5B93" w14:paraId="5C4C6349" w14:textId="77777777">
            <w:pPr>
              <w:pStyle w:val="p-table"/>
              <w:jc w:val="right"/>
              <w:rPr>
                <w:sz w:val="13"/>
                <w:szCs w:val="13"/>
              </w:rPr>
            </w:pPr>
            <w:r w:rsidRPr="003268EE">
              <w:rPr>
                <w:sz w:val="13"/>
                <w:szCs w:val="13"/>
              </w:rPr>
              <w:t>1.584.809</w:t>
            </w:r>
          </w:p>
        </w:tc>
        <w:tc>
          <w:tcPr>
            <w:tcW w:w="425" w:type="pct"/>
            <w:tcBorders>
              <w:bottom w:val="single" w:color="009EE0" w:sz="2" w:space="0"/>
            </w:tcBorders>
            <w:tcMar>
              <w:top w:w="22" w:type="dxa"/>
              <w:left w:w="28" w:type="dxa"/>
              <w:bottom w:w="22" w:type="dxa"/>
              <w:right w:w="28" w:type="dxa"/>
            </w:tcMar>
          </w:tcPr>
          <w:p w:rsidRPr="003268EE" w:rsidR="0084290D" w:rsidRDefault="00CF5B93" w14:paraId="7989C540" w14:textId="77777777">
            <w:pPr>
              <w:pStyle w:val="p-table"/>
              <w:jc w:val="right"/>
              <w:rPr>
                <w:sz w:val="13"/>
                <w:szCs w:val="13"/>
              </w:rPr>
            </w:pPr>
            <w:r w:rsidRPr="003268EE">
              <w:rPr>
                <w:sz w:val="13"/>
                <w:szCs w:val="13"/>
              </w:rPr>
              <w:t>22.568.000</w:t>
            </w:r>
          </w:p>
        </w:tc>
      </w:tr>
      <w:tr w:rsidR="0084290D" w:rsidTr="007433BE" w14:paraId="4BDF1FB5" w14:textId="77777777">
        <w:tc>
          <w:tcPr>
            <w:tcW w:w="800" w:type="pct"/>
            <w:tcBorders>
              <w:bottom w:val="single" w:color="009EE0" w:sz="2" w:space="0"/>
            </w:tcBorders>
            <w:tcMar>
              <w:top w:w="22" w:type="dxa"/>
              <w:bottom w:w="22" w:type="dxa"/>
              <w:right w:w="28" w:type="dxa"/>
            </w:tcMar>
          </w:tcPr>
          <w:p w:rsidRPr="003268EE" w:rsidR="0084290D" w:rsidRDefault="0084290D" w14:paraId="6CAFCC9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F47ECA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54FC1E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FCF7E7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63334E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58273E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48A5AF9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74E676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5E0FC8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344D6C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52EF92CA" w14:textId="77777777">
            <w:pPr>
              <w:pStyle w:val="p-table"/>
              <w:rPr>
                <w:sz w:val="13"/>
                <w:szCs w:val="13"/>
              </w:rPr>
            </w:pPr>
          </w:p>
        </w:tc>
      </w:tr>
      <w:tr w:rsidR="0084290D" w:rsidTr="007433BE" w14:paraId="10579FA3" w14:textId="77777777">
        <w:tc>
          <w:tcPr>
            <w:tcW w:w="800" w:type="pct"/>
            <w:tcBorders>
              <w:bottom w:val="single" w:color="009EE0" w:sz="2" w:space="0"/>
            </w:tcBorders>
            <w:tcMar>
              <w:top w:w="22" w:type="dxa"/>
              <w:bottom w:w="22" w:type="dxa"/>
              <w:right w:w="28" w:type="dxa"/>
            </w:tcMar>
          </w:tcPr>
          <w:p w:rsidRPr="003268EE" w:rsidR="0084290D" w:rsidRDefault="00CF5B93" w14:paraId="49D031CE" w14:textId="77777777">
            <w:pPr>
              <w:pStyle w:val="p-table"/>
              <w:rPr>
                <w:sz w:val="13"/>
                <w:szCs w:val="13"/>
              </w:rPr>
            </w:pPr>
            <w:r w:rsidRPr="003268EE">
              <w:rPr>
                <w:sz w:val="13"/>
                <w:szCs w:val="13"/>
              </w:rPr>
              <w:t>Ontvangsten CBAM</w:t>
            </w:r>
          </w:p>
        </w:tc>
        <w:tc>
          <w:tcPr>
            <w:tcW w:w="425" w:type="pct"/>
            <w:tcBorders>
              <w:bottom w:val="single" w:color="009EE0" w:sz="2" w:space="0"/>
            </w:tcBorders>
            <w:tcMar>
              <w:top w:w="22" w:type="dxa"/>
              <w:left w:w="28" w:type="dxa"/>
              <w:bottom w:w="22" w:type="dxa"/>
              <w:right w:w="28" w:type="dxa"/>
            </w:tcMar>
          </w:tcPr>
          <w:p w:rsidRPr="003268EE" w:rsidR="0084290D" w:rsidRDefault="00CF5B93" w14:paraId="53137783" w14:textId="77777777">
            <w:pPr>
              <w:pStyle w:val="p-table"/>
              <w:jc w:val="right"/>
              <w:rPr>
                <w:sz w:val="13"/>
                <w:szCs w:val="13"/>
              </w:rPr>
            </w:pPr>
            <w:r w:rsidRPr="003268EE">
              <w:rPr>
                <w:sz w:val="13"/>
                <w:szCs w:val="13"/>
              </w:rPr>
              <w:t>211.172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DCC7F7"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2CF00D5F" w14:textId="77777777">
            <w:pPr>
              <w:pStyle w:val="p-table"/>
              <w:jc w:val="right"/>
              <w:rPr>
                <w:sz w:val="13"/>
                <w:szCs w:val="13"/>
              </w:rPr>
            </w:pPr>
            <w:r w:rsidRPr="003268EE">
              <w:rPr>
                <w:sz w:val="13"/>
                <w:szCs w:val="13"/>
              </w:rPr>
              <w:t>211.172</w:t>
            </w:r>
          </w:p>
        </w:tc>
        <w:tc>
          <w:tcPr>
            <w:tcW w:w="425" w:type="pct"/>
            <w:tcBorders>
              <w:bottom w:val="single" w:color="009EE0" w:sz="2" w:space="0"/>
            </w:tcBorders>
            <w:tcMar>
              <w:top w:w="22" w:type="dxa"/>
              <w:left w:w="28" w:type="dxa"/>
              <w:bottom w:w="22" w:type="dxa"/>
              <w:right w:w="28" w:type="dxa"/>
            </w:tcMar>
          </w:tcPr>
          <w:p w:rsidRPr="003268EE" w:rsidR="0084290D" w:rsidRDefault="00CF5B93" w14:paraId="103DC9A9"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2D6E0B33" w14:textId="77777777">
            <w:pPr>
              <w:pStyle w:val="p-table"/>
              <w:jc w:val="right"/>
              <w:rPr>
                <w:sz w:val="13"/>
                <w:szCs w:val="13"/>
              </w:rPr>
            </w:pPr>
            <w:r w:rsidRPr="003268EE">
              <w:rPr>
                <w:sz w:val="13"/>
                <w:szCs w:val="13"/>
              </w:rPr>
              <w:t>211.172</w:t>
            </w:r>
          </w:p>
        </w:tc>
        <w:tc>
          <w:tcPr>
            <w:tcW w:w="425" w:type="pct"/>
            <w:tcBorders>
              <w:bottom w:val="single" w:color="009EE0" w:sz="2" w:space="0"/>
            </w:tcBorders>
            <w:tcMar>
              <w:top w:w="22" w:type="dxa"/>
              <w:left w:w="28" w:type="dxa"/>
              <w:bottom w:w="22" w:type="dxa"/>
              <w:right w:w="28" w:type="dxa"/>
            </w:tcMar>
          </w:tcPr>
          <w:p w:rsidRPr="003268EE" w:rsidR="0084290D" w:rsidRDefault="00CF5B93" w14:paraId="71B05CD8"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15E6C8F3"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51B7DD21"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15AB2670"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61EE5C4B" w14:textId="77777777">
            <w:pPr>
              <w:pStyle w:val="p-table"/>
              <w:jc w:val="right"/>
              <w:rPr>
                <w:sz w:val="13"/>
                <w:szCs w:val="13"/>
              </w:rPr>
            </w:pPr>
            <w:r w:rsidRPr="003268EE">
              <w:rPr>
                <w:sz w:val="13"/>
                <w:szCs w:val="13"/>
              </w:rPr>
              <w:t>0</w:t>
            </w:r>
          </w:p>
        </w:tc>
      </w:tr>
      <w:tr w:rsidR="0084290D" w:rsidTr="007433BE" w14:paraId="2554519B" w14:textId="77777777">
        <w:tc>
          <w:tcPr>
            <w:tcW w:w="800" w:type="pct"/>
            <w:tcBorders>
              <w:bottom w:val="single" w:color="009EE0" w:sz="2" w:space="0"/>
            </w:tcBorders>
            <w:tcMar>
              <w:top w:w="22" w:type="dxa"/>
              <w:bottom w:w="22" w:type="dxa"/>
              <w:right w:w="28" w:type="dxa"/>
            </w:tcMar>
          </w:tcPr>
          <w:p w:rsidRPr="003268EE" w:rsidR="0084290D" w:rsidRDefault="0084290D" w14:paraId="0C93E36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0874F7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201584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8A4B54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1CA0BB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F30C73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7D58303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B3F516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72329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6AEA8D8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43441131" w14:textId="77777777">
            <w:pPr>
              <w:pStyle w:val="p-table"/>
              <w:rPr>
                <w:sz w:val="13"/>
                <w:szCs w:val="13"/>
              </w:rPr>
            </w:pPr>
          </w:p>
        </w:tc>
      </w:tr>
    </w:tbl>
    <w:p w:rsidR="007B7D02" w:rsidRDefault="007B7D02" w14:paraId="772A809B" w14:textId="3494B0C5"/>
    <w:tbl>
      <w:tblPr>
        <w:tblW w:w="5000" w:type="pct"/>
        <w:tblCellMar>
          <w:left w:w="10" w:type="dxa"/>
          <w:right w:w="10" w:type="dxa"/>
        </w:tblCellMar>
        <w:tblLook w:val="0000" w:firstRow="0" w:lastRow="0" w:firstColumn="0" w:lastColumn="0" w:noHBand="0" w:noVBand="0"/>
      </w:tblPr>
      <w:tblGrid>
        <w:gridCol w:w="1546"/>
        <w:gridCol w:w="821"/>
        <w:gridCol w:w="724"/>
        <w:gridCol w:w="821"/>
        <w:gridCol w:w="822"/>
        <w:gridCol w:w="822"/>
        <w:gridCol w:w="822"/>
        <w:gridCol w:w="822"/>
        <w:gridCol w:w="822"/>
        <w:gridCol w:w="822"/>
        <w:gridCol w:w="822"/>
      </w:tblGrid>
      <w:tr w:rsidR="007B7D02" w:rsidTr="007433BE" w14:paraId="475E6791" w14:textId="77777777">
        <w:tc>
          <w:tcPr>
            <w:tcW w:w="800" w:type="pct"/>
            <w:tcBorders>
              <w:top w:val="single" w:color="4C94D8" w:themeColor="text2" w:themeTint="80" w:sz="4" w:space="0"/>
              <w:bottom w:val="single" w:color="009EE0" w:sz="2" w:space="0"/>
            </w:tcBorders>
            <w:tcMar>
              <w:top w:w="22" w:type="dxa"/>
              <w:bottom w:w="22" w:type="dxa"/>
              <w:right w:w="28" w:type="dxa"/>
            </w:tcMar>
          </w:tcPr>
          <w:p w:rsidR="007B7D02" w:rsidP="007B7D02" w:rsidRDefault="007B7D02" w14:paraId="04EF9BF1" w14:textId="05F435F9">
            <w:pPr>
              <w:pStyle w:val="p-table"/>
            </w:pPr>
            <w:r w:rsidRPr="006F2FC4">
              <w:rPr>
                <w:color w:val="000000"/>
                <w:sz w:val="13"/>
                <w:szCs w:val="13"/>
              </w:rPr>
              <w:t>Omschrijving</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773E1216" w14:textId="04C73DAB">
            <w:pPr>
              <w:pStyle w:val="p-table"/>
              <w:jc w:val="right"/>
              <w:rPr>
                <w:b/>
                <w:bCs/>
                <w:sz w:val="13"/>
                <w:szCs w:val="13"/>
              </w:rPr>
            </w:pPr>
            <w:r w:rsidRPr="006F2FC4">
              <w:rPr>
                <w:color w:val="000000"/>
                <w:sz w:val="13"/>
                <w:szCs w:val="13"/>
              </w:rPr>
              <w:t>Ontwerpbegroting 2026 (1)</w:t>
            </w:r>
          </w:p>
        </w:tc>
        <w:tc>
          <w:tcPr>
            <w:tcW w:w="37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2348D646" w14:textId="6A95830A">
            <w:pPr>
              <w:pStyle w:val="p-table"/>
              <w:jc w:val="right"/>
              <w:rPr>
                <w:b/>
                <w:bCs/>
                <w:sz w:val="13"/>
                <w:szCs w:val="13"/>
              </w:rPr>
            </w:pPr>
            <w:r w:rsidRPr="006F2FC4">
              <w:rPr>
                <w:color w:val="000000"/>
                <w:sz w:val="13"/>
                <w:szCs w:val="13"/>
              </w:rPr>
              <w:t>Mutaties via NvW, moties, amendementen en ISB (2)</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3C50EDB5" w14:textId="04D10023">
            <w:pPr>
              <w:pStyle w:val="p-table"/>
              <w:jc w:val="right"/>
              <w:rPr>
                <w:b/>
                <w:bCs/>
                <w:sz w:val="13"/>
                <w:szCs w:val="13"/>
              </w:rPr>
            </w:pPr>
            <w:r w:rsidRPr="006F2FC4">
              <w:rPr>
                <w:color w:val="000000"/>
                <w:sz w:val="13"/>
                <w:szCs w:val="13"/>
              </w:rPr>
              <w:t>Vastgestelde begroting 2026 (3)=(1)+(2)</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07BC0E07" w14:textId="60FEE899">
            <w:pPr>
              <w:pStyle w:val="p-table"/>
              <w:jc w:val="right"/>
              <w:rPr>
                <w:b/>
                <w:bCs/>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5472CAC7" w14:textId="2E2E2407">
            <w:pPr>
              <w:pStyle w:val="p-table"/>
              <w:jc w:val="right"/>
              <w:rPr>
                <w:b/>
                <w:bCs/>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52DA22E3" w14:textId="3B28F058">
            <w:pPr>
              <w:pStyle w:val="p-table"/>
              <w:jc w:val="right"/>
              <w:rPr>
                <w:b/>
                <w:bCs/>
                <w:sz w:val="13"/>
                <w:szCs w:val="13"/>
              </w:rPr>
            </w:pPr>
            <w:r w:rsidRPr="006F2FC4">
              <w:rPr>
                <w:color w:val="000000"/>
                <w:sz w:val="13"/>
                <w:szCs w:val="13"/>
              </w:rPr>
              <w:t>Mutatie 2027</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15793C34" w14:textId="2C99249B">
            <w:pPr>
              <w:pStyle w:val="p-table"/>
              <w:jc w:val="right"/>
              <w:rPr>
                <w:b/>
                <w:bCs/>
                <w:sz w:val="13"/>
                <w:szCs w:val="13"/>
              </w:rPr>
            </w:pPr>
            <w:r w:rsidRPr="006F2FC4">
              <w:rPr>
                <w:color w:val="000000"/>
                <w:sz w:val="13"/>
                <w:szCs w:val="13"/>
              </w:rPr>
              <w:t>Mutatie 2028</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67075348" w14:textId="0A1E1079">
            <w:pPr>
              <w:pStyle w:val="p-table"/>
              <w:jc w:val="right"/>
              <w:rPr>
                <w:b/>
                <w:bCs/>
                <w:sz w:val="13"/>
                <w:szCs w:val="13"/>
              </w:rPr>
            </w:pPr>
            <w:r w:rsidRPr="006F2FC4">
              <w:rPr>
                <w:color w:val="000000"/>
                <w:sz w:val="13"/>
                <w:szCs w:val="13"/>
              </w:rPr>
              <w:t>Mutatie 2029</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1F12DA6F" w14:textId="3E6AB458">
            <w:pPr>
              <w:pStyle w:val="p-table"/>
              <w:jc w:val="right"/>
              <w:rPr>
                <w:b/>
                <w:bCs/>
                <w:sz w:val="13"/>
                <w:szCs w:val="13"/>
              </w:rPr>
            </w:pPr>
            <w:r w:rsidRPr="006F2FC4">
              <w:rPr>
                <w:color w:val="000000"/>
                <w:sz w:val="13"/>
                <w:szCs w:val="13"/>
              </w:rPr>
              <w:t>Mutatie 2030</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31528FAB" w14:textId="1E956B43">
            <w:pPr>
              <w:pStyle w:val="p-table"/>
              <w:jc w:val="right"/>
              <w:rPr>
                <w:b/>
                <w:bCs/>
                <w:sz w:val="13"/>
                <w:szCs w:val="13"/>
              </w:rPr>
            </w:pPr>
            <w:r w:rsidRPr="006F2FC4">
              <w:rPr>
                <w:color w:val="000000"/>
                <w:sz w:val="13"/>
                <w:szCs w:val="13"/>
              </w:rPr>
              <w:t>Mutatie 2031</w:t>
            </w:r>
          </w:p>
        </w:tc>
      </w:tr>
      <w:tr w:rsidR="007B7D02" w:rsidTr="007433BE" w14:paraId="68D7653C"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ECB61C1" w14:textId="510CE7EE">
            <w:pPr>
              <w:pStyle w:val="p-table"/>
              <w:rPr>
                <w:sz w:val="13"/>
                <w:szCs w:val="13"/>
              </w:rPr>
            </w:pPr>
            <w:r>
              <w:br w:type="page"/>
            </w:r>
            <w:r w:rsidRPr="003268EE">
              <w:rPr>
                <w:b/>
                <w:sz w:val="13"/>
                <w:szCs w:val="13"/>
              </w:rPr>
              <w:t>Bekostiging</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4B71F6AA" w14:textId="77777777">
            <w:pPr>
              <w:pStyle w:val="p-table"/>
              <w:jc w:val="right"/>
              <w:rPr>
                <w:b/>
                <w:bCs/>
                <w:sz w:val="13"/>
                <w:szCs w:val="13"/>
              </w:rPr>
            </w:pPr>
            <w:r w:rsidRPr="007B7D02">
              <w:rPr>
                <w:b/>
                <w:bCs/>
                <w:sz w:val="13"/>
                <w:szCs w:val="13"/>
              </w:rPr>
              <w:t>500</w:t>
            </w:r>
          </w:p>
        </w:tc>
        <w:tc>
          <w:tcPr>
            <w:tcW w:w="375" w:type="pct"/>
            <w:tcBorders>
              <w:bottom w:val="single" w:color="009EE0" w:sz="2" w:space="0"/>
            </w:tcBorders>
            <w:tcMar>
              <w:top w:w="22" w:type="dxa"/>
              <w:left w:w="28" w:type="dxa"/>
              <w:bottom w:w="22" w:type="dxa"/>
              <w:right w:w="28" w:type="dxa"/>
            </w:tcMar>
          </w:tcPr>
          <w:p w:rsidRPr="007B7D02" w:rsidR="007B7D02" w:rsidP="007B7D02" w:rsidRDefault="007B7D02" w14:paraId="6E10B185"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11772C63" w14:textId="77777777">
            <w:pPr>
              <w:pStyle w:val="p-table"/>
              <w:jc w:val="right"/>
              <w:rPr>
                <w:b/>
                <w:bCs/>
                <w:sz w:val="13"/>
                <w:szCs w:val="13"/>
              </w:rPr>
            </w:pPr>
            <w:r w:rsidRPr="007B7D02">
              <w:rPr>
                <w:b/>
                <w:bCs/>
                <w:sz w:val="13"/>
                <w:szCs w:val="13"/>
              </w:rPr>
              <w:t>500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23EE8930"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1111CB42" w14:textId="77777777">
            <w:pPr>
              <w:pStyle w:val="p-table"/>
              <w:jc w:val="right"/>
              <w:rPr>
                <w:b/>
                <w:bCs/>
                <w:sz w:val="13"/>
                <w:szCs w:val="13"/>
              </w:rPr>
            </w:pPr>
            <w:r w:rsidRPr="007B7D02">
              <w:rPr>
                <w:b/>
                <w:bCs/>
                <w:sz w:val="13"/>
                <w:szCs w:val="13"/>
              </w:rPr>
              <w:t>500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72AF6E20"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4F20C8F2"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37C9C78D"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52F94BAE"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40D93BC9" w14:textId="77777777">
            <w:pPr>
              <w:pStyle w:val="p-table"/>
              <w:jc w:val="right"/>
              <w:rPr>
                <w:b/>
                <w:bCs/>
                <w:sz w:val="13"/>
                <w:szCs w:val="13"/>
              </w:rPr>
            </w:pPr>
            <w:r w:rsidRPr="007B7D02">
              <w:rPr>
                <w:b/>
                <w:bCs/>
                <w:sz w:val="13"/>
                <w:szCs w:val="13"/>
              </w:rPr>
              <w:t>500</w:t>
            </w:r>
          </w:p>
        </w:tc>
      </w:tr>
      <w:tr w:rsidR="007B7D02" w:rsidTr="007433BE" w14:paraId="59E65DB5"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A53991F" w14:textId="77777777">
            <w:pPr>
              <w:pStyle w:val="p-table"/>
              <w:rPr>
                <w:sz w:val="13"/>
                <w:szCs w:val="13"/>
              </w:rPr>
            </w:pPr>
            <w:r w:rsidRPr="003268EE">
              <w:rPr>
                <w:sz w:val="13"/>
                <w:szCs w:val="13"/>
              </w:rPr>
              <w:t>Doorbelasten kosten vervolging</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4260A6F" w14:textId="77777777">
            <w:pPr>
              <w:pStyle w:val="p-table"/>
              <w:jc w:val="right"/>
              <w:rPr>
                <w:sz w:val="13"/>
                <w:szCs w:val="13"/>
              </w:rPr>
            </w:pPr>
            <w:r w:rsidRPr="003268EE">
              <w:rPr>
                <w:sz w:val="13"/>
                <w:szCs w:val="13"/>
              </w:rPr>
              <w:t>500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26B2BCD"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47C2B65" w14:textId="77777777">
            <w:pPr>
              <w:pStyle w:val="p-table"/>
              <w:jc w:val="right"/>
              <w:rPr>
                <w:sz w:val="13"/>
                <w:szCs w:val="13"/>
              </w:rPr>
            </w:pPr>
            <w:r w:rsidRPr="003268EE">
              <w:rPr>
                <w:sz w:val="13"/>
                <w:szCs w:val="13"/>
              </w:rPr>
              <w:t>500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A9985F4"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EB4A753" w14:textId="77777777">
            <w:pPr>
              <w:pStyle w:val="p-table"/>
              <w:jc w:val="right"/>
              <w:rPr>
                <w:sz w:val="13"/>
                <w:szCs w:val="13"/>
              </w:rPr>
            </w:pPr>
            <w:r w:rsidRPr="003268EE">
              <w:rPr>
                <w:sz w:val="13"/>
                <w:szCs w:val="13"/>
              </w:rPr>
              <w:t>500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383F225"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7ED4ADD"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55DB676"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72D8CDB"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9818C0B" w14:textId="77777777">
            <w:pPr>
              <w:pStyle w:val="p-table"/>
              <w:jc w:val="right"/>
              <w:rPr>
                <w:sz w:val="13"/>
                <w:szCs w:val="13"/>
              </w:rPr>
            </w:pPr>
            <w:r w:rsidRPr="003268EE">
              <w:rPr>
                <w:sz w:val="13"/>
                <w:szCs w:val="13"/>
              </w:rPr>
              <w:t>500</w:t>
            </w:r>
          </w:p>
        </w:tc>
      </w:tr>
      <w:tr w:rsidR="007B7D02" w:rsidTr="007433BE" w14:paraId="6949E8A9" w14:textId="77777777">
        <w:tc>
          <w:tcPr>
            <w:tcW w:w="800" w:type="pct"/>
            <w:tcBorders>
              <w:bottom w:val="single" w:color="009EE0" w:sz="2" w:space="0"/>
            </w:tcBorders>
            <w:tcMar>
              <w:top w:w="22" w:type="dxa"/>
              <w:bottom w:w="22" w:type="dxa"/>
              <w:right w:w="28" w:type="dxa"/>
            </w:tcMar>
          </w:tcPr>
          <w:p w:rsidRPr="003268EE" w:rsidR="007B7D02" w:rsidP="007B7D02" w:rsidRDefault="007B7D02" w14:paraId="75A5CF2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509FD2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1B420C0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FD32A7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3105E6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603AE4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642A2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54FC40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01F612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EDF32F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3B31C19" w14:textId="77777777">
            <w:pPr>
              <w:pStyle w:val="p-table"/>
              <w:rPr>
                <w:sz w:val="13"/>
                <w:szCs w:val="13"/>
              </w:rPr>
            </w:pPr>
          </w:p>
        </w:tc>
      </w:tr>
      <w:tr w:rsidR="007B7D02" w:rsidTr="007433BE" w14:paraId="2F74409F" w14:textId="77777777">
        <w:tc>
          <w:tcPr>
            <w:tcW w:w="800" w:type="pct"/>
            <w:tcBorders>
              <w:bottom w:val="single" w:color="009EE0" w:sz="2" w:space="0"/>
            </w:tcBorders>
            <w:tcMar>
              <w:top w:w="22" w:type="dxa"/>
              <w:bottom w:w="22" w:type="dxa"/>
              <w:right w:w="28" w:type="dxa"/>
            </w:tcMar>
          </w:tcPr>
          <w:p w:rsidRPr="003268EE" w:rsidR="007B7D02" w:rsidP="007B7D02" w:rsidRDefault="007B7D02" w14:paraId="536F85B8" w14:textId="77777777">
            <w:pPr>
              <w:pStyle w:val="p-table"/>
              <w:rPr>
                <w:sz w:val="13"/>
                <w:szCs w:val="13"/>
              </w:rPr>
            </w:pPr>
            <w:r w:rsidRPr="003268EE">
              <w:rPr>
                <w:b/>
                <w:sz w:val="13"/>
                <w:szCs w:val="13"/>
              </w:rPr>
              <w:t>Rente</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869B404" w14:textId="77777777">
            <w:pPr>
              <w:pStyle w:val="p-table"/>
              <w:jc w:val="right"/>
              <w:rPr>
                <w:sz w:val="13"/>
                <w:szCs w:val="13"/>
              </w:rPr>
            </w:pPr>
            <w:r w:rsidRPr="003268EE">
              <w:rPr>
                <w:b/>
                <w:sz w:val="13"/>
                <w:szCs w:val="13"/>
              </w:rPr>
              <w:t>17.600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0A2BE4EF"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0FA5274" w14:textId="77777777">
            <w:pPr>
              <w:pStyle w:val="p-table"/>
              <w:jc w:val="right"/>
              <w:rPr>
                <w:sz w:val="13"/>
                <w:szCs w:val="13"/>
              </w:rPr>
            </w:pPr>
            <w:r w:rsidRPr="003268EE">
              <w:rPr>
                <w:b/>
                <w:sz w:val="13"/>
                <w:szCs w:val="13"/>
              </w:rPr>
              <w:t>17.600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E3A1DBC"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69376DD" w14:textId="77777777">
            <w:pPr>
              <w:pStyle w:val="p-table"/>
              <w:jc w:val="right"/>
              <w:rPr>
                <w:sz w:val="13"/>
                <w:szCs w:val="13"/>
              </w:rPr>
            </w:pPr>
            <w:r w:rsidRPr="003268EE">
              <w:rPr>
                <w:b/>
                <w:sz w:val="13"/>
                <w:szCs w:val="13"/>
              </w:rPr>
              <w:t>20.000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243AD49"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95BC1C7"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025DD97"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7B2ABB8"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C727EB8" w14:textId="77777777">
            <w:pPr>
              <w:pStyle w:val="p-table"/>
              <w:jc w:val="right"/>
              <w:rPr>
                <w:sz w:val="13"/>
                <w:szCs w:val="13"/>
              </w:rPr>
            </w:pPr>
            <w:r w:rsidRPr="003268EE">
              <w:rPr>
                <w:b/>
                <w:sz w:val="13"/>
                <w:szCs w:val="13"/>
              </w:rPr>
              <w:t>20.000</w:t>
            </w:r>
          </w:p>
        </w:tc>
      </w:tr>
      <w:tr w:rsidR="007B7D02" w:rsidTr="007433BE" w14:paraId="47DC534C" w14:textId="77777777">
        <w:tc>
          <w:tcPr>
            <w:tcW w:w="800" w:type="pct"/>
            <w:tcBorders>
              <w:bottom w:val="single" w:color="009EE0" w:sz="2" w:space="0"/>
            </w:tcBorders>
            <w:tcMar>
              <w:top w:w="22" w:type="dxa"/>
              <w:bottom w:w="22" w:type="dxa"/>
              <w:right w:w="28" w:type="dxa"/>
            </w:tcMar>
          </w:tcPr>
          <w:p w:rsidRPr="003268EE" w:rsidR="007B7D02" w:rsidP="007B7D02" w:rsidRDefault="007B7D02" w14:paraId="19DFDD32" w14:textId="77777777">
            <w:pPr>
              <w:pStyle w:val="p-table"/>
              <w:rPr>
                <w:sz w:val="13"/>
                <w:szCs w:val="13"/>
              </w:rPr>
            </w:pPr>
            <w:r w:rsidRPr="003268EE">
              <w:rPr>
                <w:sz w:val="13"/>
                <w:szCs w:val="13"/>
              </w:rPr>
              <w:t>Belasting- en invorderingsrente</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C357AF1" w14:textId="77777777">
            <w:pPr>
              <w:pStyle w:val="p-table"/>
              <w:jc w:val="right"/>
              <w:rPr>
                <w:sz w:val="13"/>
                <w:szCs w:val="13"/>
              </w:rPr>
            </w:pPr>
            <w:r w:rsidRPr="003268EE">
              <w:rPr>
                <w:sz w:val="13"/>
                <w:szCs w:val="13"/>
              </w:rPr>
              <w:t>17.600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6ABA36BB"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4D29335" w14:textId="77777777">
            <w:pPr>
              <w:pStyle w:val="p-table"/>
              <w:jc w:val="right"/>
              <w:rPr>
                <w:sz w:val="13"/>
                <w:szCs w:val="13"/>
              </w:rPr>
            </w:pPr>
            <w:r w:rsidRPr="003268EE">
              <w:rPr>
                <w:sz w:val="13"/>
                <w:szCs w:val="13"/>
              </w:rPr>
              <w:t>17.600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D66019E"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D58C810" w14:textId="77777777">
            <w:pPr>
              <w:pStyle w:val="p-table"/>
              <w:jc w:val="right"/>
              <w:rPr>
                <w:sz w:val="13"/>
                <w:szCs w:val="13"/>
              </w:rPr>
            </w:pPr>
            <w:r w:rsidRPr="003268EE">
              <w:rPr>
                <w:sz w:val="13"/>
                <w:szCs w:val="13"/>
              </w:rPr>
              <w:t>20.000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1FFFA76"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4384307"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D704C4C"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82BC78B"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292E15C" w14:textId="77777777">
            <w:pPr>
              <w:pStyle w:val="p-table"/>
              <w:jc w:val="right"/>
              <w:rPr>
                <w:sz w:val="13"/>
                <w:szCs w:val="13"/>
              </w:rPr>
            </w:pPr>
            <w:r w:rsidRPr="003268EE">
              <w:rPr>
                <w:sz w:val="13"/>
                <w:szCs w:val="13"/>
              </w:rPr>
              <w:t>20.000</w:t>
            </w:r>
          </w:p>
        </w:tc>
      </w:tr>
      <w:tr w:rsidR="007B7D02" w:rsidTr="007433BE" w14:paraId="5D810623" w14:textId="77777777">
        <w:tc>
          <w:tcPr>
            <w:tcW w:w="800" w:type="pct"/>
            <w:tcBorders>
              <w:bottom w:val="single" w:color="009EE0" w:sz="2" w:space="0"/>
            </w:tcBorders>
            <w:tcMar>
              <w:top w:w="22" w:type="dxa"/>
              <w:bottom w:w="22" w:type="dxa"/>
              <w:right w:w="28" w:type="dxa"/>
            </w:tcMar>
          </w:tcPr>
          <w:p w:rsidRPr="003268EE" w:rsidR="007B7D02" w:rsidP="007B7D02" w:rsidRDefault="007B7D02" w14:paraId="6A74726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055096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95641D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D284F8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E81103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85804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3A3C41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CA5F56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5C53F5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B1C10A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EB6950E" w14:textId="77777777">
            <w:pPr>
              <w:pStyle w:val="p-table"/>
              <w:rPr>
                <w:sz w:val="13"/>
                <w:szCs w:val="13"/>
              </w:rPr>
            </w:pPr>
          </w:p>
        </w:tc>
      </w:tr>
      <w:tr w:rsidR="007B7D02" w:rsidTr="007433BE" w14:paraId="53B6D634" w14:textId="77777777">
        <w:tc>
          <w:tcPr>
            <w:tcW w:w="800" w:type="pct"/>
            <w:tcBorders>
              <w:bottom w:val="single" w:color="009EE0" w:sz="2" w:space="0"/>
            </w:tcBorders>
            <w:tcMar>
              <w:top w:w="22" w:type="dxa"/>
              <w:bottom w:w="22" w:type="dxa"/>
              <w:right w:w="28" w:type="dxa"/>
            </w:tcMar>
          </w:tcPr>
          <w:p w:rsidRPr="003268EE" w:rsidR="007B7D02" w:rsidP="007B7D02" w:rsidRDefault="007B7D02" w14:paraId="39D55491" w14:textId="77777777">
            <w:pPr>
              <w:pStyle w:val="p-table"/>
              <w:rPr>
                <w:sz w:val="13"/>
                <w:szCs w:val="13"/>
              </w:rPr>
            </w:pPr>
            <w:r w:rsidRPr="003268EE">
              <w:rPr>
                <w:b/>
                <w:sz w:val="13"/>
                <w:szCs w:val="13"/>
              </w:rPr>
              <w:t>Boetes en schikkingen</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81A0F13" w14:textId="77777777">
            <w:pPr>
              <w:pStyle w:val="p-table"/>
              <w:jc w:val="right"/>
              <w:rPr>
                <w:sz w:val="13"/>
                <w:szCs w:val="13"/>
              </w:rPr>
            </w:pPr>
            <w:r w:rsidRPr="003268EE">
              <w:rPr>
                <w:b/>
                <w:sz w:val="13"/>
                <w:szCs w:val="13"/>
              </w:rPr>
              <w:t>4.000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AC121EC"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E3F224A" w14:textId="77777777">
            <w:pPr>
              <w:pStyle w:val="p-table"/>
              <w:jc w:val="right"/>
              <w:rPr>
                <w:sz w:val="13"/>
                <w:szCs w:val="13"/>
              </w:rPr>
            </w:pPr>
            <w:r w:rsidRPr="003268EE">
              <w:rPr>
                <w:b/>
                <w:sz w:val="13"/>
                <w:szCs w:val="13"/>
              </w:rPr>
              <w:t>4.000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7135CA1" w14:textId="77777777">
            <w:pPr>
              <w:pStyle w:val="p-table"/>
              <w:jc w:val="right"/>
              <w:rPr>
                <w:sz w:val="13"/>
                <w:szCs w:val="13"/>
              </w:rPr>
            </w:pPr>
            <w:r w:rsidRPr="003268EE">
              <w:rPr>
                <w:b/>
                <w:sz w:val="13"/>
                <w:szCs w:val="13"/>
              </w:rPr>
              <w:t>219</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CD56DF8" w14:textId="77777777">
            <w:pPr>
              <w:pStyle w:val="p-table"/>
              <w:jc w:val="right"/>
              <w:rPr>
                <w:sz w:val="13"/>
                <w:szCs w:val="13"/>
              </w:rPr>
            </w:pPr>
            <w:r w:rsidRPr="003268EE">
              <w:rPr>
                <w:b/>
                <w:sz w:val="13"/>
                <w:szCs w:val="13"/>
              </w:rPr>
              <w:t>4.219</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2E8A8FF"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2A819AD"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5EDCFEC"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F4E74EA"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FE8093B" w14:textId="77777777">
            <w:pPr>
              <w:pStyle w:val="p-table"/>
              <w:jc w:val="right"/>
              <w:rPr>
                <w:sz w:val="13"/>
                <w:szCs w:val="13"/>
              </w:rPr>
            </w:pPr>
            <w:r w:rsidRPr="003268EE">
              <w:rPr>
                <w:b/>
                <w:sz w:val="13"/>
                <w:szCs w:val="13"/>
              </w:rPr>
              <w:t>4.000</w:t>
            </w:r>
          </w:p>
        </w:tc>
      </w:tr>
      <w:tr w:rsidR="007B7D02" w:rsidTr="007433BE" w14:paraId="21DE86BA"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8446474" w14:textId="77777777">
            <w:pPr>
              <w:pStyle w:val="p-table"/>
              <w:rPr>
                <w:sz w:val="13"/>
                <w:szCs w:val="13"/>
              </w:rPr>
            </w:pPr>
            <w:r w:rsidRPr="003268EE">
              <w:rPr>
                <w:sz w:val="13"/>
                <w:szCs w:val="13"/>
              </w:rPr>
              <w:t>Ontvangsten boetes en schikkingen</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2CE8EA1" w14:textId="77777777">
            <w:pPr>
              <w:pStyle w:val="p-table"/>
              <w:jc w:val="right"/>
              <w:rPr>
                <w:sz w:val="13"/>
                <w:szCs w:val="13"/>
              </w:rPr>
            </w:pPr>
            <w:r w:rsidRPr="003268EE">
              <w:rPr>
                <w:sz w:val="13"/>
                <w:szCs w:val="13"/>
              </w:rPr>
              <w:t>4.000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942A42F"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CA175EA" w14:textId="77777777">
            <w:pPr>
              <w:pStyle w:val="p-table"/>
              <w:jc w:val="right"/>
              <w:rPr>
                <w:sz w:val="13"/>
                <w:szCs w:val="13"/>
              </w:rPr>
            </w:pPr>
            <w:r w:rsidRPr="003268EE">
              <w:rPr>
                <w:sz w:val="13"/>
                <w:szCs w:val="13"/>
              </w:rPr>
              <w:t>4.000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9357FDA" w14:textId="77777777">
            <w:pPr>
              <w:pStyle w:val="p-table"/>
              <w:jc w:val="right"/>
              <w:rPr>
                <w:sz w:val="13"/>
                <w:szCs w:val="13"/>
              </w:rPr>
            </w:pPr>
            <w:r w:rsidRPr="003268EE">
              <w:rPr>
                <w:sz w:val="13"/>
                <w:szCs w:val="13"/>
              </w:rPr>
              <w:t>219</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476B31F" w14:textId="77777777">
            <w:pPr>
              <w:pStyle w:val="p-table"/>
              <w:jc w:val="right"/>
              <w:rPr>
                <w:sz w:val="13"/>
                <w:szCs w:val="13"/>
              </w:rPr>
            </w:pPr>
            <w:r w:rsidRPr="003268EE">
              <w:rPr>
                <w:sz w:val="13"/>
                <w:szCs w:val="13"/>
              </w:rPr>
              <w:t>4.219</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8C29FCE"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D7958E9"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354A987"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1F87371"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3716FE6" w14:textId="77777777">
            <w:pPr>
              <w:pStyle w:val="p-table"/>
              <w:jc w:val="right"/>
              <w:rPr>
                <w:sz w:val="13"/>
                <w:szCs w:val="13"/>
              </w:rPr>
            </w:pPr>
            <w:r w:rsidRPr="003268EE">
              <w:rPr>
                <w:sz w:val="13"/>
                <w:szCs w:val="13"/>
              </w:rPr>
              <w:t>4.000</w:t>
            </w:r>
          </w:p>
        </w:tc>
      </w:tr>
      <w:tr w:rsidR="007B7D02" w:rsidTr="007433BE" w14:paraId="5EF54954" w14:textId="77777777">
        <w:tc>
          <w:tcPr>
            <w:tcW w:w="800" w:type="pct"/>
            <w:tcBorders>
              <w:bottom w:val="single" w:color="009EE0" w:sz="2" w:space="0"/>
            </w:tcBorders>
            <w:tcMar>
              <w:top w:w="22" w:type="dxa"/>
              <w:bottom w:w="22" w:type="dxa"/>
              <w:right w:w="28" w:type="dxa"/>
            </w:tcMar>
          </w:tcPr>
          <w:p w:rsidRPr="003268EE" w:rsidR="007B7D02" w:rsidP="007B7D02" w:rsidRDefault="007B7D02" w14:paraId="70E3529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BE3DCC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4F9945B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614304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F8D19D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325253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311C69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BFB476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1EED9A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3211EC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8A6B832" w14:textId="77777777">
            <w:pPr>
              <w:pStyle w:val="p-table"/>
              <w:rPr>
                <w:sz w:val="13"/>
                <w:szCs w:val="13"/>
              </w:rPr>
            </w:pPr>
          </w:p>
        </w:tc>
      </w:tr>
      <w:tr w:rsidR="007B7D02" w:rsidTr="007433BE" w14:paraId="4E6222D5" w14:textId="77777777">
        <w:tc>
          <w:tcPr>
            <w:tcW w:w="800" w:type="pct"/>
            <w:tcBorders>
              <w:bottom w:val="single" w:color="009EE0" w:sz="2" w:space="0"/>
            </w:tcBorders>
            <w:tcMar>
              <w:top w:w="22" w:type="dxa"/>
              <w:bottom w:w="22" w:type="dxa"/>
              <w:right w:w="28" w:type="dxa"/>
            </w:tcMar>
          </w:tcPr>
          <w:p w:rsidRPr="003268EE" w:rsidR="007B7D02" w:rsidP="007B7D02" w:rsidRDefault="007B7D02" w14:paraId="030AFC54" w14:textId="77777777">
            <w:pPr>
              <w:pStyle w:val="p-table"/>
              <w:rPr>
                <w:sz w:val="13"/>
                <w:szCs w:val="13"/>
              </w:rPr>
            </w:pPr>
            <w:r w:rsidRPr="003268EE">
              <w:rPr>
                <w:b/>
                <w:sz w:val="13"/>
                <w:szCs w:val="13"/>
              </w:rPr>
              <w:t>Handeling Fee</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77EC9B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360CD828"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5CD583D"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1BEF09B"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52138FC"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693EAC0" w14:textId="77777777">
            <w:pPr>
              <w:pStyle w:val="p-table"/>
              <w:jc w:val="right"/>
              <w:rPr>
                <w:sz w:val="13"/>
                <w:szCs w:val="13"/>
              </w:rPr>
            </w:pPr>
            <w:r w:rsidRPr="003268EE">
              <w:rPr>
                <w:b/>
                <w:sz w:val="13"/>
                <w:szCs w:val="13"/>
              </w:rPr>
              <w:t>98.010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3A17B00" w14:textId="77777777">
            <w:pPr>
              <w:pStyle w:val="p-table"/>
              <w:jc w:val="right"/>
              <w:rPr>
                <w:sz w:val="13"/>
                <w:szCs w:val="13"/>
              </w:rPr>
            </w:pPr>
            <w:r w:rsidRPr="003268EE">
              <w:rPr>
                <w:b/>
                <w:sz w:val="13"/>
                <w:szCs w:val="13"/>
              </w:rPr>
              <w:t>498.697</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4F89222"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F0AE1D1"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F85E2FE" w14:textId="77777777">
            <w:pPr>
              <w:pStyle w:val="p-table"/>
              <w:jc w:val="right"/>
              <w:rPr>
                <w:sz w:val="13"/>
                <w:szCs w:val="13"/>
              </w:rPr>
            </w:pPr>
            <w:r w:rsidRPr="003268EE">
              <w:rPr>
                <w:b/>
                <w:sz w:val="13"/>
                <w:szCs w:val="13"/>
              </w:rPr>
              <w:t>0</w:t>
            </w:r>
          </w:p>
        </w:tc>
      </w:tr>
      <w:tr w:rsidR="007B7D02" w:rsidTr="007433BE" w14:paraId="48D4C545"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5DF2943" w14:textId="77777777">
            <w:pPr>
              <w:pStyle w:val="p-table"/>
              <w:rPr>
                <w:sz w:val="13"/>
                <w:szCs w:val="13"/>
              </w:rPr>
            </w:pPr>
            <w:r w:rsidRPr="003268EE">
              <w:rPr>
                <w:sz w:val="13"/>
                <w:szCs w:val="13"/>
              </w:rPr>
              <w:t>Handeling Fee</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D3EA7A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67B3D530"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90692F0"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C3FEEBC"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BB66B5B"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041395A" w14:textId="77777777">
            <w:pPr>
              <w:pStyle w:val="p-table"/>
              <w:jc w:val="right"/>
              <w:rPr>
                <w:sz w:val="13"/>
                <w:szCs w:val="13"/>
              </w:rPr>
            </w:pPr>
            <w:r w:rsidRPr="003268EE">
              <w:rPr>
                <w:sz w:val="13"/>
                <w:szCs w:val="13"/>
              </w:rPr>
              <w:t>98.010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14233D9" w14:textId="77777777">
            <w:pPr>
              <w:pStyle w:val="p-table"/>
              <w:jc w:val="right"/>
              <w:rPr>
                <w:sz w:val="13"/>
                <w:szCs w:val="13"/>
              </w:rPr>
            </w:pPr>
            <w:r w:rsidRPr="003268EE">
              <w:rPr>
                <w:sz w:val="13"/>
                <w:szCs w:val="13"/>
              </w:rPr>
              <w:t>498.697</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3CBD2F1"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D68297D"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00C7442" w14:textId="77777777">
            <w:pPr>
              <w:pStyle w:val="p-table"/>
              <w:jc w:val="right"/>
              <w:rPr>
                <w:sz w:val="13"/>
                <w:szCs w:val="13"/>
              </w:rPr>
            </w:pPr>
            <w:r w:rsidRPr="003268EE">
              <w:rPr>
                <w:sz w:val="13"/>
                <w:szCs w:val="13"/>
              </w:rPr>
              <w:t>0</w:t>
            </w:r>
          </w:p>
        </w:tc>
      </w:tr>
      <w:tr w:rsidR="007B7D02" w:rsidTr="007433BE" w14:paraId="7AB5EF5A"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5A0B1D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0D48EA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15708F6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A3B39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D22EC2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FC9EAC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041D6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8DC1FF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FC33E7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0403F1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BC1F3E2" w14:textId="77777777">
            <w:pPr>
              <w:pStyle w:val="p-table"/>
              <w:rPr>
                <w:sz w:val="13"/>
                <w:szCs w:val="13"/>
              </w:rPr>
            </w:pPr>
          </w:p>
        </w:tc>
      </w:tr>
      <w:tr w:rsidR="007B7D02" w:rsidTr="007433BE" w14:paraId="24405781" w14:textId="77777777">
        <w:tc>
          <w:tcPr>
            <w:tcW w:w="800" w:type="pct"/>
            <w:tcBorders>
              <w:bottom w:val="single" w:color="009EE0" w:sz="2" w:space="0"/>
            </w:tcBorders>
            <w:tcMar>
              <w:top w:w="22" w:type="dxa"/>
              <w:bottom w:w="22" w:type="dxa"/>
              <w:right w:w="28" w:type="dxa"/>
            </w:tcMar>
          </w:tcPr>
          <w:p w:rsidRPr="003268EE" w:rsidR="007B7D02" w:rsidP="007B7D02" w:rsidRDefault="007B7D02" w14:paraId="30AC5020" w14:textId="77777777">
            <w:pPr>
              <w:pStyle w:val="p-table"/>
              <w:rPr>
                <w:sz w:val="13"/>
                <w:szCs w:val="13"/>
              </w:rPr>
            </w:pPr>
            <w:r w:rsidRPr="003268EE">
              <w:rPr>
                <w:b/>
                <w:sz w:val="13"/>
                <w:szCs w:val="13"/>
              </w:rPr>
              <w:t>Apparaatontvangsten (4)</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D8A9BFD" w14:textId="77777777">
            <w:pPr>
              <w:pStyle w:val="p-table"/>
              <w:jc w:val="right"/>
              <w:rPr>
                <w:sz w:val="13"/>
                <w:szCs w:val="13"/>
              </w:rPr>
            </w:pPr>
            <w:r w:rsidRPr="003268EE">
              <w:rPr>
                <w:b/>
                <w:sz w:val="13"/>
                <w:szCs w:val="13"/>
              </w:rPr>
              <w:t>605</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98F13E0"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0FA3F7B" w14:textId="77777777">
            <w:pPr>
              <w:pStyle w:val="p-table"/>
              <w:jc w:val="right"/>
              <w:rPr>
                <w:sz w:val="13"/>
                <w:szCs w:val="13"/>
              </w:rPr>
            </w:pPr>
            <w:r w:rsidRPr="003268EE">
              <w:rPr>
                <w:b/>
                <w:sz w:val="13"/>
                <w:szCs w:val="13"/>
              </w:rPr>
              <w:t>605</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B6239FC" w14:textId="77777777">
            <w:pPr>
              <w:pStyle w:val="p-table"/>
              <w:jc w:val="right"/>
              <w:rPr>
                <w:sz w:val="13"/>
                <w:szCs w:val="13"/>
              </w:rPr>
            </w:pPr>
            <w:r w:rsidRPr="003268EE">
              <w:rPr>
                <w:b/>
                <w:sz w:val="13"/>
                <w:szCs w:val="13"/>
              </w:rPr>
              <w:t>17.000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2574C65" w14:textId="77777777">
            <w:pPr>
              <w:pStyle w:val="p-table"/>
              <w:jc w:val="right"/>
              <w:rPr>
                <w:sz w:val="13"/>
                <w:szCs w:val="13"/>
              </w:rPr>
            </w:pPr>
            <w:r w:rsidRPr="003268EE">
              <w:rPr>
                <w:b/>
                <w:sz w:val="13"/>
                <w:szCs w:val="13"/>
              </w:rPr>
              <w:t>17.605</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3A1A7BFC" w14:textId="77777777">
            <w:pPr>
              <w:pStyle w:val="p-table"/>
              <w:jc w:val="right"/>
              <w:rPr>
                <w:b/>
                <w:bCs/>
                <w:sz w:val="13"/>
                <w:szCs w:val="13"/>
              </w:rPr>
            </w:pPr>
            <w:r w:rsidRPr="00F77519">
              <w:rPr>
                <w:b/>
                <w:bCs/>
                <w:sz w:val="13"/>
                <w:szCs w:val="13"/>
              </w:rPr>
              <w:t>‒ 4</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25133C5A" w14:textId="77777777">
            <w:pPr>
              <w:pStyle w:val="p-table"/>
              <w:jc w:val="right"/>
              <w:rPr>
                <w:b/>
                <w:bCs/>
                <w:sz w:val="13"/>
                <w:szCs w:val="13"/>
              </w:rPr>
            </w:pPr>
            <w:r w:rsidRPr="00F77519">
              <w:rPr>
                <w:b/>
                <w:bCs/>
                <w:sz w:val="13"/>
                <w:szCs w:val="13"/>
              </w:rPr>
              <w:t>‒ 7</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6DFF1F4F" w14:textId="77777777">
            <w:pPr>
              <w:pStyle w:val="p-table"/>
              <w:jc w:val="right"/>
              <w:rPr>
                <w:b/>
                <w:bCs/>
                <w:sz w:val="13"/>
                <w:szCs w:val="13"/>
              </w:rPr>
            </w:pPr>
            <w:r w:rsidRPr="00F77519">
              <w:rPr>
                <w:b/>
                <w:bCs/>
                <w:sz w:val="13"/>
                <w:szCs w:val="13"/>
              </w:rPr>
              <w:t>‒ 23</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6F611900" w14:textId="77777777">
            <w:pPr>
              <w:pStyle w:val="p-table"/>
              <w:jc w:val="right"/>
              <w:rPr>
                <w:b/>
                <w:bCs/>
                <w:sz w:val="13"/>
                <w:szCs w:val="13"/>
              </w:rPr>
            </w:pPr>
            <w:r w:rsidRPr="00F77519">
              <w:rPr>
                <w:b/>
                <w:bCs/>
                <w:sz w:val="13"/>
                <w:szCs w:val="13"/>
              </w:rPr>
              <w:t>‒ 45</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7B090637" w14:textId="77777777">
            <w:pPr>
              <w:pStyle w:val="p-table"/>
              <w:jc w:val="right"/>
              <w:rPr>
                <w:b/>
                <w:bCs/>
                <w:sz w:val="13"/>
                <w:szCs w:val="13"/>
              </w:rPr>
            </w:pPr>
            <w:r w:rsidRPr="00F77519">
              <w:rPr>
                <w:b/>
                <w:bCs/>
                <w:sz w:val="13"/>
                <w:szCs w:val="13"/>
              </w:rPr>
              <w:t>560</w:t>
            </w:r>
          </w:p>
        </w:tc>
      </w:tr>
    </w:tbl>
    <w:p w:rsidR="0084290D" w:rsidRDefault="0084290D" w14:paraId="5369BC84"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1EB10273" w14:textId="77777777">
        <w:trPr>
          <w:tblHeader/>
        </w:trPr>
        <w:tc>
          <w:tcPr>
            <w:tcW w:w="5508" w:type="dxa"/>
            <w:gridSpan w:val="2"/>
            <w:tcMar>
              <w:top w:w="22" w:type="dxa"/>
              <w:left w:w="113" w:type="dxa"/>
              <w:bottom w:w="22" w:type="dxa"/>
            </w:tcMar>
          </w:tcPr>
          <w:p w:rsidR="0084290D" w:rsidRDefault="00CF5B93" w14:paraId="1A71E6D4" w14:textId="77777777">
            <w:pPr>
              <w:pStyle w:val="kio2-table-title"/>
            </w:pPr>
            <w:r>
              <w:t>Tabel 25 Geschatte budgetflexibiliteit</w:t>
            </w:r>
            <w:r>
              <w:rPr>
                <w:vertAlign w:val="superscript"/>
              </w:rPr>
              <w:t>1</w:t>
            </w:r>
          </w:p>
        </w:tc>
      </w:tr>
      <w:tr w:rsidR="0084290D" w14:paraId="4C75E11C" w14:textId="77777777">
        <w:trPr>
          <w:tblHeader/>
        </w:trPr>
        <w:tc>
          <w:tcPr>
            <w:tcW w:w="2754" w:type="dxa"/>
            <w:tcBorders>
              <w:top w:val="single" w:color="000000" w:sz="2" w:space="0"/>
              <w:bottom w:val="single" w:color="009EE0" w:sz="2" w:space="0"/>
            </w:tcBorders>
            <w:tcMar>
              <w:top w:w="28" w:type="dxa"/>
              <w:bottom w:w="28" w:type="dxa"/>
              <w:right w:w="28" w:type="dxa"/>
            </w:tcMar>
          </w:tcPr>
          <w:p w:rsidRPr="003268EE" w:rsidR="0084290D" w:rsidRDefault="0084290D" w14:paraId="07B7A86F"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BC555B6" w14:textId="77777777">
            <w:pPr>
              <w:pStyle w:val="p-table"/>
              <w:jc w:val="right"/>
              <w:rPr>
                <w:color w:val="000000"/>
                <w:sz w:val="13"/>
                <w:szCs w:val="13"/>
              </w:rPr>
            </w:pPr>
            <w:r w:rsidRPr="003268EE">
              <w:rPr>
                <w:color w:val="000000"/>
                <w:sz w:val="13"/>
                <w:szCs w:val="13"/>
              </w:rPr>
              <w:t>2026</w:t>
            </w:r>
          </w:p>
        </w:tc>
      </w:tr>
      <w:tr w:rsidR="0084290D" w14:paraId="51788235" w14:textId="77777777">
        <w:tc>
          <w:tcPr>
            <w:tcW w:w="2754" w:type="dxa"/>
            <w:tcBorders>
              <w:bottom w:val="single" w:color="009EE0" w:sz="2" w:space="0"/>
            </w:tcBorders>
            <w:tcMar>
              <w:top w:w="22" w:type="dxa"/>
              <w:bottom w:w="22" w:type="dxa"/>
              <w:right w:w="28" w:type="dxa"/>
            </w:tcMar>
          </w:tcPr>
          <w:p w:rsidRPr="003268EE" w:rsidR="0084290D" w:rsidRDefault="00CF5B93" w14:paraId="6149DFA3" w14:textId="77777777">
            <w:pPr>
              <w:pStyle w:val="p-table"/>
              <w:rPr>
                <w:sz w:val="13"/>
                <w:szCs w:val="13"/>
              </w:rPr>
            </w:pPr>
            <w:r w:rsidRPr="003268EE">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3268EE" w:rsidR="0084290D" w:rsidRDefault="00CF5B93" w14:paraId="6A1562B4" w14:textId="77777777">
            <w:pPr>
              <w:pStyle w:val="p-table"/>
              <w:jc w:val="right"/>
              <w:rPr>
                <w:sz w:val="13"/>
                <w:szCs w:val="13"/>
              </w:rPr>
            </w:pPr>
            <w:r w:rsidRPr="003268EE">
              <w:rPr>
                <w:sz w:val="13"/>
                <w:szCs w:val="13"/>
              </w:rPr>
              <w:t>82%</w:t>
            </w:r>
          </w:p>
        </w:tc>
      </w:tr>
      <w:tr w:rsidR="0084290D" w14:paraId="69F62E86" w14:textId="77777777">
        <w:tc>
          <w:tcPr>
            <w:tcW w:w="2754" w:type="dxa"/>
            <w:tcBorders>
              <w:bottom w:val="single" w:color="009EE0" w:sz="2" w:space="0"/>
            </w:tcBorders>
            <w:tcMar>
              <w:top w:w="22" w:type="dxa"/>
              <w:bottom w:w="22" w:type="dxa"/>
              <w:right w:w="28" w:type="dxa"/>
            </w:tcMar>
          </w:tcPr>
          <w:p w:rsidRPr="003268EE" w:rsidR="0084290D" w:rsidRDefault="00CF5B93" w14:paraId="17281DE6" w14:textId="77777777">
            <w:pPr>
              <w:pStyle w:val="p-table"/>
              <w:rPr>
                <w:sz w:val="13"/>
                <w:szCs w:val="13"/>
              </w:rPr>
            </w:pPr>
            <w:r w:rsidRPr="003268EE">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790FB095" w14:textId="77777777">
            <w:pPr>
              <w:pStyle w:val="p-table"/>
              <w:jc w:val="right"/>
              <w:rPr>
                <w:sz w:val="13"/>
                <w:szCs w:val="13"/>
              </w:rPr>
            </w:pPr>
            <w:r w:rsidRPr="003268EE">
              <w:rPr>
                <w:sz w:val="13"/>
                <w:szCs w:val="13"/>
              </w:rPr>
              <w:t>0%</w:t>
            </w:r>
          </w:p>
        </w:tc>
      </w:tr>
      <w:tr w:rsidR="0084290D" w14:paraId="5BAECE41" w14:textId="77777777">
        <w:tc>
          <w:tcPr>
            <w:tcW w:w="2754" w:type="dxa"/>
            <w:tcBorders>
              <w:bottom w:val="single" w:color="009EE0" w:sz="2" w:space="0"/>
            </w:tcBorders>
            <w:tcMar>
              <w:top w:w="22" w:type="dxa"/>
              <w:bottom w:w="22" w:type="dxa"/>
              <w:right w:w="28" w:type="dxa"/>
            </w:tcMar>
          </w:tcPr>
          <w:p w:rsidRPr="003268EE" w:rsidR="0084290D" w:rsidRDefault="00CF5B93" w14:paraId="2463C830" w14:textId="77777777">
            <w:pPr>
              <w:pStyle w:val="p-table"/>
              <w:rPr>
                <w:sz w:val="13"/>
                <w:szCs w:val="13"/>
              </w:rPr>
            </w:pPr>
            <w:r w:rsidRPr="003268EE">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3268EE" w:rsidR="0084290D" w:rsidRDefault="00CF5B93" w14:paraId="2303966E" w14:textId="77777777">
            <w:pPr>
              <w:pStyle w:val="p-table"/>
              <w:jc w:val="right"/>
              <w:rPr>
                <w:sz w:val="13"/>
                <w:szCs w:val="13"/>
              </w:rPr>
            </w:pPr>
            <w:r w:rsidRPr="003268EE">
              <w:rPr>
                <w:sz w:val="13"/>
                <w:szCs w:val="13"/>
              </w:rPr>
              <w:t>18%</w:t>
            </w:r>
          </w:p>
        </w:tc>
      </w:tr>
      <w:tr w:rsidR="0084290D" w14:paraId="6FF75799" w14:textId="77777777">
        <w:tc>
          <w:tcPr>
            <w:tcW w:w="2754" w:type="dxa"/>
            <w:tcBorders>
              <w:bottom w:val="single" w:color="009EE0" w:sz="2" w:space="0"/>
            </w:tcBorders>
            <w:tcMar>
              <w:top w:w="22" w:type="dxa"/>
              <w:bottom w:w="22" w:type="dxa"/>
              <w:right w:w="28" w:type="dxa"/>
            </w:tcMar>
          </w:tcPr>
          <w:p w:rsidRPr="003268EE" w:rsidR="0084290D" w:rsidRDefault="00CF5B93" w14:paraId="5C2B7AB7"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0B0F95ED" w14:textId="77777777">
            <w:pPr>
              <w:pStyle w:val="p-table"/>
              <w:jc w:val="right"/>
              <w:rPr>
                <w:sz w:val="13"/>
                <w:szCs w:val="13"/>
              </w:rPr>
            </w:pPr>
            <w:r w:rsidRPr="003268EE">
              <w:rPr>
                <w:sz w:val="13"/>
                <w:szCs w:val="13"/>
              </w:rPr>
              <w:t>0%</w:t>
            </w:r>
          </w:p>
        </w:tc>
      </w:tr>
    </w:tbl>
    <w:p w:rsidR="0084290D" w:rsidRDefault="00CF5B93" w14:paraId="7EE872C0" w14:textId="77777777">
      <w:pPr>
        <w:pStyle w:val="p-footnote"/>
        <w:numPr>
          <w:ilvl w:val="0"/>
          <w:numId w:val="8"/>
        </w:numPr>
      </w:pPr>
      <w:r>
        <w:t>De berekende budgetflexibiliteit heeft betrekking op de programma-uitgaven, waarbij de toegerekende uitgaven van Belastingen buiten beschouwing zijn gelaten.</w:t>
      </w:r>
    </w:p>
    <w:p w:rsidR="0084290D" w:rsidRDefault="0084290D" w14:paraId="36873ECA" w14:textId="77777777">
      <w:pPr>
        <w:pStyle w:val="p-marginbottom"/>
      </w:pPr>
    </w:p>
    <w:p w:rsidR="0084290D" w:rsidRDefault="00CF5B93" w14:paraId="49E51DAC" w14:textId="77777777">
      <w:pPr>
        <w:pStyle w:val="header-h1"/>
      </w:pPr>
      <w:r>
        <w:t>Toelichting</w:t>
      </w:r>
    </w:p>
    <w:p w:rsidR="0084290D" w:rsidRDefault="0084290D" w14:paraId="75B03D67" w14:textId="77777777">
      <w:pPr>
        <w:pStyle w:val="p-marginbottom"/>
      </w:pPr>
    </w:p>
    <w:p w:rsidR="0084290D" w:rsidRDefault="00CF5B93" w14:paraId="0530842B" w14:textId="77777777">
      <w:pPr>
        <w:pStyle w:val="header-h1"/>
      </w:pPr>
      <w:r>
        <w:t>Budgetflexibiliteit</w:t>
      </w:r>
    </w:p>
    <w:p w:rsidR="0084290D" w:rsidRDefault="0084290D" w14:paraId="314B20E4" w14:textId="77777777">
      <w:pPr>
        <w:pStyle w:val="p-marginbottom"/>
      </w:pPr>
    </w:p>
    <w:p w:rsidR="0084290D" w:rsidRDefault="00CF5B93" w14:paraId="2A39984E" w14:textId="77777777">
      <w:pPr>
        <w:pStyle w:val="p"/>
      </w:pPr>
      <w:r>
        <w:t>Douane is verantwoordelijk voor de heffing en inning van de Traditionele Eigen Middelen (TEM, invoerrechten) en de tijdige terbeschikkingstelling van deze eigen middelen aan de Europese Commissie (EC). De heffing, inning en terbeschikkingstelling van TEM door de Nederlandse Douane zijn gebaseerd op wetgeving van de EU en is daarmee 100% juridisch verplicht. De bijdrage aan agentschappen betreft met name de bijdrage aan de Rijksrederij van Rijkswaterstaat en is 100% juridisch verplicht vanuit samenwerkingsovereenkomsten.</w:t>
      </w:r>
    </w:p>
    <w:p w:rsidR="0084290D" w:rsidRDefault="00CF5B93" w14:paraId="7E94BB21" w14:textId="77777777">
      <w:pPr>
        <w:pStyle w:val="p"/>
      </w:pPr>
      <w:r>
        <w:t>De bijdrage aan ZBO's en RWT's zijn beleidsmatig gereserveerd. Daarnaast wordt voor een correcte toepassing van de douanewetgeving opdrachten gegeven om ICT-systemen aan te passen. En voor de uitvoering van de Algemene Douanewet geeft Douane opdrachten voor de inkoop van Douane specifieke middelen, bijvoorbeeld speurhonden, detectiesystemen, werktuigen, meldkamervoorzieningen en laboratoria. De post ICT opdrachten is voor 100% juridisch verplicht en de post Overige opdrachten is voor 50% juridisch verplicht en voor de overige 50% beleidsmatig gereserveerd.</w:t>
      </w:r>
    </w:p>
    <w:p w:rsidR="0084290D" w:rsidRDefault="00CF5B93" w14:paraId="2ADBD62E" w14:textId="77777777">
      <w:pPr>
        <w:pStyle w:val="header-h1"/>
      </w:pPr>
      <w:r>
        <w:t>Verplichtingen en uitgaven</w:t>
      </w:r>
    </w:p>
    <w:p w:rsidR="00D97FAD" w:rsidRDefault="00D97FAD" w14:paraId="621C0DE2" w14:textId="77777777">
      <w:pPr>
        <w:pStyle w:val="header-h1"/>
      </w:pPr>
    </w:p>
    <w:p w:rsidRPr="00D97FAD" w:rsidR="00D97FAD" w:rsidRDefault="00D97FAD" w14:paraId="5DE69D35" w14:textId="5FCDC04C">
      <w:pPr>
        <w:pStyle w:val="header-h1"/>
        <w:rPr>
          <w:b w:val="0"/>
        </w:rPr>
      </w:pPr>
      <w:r w:rsidRPr="00D97FAD">
        <w:rPr>
          <w:b w:val="0"/>
        </w:rPr>
        <w:t>Het coalitieakkoord «Aan de slag» bevat een taakstelling op de apparaatsuitgaven van de Rijksoverheid (kerndepartementen en uitvoering). De taakstelling bestaat uit een efficiencytaakstellingen een taakstelling gericht op de vernieuwing van de rijksdienst en het versterken van een slagvaardige overheid. De korting voor het ministerie van Financiën wordt naar rato verdeeld. Voor artikel 9 Douane komt dit neer op € 3,5 mln. in 2027, € 7,0 mln. in 2028, €22,9 mln. in 2029 en € 50,1 mln. in 2030 en verder. De taakstelling is verdeeld over verschillende posten.</w:t>
      </w:r>
    </w:p>
    <w:p w:rsidR="0084290D" w:rsidRDefault="0084290D" w14:paraId="4EB4597C" w14:textId="77777777">
      <w:pPr>
        <w:pStyle w:val="p-marginbottom"/>
      </w:pPr>
    </w:p>
    <w:p w:rsidR="009665F5" w:rsidRDefault="009665F5" w14:paraId="6A7D9F85" w14:textId="77777777">
      <w:pPr>
        <w:rPr>
          <w:i/>
          <w:sz w:val="17"/>
        </w:rPr>
      </w:pPr>
      <w:r>
        <w:br w:type="page"/>
      </w:r>
    </w:p>
    <w:p w:rsidR="0084290D" w:rsidRDefault="00CF5B93" w14:paraId="77D9BB6A" w14:textId="23B82559">
      <w:pPr>
        <w:pStyle w:val="header-h2"/>
      </w:pPr>
      <w:r>
        <w:lastRenderedPageBreak/>
        <w:t>Nieuwe EU-wetgeving e-commerce (Handling fee)</w:t>
      </w:r>
    </w:p>
    <w:p w:rsidR="0084290D" w:rsidRDefault="00CF5B93" w14:paraId="76F7DBBF" w14:textId="45C5CEEE">
      <w:pPr>
        <w:pStyle w:val="p"/>
      </w:pPr>
      <w:r>
        <w:t>Vanaf juli 2026 vervalt de huidige de-minimisvrijstelling voor pakketten met een waarde tot € 150 uit derde landen en vanaf november 2026 wordt een uniforme Europese handling fee ingevoerd. Dit is het gevolg van Europese besluitvorming om een gelijk speelveld te creëren en het controlepercentage op e-commerce te waarborgen en verbeteren. Veel bijstellingen op de uitgaven en ontvangsten binnen dit artikel houden verband met deze aangepaste EU-regelgeving. Zo wordt voor de uitvoering van de extra controle op de e-commercestroom in totaal structureel € 100 mln. per jaar beschikbaar gesteld. Deze kosten bevatten onder andere een formatieve uitbreiding, toezichtkosten voor de markttoezichthouders, benodigde IT-middelen, en extra scan- en detectieapparatuur. Tegelijkertijd zal Nederland meer invoerrechten gaan heffen.</w:t>
      </w:r>
    </w:p>
    <w:p w:rsidR="0084290D" w:rsidRDefault="00CF5B93" w14:paraId="1DB63389" w14:textId="77777777">
      <w:pPr>
        <w:pStyle w:val="header-h2"/>
      </w:pPr>
      <w:r>
        <w:t>Personele uitgaven</w:t>
      </w:r>
    </w:p>
    <w:p w:rsidRPr="00D97FAD" w:rsidR="00D97FAD" w:rsidP="00D97FAD" w:rsidRDefault="00D97FAD" w14:paraId="7968CAD5" w14:textId="77777777">
      <w:pPr>
        <w:rPr>
          <w:sz w:val="17"/>
        </w:rPr>
      </w:pPr>
      <w:r w:rsidRPr="00D97FAD">
        <w:rPr>
          <w:sz w:val="17"/>
        </w:rPr>
        <w:t>De personele uitgaven voor 2026 zijn bijgesteld met ‒ € 6,0 mln. De meest belangrijke en relevante mutaties zijn:</w:t>
      </w:r>
    </w:p>
    <w:p w:rsidRPr="007B7D02" w:rsidR="00D97FAD" w:rsidP="007B7D02" w:rsidRDefault="00D97FAD" w14:paraId="7CE5B1E0" w14:textId="5533D5B0">
      <w:pPr>
        <w:pStyle w:val="ol-p-l1"/>
        <w:numPr>
          <w:ilvl w:val="0"/>
          <w:numId w:val="10"/>
        </w:numPr>
        <w:rPr>
          <w:rStyle w:val="ol-text"/>
          <w:sz w:val="17"/>
          <w:szCs w:val="17"/>
        </w:rPr>
      </w:pPr>
      <w:r w:rsidRPr="007B7D02">
        <w:rPr>
          <w:rStyle w:val="ol-text"/>
          <w:sz w:val="17"/>
          <w:szCs w:val="17"/>
        </w:rPr>
        <w:t>Een bijstelling vanwege de uitvoeringskosten voor de nieuwe EU-wetgeving e-commerce, zie ook de toelichting hierboven. De kosten voor formatieve uitbreiding bij Douane bedragen € 10,0 mln. in 2026 oplopend naar € 60,1 mln. in 2031. Voor de intensivering van de samenwerking tussen douaneautoriteiten en markttoezichtautoriteiten (</w:t>
      </w:r>
      <w:proofErr w:type="spellStart"/>
      <w:r w:rsidRPr="007B7D02">
        <w:rPr>
          <w:rStyle w:val="ol-text"/>
          <w:sz w:val="17"/>
          <w:szCs w:val="17"/>
        </w:rPr>
        <w:t>MSA’s</w:t>
      </w:r>
      <w:proofErr w:type="spellEnd"/>
      <w:r w:rsidRPr="007B7D02">
        <w:rPr>
          <w:rStyle w:val="ol-text"/>
          <w:sz w:val="17"/>
          <w:szCs w:val="17"/>
        </w:rPr>
        <w:t xml:space="preserve">) aan de buitengrens is € 15,2 mln. in 2026 beschikbaar oplopend naar € 24,8 mln. in 2031. Deze middelen worden overgeheveld naar de desbetreffende departementen waar deze </w:t>
      </w:r>
      <w:proofErr w:type="spellStart"/>
      <w:r w:rsidRPr="007B7D02">
        <w:rPr>
          <w:rStyle w:val="ol-text"/>
          <w:sz w:val="17"/>
          <w:szCs w:val="17"/>
        </w:rPr>
        <w:t>MSA's</w:t>
      </w:r>
      <w:proofErr w:type="spellEnd"/>
      <w:r w:rsidRPr="007B7D02">
        <w:rPr>
          <w:rStyle w:val="ol-text"/>
          <w:sz w:val="17"/>
          <w:szCs w:val="17"/>
        </w:rPr>
        <w:t xml:space="preserve"> onder vallen.</w:t>
      </w:r>
    </w:p>
    <w:p w:rsidRPr="00D97FAD" w:rsidR="00D97FAD" w:rsidP="007B7D02" w:rsidRDefault="00D97FAD" w14:paraId="12E5D3B7" w14:textId="77777777">
      <w:pPr>
        <w:pStyle w:val="ol-p-l1"/>
        <w:numPr>
          <w:ilvl w:val="0"/>
          <w:numId w:val="10"/>
        </w:numPr>
        <w:rPr>
          <w:rStyle w:val="ol-text"/>
          <w:sz w:val="17"/>
          <w:szCs w:val="17"/>
        </w:rPr>
      </w:pPr>
      <w:r w:rsidRPr="00D97FAD">
        <w:rPr>
          <w:rStyle w:val="ol-text"/>
          <w:sz w:val="17"/>
          <w:szCs w:val="17"/>
        </w:rPr>
        <w:t>Door een meerjarige herijking op de personele uitgaven is een correctie op de budgetstanden verwerkt (- € 14,7 mln. in 2026 en € -17,9 mln. structureel).</w:t>
      </w:r>
    </w:p>
    <w:p w:rsidRPr="00D97FAD" w:rsidR="00D97FAD" w:rsidP="00D97FAD" w:rsidRDefault="00D97FAD" w14:paraId="1E8730E1" w14:textId="15F7D858">
      <w:pPr>
        <w:pStyle w:val="Lijstalinea"/>
        <w:ind w:left="720" w:firstLine="0"/>
        <w:rPr>
          <w:sz w:val="17"/>
        </w:rPr>
      </w:pPr>
    </w:p>
    <w:p w:rsidR="0084290D" w:rsidRDefault="00CF5B93" w14:paraId="5BDC11FE" w14:textId="77777777">
      <w:pPr>
        <w:pStyle w:val="header-h2"/>
      </w:pPr>
      <w:r>
        <w:t>Opdrachten</w:t>
      </w:r>
    </w:p>
    <w:p w:rsidRPr="003268EE" w:rsidR="0084290D" w:rsidRDefault="00CF5B93" w14:paraId="24AB1D99" w14:textId="77777777">
      <w:pPr>
        <w:rPr>
          <w:sz w:val="17"/>
          <w:szCs w:val="17"/>
        </w:rPr>
      </w:pPr>
      <w:r w:rsidRPr="003268EE">
        <w:rPr>
          <w:sz w:val="17"/>
          <w:szCs w:val="17"/>
        </w:rPr>
        <w:t>De uitgaven aan opdrachten voor 2026 zijn bijgesteld met € 28,4 mln. De meest belangrijke en relevante mutaties zijn:</w:t>
      </w:r>
    </w:p>
    <w:p w:rsidRPr="003268EE" w:rsidR="0084290D" w:rsidRDefault="00CF5B93" w14:paraId="539B29FB" w14:textId="77777777">
      <w:pPr>
        <w:pStyle w:val="ol-p-l1"/>
        <w:numPr>
          <w:ilvl w:val="0"/>
          <w:numId w:val="10"/>
        </w:numPr>
        <w:rPr>
          <w:sz w:val="17"/>
          <w:szCs w:val="17"/>
        </w:rPr>
      </w:pPr>
      <w:r w:rsidRPr="003268EE">
        <w:rPr>
          <w:rStyle w:val="ol-text"/>
          <w:sz w:val="17"/>
          <w:szCs w:val="17"/>
        </w:rPr>
        <w:t>Een bijstelling vanwege de kosten voor de nieuwe EU-wetgeving e-commerce, zie ook de toelichting hierboven. Deze kosten bevatten onder andere de uitbreiding en aanpassing van IT-systemen en scanplatforms (€ 18,1 mln. in 2026 oplopend naar € 27,3 mln. in 2031).</w:t>
      </w:r>
    </w:p>
    <w:p w:rsidRPr="003268EE" w:rsidR="0084290D" w:rsidRDefault="00CF5B93" w14:paraId="02A67341" w14:textId="77777777">
      <w:pPr>
        <w:pStyle w:val="ol-p-l1"/>
        <w:numPr>
          <w:ilvl w:val="0"/>
          <w:numId w:val="5"/>
        </w:numPr>
        <w:rPr>
          <w:sz w:val="17"/>
          <w:szCs w:val="17"/>
        </w:rPr>
      </w:pPr>
      <w:r w:rsidRPr="003268EE">
        <w:rPr>
          <w:rStyle w:val="ol-text"/>
          <w:sz w:val="17"/>
          <w:szCs w:val="17"/>
        </w:rPr>
        <w:t>Er is € 17,0 mln. aan het budget van 2026 toegevoegd voor de aanschaf van scan-en detectiematerialen.</w:t>
      </w:r>
    </w:p>
    <w:p w:rsidRPr="003268EE" w:rsidR="0084290D" w:rsidRDefault="00CF5B93" w14:paraId="46A03BC3" w14:textId="77777777">
      <w:pPr>
        <w:pStyle w:val="ol-p-l1"/>
        <w:numPr>
          <w:ilvl w:val="0"/>
          <w:numId w:val="5"/>
        </w:numPr>
        <w:rPr>
          <w:sz w:val="17"/>
          <w:szCs w:val="17"/>
        </w:rPr>
      </w:pPr>
      <w:r w:rsidRPr="003268EE">
        <w:rPr>
          <w:rStyle w:val="ol-text"/>
          <w:sz w:val="17"/>
          <w:szCs w:val="17"/>
        </w:rPr>
        <w:t>Van 2026 wordt in totaal € 17,0 mln. geschoven naar 2027 op basis van de geplande uitgaven voor scan- en detectiemateriaal.</w:t>
      </w:r>
    </w:p>
    <w:p w:rsidRPr="003268EE" w:rsidR="0084290D" w:rsidRDefault="00CF5B93" w14:paraId="0C2175B2" w14:textId="2D8D3D1E">
      <w:pPr>
        <w:pStyle w:val="ol-p-l1"/>
        <w:numPr>
          <w:ilvl w:val="0"/>
          <w:numId w:val="5"/>
        </w:numPr>
        <w:rPr>
          <w:sz w:val="17"/>
          <w:szCs w:val="17"/>
        </w:rPr>
      </w:pPr>
      <w:r w:rsidRPr="003268EE">
        <w:rPr>
          <w:rStyle w:val="ol-text"/>
          <w:sz w:val="17"/>
          <w:szCs w:val="17"/>
        </w:rPr>
        <w:t xml:space="preserve">Door een meerjarige herijking op de begrotingspost opdrachten is een correctie op de budgetstanden verwerkt (€ </w:t>
      </w:r>
      <w:r w:rsidRPr="003268EE" w:rsidR="00D52ED7">
        <w:rPr>
          <w:rStyle w:val="ol-text"/>
          <w:sz w:val="17"/>
          <w:szCs w:val="17"/>
        </w:rPr>
        <w:t>9,4</w:t>
      </w:r>
      <w:r w:rsidRPr="003268EE">
        <w:rPr>
          <w:rStyle w:val="ol-text"/>
          <w:sz w:val="17"/>
          <w:szCs w:val="17"/>
        </w:rPr>
        <w:t xml:space="preserve"> mln. in 2026 en € </w:t>
      </w:r>
      <w:r w:rsidRPr="003268EE" w:rsidR="00D52ED7">
        <w:rPr>
          <w:rStyle w:val="ol-text"/>
          <w:sz w:val="17"/>
          <w:szCs w:val="17"/>
        </w:rPr>
        <w:t>9,2</w:t>
      </w:r>
      <w:r w:rsidRPr="003268EE">
        <w:rPr>
          <w:rStyle w:val="ol-text"/>
          <w:sz w:val="17"/>
          <w:szCs w:val="17"/>
        </w:rPr>
        <w:t xml:space="preserve"> mln. structureel).</w:t>
      </w:r>
    </w:p>
    <w:p w:rsidR="0084290D" w:rsidRDefault="0084290D" w14:paraId="7AACED93" w14:textId="77777777"/>
    <w:p w:rsidR="0084290D" w:rsidRDefault="00CF5B93" w14:paraId="57231E48" w14:textId="77777777">
      <w:pPr>
        <w:pStyle w:val="header-h2"/>
      </w:pPr>
      <w:r>
        <w:t>Rente</w:t>
      </w:r>
    </w:p>
    <w:p w:rsidR="0084290D" w:rsidRDefault="00CF5B93" w14:paraId="794D8FFD" w14:textId="77777777">
      <w:pPr>
        <w:pStyle w:val="p"/>
      </w:pPr>
      <w:r>
        <w:t>De uitgavenraming van de belasting- en invorderingsrente wordt geactualiseerd naar aanleiding van de realisatiecijfers uit 2025.</w:t>
      </w:r>
    </w:p>
    <w:p w:rsidR="0084290D" w:rsidRDefault="00CF5B93" w14:paraId="2F99C2F7" w14:textId="77777777">
      <w:pPr>
        <w:pStyle w:val="header-h1"/>
      </w:pPr>
      <w:r>
        <w:t>Ontvangsten</w:t>
      </w:r>
    </w:p>
    <w:p w:rsidR="0084290D" w:rsidRDefault="0084290D" w14:paraId="38D9407E" w14:textId="77777777">
      <w:pPr>
        <w:pStyle w:val="p-marginbottom"/>
      </w:pPr>
    </w:p>
    <w:p w:rsidR="0084290D" w:rsidRDefault="00CF5B93" w14:paraId="018BF58C" w14:textId="77777777">
      <w:pPr>
        <w:pStyle w:val="header-h2"/>
      </w:pPr>
      <w:r>
        <w:t>Belastingontvangsten</w:t>
      </w:r>
    </w:p>
    <w:p w:rsidR="0084290D" w:rsidRDefault="00CF5B93" w14:paraId="7157B22E" w14:textId="10844CAF">
      <w:pPr>
        <w:pStyle w:val="p"/>
      </w:pPr>
      <w:r>
        <w:t xml:space="preserve">Dit betreft de belastingontvangsten die geheven en geïnd worden via de Douanesystemen. Het gaat om invoerrechten, accijnzen, verbruiksbelasting en een deel van de omzetbelasting. In de Voorjaarsnota 2026 worden de mutaties van de belastingontvangsten toegelicht in hoofdstuk </w:t>
      </w:r>
      <w:r w:rsidR="00D52ED7">
        <w:t>6</w:t>
      </w:r>
      <w:r>
        <w:t xml:space="preserve"> Inkomsten en uitgesplitst in bijlage </w:t>
      </w:r>
      <w:r w:rsidR="00D52ED7">
        <w:t>5</w:t>
      </w:r>
      <w:r>
        <w:t> Belasting- en premieontvangsten. Een aansluiting van de belastingontvangsten van hoofdstuk IX met de Voorjaarsnota 2026 is te vinden onder de toelichting van artikel 1 Belastingen.</w:t>
      </w:r>
    </w:p>
    <w:p w:rsidR="009665F5" w:rsidRDefault="009665F5" w14:paraId="543C7AD3" w14:textId="77777777">
      <w:pPr>
        <w:rPr>
          <w:i/>
          <w:sz w:val="17"/>
        </w:rPr>
      </w:pPr>
      <w:r>
        <w:br w:type="page"/>
      </w:r>
    </w:p>
    <w:p w:rsidR="0084290D" w:rsidRDefault="00CF5B93" w14:paraId="4C5B8300" w14:textId="705DA980">
      <w:pPr>
        <w:pStyle w:val="header-h2"/>
      </w:pPr>
      <w:r>
        <w:lastRenderedPageBreak/>
        <w:t>Rente</w:t>
      </w:r>
    </w:p>
    <w:p w:rsidR="0084290D" w:rsidRDefault="00CF5B93" w14:paraId="6DBD78C7" w14:textId="77777777">
      <w:pPr>
        <w:pStyle w:val="p"/>
      </w:pPr>
      <w:r>
        <w:t>De ontvangstenraming van de belasting- en invorderingsrente wordt geactualiseerd naar aanleiding van de realisatiecijfers uit 2025.</w:t>
      </w:r>
    </w:p>
    <w:p w:rsidR="0084290D" w:rsidRDefault="00CF5B93" w14:paraId="18CF6C12" w14:textId="77777777">
      <w:pPr>
        <w:pStyle w:val="header-h2"/>
      </w:pPr>
      <w:r>
        <w:t>Nieuwe EU-wetgeving e-commerce (Handling fee)</w:t>
      </w:r>
    </w:p>
    <w:p w:rsidR="0084290D" w:rsidRDefault="00CF5B93" w14:paraId="6871B917" w14:textId="77777777">
      <w:pPr>
        <w:pStyle w:val="p"/>
      </w:pPr>
      <w:r>
        <w:t>De ontvangsten vanuit de Europese Handling fee worden geraamd op € 596,7 mln. in totaal. Deze ontvangsten worden volledig ingezet ter dekking van de uitvoeringskosten van de extra controle op de e-commercestroom binnen de meerjarenperiode.</w:t>
      </w:r>
    </w:p>
    <w:p w:rsidR="0084290D" w:rsidRDefault="00CF5B93" w14:paraId="6DD69D4A" w14:textId="77777777">
      <w:pPr>
        <w:pStyle w:val="header-h2"/>
      </w:pPr>
      <w:r>
        <w:t>Apparaatsontvangsten</w:t>
      </w:r>
    </w:p>
    <w:p w:rsidR="0084290D" w:rsidRDefault="00CF5B93" w14:paraId="5D5D1C56" w14:textId="77777777">
      <w:pPr>
        <w:pStyle w:val="p"/>
      </w:pPr>
      <w:r>
        <w:t>De apparaatsontvangsten in 2026 worden met € 17 mln. verhoogd vanwege een verwachte subsidie vanuit de Europese Unie voor de aanschaf van scan- en detectieapparatuur door de Douane.</w:t>
      </w:r>
    </w:p>
    <w:p w:rsidR="0084290D" w:rsidRDefault="0084290D" w14:paraId="58150434" w14:textId="77777777">
      <w:pPr>
        <w:pStyle w:val="page-break"/>
      </w:pPr>
    </w:p>
    <w:p w:rsidR="0084290D" w:rsidRDefault="00CF5B93" w14:paraId="394F2D7C" w14:textId="77777777">
      <w:pPr>
        <w:pStyle w:val="section-title-3"/>
      </w:pPr>
      <w:r>
        <w:t>Artikel 13 Toeslagen</w:t>
      </w:r>
    </w:p>
    <w:p w:rsidR="0084290D" w:rsidRDefault="00CF5B93" w14:paraId="2D90CBC9"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77BE976A" w14:textId="77777777">
        <w:trPr>
          <w:tblHeader/>
        </w:trPr>
        <w:tc>
          <w:tcPr>
            <w:tcW w:w="5000" w:type="pct"/>
            <w:gridSpan w:val="11"/>
            <w:tcMar>
              <w:top w:w="22" w:type="dxa"/>
              <w:left w:w="113" w:type="dxa"/>
              <w:bottom w:w="22" w:type="dxa"/>
            </w:tcMar>
          </w:tcPr>
          <w:p w:rsidR="0084290D" w:rsidRDefault="00CF5B93" w14:paraId="26E69A6A" w14:textId="77777777">
            <w:pPr>
              <w:pStyle w:val="kio2-table-title"/>
            </w:pPr>
            <w:r>
              <w:t>Tabel 26 Budgettaire gevolgen van beleid artikel 13 Toeslagen (bedragen x € 1.000)</w:t>
            </w:r>
          </w:p>
        </w:tc>
      </w:tr>
      <w:tr w:rsidR="0084290D" w:rsidTr="007433BE" w14:paraId="036AFAF9" w14:textId="77777777">
        <w:trPr>
          <w:tblHeader/>
        </w:trPr>
        <w:tc>
          <w:tcPr>
            <w:tcW w:w="1250" w:type="pct"/>
            <w:tcBorders>
              <w:top w:val="single" w:color="000000" w:sz="2" w:space="0"/>
              <w:bottom w:val="single" w:color="009EE0" w:sz="2" w:space="0"/>
            </w:tcBorders>
            <w:tcMar>
              <w:top w:w="28" w:type="dxa"/>
              <w:bottom w:w="28" w:type="dxa"/>
              <w:right w:w="28" w:type="dxa"/>
            </w:tcMar>
          </w:tcPr>
          <w:p w:rsidRPr="003268EE" w:rsidR="0084290D" w:rsidRDefault="00CF5B93" w14:paraId="65C3C593" w14:textId="77777777">
            <w:pPr>
              <w:pStyle w:val="p-table"/>
              <w:rPr>
                <w:color w:val="000000"/>
                <w:sz w:val="13"/>
                <w:szCs w:val="13"/>
              </w:rPr>
            </w:pPr>
            <w:r w:rsidRPr="003268EE">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27F9336" w14:textId="77777777">
            <w:pPr>
              <w:pStyle w:val="p-table"/>
              <w:jc w:val="right"/>
              <w:rPr>
                <w:color w:val="000000"/>
                <w:sz w:val="13"/>
                <w:szCs w:val="13"/>
              </w:rPr>
            </w:pPr>
            <w:r w:rsidRPr="003268EE">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33F4D4C" w14:textId="77777777">
            <w:pPr>
              <w:pStyle w:val="p-table"/>
              <w:jc w:val="right"/>
              <w:rPr>
                <w:color w:val="000000"/>
                <w:sz w:val="13"/>
                <w:szCs w:val="13"/>
              </w:rPr>
            </w:pPr>
            <w:r w:rsidRPr="003268EE">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7E850571" w14:textId="77777777">
            <w:pPr>
              <w:pStyle w:val="p-table"/>
              <w:jc w:val="right"/>
              <w:rPr>
                <w:color w:val="000000"/>
                <w:sz w:val="13"/>
                <w:szCs w:val="13"/>
              </w:rPr>
            </w:pPr>
            <w:r w:rsidRPr="003268EE">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502EC007"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C89AFAD"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9253F3D" w14:textId="77777777">
            <w:pPr>
              <w:pStyle w:val="p-table"/>
              <w:jc w:val="right"/>
              <w:rPr>
                <w:color w:val="000000"/>
                <w:sz w:val="13"/>
                <w:szCs w:val="13"/>
              </w:rPr>
            </w:pPr>
            <w:r w:rsidRPr="003268EE">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64F7D442" w14:textId="77777777">
            <w:pPr>
              <w:pStyle w:val="p-table"/>
              <w:jc w:val="right"/>
              <w:rPr>
                <w:color w:val="000000"/>
                <w:sz w:val="13"/>
                <w:szCs w:val="13"/>
              </w:rPr>
            </w:pPr>
            <w:r w:rsidRPr="003268EE">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296E4A9" w14:textId="77777777">
            <w:pPr>
              <w:pStyle w:val="p-table"/>
              <w:jc w:val="right"/>
              <w:rPr>
                <w:color w:val="000000"/>
                <w:sz w:val="13"/>
                <w:szCs w:val="13"/>
              </w:rPr>
            </w:pPr>
            <w:r w:rsidRPr="003268EE">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1CEE476" w14:textId="77777777">
            <w:pPr>
              <w:pStyle w:val="p-table"/>
              <w:jc w:val="right"/>
              <w:rPr>
                <w:color w:val="000000"/>
                <w:sz w:val="13"/>
                <w:szCs w:val="13"/>
              </w:rPr>
            </w:pPr>
            <w:r w:rsidRPr="003268EE">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91F5E21" w14:textId="77777777">
            <w:pPr>
              <w:pStyle w:val="p-table"/>
              <w:jc w:val="right"/>
              <w:rPr>
                <w:color w:val="000000"/>
                <w:sz w:val="13"/>
                <w:szCs w:val="13"/>
              </w:rPr>
            </w:pPr>
            <w:r w:rsidRPr="003268EE">
              <w:rPr>
                <w:color w:val="000000"/>
                <w:sz w:val="13"/>
                <w:szCs w:val="13"/>
              </w:rPr>
              <w:t>Mutatie 2031</w:t>
            </w:r>
          </w:p>
        </w:tc>
      </w:tr>
      <w:tr w:rsidR="0084290D" w:rsidTr="007433BE" w14:paraId="484BCD7A" w14:textId="77777777">
        <w:tc>
          <w:tcPr>
            <w:tcW w:w="4625" w:type="pct"/>
            <w:gridSpan w:val="10"/>
            <w:tcBorders>
              <w:bottom w:val="single" w:color="009EE0" w:sz="2" w:space="0"/>
            </w:tcBorders>
            <w:tcMar>
              <w:top w:w="22" w:type="dxa"/>
              <w:bottom w:w="22" w:type="dxa"/>
              <w:right w:w="28" w:type="dxa"/>
            </w:tcMar>
          </w:tcPr>
          <w:p w:rsidRPr="003268EE" w:rsidR="0084290D" w:rsidRDefault="0084290D" w14:paraId="3A2AD3E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81066FE" w14:textId="77777777">
            <w:pPr>
              <w:pStyle w:val="p-table"/>
              <w:rPr>
                <w:sz w:val="13"/>
                <w:szCs w:val="13"/>
              </w:rPr>
            </w:pPr>
          </w:p>
        </w:tc>
      </w:tr>
      <w:tr w:rsidR="0084290D" w:rsidTr="007433BE" w14:paraId="0236BFB7" w14:textId="77777777">
        <w:tc>
          <w:tcPr>
            <w:tcW w:w="1250" w:type="pct"/>
            <w:tcBorders>
              <w:bottom w:val="single" w:color="009EE0" w:sz="2" w:space="0"/>
            </w:tcBorders>
            <w:tcMar>
              <w:top w:w="22" w:type="dxa"/>
              <w:bottom w:w="22" w:type="dxa"/>
              <w:right w:w="28" w:type="dxa"/>
            </w:tcMar>
          </w:tcPr>
          <w:p w:rsidRPr="003268EE" w:rsidR="0084290D" w:rsidRDefault="00CF5B93" w14:paraId="1F16ABCC" w14:textId="77777777">
            <w:pPr>
              <w:pStyle w:val="p-table"/>
              <w:rPr>
                <w:sz w:val="13"/>
                <w:szCs w:val="13"/>
              </w:rPr>
            </w:pPr>
            <w:r w:rsidRPr="003268EE">
              <w:rPr>
                <w:b/>
                <w:sz w:val="13"/>
                <w:szCs w:val="13"/>
              </w:rPr>
              <w:t>Verplichtingen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C968DB" w14:textId="77777777">
            <w:pPr>
              <w:pStyle w:val="p-table"/>
              <w:jc w:val="right"/>
              <w:rPr>
                <w:sz w:val="13"/>
                <w:szCs w:val="13"/>
              </w:rPr>
            </w:pPr>
            <w:r w:rsidRPr="003268EE">
              <w:rPr>
                <w:b/>
                <w:sz w:val="13"/>
                <w:szCs w:val="13"/>
              </w:rPr>
              <w:t>1.913.504</w:t>
            </w:r>
          </w:p>
        </w:tc>
        <w:tc>
          <w:tcPr>
            <w:tcW w:w="375" w:type="pct"/>
            <w:tcBorders>
              <w:bottom w:val="single" w:color="009EE0" w:sz="2" w:space="0"/>
            </w:tcBorders>
            <w:tcMar>
              <w:top w:w="22" w:type="dxa"/>
              <w:left w:w="28" w:type="dxa"/>
              <w:bottom w:w="22" w:type="dxa"/>
              <w:right w:w="28" w:type="dxa"/>
            </w:tcMar>
          </w:tcPr>
          <w:p w:rsidRPr="003268EE" w:rsidR="0084290D" w:rsidRDefault="00CF5B93" w14:paraId="20C878CB"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5CED86A" w14:textId="77777777">
            <w:pPr>
              <w:pStyle w:val="p-table"/>
              <w:jc w:val="right"/>
              <w:rPr>
                <w:sz w:val="13"/>
                <w:szCs w:val="13"/>
              </w:rPr>
            </w:pPr>
            <w:r w:rsidRPr="003268EE">
              <w:rPr>
                <w:b/>
                <w:sz w:val="13"/>
                <w:szCs w:val="13"/>
              </w:rPr>
              <w:t>1.913.504</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513E17" w14:textId="77777777">
            <w:pPr>
              <w:pStyle w:val="p-table"/>
              <w:jc w:val="right"/>
              <w:rPr>
                <w:sz w:val="13"/>
                <w:szCs w:val="13"/>
              </w:rPr>
            </w:pPr>
            <w:r w:rsidRPr="003268EE">
              <w:rPr>
                <w:b/>
                <w:sz w:val="13"/>
                <w:szCs w:val="13"/>
              </w:rPr>
              <w:t>431.239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66C7BB31" w14:textId="77777777">
            <w:pPr>
              <w:pStyle w:val="p-table"/>
              <w:jc w:val="right"/>
              <w:rPr>
                <w:sz w:val="13"/>
                <w:szCs w:val="13"/>
              </w:rPr>
            </w:pPr>
            <w:r w:rsidRPr="003268EE">
              <w:rPr>
                <w:b/>
                <w:sz w:val="13"/>
                <w:szCs w:val="13"/>
              </w:rPr>
              <w:t>2.344.743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765218B" w14:textId="77777777">
            <w:pPr>
              <w:pStyle w:val="p-table"/>
              <w:jc w:val="right"/>
              <w:rPr>
                <w:sz w:val="13"/>
                <w:szCs w:val="13"/>
              </w:rPr>
            </w:pPr>
            <w:r w:rsidRPr="003268EE">
              <w:rPr>
                <w:b/>
                <w:sz w:val="13"/>
                <w:szCs w:val="13"/>
              </w:rPr>
              <w:t>312.172</w:t>
            </w:r>
          </w:p>
        </w:tc>
        <w:tc>
          <w:tcPr>
            <w:tcW w:w="375" w:type="pct"/>
            <w:tcBorders>
              <w:bottom w:val="single" w:color="009EE0" w:sz="2" w:space="0"/>
            </w:tcBorders>
            <w:tcMar>
              <w:top w:w="22" w:type="dxa"/>
              <w:left w:w="28" w:type="dxa"/>
              <w:bottom w:w="22" w:type="dxa"/>
              <w:right w:w="28" w:type="dxa"/>
            </w:tcMar>
          </w:tcPr>
          <w:p w:rsidRPr="003268EE" w:rsidR="0084290D" w:rsidRDefault="00CF5B93" w14:paraId="1DC483B3" w14:textId="77777777">
            <w:pPr>
              <w:pStyle w:val="p-table"/>
              <w:jc w:val="right"/>
              <w:rPr>
                <w:sz w:val="13"/>
                <w:szCs w:val="13"/>
              </w:rPr>
            </w:pPr>
            <w:r w:rsidRPr="003268EE">
              <w:rPr>
                <w:b/>
                <w:sz w:val="13"/>
                <w:szCs w:val="13"/>
              </w:rPr>
              <w:t>‒ 89.015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FD3855" w14:textId="77777777">
            <w:pPr>
              <w:pStyle w:val="p-table"/>
              <w:jc w:val="right"/>
              <w:rPr>
                <w:sz w:val="13"/>
                <w:szCs w:val="13"/>
              </w:rPr>
            </w:pPr>
            <w:r w:rsidRPr="003268EE">
              <w:rPr>
                <w:b/>
                <w:sz w:val="13"/>
                <w:szCs w:val="13"/>
              </w:rPr>
              <w:t>76.676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66C13D" w14:textId="77777777">
            <w:pPr>
              <w:pStyle w:val="p-table"/>
              <w:jc w:val="right"/>
              <w:rPr>
                <w:sz w:val="13"/>
                <w:szCs w:val="13"/>
              </w:rPr>
            </w:pPr>
            <w:r w:rsidRPr="003268EE">
              <w:rPr>
                <w:b/>
                <w:sz w:val="13"/>
                <w:szCs w:val="13"/>
              </w:rPr>
              <w:t>40.730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100905" w14:textId="77777777">
            <w:pPr>
              <w:pStyle w:val="p-table"/>
              <w:jc w:val="right"/>
              <w:rPr>
                <w:sz w:val="13"/>
                <w:szCs w:val="13"/>
              </w:rPr>
            </w:pPr>
            <w:r w:rsidRPr="003268EE">
              <w:rPr>
                <w:b/>
                <w:sz w:val="13"/>
                <w:szCs w:val="13"/>
              </w:rPr>
              <w:t>414.509</w:t>
            </w:r>
          </w:p>
        </w:tc>
      </w:tr>
      <w:tr w:rsidR="0084290D" w:rsidTr="007433BE" w14:paraId="2CB49C32" w14:textId="77777777">
        <w:tc>
          <w:tcPr>
            <w:tcW w:w="1250" w:type="pct"/>
            <w:tcMar>
              <w:top w:w="22" w:type="dxa"/>
              <w:bottom w:w="22" w:type="dxa"/>
              <w:right w:w="28" w:type="dxa"/>
            </w:tcMar>
          </w:tcPr>
          <w:p w:rsidRPr="003268EE" w:rsidR="0084290D" w:rsidRDefault="0084290D" w14:paraId="09657A1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50A9F98"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3995191"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BDB1D08"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FF59F1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CE5E1E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A17D72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FA689D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3025180"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AFD59E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46F4B9D" w14:textId="77777777">
            <w:pPr>
              <w:pStyle w:val="p-table"/>
              <w:rPr>
                <w:sz w:val="13"/>
                <w:szCs w:val="13"/>
              </w:rPr>
            </w:pPr>
          </w:p>
        </w:tc>
      </w:tr>
      <w:tr w:rsidR="0084290D" w:rsidTr="007433BE" w14:paraId="59B4DE80" w14:textId="77777777">
        <w:tc>
          <w:tcPr>
            <w:tcW w:w="1250" w:type="pct"/>
            <w:tcBorders>
              <w:bottom w:val="single" w:color="009EE0" w:sz="2" w:space="0"/>
            </w:tcBorders>
            <w:tcMar>
              <w:top w:w="22" w:type="dxa"/>
              <w:bottom w:w="22" w:type="dxa"/>
              <w:right w:w="28" w:type="dxa"/>
            </w:tcMar>
          </w:tcPr>
          <w:p w:rsidRPr="003268EE" w:rsidR="0084290D" w:rsidRDefault="00CF5B93" w14:paraId="27D8F069" w14:textId="77777777">
            <w:pPr>
              <w:pStyle w:val="p-table"/>
              <w:rPr>
                <w:sz w:val="13"/>
                <w:szCs w:val="13"/>
              </w:rPr>
            </w:pPr>
            <w:r w:rsidRPr="003268EE">
              <w:rPr>
                <w:b/>
                <w:sz w:val="13"/>
                <w:szCs w:val="13"/>
              </w:rPr>
              <w:t>Uitgaven (1) + (2)</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8BBDDB" w14:textId="77777777">
            <w:pPr>
              <w:pStyle w:val="p-table"/>
              <w:jc w:val="right"/>
              <w:rPr>
                <w:sz w:val="13"/>
                <w:szCs w:val="13"/>
              </w:rPr>
            </w:pPr>
            <w:r w:rsidRPr="003268EE">
              <w:rPr>
                <w:b/>
                <w:sz w:val="13"/>
                <w:szCs w:val="13"/>
              </w:rPr>
              <w:t>1.955.821</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FF4440"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EA2A8F" w14:textId="77777777">
            <w:pPr>
              <w:pStyle w:val="p-table"/>
              <w:jc w:val="right"/>
              <w:rPr>
                <w:sz w:val="13"/>
                <w:szCs w:val="13"/>
              </w:rPr>
            </w:pPr>
            <w:r w:rsidRPr="003268EE">
              <w:rPr>
                <w:b/>
                <w:sz w:val="13"/>
                <w:szCs w:val="13"/>
              </w:rPr>
              <w:t>1.955.821</w:t>
            </w:r>
          </w:p>
        </w:tc>
        <w:tc>
          <w:tcPr>
            <w:tcW w:w="375" w:type="pct"/>
            <w:tcBorders>
              <w:bottom w:val="single" w:color="009EE0" w:sz="2" w:space="0"/>
            </w:tcBorders>
            <w:tcMar>
              <w:top w:w="22" w:type="dxa"/>
              <w:left w:w="28" w:type="dxa"/>
              <w:bottom w:w="22" w:type="dxa"/>
              <w:right w:w="28" w:type="dxa"/>
            </w:tcMar>
          </w:tcPr>
          <w:p w:rsidRPr="003268EE" w:rsidR="0084290D" w:rsidRDefault="00CF5B93" w14:paraId="4C6F8B96" w14:textId="77777777">
            <w:pPr>
              <w:pStyle w:val="p-table"/>
              <w:jc w:val="right"/>
              <w:rPr>
                <w:sz w:val="13"/>
                <w:szCs w:val="13"/>
              </w:rPr>
            </w:pPr>
            <w:r w:rsidRPr="003268EE">
              <w:rPr>
                <w:b/>
                <w:sz w:val="13"/>
                <w:szCs w:val="13"/>
              </w:rPr>
              <w:t>431.239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4AD8F3" w14:textId="77777777">
            <w:pPr>
              <w:pStyle w:val="p-table"/>
              <w:jc w:val="right"/>
              <w:rPr>
                <w:sz w:val="13"/>
                <w:szCs w:val="13"/>
              </w:rPr>
            </w:pPr>
            <w:r w:rsidRPr="003268EE">
              <w:rPr>
                <w:b/>
                <w:sz w:val="13"/>
                <w:szCs w:val="13"/>
              </w:rPr>
              <w:t>2.387.060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71CBDA" w14:textId="77777777">
            <w:pPr>
              <w:pStyle w:val="p-table"/>
              <w:jc w:val="right"/>
              <w:rPr>
                <w:sz w:val="13"/>
                <w:szCs w:val="13"/>
              </w:rPr>
            </w:pPr>
            <w:r w:rsidRPr="003268EE">
              <w:rPr>
                <w:b/>
                <w:sz w:val="13"/>
                <w:szCs w:val="13"/>
              </w:rPr>
              <w:t>312.172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0A6417C" w14:textId="77777777">
            <w:pPr>
              <w:pStyle w:val="p-table"/>
              <w:jc w:val="right"/>
              <w:rPr>
                <w:sz w:val="13"/>
                <w:szCs w:val="13"/>
              </w:rPr>
            </w:pPr>
            <w:r w:rsidRPr="003268EE">
              <w:rPr>
                <w:b/>
                <w:sz w:val="13"/>
                <w:szCs w:val="13"/>
              </w:rPr>
              <w:t>‒ 89.015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152B2357" w14:textId="77777777">
            <w:pPr>
              <w:pStyle w:val="p-table"/>
              <w:jc w:val="right"/>
              <w:rPr>
                <w:sz w:val="13"/>
                <w:szCs w:val="13"/>
              </w:rPr>
            </w:pPr>
            <w:r w:rsidRPr="003268EE">
              <w:rPr>
                <w:b/>
                <w:sz w:val="13"/>
                <w:szCs w:val="13"/>
              </w:rPr>
              <w:t>76.676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F78CA9" w14:textId="77777777">
            <w:pPr>
              <w:pStyle w:val="p-table"/>
              <w:jc w:val="right"/>
              <w:rPr>
                <w:sz w:val="13"/>
                <w:szCs w:val="13"/>
              </w:rPr>
            </w:pPr>
            <w:r w:rsidRPr="003268EE">
              <w:rPr>
                <w:b/>
                <w:sz w:val="13"/>
                <w:szCs w:val="13"/>
              </w:rPr>
              <w:t>40.730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DDBF0E1" w14:textId="77777777">
            <w:pPr>
              <w:pStyle w:val="p-table"/>
              <w:jc w:val="right"/>
              <w:rPr>
                <w:sz w:val="13"/>
                <w:szCs w:val="13"/>
              </w:rPr>
            </w:pPr>
            <w:r w:rsidRPr="003268EE">
              <w:rPr>
                <w:b/>
                <w:sz w:val="13"/>
                <w:szCs w:val="13"/>
              </w:rPr>
              <w:t>414.509</w:t>
            </w:r>
          </w:p>
        </w:tc>
      </w:tr>
      <w:tr w:rsidR="0084290D" w:rsidTr="007433BE" w14:paraId="13475AA7" w14:textId="77777777">
        <w:tc>
          <w:tcPr>
            <w:tcW w:w="1250" w:type="pct"/>
            <w:tcMar>
              <w:top w:w="22" w:type="dxa"/>
              <w:bottom w:w="22" w:type="dxa"/>
              <w:right w:w="28" w:type="dxa"/>
            </w:tcMar>
          </w:tcPr>
          <w:p w:rsidRPr="003268EE" w:rsidR="0084290D" w:rsidRDefault="0084290D" w14:paraId="0AC8AA8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4277D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3FD91C2"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1CDA0F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8A4BCE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2EFEB51"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92376F1"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096C05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25D735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61EB11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27D7D94" w14:textId="77777777">
            <w:pPr>
              <w:pStyle w:val="p-table"/>
              <w:rPr>
                <w:sz w:val="13"/>
                <w:szCs w:val="13"/>
              </w:rPr>
            </w:pPr>
          </w:p>
        </w:tc>
      </w:tr>
      <w:tr w:rsidR="0084290D" w:rsidTr="007433BE" w14:paraId="545D41DC" w14:textId="77777777">
        <w:tc>
          <w:tcPr>
            <w:tcW w:w="1250" w:type="pct"/>
            <w:tcBorders>
              <w:bottom w:val="single" w:color="009EE0" w:sz="2" w:space="0"/>
            </w:tcBorders>
            <w:tcMar>
              <w:top w:w="22" w:type="dxa"/>
              <w:bottom w:w="22" w:type="dxa"/>
              <w:right w:w="28" w:type="dxa"/>
            </w:tcMar>
          </w:tcPr>
          <w:p w:rsidRPr="003268EE" w:rsidR="0084290D" w:rsidRDefault="00CF5B93" w14:paraId="336D81E0" w14:textId="77777777">
            <w:pPr>
              <w:pStyle w:val="p-table"/>
              <w:rPr>
                <w:sz w:val="13"/>
                <w:szCs w:val="13"/>
              </w:rPr>
            </w:pPr>
            <w:r w:rsidRPr="003268EE">
              <w:rPr>
                <w:b/>
                <w:sz w:val="13"/>
                <w:szCs w:val="13"/>
              </w:rPr>
              <w:t>(1) Apparaatsuitgaven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1C339D" w14:textId="77777777">
            <w:pPr>
              <w:pStyle w:val="p-table"/>
              <w:jc w:val="right"/>
              <w:rPr>
                <w:sz w:val="13"/>
                <w:szCs w:val="13"/>
              </w:rPr>
            </w:pPr>
            <w:r w:rsidRPr="003268EE">
              <w:rPr>
                <w:b/>
                <w:sz w:val="13"/>
                <w:szCs w:val="13"/>
              </w:rPr>
              <w:t>550.474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53F4BB37"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BF1B1F" w14:textId="77777777">
            <w:pPr>
              <w:pStyle w:val="p-table"/>
              <w:jc w:val="right"/>
              <w:rPr>
                <w:sz w:val="13"/>
                <w:szCs w:val="13"/>
              </w:rPr>
            </w:pPr>
            <w:r w:rsidRPr="003268EE">
              <w:rPr>
                <w:b/>
                <w:sz w:val="13"/>
                <w:szCs w:val="13"/>
              </w:rPr>
              <w:t>550.474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348074EA" w14:textId="77777777">
            <w:pPr>
              <w:pStyle w:val="p-table"/>
              <w:jc w:val="right"/>
              <w:rPr>
                <w:sz w:val="13"/>
                <w:szCs w:val="13"/>
              </w:rPr>
            </w:pPr>
            <w:r w:rsidRPr="003268EE">
              <w:rPr>
                <w:b/>
                <w:sz w:val="13"/>
                <w:szCs w:val="13"/>
              </w:rPr>
              <w:t>‒ 22.422</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120A34" w14:textId="77777777">
            <w:pPr>
              <w:pStyle w:val="p-table"/>
              <w:jc w:val="right"/>
              <w:rPr>
                <w:sz w:val="13"/>
                <w:szCs w:val="13"/>
              </w:rPr>
            </w:pPr>
            <w:r w:rsidRPr="003268EE">
              <w:rPr>
                <w:b/>
                <w:sz w:val="13"/>
                <w:szCs w:val="13"/>
              </w:rPr>
              <w:t>528.052</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1E3486" w14:textId="77777777">
            <w:pPr>
              <w:pStyle w:val="p-table"/>
              <w:jc w:val="right"/>
              <w:rPr>
                <w:sz w:val="13"/>
                <w:szCs w:val="13"/>
              </w:rPr>
            </w:pPr>
            <w:r w:rsidRPr="003268EE">
              <w:rPr>
                <w:b/>
                <w:sz w:val="13"/>
                <w:szCs w:val="13"/>
              </w:rPr>
              <w:t>77.758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BD1C508" w14:textId="77777777">
            <w:pPr>
              <w:pStyle w:val="p-table"/>
              <w:jc w:val="right"/>
              <w:rPr>
                <w:sz w:val="13"/>
                <w:szCs w:val="13"/>
              </w:rPr>
            </w:pPr>
            <w:r w:rsidRPr="003268EE">
              <w:rPr>
                <w:b/>
                <w:sz w:val="13"/>
                <w:szCs w:val="13"/>
              </w:rPr>
              <w:t>77.438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80A144" w14:textId="77777777">
            <w:pPr>
              <w:pStyle w:val="p-table"/>
              <w:jc w:val="right"/>
              <w:rPr>
                <w:sz w:val="13"/>
                <w:szCs w:val="13"/>
              </w:rPr>
            </w:pPr>
            <w:r w:rsidRPr="003268EE">
              <w:rPr>
                <w:b/>
                <w:sz w:val="13"/>
                <w:szCs w:val="13"/>
              </w:rPr>
              <w:t>38.680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6B793FA" w14:textId="77777777">
            <w:pPr>
              <w:pStyle w:val="p-table"/>
              <w:jc w:val="right"/>
              <w:rPr>
                <w:sz w:val="13"/>
                <w:szCs w:val="13"/>
              </w:rPr>
            </w:pPr>
            <w:r w:rsidRPr="003268EE">
              <w:rPr>
                <w:b/>
                <w:sz w:val="13"/>
                <w:szCs w:val="13"/>
              </w:rPr>
              <w:t>28.238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B4DBB4" w14:textId="77777777">
            <w:pPr>
              <w:pStyle w:val="p-table"/>
              <w:jc w:val="right"/>
              <w:rPr>
                <w:sz w:val="13"/>
                <w:szCs w:val="13"/>
              </w:rPr>
            </w:pPr>
            <w:r w:rsidRPr="003268EE">
              <w:rPr>
                <w:b/>
                <w:sz w:val="13"/>
                <w:szCs w:val="13"/>
              </w:rPr>
              <w:t>202.887</w:t>
            </w:r>
          </w:p>
        </w:tc>
      </w:tr>
      <w:tr w:rsidR="0084290D" w:rsidTr="007433BE" w14:paraId="77175F7D" w14:textId="77777777">
        <w:tc>
          <w:tcPr>
            <w:tcW w:w="1250" w:type="pct"/>
            <w:tcMar>
              <w:top w:w="22" w:type="dxa"/>
              <w:bottom w:w="22" w:type="dxa"/>
              <w:right w:w="28" w:type="dxa"/>
            </w:tcMar>
          </w:tcPr>
          <w:p w:rsidRPr="003268EE" w:rsidR="0084290D" w:rsidRDefault="0084290D" w14:paraId="18B47AF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EDE8B6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A97E72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08BCE7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E7C520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2644D4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CF5A27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6668AD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6EA462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493435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08AC794" w14:textId="77777777">
            <w:pPr>
              <w:pStyle w:val="p-table"/>
              <w:rPr>
                <w:sz w:val="13"/>
                <w:szCs w:val="13"/>
              </w:rPr>
            </w:pPr>
          </w:p>
        </w:tc>
      </w:tr>
      <w:tr w:rsidR="0084290D" w:rsidTr="007433BE" w14:paraId="55EF711B" w14:textId="77777777">
        <w:tc>
          <w:tcPr>
            <w:tcW w:w="1250" w:type="pct"/>
            <w:tcBorders>
              <w:bottom w:val="single" w:color="009EE0" w:sz="2" w:space="0"/>
            </w:tcBorders>
            <w:tcMar>
              <w:top w:w="22" w:type="dxa"/>
              <w:bottom w:w="22" w:type="dxa"/>
              <w:right w:w="28" w:type="dxa"/>
            </w:tcMar>
          </w:tcPr>
          <w:p w:rsidRPr="003268EE" w:rsidR="0084290D" w:rsidRDefault="00CF5B93" w14:paraId="56B73FBC" w14:textId="77777777">
            <w:pPr>
              <w:pStyle w:val="p-table"/>
              <w:rPr>
                <w:sz w:val="13"/>
                <w:szCs w:val="13"/>
              </w:rPr>
            </w:pPr>
            <w:r w:rsidRPr="003268EE">
              <w:rPr>
                <w:b/>
                <w:sz w:val="13"/>
                <w:szCs w:val="13"/>
              </w:rPr>
              <w:t>Personele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14FCEB" w14:textId="77777777">
            <w:pPr>
              <w:pStyle w:val="p-table"/>
              <w:jc w:val="right"/>
              <w:rPr>
                <w:sz w:val="13"/>
                <w:szCs w:val="13"/>
              </w:rPr>
            </w:pPr>
            <w:r w:rsidRPr="003268EE">
              <w:rPr>
                <w:b/>
                <w:sz w:val="13"/>
                <w:szCs w:val="13"/>
              </w:rPr>
              <w:t>530.562</w:t>
            </w:r>
          </w:p>
        </w:tc>
        <w:tc>
          <w:tcPr>
            <w:tcW w:w="375" w:type="pct"/>
            <w:tcBorders>
              <w:bottom w:val="single" w:color="009EE0" w:sz="2" w:space="0"/>
            </w:tcBorders>
            <w:tcMar>
              <w:top w:w="22" w:type="dxa"/>
              <w:left w:w="28" w:type="dxa"/>
              <w:bottom w:w="22" w:type="dxa"/>
              <w:right w:w="28" w:type="dxa"/>
            </w:tcMar>
          </w:tcPr>
          <w:p w:rsidRPr="003268EE" w:rsidR="0084290D" w:rsidRDefault="00CF5B93" w14:paraId="7337933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18A37E" w14:textId="77777777">
            <w:pPr>
              <w:pStyle w:val="p-table"/>
              <w:jc w:val="right"/>
              <w:rPr>
                <w:sz w:val="13"/>
                <w:szCs w:val="13"/>
              </w:rPr>
            </w:pPr>
            <w:r w:rsidRPr="003268EE">
              <w:rPr>
                <w:b/>
                <w:sz w:val="13"/>
                <w:szCs w:val="13"/>
              </w:rPr>
              <w:t>530.562</w:t>
            </w:r>
          </w:p>
        </w:tc>
        <w:tc>
          <w:tcPr>
            <w:tcW w:w="375" w:type="pct"/>
            <w:tcBorders>
              <w:bottom w:val="single" w:color="009EE0" w:sz="2" w:space="0"/>
            </w:tcBorders>
            <w:tcMar>
              <w:top w:w="22" w:type="dxa"/>
              <w:left w:w="28" w:type="dxa"/>
              <w:bottom w:w="22" w:type="dxa"/>
              <w:right w:w="28" w:type="dxa"/>
            </w:tcMar>
          </w:tcPr>
          <w:p w:rsidRPr="003268EE" w:rsidR="0084290D" w:rsidRDefault="00CF5B93" w14:paraId="6A44D6E3" w14:textId="77777777">
            <w:pPr>
              <w:pStyle w:val="p-table"/>
              <w:jc w:val="right"/>
              <w:rPr>
                <w:sz w:val="13"/>
                <w:szCs w:val="13"/>
              </w:rPr>
            </w:pPr>
            <w:r w:rsidRPr="003268EE">
              <w:rPr>
                <w:b/>
                <w:sz w:val="13"/>
                <w:szCs w:val="13"/>
              </w:rPr>
              <w:t>‒ 35.910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F4B28E" w14:textId="77777777">
            <w:pPr>
              <w:pStyle w:val="p-table"/>
              <w:jc w:val="right"/>
              <w:rPr>
                <w:sz w:val="13"/>
                <w:szCs w:val="13"/>
              </w:rPr>
            </w:pPr>
            <w:r w:rsidRPr="003268EE">
              <w:rPr>
                <w:b/>
                <w:sz w:val="13"/>
                <w:szCs w:val="13"/>
              </w:rPr>
              <w:t>494.652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72E799" w14:textId="77777777">
            <w:pPr>
              <w:pStyle w:val="p-table"/>
              <w:jc w:val="right"/>
              <w:rPr>
                <w:sz w:val="13"/>
                <w:szCs w:val="13"/>
              </w:rPr>
            </w:pPr>
            <w:r w:rsidRPr="003268EE">
              <w:rPr>
                <w:b/>
                <w:sz w:val="13"/>
                <w:szCs w:val="13"/>
              </w:rPr>
              <w:t>52.342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2BB5B8" w14:textId="77777777">
            <w:pPr>
              <w:pStyle w:val="p-table"/>
              <w:jc w:val="right"/>
              <w:rPr>
                <w:sz w:val="13"/>
                <w:szCs w:val="13"/>
              </w:rPr>
            </w:pPr>
            <w:r w:rsidRPr="003268EE">
              <w:rPr>
                <w:b/>
                <w:sz w:val="13"/>
                <w:szCs w:val="13"/>
              </w:rPr>
              <w:t>52.737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5E72537" w14:textId="77777777">
            <w:pPr>
              <w:pStyle w:val="p-table"/>
              <w:jc w:val="right"/>
              <w:rPr>
                <w:sz w:val="13"/>
                <w:szCs w:val="13"/>
              </w:rPr>
            </w:pPr>
            <w:r w:rsidRPr="003268EE">
              <w:rPr>
                <w:b/>
                <w:sz w:val="13"/>
                <w:szCs w:val="13"/>
              </w:rPr>
              <w:t>24.429</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8B92DB" w14:textId="77777777">
            <w:pPr>
              <w:pStyle w:val="p-table"/>
              <w:jc w:val="right"/>
              <w:rPr>
                <w:sz w:val="13"/>
                <w:szCs w:val="13"/>
              </w:rPr>
            </w:pPr>
            <w:r w:rsidRPr="003268EE">
              <w:rPr>
                <w:b/>
                <w:sz w:val="13"/>
                <w:szCs w:val="13"/>
              </w:rPr>
              <w:t>14.194</w:t>
            </w:r>
          </w:p>
        </w:tc>
        <w:tc>
          <w:tcPr>
            <w:tcW w:w="375" w:type="pct"/>
            <w:tcBorders>
              <w:bottom w:val="single" w:color="009EE0" w:sz="2" w:space="0"/>
            </w:tcBorders>
            <w:tcMar>
              <w:top w:w="22" w:type="dxa"/>
              <w:left w:w="28" w:type="dxa"/>
              <w:bottom w:w="22" w:type="dxa"/>
              <w:right w:w="28" w:type="dxa"/>
            </w:tcMar>
          </w:tcPr>
          <w:p w:rsidRPr="003268EE" w:rsidR="0084290D" w:rsidRDefault="00CF5B93" w14:paraId="588DE0A1" w14:textId="77777777">
            <w:pPr>
              <w:pStyle w:val="p-table"/>
              <w:jc w:val="right"/>
              <w:rPr>
                <w:sz w:val="13"/>
                <w:szCs w:val="13"/>
              </w:rPr>
            </w:pPr>
            <w:r w:rsidRPr="003268EE">
              <w:rPr>
                <w:b/>
                <w:sz w:val="13"/>
                <w:szCs w:val="13"/>
              </w:rPr>
              <w:t>183.196</w:t>
            </w:r>
          </w:p>
        </w:tc>
      </w:tr>
      <w:tr w:rsidR="0084290D" w:rsidTr="007433BE" w14:paraId="5632E487" w14:textId="77777777">
        <w:tc>
          <w:tcPr>
            <w:tcW w:w="1250" w:type="pct"/>
            <w:tcBorders>
              <w:bottom w:val="single" w:color="009EE0" w:sz="2" w:space="0"/>
            </w:tcBorders>
            <w:tcMar>
              <w:top w:w="22" w:type="dxa"/>
              <w:bottom w:w="22" w:type="dxa"/>
              <w:right w:w="28" w:type="dxa"/>
            </w:tcMar>
          </w:tcPr>
          <w:p w:rsidRPr="003268EE" w:rsidR="0084290D" w:rsidRDefault="00CF5B93" w14:paraId="5DD2F2DF" w14:textId="77777777">
            <w:pPr>
              <w:pStyle w:val="p-table"/>
              <w:rPr>
                <w:sz w:val="13"/>
                <w:szCs w:val="13"/>
              </w:rPr>
            </w:pPr>
            <w:r w:rsidRPr="003268EE">
              <w:rPr>
                <w:sz w:val="13"/>
                <w:szCs w:val="13"/>
              </w:rPr>
              <w:t>Eigen personeel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BC3B98" w14:textId="77777777">
            <w:pPr>
              <w:pStyle w:val="p-table"/>
              <w:jc w:val="right"/>
              <w:rPr>
                <w:sz w:val="13"/>
                <w:szCs w:val="13"/>
              </w:rPr>
            </w:pPr>
            <w:r w:rsidRPr="003268EE">
              <w:rPr>
                <w:sz w:val="13"/>
                <w:szCs w:val="13"/>
              </w:rPr>
              <w:t>306.469</w:t>
            </w:r>
          </w:p>
        </w:tc>
        <w:tc>
          <w:tcPr>
            <w:tcW w:w="375" w:type="pct"/>
            <w:tcBorders>
              <w:bottom w:val="single" w:color="009EE0" w:sz="2" w:space="0"/>
            </w:tcBorders>
            <w:tcMar>
              <w:top w:w="22" w:type="dxa"/>
              <w:left w:w="28" w:type="dxa"/>
              <w:bottom w:w="22" w:type="dxa"/>
              <w:right w:w="28" w:type="dxa"/>
            </w:tcMar>
          </w:tcPr>
          <w:p w:rsidRPr="003268EE" w:rsidR="0084290D" w:rsidRDefault="00CF5B93" w14:paraId="5046DCE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949974" w14:textId="77777777">
            <w:pPr>
              <w:pStyle w:val="p-table"/>
              <w:jc w:val="right"/>
              <w:rPr>
                <w:sz w:val="13"/>
                <w:szCs w:val="13"/>
              </w:rPr>
            </w:pPr>
            <w:r w:rsidRPr="003268EE">
              <w:rPr>
                <w:sz w:val="13"/>
                <w:szCs w:val="13"/>
              </w:rPr>
              <w:t>306.469</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CFC3CA" w14:textId="77777777">
            <w:pPr>
              <w:pStyle w:val="p-table"/>
              <w:jc w:val="right"/>
              <w:rPr>
                <w:sz w:val="13"/>
                <w:szCs w:val="13"/>
              </w:rPr>
            </w:pPr>
            <w:r w:rsidRPr="003268EE">
              <w:rPr>
                <w:sz w:val="13"/>
                <w:szCs w:val="13"/>
              </w:rPr>
              <w:t>82.629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97159F" w14:textId="77777777">
            <w:pPr>
              <w:pStyle w:val="p-table"/>
              <w:jc w:val="right"/>
              <w:rPr>
                <w:sz w:val="13"/>
                <w:szCs w:val="13"/>
              </w:rPr>
            </w:pPr>
            <w:r w:rsidRPr="003268EE">
              <w:rPr>
                <w:sz w:val="13"/>
                <w:szCs w:val="13"/>
              </w:rPr>
              <w:t>389.098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C252430" w14:textId="77777777">
            <w:pPr>
              <w:pStyle w:val="p-table"/>
              <w:jc w:val="right"/>
              <w:rPr>
                <w:sz w:val="13"/>
                <w:szCs w:val="13"/>
              </w:rPr>
            </w:pPr>
            <w:r w:rsidRPr="003268EE">
              <w:rPr>
                <w:sz w:val="13"/>
                <w:szCs w:val="13"/>
              </w:rPr>
              <w:t>94.871</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EA44D0" w14:textId="77777777">
            <w:pPr>
              <w:pStyle w:val="p-table"/>
              <w:jc w:val="right"/>
              <w:rPr>
                <w:sz w:val="13"/>
                <w:szCs w:val="13"/>
              </w:rPr>
            </w:pPr>
            <w:r w:rsidRPr="003268EE">
              <w:rPr>
                <w:sz w:val="13"/>
                <w:szCs w:val="13"/>
              </w:rPr>
              <w:t>46.922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15ED7AD" w14:textId="77777777">
            <w:pPr>
              <w:pStyle w:val="p-table"/>
              <w:jc w:val="right"/>
              <w:rPr>
                <w:sz w:val="13"/>
                <w:szCs w:val="13"/>
              </w:rPr>
            </w:pPr>
            <w:r w:rsidRPr="003268EE">
              <w:rPr>
                <w:sz w:val="13"/>
                <w:szCs w:val="13"/>
              </w:rPr>
              <w:t>23.879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84C1D7" w14:textId="77777777">
            <w:pPr>
              <w:pStyle w:val="p-table"/>
              <w:jc w:val="right"/>
              <w:rPr>
                <w:sz w:val="13"/>
                <w:szCs w:val="13"/>
              </w:rPr>
            </w:pPr>
            <w:r w:rsidRPr="003268EE">
              <w:rPr>
                <w:sz w:val="13"/>
                <w:szCs w:val="13"/>
              </w:rPr>
              <w:t>15.123</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0D4592" w14:textId="77777777">
            <w:pPr>
              <w:pStyle w:val="p-table"/>
              <w:jc w:val="right"/>
              <w:rPr>
                <w:sz w:val="13"/>
                <w:szCs w:val="13"/>
              </w:rPr>
            </w:pPr>
            <w:r w:rsidRPr="003268EE">
              <w:rPr>
                <w:sz w:val="13"/>
                <w:szCs w:val="13"/>
              </w:rPr>
              <w:t>170.582</w:t>
            </w:r>
          </w:p>
        </w:tc>
      </w:tr>
      <w:tr w:rsidR="0084290D" w:rsidTr="007433BE" w14:paraId="1A143FBD" w14:textId="77777777">
        <w:tc>
          <w:tcPr>
            <w:tcW w:w="1250" w:type="pct"/>
            <w:tcBorders>
              <w:bottom w:val="single" w:color="009EE0" w:sz="2" w:space="0"/>
            </w:tcBorders>
            <w:tcMar>
              <w:top w:w="22" w:type="dxa"/>
              <w:bottom w:w="22" w:type="dxa"/>
              <w:right w:w="28" w:type="dxa"/>
            </w:tcMar>
          </w:tcPr>
          <w:p w:rsidRPr="003268EE" w:rsidR="0084290D" w:rsidRDefault="00CF5B93" w14:paraId="7975FDDC" w14:textId="77777777">
            <w:pPr>
              <w:pStyle w:val="p-table"/>
              <w:rPr>
                <w:sz w:val="13"/>
                <w:szCs w:val="13"/>
              </w:rPr>
            </w:pPr>
            <w:r w:rsidRPr="003268EE">
              <w:rPr>
                <w:sz w:val="13"/>
                <w:szCs w:val="13"/>
              </w:rPr>
              <w:t>Inhuur externen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98D390" w14:textId="77777777">
            <w:pPr>
              <w:pStyle w:val="p-table"/>
              <w:jc w:val="right"/>
              <w:rPr>
                <w:sz w:val="13"/>
                <w:szCs w:val="13"/>
              </w:rPr>
            </w:pPr>
            <w:r w:rsidRPr="003268EE">
              <w:rPr>
                <w:sz w:val="13"/>
                <w:szCs w:val="13"/>
              </w:rPr>
              <w:t>222.878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F911D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92ED087" w14:textId="77777777">
            <w:pPr>
              <w:pStyle w:val="p-table"/>
              <w:jc w:val="right"/>
              <w:rPr>
                <w:sz w:val="13"/>
                <w:szCs w:val="13"/>
              </w:rPr>
            </w:pPr>
            <w:r w:rsidRPr="003268EE">
              <w:rPr>
                <w:sz w:val="13"/>
                <w:szCs w:val="13"/>
              </w:rPr>
              <w:t>222.878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02C04F" w14:textId="77777777">
            <w:pPr>
              <w:pStyle w:val="p-table"/>
              <w:jc w:val="right"/>
              <w:rPr>
                <w:sz w:val="13"/>
                <w:szCs w:val="13"/>
              </w:rPr>
            </w:pPr>
            <w:r w:rsidRPr="003268EE">
              <w:rPr>
                <w:sz w:val="13"/>
                <w:szCs w:val="13"/>
              </w:rPr>
              <w:t>‒ 118.539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985484" w14:textId="77777777">
            <w:pPr>
              <w:pStyle w:val="p-table"/>
              <w:jc w:val="right"/>
              <w:rPr>
                <w:sz w:val="13"/>
                <w:szCs w:val="13"/>
              </w:rPr>
            </w:pPr>
            <w:r w:rsidRPr="003268EE">
              <w:rPr>
                <w:sz w:val="13"/>
                <w:szCs w:val="13"/>
              </w:rPr>
              <w:t>104.339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EF202D" w14:textId="77777777">
            <w:pPr>
              <w:pStyle w:val="p-table"/>
              <w:jc w:val="right"/>
              <w:rPr>
                <w:sz w:val="13"/>
                <w:szCs w:val="13"/>
              </w:rPr>
            </w:pPr>
            <w:r w:rsidRPr="003268EE">
              <w:rPr>
                <w:sz w:val="13"/>
                <w:szCs w:val="13"/>
              </w:rPr>
              <w:t>‒ 42.522</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B2181D" w14:textId="77777777">
            <w:pPr>
              <w:pStyle w:val="p-table"/>
              <w:jc w:val="right"/>
              <w:rPr>
                <w:sz w:val="13"/>
                <w:szCs w:val="13"/>
              </w:rPr>
            </w:pPr>
            <w:r w:rsidRPr="003268EE">
              <w:rPr>
                <w:sz w:val="13"/>
                <w:szCs w:val="13"/>
              </w:rPr>
              <w:t>5.829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541276" w14:textId="77777777">
            <w:pPr>
              <w:pStyle w:val="p-table"/>
              <w:jc w:val="right"/>
              <w:rPr>
                <w:sz w:val="13"/>
                <w:szCs w:val="13"/>
              </w:rPr>
            </w:pPr>
            <w:r w:rsidRPr="003268EE">
              <w:rPr>
                <w:sz w:val="13"/>
                <w:szCs w:val="13"/>
              </w:rPr>
              <w:t>596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551182" w14:textId="77777777">
            <w:pPr>
              <w:pStyle w:val="p-table"/>
              <w:jc w:val="right"/>
              <w:rPr>
                <w:sz w:val="13"/>
                <w:szCs w:val="13"/>
              </w:rPr>
            </w:pPr>
            <w:r w:rsidRPr="003268EE">
              <w:rPr>
                <w:sz w:val="13"/>
                <w:szCs w:val="13"/>
              </w:rPr>
              <w:t>‒ 838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78D7D7F" w14:textId="77777777">
            <w:pPr>
              <w:pStyle w:val="p-table"/>
              <w:jc w:val="right"/>
              <w:rPr>
                <w:sz w:val="13"/>
                <w:szCs w:val="13"/>
              </w:rPr>
            </w:pPr>
            <w:r w:rsidRPr="003268EE">
              <w:rPr>
                <w:sz w:val="13"/>
                <w:szCs w:val="13"/>
              </w:rPr>
              <w:t>11.492</w:t>
            </w:r>
          </w:p>
        </w:tc>
      </w:tr>
      <w:tr w:rsidR="0084290D" w:rsidTr="007433BE" w14:paraId="232A1C5C" w14:textId="77777777">
        <w:tc>
          <w:tcPr>
            <w:tcW w:w="1250" w:type="pct"/>
            <w:tcBorders>
              <w:bottom w:val="single" w:color="009EE0" w:sz="2" w:space="0"/>
            </w:tcBorders>
            <w:tcMar>
              <w:top w:w="22" w:type="dxa"/>
              <w:bottom w:w="22" w:type="dxa"/>
              <w:right w:w="28" w:type="dxa"/>
            </w:tcMar>
          </w:tcPr>
          <w:p w:rsidRPr="003268EE" w:rsidR="0084290D" w:rsidRDefault="00CF5B93" w14:paraId="15DDFDE5" w14:textId="77777777">
            <w:pPr>
              <w:pStyle w:val="p-table"/>
              <w:rPr>
                <w:sz w:val="13"/>
                <w:szCs w:val="13"/>
              </w:rPr>
            </w:pPr>
            <w:r w:rsidRPr="003268EE">
              <w:rPr>
                <w:sz w:val="13"/>
                <w:szCs w:val="13"/>
              </w:rPr>
              <w:t>Overig personeel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61F191" w14:textId="77777777">
            <w:pPr>
              <w:pStyle w:val="p-table"/>
              <w:jc w:val="right"/>
              <w:rPr>
                <w:sz w:val="13"/>
                <w:szCs w:val="13"/>
              </w:rPr>
            </w:pPr>
            <w:r w:rsidRPr="003268EE">
              <w:rPr>
                <w:sz w:val="13"/>
                <w:szCs w:val="13"/>
              </w:rPr>
              <w:t>1.215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7D041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F11E973" w14:textId="77777777">
            <w:pPr>
              <w:pStyle w:val="p-table"/>
              <w:jc w:val="right"/>
              <w:rPr>
                <w:sz w:val="13"/>
                <w:szCs w:val="13"/>
              </w:rPr>
            </w:pPr>
            <w:r w:rsidRPr="003268EE">
              <w:rPr>
                <w:sz w:val="13"/>
                <w:szCs w:val="13"/>
              </w:rPr>
              <w:t>1.215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35D0D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9ACAA9" w14:textId="77777777">
            <w:pPr>
              <w:pStyle w:val="p-table"/>
              <w:jc w:val="right"/>
              <w:rPr>
                <w:sz w:val="13"/>
                <w:szCs w:val="13"/>
              </w:rPr>
            </w:pPr>
            <w:r w:rsidRPr="003268EE">
              <w:rPr>
                <w:sz w:val="13"/>
                <w:szCs w:val="13"/>
              </w:rPr>
              <w:t>1.215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5D9289" w14:textId="77777777">
            <w:pPr>
              <w:pStyle w:val="p-table"/>
              <w:jc w:val="right"/>
              <w:rPr>
                <w:sz w:val="13"/>
                <w:szCs w:val="13"/>
              </w:rPr>
            </w:pPr>
            <w:r w:rsidRPr="003268EE">
              <w:rPr>
                <w:sz w:val="13"/>
                <w:szCs w:val="13"/>
              </w:rPr>
              <w:t>‒ 7</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CB3CC6" w14:textId="77777777">
            <w:pPr>
              <w:pStyle w:val="p-table"/>
              <w:jc w:val="right"/>
              <w:rPr>
                <w:sz w:val="13"/>
                <w:szCs w:val="13"/>
              </w:rPr>
            </w:pPr>
            <w:r w:rsidRPr="003268EE">
              <w:rPr>
                <w:sz w:val="13"/>
                <w:szCs w:val="13"/>
              </w:rPr>
              <w:t>‒ 14</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E7822C" w14:textId="77777777">
            <w:pPr>
              <w:pStyle w:val="p-table"/>
              <w:jc w:val="right"/>
              <w:rPr>
                <w:sz w:val="13"/>
                <w:szCs w:val="13"/>
              </w:rPr>
            </w:pPr>
            <w:r w:rsidRPr="003268EE">
              <w:rPr>
                <w:sz w:val="13"/>
                <w:szCs w:val="13"/>
              </w:rPr>
              <w:t>‒ 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79BC4E" w14:textId="77777777">
            <w:pPr>
              <w:pStyle w:val="p-table"/>
              <w:jc w:val="right"/>
              <w:rPr>
                <w:sz w:val="13"/>
                <w:szCs w:val="13"/>
              </w:rPr>
            </w:pPr>
            <w:r w:rsidRPr="003268EE">
              <w:rPr>
                <w:sz w:val="13"/>
                <w:szCs w:val="13"/>
              </w:rPr>
              <w:t>‒ 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2D39F2F3" w14:textId="77777777">
            <w:pPr>
              <w:pStyle w:val="p-table"/>
              <w:jc w:val="right"/>
              <w:rPr>
                <w:sz w:val="13"/>
                <w:szCs w:val="13"/>
              </w:rPr>
            </w:pPr>
            <w:r w:rsidRPr="003268EE">
              <w:rPr>
                <w:sz w:val="13"/>
                <w:szCs w:val="13"/>
              </w:rPr>
              <w:t>1.122</w:t>
            </w:r>
          </w:p>
        </w:tc>
      </w:tr>
      <w:tr w:rsidR="0084290D" w:rsidTr="007433BE" w14:paraId="50856651" w14:textId="77777777">
        <w:tc>
          <w:tcPr>
            <w:tcW w:w="1250" w:type="pct"/>
            <w:tcBorders>
              <w:bottom w:val="single" w:color="009EE0" w:sz="2" w:space="0"/>
            </w:tcBorders>
            <w:tcMar>
              <w:top w:w="22" w:type="dxa"/>
              <w:bottom w:w="22" w:type="dxa"/>
              <w:right w:w="28" w:type="dxa"/>
            </w:tcMar>
          </w:tcPr>
          <w:p w:rsidRPr="003268EE" w:rsidR="0084290D" w:rsidRDefault="0084290D" w14:paraId="218EC53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D30E05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1B522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E2AA4D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5019DD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A106E7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36A714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5892E9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ACC9F8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1208D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9E9FC6A" w14:textId="77777777">
            <w:pPr>
              <w:pStyle w:val="p-table"/>
              <w:rPr>
                <w:sz w:val="13"/>
                <w:szCs w:val="13"/>
              </w:rPr>
            </w:pPr>
          </w:p>
        </w:tc>
      </w:tr>
      <w:tr w:rsidR="0084290D" w:rsidTr="007433BE" w14:paraId="0B4CC820" w14:textId="77777777">
        <w:tc>
          <w:tcPr>
            <w:tcW w:w="1250" w:type="pct"/>
            <w:tcBorders>
              <w:bottom w:val="single" w:color="009EE0" w:sz="2" w:space="0"/>
            </w:tcBorders>
            <w:tcMar>
              <w:top w:w="22" w:type="dxa"/>
              <w:bottom w:w="22" w:type="dxa"/>
              <w:right w:w="28" w:type="dxa"/>
            </w:tcMar>
          </w:tcPr>
          <w:p w:rsidRPr="003268EE" w:rsidR="0084290D" w:rsidRDefault="00CF5B93" w14:paraId="28B31C46" w14:textId="77777777">
            <w:pPr>
              <w:pStyle w:val="p-table"/>
              <w:rPr>
                <w:sz w:val="13"/>
                <w:szCs w:val="13"/>
              </w:rPr>
            </w:pPr>
            <w:r w:rsidRPr="003268EE">
              <w:rPr>
                <w:b/>
                <w:sz w:val="13"/>
                <w:szCs w:val="13"/>
              </w:rPr>
              <w:t>Materiële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A508404" w14:textId="77777777">
            <w:pPr>
              <w:pStyle w:val="p-table"/>
              <w:jc w:val="right"/>
              <w:rPr>
                <w:sz w:val="13"/>
                <w:szCs w:val="13"/>
              </w:rPr>
            </w:pPr>
            <w:r w:rsidRPr="003268EE">
              <w:rPr>
                <w:b/>
                <w:sz w:val="13"/>
                <w:szCs w:val="13"/>
              </w:rPr>
              <w:t>19.912</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E57E71"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830B1F4" w14:textId="77777777">
            <w:pPr>
              <w:pStyle w:val="p-table"/>
              <w:jc w:val="right"/>
              <w:rPr>
                <w:sz w:val="13"/>
                <w:szCs w:val="13"/>
              </w:rPr>
            </w:pPr>
            <w:r w:rsidRPr="003268EE">
              <w:rPr>
                <w:b/>
                <w:sz w:val="13"/>
                <w:szCs w:val="13"/>
              </w:rPr>
              <w:t>19.912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F27D60D" w14:textId="77777777">
            <w:pPr>
              <w:pStyle w:val="p-table"/>
              <w:jc w:val="right"/>
              <w:rPr>
                <w:sz w:val="13"/>
                <w:szCs w:val="13"/>
              </w:rPr>
            </w:pPr>
            <w:r w:rsidRPr="003268EE">
              <w:rPr>
                <w:b/>
                <w:sz w:val="13"/>
                <w:szCs w:val="13"/>
              </w:rPr>
              <w:t>13.488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4B8698" w14:textId="77777777">
            <w:pPr>
              <w:pStyle w:val="p-table"/>
              <w:jc w:val="right"/>
              <w:rPr>
                <w:sz w:val="13"/>
                <w:szCs w:val="13"/>
              </w:rPr>
            </w:pPr>
            <w:r w:rsidRPr="003268EE">
              <w:rPr>
                <w:b/>
                <w:sz w:val="13"/>
                <w:szCs w:val="13"/>
              </w:rPr>
              <w:t>33.400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772ED7" w14:textId="77777777">
            <w:pPr>
              <w:pStyle w:val="p-table"/>
              <w:jc w:val="right"/>
              <w:rPr>
                <w:sz w:val="13"/>
                <w:szCs w:val="13"/>
              </w:rPr>
            </w:pPr>
            <w:r w:rsidRPr="003268EE">
              <w:rPr>
                <w:b/>
                <w:sz w:val="13"/>
                <w:szCs w:val="13"/>
              </w:rPr>
              <w:t>25.416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94CBBBC" w14:textId="77777777">
            <w:pPr>
              <w:pStyle w:val="p-table"/>
              <w:jc w:val="right"/>
              <w:rPr>
                <w:sz w:val="13"/>
                <w:szCs w:val="13"/>
              </w:rPr>
            </w:pPr>
            <w:r w:rsidRPr="003268EE">
              <w:rPr>
                <w:b/>
                <w:sz w:val="13"/>
                <w:szCs w:val="13"/>
              </w:rPr>
              <w:t>24.701</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CAD5AA" w14:textId="77777777">
            <w:pPr>
              <w:pStyle w:val="p-table"/>
              <w:jc w:val="right"/>
              <w:rPr>
                <w:sz w:val="13"/>
                <w:szCs w:val="13"/>
              </w:rPr>
            </w:pPr>
            <w:r w:rsidRPr="003268EE">
              <w:rPr>
                <w:b/>
                <w:sz w:val="13"/>
                <w:szCs w:val="13"/>
              </w:rPr>
              <w:t>14.251</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73C7B5" w14:textId="77777777">
            <w:pPr>
              <w:pStyle w:val="p-table"/>
              <w:jc w:val="right"/>
              <w:rPr>
                <w:sz w:val="13"/>
                <w:szCs w:val="13"/>
              </w:rPr>
            </w:pPr>
            <w:r w:rsidRPr="003268EE">
              <w:rPr>
                <w:b/>
                <w:sz w:val="13"/>
                <w:szCs w:val="13"/>
              </w:rPr>
              <w:t>14.044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C12247" w14:textId="77777777">
            <w:pPr>
              <w:pStyle w:val="p-table"/>
              <w:jc w:val="right"/>
              <w:rPr>
                <w:sz w:val="13"/>
                <w:szCs w:val="13"/>
              </w:rPr>
            </w:pPr>
            <w:r w:rsidRPr="003268EE">
              <w:rPr>
                <w:b/>
                <w:sz w:val="13"/>
                <w:szCs w:val="13"/>
              </w:rPr>
              <w:t>19.691</w:t>
            </w:r>
          </w:p>
        </w:tc>
      </w:tr>
      <w:tr w:rsidR="0084290D" w:rsidTr="007433BE" w14:paraId="501E4691" w14:textId="77777777">
        <w:tc>
          <w:tcPr>
            <w:tcW w:w="1250" w:type="pct"/>
            <w:tcBorders>
              <w:bottom w:val="single" w:color="009EE0" w:sz="2" w:space="0"/>
            </w:tcBorders>
            <w:tcMar>
              <w:top w:w="22" w:type="dxa"/>
              <w:bottom w:w="22" w:type="dxa"/>
              <w:right w:w="28" w:type="dxa"/>
            </w:tcMar>
          </w:tcPr>
          <w:p w:rsidRPr="003268EE" w:rsidR="0084290D" w:rsidRDefault="00CF5B93" w14:paraId="1BA62E4C" w14:textId="77777777">
            <w:pPr>
              <w:pStyle w:val="p-table"/>
              <w:rPr>
                <w:sz w:val="13"/>
                <w:szCs w:val="13"/>
              </w:rPr>
            </w:pPr>
            <w:r w:rsidRPr="003268EE">
              <w:rPr>
                <w:sz w:val="13"/>
                <w:szCs w:val="13"/>
              </w:rPr>
              <w:t>ICT</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4AD5B3" w14:textId="77777777">
            <w:pPr>
              <w:pStyle w:val="p-table"/>
              <w:jc w:val="right"/>
              <w:rPr>
                <w:sz w:val="13"/>
                <w:szCs w:val="13"/>
              </w:rPr>
            </w:pPr>
            <w:r w:rsidRPr="003268EE">
              <w:rPr>
                <w:sz w:val="13"/>
                <w:szCs w:val="13"/>
              </w:rPr>
              <w:t>224</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F527C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046292" w14:textId="77777777">
            <w:pPr>
              <w:pStyle w:val="p-table"/>
              <w:jc w:val="right"/>
              <w:rPr>
                <w:sz w:val="13"/>
                <w:szCs w:val="13"/>
              </w:rPr>
            </w:pPr>
            <w:r w:rsidRPr="003268EE">
              <w:rPr>
                <w:sz w:val="13"/>
                <w:szCs w:val="13"/>
              </w:rPr>
              <w:t>224</w:t>
            </w:r>
          </w:p>
        </w:tc>
        <w:tc>
          <w:tcPr>
            <w:tcW w:w="375" w:type="pct"/>
            <w:tcBorders>
              <w:bottom w:val="single" w:color="009EE0" w:sz="2" w:space="0"/>
            </w:tcBorders>
            <w:tcMar>
              <w:top w:w="22" w:type="dxa"/>
              <w:left w:w="28" w:type="dxa"/>
              <w:bottom w:w="22" w:type="dxa"/>
              <w:right w:w="28" w:type="dxa"/>
            </w:tcMar>
          </w:tcPr>
          <w:p w:rsidRPr="003268EE" w:rsidR="0084290D" w:rsidRDefault="00CF5B93" w14:paraId="69467459" w14:textId="77777777">
            <w:pPr>
              <w:pStyle w:val="p-table"/>
              <w:jc w:val="right"/>
              <w:rPr>
                <w:sz w:val="13"/>
                <w:szCs w:val="13"/>
              </w:rPr>
            </w:pPr>
            <w:r w:rsidRPr="003268EE">
              <w:rPr>
                <w:sz w:val="13"/>
                <w:szCs w:val="13"/>
              </w:rPr>
              <w:t>1.100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EA5718" w14:textId="77777777">
            <w:pPr>
              <w:pStyle w:val="p-table"/>
              <w:jc w:val="right"/>
              <w:rPr>
                <w:sz w:val="13"/>
                <w:szCs w:val="13"/>
              </w:rPr>
            </w:pPr>
            <w:r w:rsidRPr="003268EE">
              <w:rPr>
                <w:sz w:val="13"/>
                <w:szCs w:val="13"/>
              </w:rPr>
              <w:t>1.324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1C089E" w14:textId="77777777">
            <w:pPr>
              <w:pStyle w:val="p-table"/>
              <w:jc w:val="right"/>
              <w:rPr>
                <w:sz w:val="13"/>
                <w:szCs w:val="13"/>
              </w:rPr>
            </w:pPr>
            <w:r w:rsidRPr="003268EE">
              <w:rPr>
                <w:sz w:val="13"/>
                <w:szCs w:val="13"/>
              </w:rPr>
              <w:t>3.099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834128" w14:textId="77777777">
            <w:pPr>
              <w:pStyle w:val="p-table"/>
              <w:jc w:val="right"/>
              <w:rPr>
                <w:sz w:val="13"/>
                <w:szCs w:val="13"/>
              </w:rPr>
            </w:pPr>
            <w:r w:rsidRPr="003268EE">
              <w:rPr>
                <w:sz w:val="13"/>
                <w:szCs w:val="13"/>
              </w:rPr>
              <w:t>2.997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367785E" w14:textId="77777777">
            <w:pPr>
              <w:pStyle w:val="p-table"/>
              <w:jc w:val="right"/>
              <w:rPr>
                <w:sz w:val="13"/>
                <w:szCs w:val="13"/>
              </w:rPr>
            </w:pPr>
            <w:r w:rsidRPr="003268EE">
              <w:rPr>
                <w:sz w:val="13"/>
                <w:szCs w:val="13"/>
              </w:rPr>
              <w:t>‒ 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818A03" w14:textId="77777777">
            <w:pPr>
              <w:pStyle w:val="p-table"/>
              <w:jc w:val="right"/>
              <w:rPr>
                <w:sz w:val="13"/>
                <w:szCs w:val="13"/>
              </w:rPr>
            </w:pPr>
            <w:r w:rsidRPr="003268EE">
              <w:rPr>
                <w:sz w:val="13"/>
                <w:szCs w:val="13"/>
              </w:rPr>
              <w:t>‒ 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B986316" w14:textId="77777777">
            <w:pPr>
              <w:pStyle w:val="p-table"/>
              <w:jc w:val="right"/>
              <w:rPr>
                <w:sz w:val="13"/>
                <w:szCs w:val="13"/>
              </w:rPr>
            </w:pPr>
            <w:r w:rsidRPr="003268EE">
              <w:rPr>
                <w:sz w:val="13"/>
                <w:szCs w:val="13"/>
              </w:rPr>
              <w:t>207</w:t>
            </w:r>
          </w:p>
        </w:tc>
      </w:tr>
      <w:tr w:rsidR="0084290D" w:rsidTr="007433BE" w14:paraId="45FD1953" w14:textId="77777777">
        <w:tc>
          <w:tcPr>
            <w:tcW w:w="1250" w:type="pct"/>
            <w:tcBorders>
              <w:bottom w:val="single" w:color="009EE0" w:sz="2" w:space="0"/>
            </w:tcBorders>
            <w:tcMar>
              <w:top w:w="22" w:type="dxa"/>
              <w:bottom w:w="22" w:type="dxa"/>
              <w:right w:w="28" w:type="dxa"/>
            </w:tcMar>
          </w:tcPr>
          <w:p w:rsidRPr="003268EE" w:rsidR="0084290D" w:rsidRDefault="00CF5B93" w14:paraId="34860104" w14:textId="77777777">
            <w:pPr>
              <w:pStyle w:val="p-table"/>
              <w:rPr>
                <w:sz w:val="13"/>
                <w:szCs w:val="13"/>
              </w:rPr>
            </w:pPr>
            <w:r w:rsidRPr="003268EE">
              <w:rPr>
                <w:sz w:val="13"/>
                <w:szCs w:val="13"/>
              </w:rPr>
              <w:t>Bijdrage aan SSO's</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E1D637"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E3B4B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98242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AAEA515" w14:textId="77777777">
            <w:pPr>
              <w:pStyle w:val="p-table"/>
              <w:jc w:val="right"/>
              <w:rPr>
                <w:sz w:val="13"/>
                <w:szCs w:val="13"/>
              </w:rPr>
            </w:pPr>
            <w:r w:rsidRPr="003268EE">
              <w:rPr>
                <w:sz w:val="13"/>
                <w:szCs w:val="13"/>
              </w:rPr>
              <w:t>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FFFF13" w14:textId="77777777">
            <w:pPr>
              <w:pStyle w:val="p-table"/>
              <w:jc w:val="right"/>
              <w:rPr>
                <w:sz w:val="13"/>
                <w:szCs w:val="13"/>
              </w:rPr>
            </w:pPr>
            <w:r w:rsidRPr="003268EE">
              <w:rPr>
                <w:sz w:val="13"/>
                <w:szCs w:val="13"/>
              </w:rPr>
              <w:t>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E9840D" w14:textId="77777777">
            <w:pPr>
              <w:pStyle w:val="p-table"/>
              <w:jc w:val="right"/>
              <w:rPr>
                <w:sz w:val="13"/>
                <w:szCs w:val="13"/>
              </w:rPr>
            </w:pPr>
            <w:r w:rsidRPr="003268EE">
              <w:rPr>
                <w:sz w:val="13"/>
                <w:szCs w:val="13"/>
              </w:rPr>
              <w:t>1.500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7B9BDA" w14:textId="77777777">
            <w:pPr>
              <w:pStyle w:val="p-table"/>
              <w:jc w:val="right"/>
              <w:rPr>
                <w:sz w:val="13"/>
                <w:szCs w:val="13"/>
              </w:rPr>
            </w:pPr>
            <w:r w:rsidRPr="003268EE">
              <w:rPr>
                <w:sz w:val="13"/>
                <w:szCs w:val="13"/>
              </w:rPr>
              <w:t>2.500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16A55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8D25F8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9A6FB21" w14:textId="77777777">
            <w:pPr>
              <w:pStyle w:val="p-table"/>
              <w:jc w:val="right"/>
              <w:rPr>
                <w:sz w:val="13"/>
                <w:szCs w:val="13"/>
              </w:rPr>
            </w:pPr>
            <w:r w:rsidRPr="003268EE">
              <w:rPr>
                <w:sz w:val="13"/>
                <w:szCs w:val="13"/>
              </w:rPr>
              <w:t>0</w:t>
            </w:r>
          </w:p>
        </w:tc>
      </w:tr>
      <w:tr w:rsidR="0084290D" w:rsidTr="007433BE" w14:paraId="4F23BB4B" w14:textId="77777777">
        <w:tc>
          <w:tcPr>
            <w:tcW w:w="1250" w:type="pct"/>
            <w:tcBorders>
              <w:bottom w:val="single" w:color="009EE0" w:sz="2" w:space="0"/>
            </w:tcBorders>
            <w:tcMar>
              <w:top w:w="22" w:type="dxa"/>
              <w:bottom w:w="22" w:type="dxa"/>
              <w:right w:w="28" w:type="dxa"/>
            </w:tcMar>
          </w:tcPr>
          <w:p w:rsidRPr="003268EE" w:rsidR="0084290D" w:rsidRDefault="00CF5B93" w14:paraId="19C1540E" w14:textId="77777777">
            <w:pPr>
              <w:pStyle w:val="p-table"/>
              <w:rPr>
                <w:sz w:val="13"/>
                <w:szCs w:val="13"/>
              </w:rPr>
            </w:pPr>
            <w:r w:rsidRPr="003268EE">
              <w:rPr>
                <w:sz w:val="13"/>
                <w:szCs w:val="13"/>
              </w:rPr>
              <w:t>Overige materiële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28C25AD4" w14:textId="77777777">
            <w:pPr>
              <w:pStyle w:val="p-table"/>
              <w:jc w:val="right"/>
              <w:rPr>
                <w:sz w:val="13"/>
                <w:szCs w:val="13"/>
              </w:rPr>
            </w:pPr>
            <w:r w:rsidRPr="003268EE">
              <w:rPr>
                <w:sz w:val="13"/>
                <w:szCs w:val="13"/>
              </w:rPr>
              <w:t>19.688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23444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FEC8F5" w14:textId="77777777">
            <w:pPr>
              <w:pStyle w:val="p-table"/>
              <w:jc w:val="right"/>
              <w:rPr>
                <w:sz w:val="13"/>
                <w:szCs w:val="13"/>
              </w:rPr>
            </w:pPr>
            <w:r w:rsidRPr="003268EE">
              <w:rPr>
                <w:sz w:val="13"/>
                <w:szCs w:val="13"/>
              </w:rPr>
              <w:t>19.688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703A31" w14:textId="77777777">
            <w:pPr>
              <w:pStyle w:val="p-table"/>
              <w:jc w:val="right"/>
              <w:rPr>
                <w:sz w:val="13"/>
                <w:szCs w:val="13"/>
              </w:rPr>
            </w:pPr>
            <w:r w:rsidRPr="003268EE">
              <w:rPr>
                <w:sz w:val="13"/>
                <w:szCs w:val="13"/>
              </w:rPr>
              <w:t>11.388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7545CF" w14:textId="77777777">
            <w:pPr>
              <w:pStyle w:val="p-table"/>
              <w:jc w:val="right"/>
              <w:rPr>
                <w:sz w:val="13"/>
                <w:szCs w:val="13"/>
              </w:rPr>
            </w:pPr>
            <w:r w:rsidRPr="003268EE">
              <w:rPr>
                <w:sz w:val="13"/>
                <w:szCs w:val="13"/>
              </w:rPr>
              <w:t>31.076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D041880" w14:textId="77777777">
            <w:pPr>
              <w:pStyle w:val="p-table"/>
              <w:jc w:val="right"/>
              <w:rPr>
                <w:sz w:val="13"/>
                <w:szCs w:val="13"/>
              </w:rPr>
            </w:pPr>
            <w:r w:rsidRPr="003268EE">
              <w:rPr>
                <w:sz w:val="13"/>
                <w:szCs w:val="13"/>
              </w:rPr>
              <w:t>20.817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2CBB8C" w14:textId="77777777">
            <w:pPr>
              <w:pStyle w:val="p-table"/>
              <w:jc w:val="right"/>
              <w:rPr>
                <w:sz w:val="13"/>
                <w:szCs w:val="13"/>
              </w:rPr>
            </w:pPr>
            <w:r w:rsidRPr="003268EE">
              <w:rPr>
                <w:sz w:val="13"/>
                <w:szCs w:val="13"/>
              </w:rPr>
              <w:t>19.204</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23A38E" w14:textId="77777777">
            <w:pPr>
              <w:pStyle w:val="p-table"/>
              <w:jc w:val="right"/>
              <w:rPr>
                <w:sz w:val="13"/>
                <w:szCs w:val="13"/>
              </w:rPr>
            </w:pPr>
            <w:r w:rsidRPr="003268EE">
              <w:rPr>
                <w:sz w:val="13"/>
                <w:szCs w:val="13"/>
              </w:rPr>
              <w:t>14.260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46532E" w14:textId="77777777">
            <w:pPr>
              <w:pStyle w:val="p-table"/>
              <w:jc w:val="right"/>
              <w:rPr>
                <w:sz w:val="13"/>
                <w:szCs w:val="13"/>
              </w:rPr>
            </w:pPr>
            <w:r w:rsidRPr="003268EE">
              <w:rPr>
                <w:sz w:val="13"/>
                <w:szCs w:val="13"/>
              </w:rPr>
              <w:t>14.061</w:t>
            </w:r>
          </w:p>
        </w:tc>
        <w:tc>
          <w:tcPr>
            <w:tcW w:w="375" w:type="pct"/>
            <w:tcBorders>
              <w:bottom w:val="single" w:color="009EE0" w:sz="2" w:space="0"/>
            </w:tcBorders>
            <w:tcMar>
              <w:top w:w="22" w:type="dxa"/>
              <w:left w:w="28" w:type="dxa"/>
              <w:bottom w:w="22" w:type="dxa"/>
              <w:right w:w="28" w:type="dxa"/>
            </w:tcMar>
          </w:tcPr>
          <w:p w:rsidRPr="003268EE" w:rsidR="0084290D" w:rsidRDefault="00CF5B93" w14:paraId="1AF1F3D4" w14:textId="77777777">
            <w:pPr>
              <w:pStyle w:val="p-table"/>
              <w:jc w:val="right"/>
              <w:rPr>
                <w:sz w:val="13"/>
                <w:szCs w:val="13"/>
              </w:rPr>
            </w:pPr>
            <w:r w:rsidRPr="003268EE">
              <w:rPr>
                <w:sz w:val="13"/>
                <w:szCs w:val="13"/>
              </w:rPr>
              <w:t>19.484</w:t>
            </w:r>
          </w:p>
        </w:tc>
      </w:tr>
      <w:tr w:rsidR="0084290D" w:rsidTr="007433BE" w14:paraId="2944C579" w14:textId="77777777">
        <w:tc>
          <w:tcPr>
            <w:tcW w:w="1250" w:type="pct"/>
            <w:tcBorders>
              <w:bottom w:val="single" w:color="009EE0" w:sz="2" w:space="0"/>
            </w:tcBorders>
            <w:tcMar>
              <w:top w:w="22" w:type="dxa"/>
              <w:bottom w:w="22" w:type="dxa"/>
              <w:right w:w="28" w:type="dxa"/>
            </w:tcMar>
          </w:tcPr>
          <w:p w:rsidRPr="003268EE" w:rsidR="0084290D" w:rsidRDefault="0084290D" w14:paraId="28D51DB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2E0C2E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3A2DDB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A2039E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15A21E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9D312E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188F10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D943DF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B1AEA9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2A5F72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40830CB" w14:textId="77777777">
            <w:pPr>
              <w:pStyle w:val="p-table"/>
              <w:rPr>
                <w:sz w:val="13"/>
                <w:szCs w:val="13"/>
              </w:rPr>
            </w:pPr>
          </w:p>
        </w:tc>
      </w:tr>
      <w:tr w:rsidR="0084290D" w:rsidTr="007433BE" w14:paraId="6B3E27CD" w14:textId="77777777">
        <w:tc>
          <w:tcPr>
            <w:tcW w:w="1250" w:type="pct"/>
            <w:tcBorders>
              <w:bottom w:val="single" w:color="009EE0" w:sz="2" w:space="0"/>
            </w:tcBorders>
            <w:tcMar>
              <w:top w:w="22" w:type="dxa"/>
              <w:bottom w:w="22" w:type="dxa"/>
              <w:right w:w="28" w:type="dxa"/>
            </w:tcMar>
          </w:tcPr>
          <w:p w:rsidRPr="003268EE" w:rsidR="0084290D" w:rsidRDefault="00CF5B93" w14:paraId="4E5871BF" w14:textId="77777777">
            <w:pPr>
              <w:pStyle w:val="p-table"/>
              <w:rPr>
                <w:sz w:val="13"/>
                <w:szCs w:val="13"/>
              </w:rPr>
            </w:pPr>
            <w:r w:rsidRPr="003268EE">
              <w:rPr>
                <w:b/>
                <w:sz w:val="13"/>
                <w:szCs w:val="13"/>
              </w:rPr>
              <w:t>(2) Programma-uitgaven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108E78" w14:textId="77777777">
            <w:pPr>
              <w:pStyle w:val="p-table"/>
              <w:jc w:val="right"/>
              <w:rPr>
                <w:sz w:val="13"/>
                <w:szCs w:val="13"/>
              </w:rPr>
            </w:pPr>
            <w:r w:rsidRPr="003268EE">
              <w:rPr>
                <w:b/>
                <w:sz w:val="13"/>
                <w:szCs w:val="13"/>
              </w:rPr>
              <w:t>1.405.347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036628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6E4264" w14:textId="77777777">
            <w:pPr>
              <w:pStyle w:val="p-table"/>
              <w:jc w:val="right"/>
              <w:rPr>
                <w:sz w:val="13"/>
                <w:szCs w:val="13"/>
              </w:rPr>
            </w:pPr>
            <w:r w:rsidRPr="003268EE">
              <w:rPr>
                <w:b/>
                <w:sz w:val="13"/>
                <w:szCs w:val="13"/>
              </w:rPr>
              <w:t>1.405.347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F5A109" w14:textId="77777777">
            <w:pPr>
              <w:pStyle w:val="p-table"/>
              <w:jc w:val="right"/>
              <w:rPr>
                <w:sz w:val="13"/>
                <w:szCs w:val="13"/>
              </w:rPr>
            </w:pPr>
            <w:r w:rsidRPr="003268EE">
              <w:rPr>
                <w:b/>
                <w:sz w:val="13"/>
                <w:szCs w:val="13"/>
              </w:rPr>
              <w:t>453.661</w:t>
            </w:r>
          </w:p>
        </w:tc>
        <w:tc>
          <w:tcPr>
            <w:tcW w:w="375" w:type="pct"/>
            <w:tcBorders>
              <w:bottom w:val="single" w:color="009EE0" w:sz="2" w:space="0"/>
            </w:tcBorders>
            <w:tcMar>
              <w:top w:w="22" w:type="dxa"/>
              <w:left w:w="28" w:type="dxa"/>
              <w:bottom w:w="22" w:type="dxa"/>
              <w:right w:w="28" w:type="dxa"/>
            </w:tcMar>
          </w:tcPr>
          <w:p w:rsidRPr="003268EE" w:rsidR="0084290D" w:rsidRDefault="00CF5B93" w14:paraId="532FC4A4" w14:textId="77777777">
            <w:pPr>
              <w:pStyle w:val="p-table"/>
              <w:jc w:val="right"/>
              <w:rPr>
                <w:sz w:val="13"/>
                <w:szCs w:val="13"/>
              </w:rPr>
            </w:pPr>
            <w:r w:rsidRPr="003268EE">
              <w:rPr>
                <w:b/>
                <w:sz w:val="13"/>
                <w:szCs w:val="13"/>
              </w:rPr>
              <w:t>1.859.008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A979C05" w14:textId="77777777">
            <w:pPr>
              <w:pStyle w:val="p-table"/>
              <w:jc w:val="right"/>
              <w:rPr>
                <w:sz w:val="13"/>
                <w:szCs w:val="13"/>
              </w:rPr>
            </w:pPr>
            <w:r w:rsidRPr="003268EE">
              <w:rPr>
                <w:b/>
                <w:sz w:val="13"/>
                <w:szCs w:val="13"/>
              </w:rPr>
              <w:t>234.414</w:t>
            </w:r>
          </w:p>
        </w:tc>
        <w:tc>
          <w:tcPr>
            <w:tcW w:w="375" w:type="pct"/>
            <w:tcBorders>
              <w:bottom w:val="single" w:color="009EE0" w:sz="2" w:space="0"/>
            </w:tcBorders>
            <w:tcMar>
              <w:top w:w="22" w:type="dxa"/>
              <w:left w:w="28" w:type="dxa"/>
              <w:bottom w:w="22" w:type="dxa"/>
              <w:right w:w="28" w:type="dxa"/>
            </w:tcMar>
          </w:tcPr>
          <w:p w:rsidRPr="003268EE" w:rsidR="0084290D" w:rsidRDefault="00CF5B93" w14:paraId="554960DA" w14:textId="77777777">
            <w:pPr>
              <w:pStyle w:val="p-table"/>
              <w:jc w:val="right"/>
              <w:rPr>
                <w:sz w:val="13"/>
                <w:szCs w:val="13"/>
              </w:rPr>
            </w:pPr>
            <w:r w:rsidRPr="003268EE">
              <w:rPr>
                <w:b/>
                <w:sz w:val="13"/>
                <w:szCs w:val="13"/>
              </w:rPr>
              <w:t>‒ 166.453</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1580C1" w14:textId="77777777">
            <w:pPr>
              <w:pStyle w:val="p-table"/>
              <w:jc w:val="right"/>
              <w:rPr>
                <w:sz w:val="13"/>
                <w:szCs w:val="13"/>
              </w:rPr>
            </w:pPr>
            <w:r w:rsidRPr="003268EE">
              <w:rPr>
                <w:b/>
                <w:sz w:val="13"/>
                <w:szCs w:val="13"/>
              </w:rPr>
              <w:t>37.996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F96C18" w14:textId="77777777">
            <w:pPr>
              <w:pStyle w:val="p-table"/>
              <w:jc w:val="right"/>
              <w:rPr>
                <w:sz w:val="13"/>
                <w:szCs w:val="13"/>
              </w:rPr>
            </w:pPr>
            <w:r w:rsidRPr="003268EE">
              <w:rPr>
                <w:b/>
                <w:sz w:val="13"/>
                <w:szCs w:val="13"/>
              </w:rPr>
              <w:t>12.492</w:t>
            </w:r>
          </w:p>
        </w:tc>
        <w:tc>
          <w:tcPr>
            <w:tcW w:w="375" w:type="pct"/>
            <w:tcBorders>
              <w:bottom w:val="single" w:color="009EE0" w:sz="2" w:space="0"/>
            </w:tcBorders>
            <w:tcMar>
              <w:top w:w="22" w:type="dxa"/>
              <w:left w:w="28" w:type="dxa"/>
              <w:bottom w:w="22" w:type="dxa"/>
              <w:right w:w="28" w:type="dxa"/>
            </w:tcMar>
          </w:tcPr>
          <w:p w:rsidRPr="003268EE" w:rsidR="0084290D" w:rsidRDefault="00CF5B93" w14:paraId="35B4917D" w14:textId="77777777">
            <w:pPr>
              <w:pStyle w:val="p-table"/>
              <w:jc w:val="right"/>
              <w:rPr>
                <w:sz w:val="13"/>
                <w:szCs w:val="13"/>
              </w:rPr>
            </w:pPr>
            <w:r w:rsidRPr="003268EE">
              <w:rPr>
                <w:b/>
                <w:sz w:val="13"/>
                <w:szCs w:val="13"/>
              </w:rPr>
              <w:t>211.622</w:t>
            </w:r>
          </w:p>
        </w:tc>
      </w:tr>
      <w:tr w:rsidR="0084290D" w:rsidTr="007433BE" w14:paraId="16CDE488" w14:textId="77777777">
        <w:tc>
          <w:tcPr>
            <w:tcW w:w="1250" w:type="pct"/>
            <w:tcBorders>
              <w:bottom w:val="single" w:color="009EE0" w:sz="2" w:space="0"/>
            </w:tcBorders>
            <w:tcMar>
              <w:top w:w="22" w:type="dxa"/>
              <w:bottom w:w="22" w:type="dxa"/>
              <w:right w:w="28" w:type="dxa"/>
            </w:tcMar>
          </w:tcPr>
          <w:p w:rsidRPr="003268EE" w:rsidR="0084290D" w:rsidRDefault="0084290D" w14:paraId="4A89C79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2BA460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F1CEBB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38B59F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4064E9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100C64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5C25A3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C0BEF7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0ED4E0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AD7B1D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FCF827E" w14:textId="77777777">
            <w:pPr>
              <w:pStyle w:val="p-table"/>
              <w:rPr>
                <w:sz w:val="13"/>
                <w:szCs w:val="13"/>
              </w:rPr>
            </w:pPr>
          </w:p>
        </w:tc>
      </w:tr>
      <w:tr w:rsidR="0084290D" w:rsidTr="007433BE" w14:paraId="21BBC70B" w14:textId="77777777">
        <w:tc>
          <w:tcPr>
            <w:tcW w:w="1250" w:type="pct"/>
            <w:tcBorders>
              <w:bottom w:val="single" w:color="009EE0" w:sz="2" w:space="0"/>
            </w:tcBorders>
            <w:tcMar>
              <w:top w:w="22" w:type="dxa"/>
              <w:bottom w:w="22" w:type="dxa"/>
              <w:right w:w="28" w:type="dxa"/>
            </w:tcMar>
          </w:tcPr>
          <w:p w:rsidRPr="003268EE" w:rsidR="0084290D" w:rsidRDefault="00CF5B93" w14:paraId="73C4F731" w14:textId="77777777">
            <w:pPr>
              <w:pStyle w:val="p-table"/>
              <w:rPr>
                <w:sz w:val="13"/>
                <w:szCs w:val="13"/>
              </w:rPr>
            </w:pPr>
            <w:r w:rsidRPr="003268EE">
              <w:rPr>
                <w:b/>
                <w:sz w:val="13"/>
                <w:szCs w:val="13"/>
              </w:rPr>
              <w:t>Bijdrage aan ZBO's/RWT's</w:t>
            </w:r>
          </w:p>
        </w:tc>
        <w:tc>
          <w:tcPr>
            <w:tcW w:w="375" w:type="pct"/>
            <w:tcBorders>
              <w:bottom w:val="single" w:color="009EE0" w:sz="2" w:space="0"/>
            </w:tcBorders>
            <w:tcMar>
              <w:top w:w="22" w:type="dxa"/>
              <w:left w:w="28" w:type="dxa"/>
              <w:bottom w:w="22" w:type="dxa"/>
              <w:right w:w="28" w:type="dxa"/>
            </w:tcMar>
          </w:tcPr>
          <w:p w:rsidRPr="003268EE" w:rsidR="0084290D" w:rsidRDefault="00CF5B93" w14:paraId="664BFF12" w14:textId="77777777">
            <w:pPr>
              <w:pStyle w:val="p-table"/>
              <w:jc w:val="right"/>
              <w:rPr>
                <w:sz w:val="13"/>
                <w:szCs w:val="13"/>
              </w:rPr>
            </w:pPr>
            <w:r w:rsidRPr="003268EE">
              <w:rPr>
                <w:b/>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85418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2F0E9C" w14:textId="77777777">
            <w:pPr>
              <w:pStyle w:val="p-table"/>
              <w:jc w:val="right"/>
              <w:rPr>
                <w:sz w:val="13"/>
                <w:szCs w:val="13"/>
              </w:rPr>
            </w:pPr>
            <w:r w:rsidRPr="003268EE">
              <w:rPr>
                <w:b/>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50769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8E1C1A3" w14:textId="77777777">
            <w:pPr>
              <w:pStyle w:val="p-table"/>
              <w:jc w:val="right"/>
              <w:rPr>
                <w:sz w:val="13"/>
                <w:szCs w:val="13"/>
              </w:rPr>
            </w:pPr>
            <w:r w:rsidRPr="003268EE">
              <w:rPr>
                <w:b/>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CE7B21" w14:textId="77777777">
            <w:pPr>
              <w:pStyle w:val="p-table"/>
              <w:jc w:val="right"/>
              <w:rPr>
                <w:sz w:val="13"/>
                <w:szCs w:val="13"/>
              </w:rPr>
            </w:pPr>
            <w:r w:rsidRPr="003268EE">
              <w:rPr>
                <w:b/>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775696EC" w14:textId="77777777">
            <w:pPr>
              <w:pStyle w:val="p-table"/>
              <w:jc w:val="right"/>
              <w:rPr>
                <w:sz w:val="13"/>
                <w:szCs w:val="13"/>
              </w:rPr>
            </w:pPr>
            <w:r w:rsidRPr="003268EE">
              <w:rPr>
                <w:b/>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E8D831" w14:textId="77777777">
            <w:pPr>
              <w:pStyle w:val="p-table"/>
              <w:jc w:val="right"/>
              <w:rPr>
                <w:sz w:val="13"/>
                <w:szCs w:val="13"/>
              </w:rPr>
            </w:pPr>
            <w:r w:rsidRPr="003268EE">
              <w:rPr>
                <w:b/>
                <w:sz w:val="13"/>
                <w:szCs w:val="13"/>
              </w:rPr>
              <w:t>‒ 4</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BA9E67" w14:textId="77777777">
            <w:pPr>
              <w:pStyle w:val="p-table"/>
              <w:jc w:val="right"/>
              <w:rPr>
                <w:sz w:val="13"/>
                <w:szCs w:val="13"/>
              </w:rPr>
            </w:pPr>
            <w:r w:rsidRPr="003268EE">
              <w:rPr>
                <w:b/>
                <w:sz w:val="13"/>
                <w:szCs w:val="13"/>
              </w:rPr>
              <w:t>‒ 8</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5B9DA6" w14:textId="77777777">
            <w:pPr>
              <w:pStyle w:val="p-table"/>
              <w:jc w:val="right"/>
              <w:rPr>
                <w:sz w:val="13"/>
                <w:szCs w:val="13"/>
              </w:rPr>
            </w:pPr>
            <w:r w:rsidRPr="003268EE">
              <w:rPr>
                <w:b/>
                <w:sz w:val="13"/>
                <w:szCs w:val="13"/>
              </w:rPr>
              <w:t>100</w:t>
            </w:r>
          </w:p>
        </w:tc>
      </w:tr>
      <w:tr w:rsidR="0084290D" w:rsidTr="007433BE" w14:paraId="16B2DD8C" w14:textId="77777777">
        <w:tc>
          <w:tcPr>
            <w:tcW w:w="1250" w:type="pct"/>
            <w:tcBorders>
              <w:bottom w:val="single" w:color="009EE0" w:sz="2" w:space="0"/>
            </w:tcBorders>
            <w:tcMar>
              <w:top w:w="22" w:type="dxa"/>
              <w:bottom w:w="22" w:type="dxa"/>
              <w:right w:w="28" w:type="dxa"/>
            </w:tcMar>
          </w:tcPr>
          <w:p w:rsidRPr="003268EE" w:rsidR="0084290D" w:rsidRDefault="00CF5B93" w14:paraId="3BCFAD64" w14:textId="77777777">
            <w:pPr>
              <w:pStyle w:val="p-table"/>
              <w:rPr>
                <w:sz w:val="13"/>
                <w:szCs w:val="13"/>
              </w:rPr>
            </w:pPr>
            <w:r w:rsidRPr="003268EE">
              <w:rPr>
                <w:sz w:val="13"/>
                <w:szCs w:val="13"/>
              </w:rPr>
              <w:t>Bijdrage overige ZBO's/RWT's</w:t>
            </w:r>
          </w:p>
        </w:tc>
        <w:tc>
          <w:tcPr>
            <w:tcW w:w="375" w:type="pct"/>
            <w:tcBorders>
              <w:bottom w:val="single" w:color="009EE0" w:sz="2" w:space="0"/>
            </w:tcBorders>
            <w:tcMar>
              <w:top w:w="22" w:type="dxa"/>
              <w:left w:w="28" w:type="dxa"/>
              <w:bottom w:w="22" w:type="dxa"/>
              <w:right w:w="28" w:type="dxa"/>
            </w:tcMar>
          </w:tcPr>
          <w:p w:rsidRPr="003268EE" w:rsidR="0084290D" w:rsidRDefault="00CF5B93" w14:paraId="293B983E" w14:textId="77777777">
            <w:pPr>
              <w:pStyle w:val="p-table"/>
              <w:jc w:val="right"/>
              <w:rPr>
                <w:sz w:val="13"/>
                <w:szCs w:val="13"/>
              </w:rPr>
            </w:pPr>
            <w:r w:rsidRPr="003268EE">
              <w:rPr>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4C3DD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EE4217" w14:textId="77777777">
            <w:pPr>
              <w:pStyle w:val="p-table"/>
              <w:jc w:val="right"/>
              <w:rPr>
                <w:sz w:val="13"/>
                <w:szCs w:val="13"/>
              </w:rPr>
            </w:pPr>
            <w:r w:rsidRPr="003268EE">
              <w:rPr>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386A617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2A0ED6" w14:textId="77777777">
            <w:pPr>
              <w:pStyle w:val="p-table"/>
              <w:jc w:val="right"/>
              <w:rPr>
                <w:sz w:val="13"/>
                <w:szCs w:val="13"/>
              </w:rPr>
            </w:pPr>
            <w:r w:rsidRPr="003268EE">
              <w:rPr>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880434" w14:textId="77777777">
            <w:pPr>
              <w:pStyle w:val="p-table"/>
              <w:jc w:val="right"/>
              <w:rPr>
                <w:sz w:val="13"/>
                <w:szCs w:val="13"/>
              </w:rPr>
            </w:pPr>
            <w:r w:rsidRPr="003268EE">
              <w:rPr>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161E46" w14:textId="77777777">
            <w:pPr>
              <w:pStyle w:val="p-table"/>
              <w:jc w:val="right"/>
              <w:rPr>
                <w:sz w:val="13"/>
                <w:szCs w:val="13"/>
              </w:rPr>
            </w:pPr>
            <w:r w:rsidRPr="003268EE">
              <w:rPr>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70944608" w14:textId="77777777">
            <w:pPr>
              <w:pStyle w:val="p-table"/>
              <w:jc w:val="right"/>
              <w:rPr>
                <w:sz w:val="13"/>
                <w:szCs w:val="13"/>
              </w:rPr>
            </w:pPr>
            <w:r w:rsidRPr="003268EE">
              <w:rPr>
                <w:sz w:val="13"/>
                <w:szCs w:val="13"/>
              </w:rPr>
              <w:t>‒ 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4FA29C" w14:textId="77777777">
            <w:pPr>
              <w:pStyle w:val="p-table"/>
              <w:jc w:val="right"/>
              <w:rPr>
                <w:sz w:val="13"/>
                <w:szCs w:val="13"/>
              </w:rPr>
            </w:pPr>
            <w:r w:rsidRPr="003268EE">
              <w:rPr>
                <w:sz w:val="13"/>
                <w:szCs w:val="13"/>
              </w:rPr>
              <w:t>‒ 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11DFE56" w14:textId="77777777">
            <w:pPr>
              <w:pStyle w:val="p-table"/>
              <w:jc w:val="right"/>
              <w:rPr>
                <w:sz w:val="13"/>
                <w:szCs w:val="13"/>
              </w:rPr>
            </w:pPr>
            <w:r w:rsidRPr="003268EE">
              <w:rPr>
                <w:sz w:val="13"/>
                <w:szCs w:val="13"/>
              </w:rPr>
              <w:t>100</w:t>
            </w:r>
          </w:p>
        </w:tc>
      </w:tr>
      <w:tr w:rsidR="0084290D" w:rsidTr="007433BE" w14:paraId="2326B59D" w14:textId="77777777">
        <w:tc>
          <w:tcPr>
            <w:tcW w:w="1250" w:type="pct"/>
            <w:tcBorders>
              <w:bottom w:val="single" w:color="009EE0" w:sz="2" w:space="0"/>
            </w:tcBorders>
            <w:tcMar>
              <w:top w:w="22" w:type="dxa"/>
              <w:bottom w:w="22" w:type="dxa"/>
              <w:right w:w="28" w:type="dxa"/>
            </w:tcMar>
          </w:tcPr>
          <w:p w:rsidRPr="003268EE" w:rsidR="0084290D" w:rsidRDefault="0084290D" w14:paraId="66EA06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AF8B67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27BB9D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F95F83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76091A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EC1741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E8E57F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5D1638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CE38F3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0F985F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F957141" w14:textId="77777777">
            <w:pPr>
              <w:pStyle w:val="p-table"/>
              <w:rPr>
                <w:sz w:val="13"/>
                <w:szCs w:val="13"/>
              </w:rPr>
            </w:pPr>
          </w:p>
        </w:tc>
      </w:tr>
      <w:tr w:rsidR="0084290D" w:rsidTr="007433BE" w14:paraId="0CAE79C4" w14:textId="77777777">
        <w:tc>
          <w:tcPr>
            <w:tcW w:w="1250" w:type="pct"/>
            <w:tcBorders>
              <w:bottom w:val="single" w:color="009EE0" w:sz="2" w:space="0"/>
            </w:tcBorders>
            <w:tcMar>
              <w:top w:w="22" w:type="dxa"/>
              <w:bottom w:w="22" w:type="dxa"/>
              <w:right w:w="28" w:type="dxa"/>
            </w:tcMar>
          </w:tcPr>
          <w:p w:rsidRPr="003268EE" w:rsidR="0084290D" w:rsidRDefault="00CF5B93" w14:paraId="1F1215BD" w14:textId="77777777">
            <w:pPr>
              <w:pStyle w:val="p-table"/>
              <w:rPr>
                <w:sz w:val="13"/>
                <w:szCs w:val="13"/>
              </w:rPr>
            </w:pPr>
            <w:r w:rsidRPr="003268EE">
              <w:rPr>
                <w:b/>
                <w:sz w:val="13"/>
                <w:szCs w:val="13"/>
              </w:rPr>
              <w:t>Bijdrage aan (inter-)nationale organisaties</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D8B500" w14:textId="77777777">
            <w:pPr>
              <w:pStyle w:val="p-table"/>
              <w:jc w:val="right"/>
              <w:rPr>
                <w:sz w:val="13"/>
                <w:szCs w:val="13"/>
              </w:rPr>
            </w:pPr>
            <w:r w:rsidRPr="003268EE">
              <w:rPr>
                <w:b/>
                <w:sz w:val="13"/>
                <w:szCs w:val="13"/>
              </w:rPr>
              <w:t>4.130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A4837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1542420" w14:textId="77777777">
            <w:pPr>
              <w:pStyle w:val="p-table"/>
              <w:jc w:val="right"/>
              <w:rPr>
                <w:sz w:val="13"/>
                <w:szCs w:val="13"/>
              </w:rPr>
            </w:pPr>
            <w:r w:rsidRPr="003268EE">
              <w:rPr>
                <w:b/>
                <w:sz w:val="13"/>
                <w:szCs w:val="13"/>
              </w:rPr>
              <w:t>4.130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FACCF2" w14:textId="77777777">
            <w:pPr>
              <w:pStyle w:val="p-table"/>
              <w:jc w:val="right"/>
              <w:rPr>
                <w:sz w:val="13"/>
                <w:szCs w:val="13"/>
              </w:rPr>
            </w:pPr>
            <w:r w:rsidRPr="003268EE">
              <w:rPr>
                <w:b/>
                <w:sz w:val="13"/>
                <w:szCs w:val="13"/>
              </w:rPr>
              <w:t>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953A5B" w14:textId="77777777">
            <w:pPr>
              <w:pStyle w:val="p-table"/>
              <w:jc w:val="right"/>
              <w:rPr>
                <w:sz w:val="13"/>
                <w:szCs w:val="13"/>
              </w:rPr>
            </w:pPr>
            <w:r w:rsidRPr="003268EE">
              <w:rPr>
                <w:b/>
                <w:sz w:val="13"/>
                <w:szCs w:val="13"/>
              </w:rPr>
              <w:t>4.630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EC71C1" w14:textId="77777777">
            <w:pPr>
              <w:pStyle w:val="p-table"/>
              <w:jc w:val="right"/>
              <w:rPr>
                <w:sz w:val="13"/>
                <w:szCs w:val="13"/>
              </w:rPr>
            </w:pPr>
            <w:r w:rsidRPr="003268EE">
              <w:rPr>
                <w:b/>
                <w:sz w:val="13"/>
                <w:szCs w:val="13"/>
              </w:rPr>
              <w:t>2.630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D4B189" w14:textId="77777777">
            <w:pPr>
              <w:pStyle w:val="p-table"/>
              <w:jc w:val="right"/>
              <w:rPr>
                <w:sz w:val="13"/>
                <w:szCs w:val="13"/>
              </w:rPr>
            </w:pPr>
            <w:r w:rsidRPr="003268EE">
              <w:rPr>
                <w:b/>
                <w:sz w:val="13"/>
                <w:szCs w:val="13"/>
              </w:rPr>
              <w:t>4.630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ABA5F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0BEE38"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BEB83C" w14:textId="77777777">
            <w:pPr>
              <w:pStyle w:val="p-table"/>
              <w:jc w:val="right"/>
              <w:rPr>
                <w:sz w:val="13"/>
                <w:szCs w:val="13"/>
              </w:rPr>
            </w:pPr>
            <w:r w:rsidRPr="003268EE">
              <w:rPr>
                <w:b/>
                <w:sz w:val="13"/>
                <w:szCs w:val="13"/>
              </w:rPr>
              <w:t>0</w:t>
            </w:r>
          </w:p>
        </w:tc>
      </w:tr>
      <w:tr w:rsidR="0084290D" w:rsidTr="007433BE" w14:paraId="73ABDC53" w14:textId="77777777">
        <w:tc>
          <w:tcPr>
            <w:tcW w:w="1250" w:type="pct"/>
            <w:tcBorders>
              <w:bottom w:val="single" w:color="009EE0" w:sz="2" w:space="0"/>
            </w:tcBorders>
            <w:tcMar>
              <w:top w:w="22" w:type="dxa"/>
              <w:bottom w:w="22" w:type="dxa"/>
              <w:right w:w="28" w:type="dxa"/>
            </w:tcMar>
          </w:tcPr>
          <w:p w:rsidRPr="003268EE" w:rsidR="0084290D" w:rsidRDefault="00CF5B93" w14:paraId="1C820EE0" w14:textId="77777777">
            <w:pPr>
              <w:pStyle w:val="p-table"/>
              <w:rPr>
                <w:sz w:val="13"/>
                <w:szCs w:val="13"/>
              </w:rPr>
            </w:pPr>
            <w:r w:rsidRPr="003268EE">
              <w:rPr>
                <w:sz w:val="13"/>
                <w:szCs w:val="13"/>
              </w:rPr>
              <w:t>Bijdrage aan (inter-)nationale organisaties</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817A76" w14:textId="77777777">
            <w:pPr>
              <w:pStyle w:val="p-table"/>
              <w:jc w:val="right"/>
              <w:rPr>
                <w:sz w:val="13"/>
                <w:szCs w:val="13"/>
              </w:rPr>
            </w:pPr>
            <w:r w:rsidRPr="003268EE">
              <w:rPr>
                <w:sz w:val="13"/>
                <w:szCs w:val="13"/>
              </w:rPr>
              <w:t>4.130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43DC5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67F0AE" w14:textId="77777777">
            <w:pPr>
              <w:pStyle w:val="p-table"/>
              <w:jc w:val="right"/>
              <w:rPr>
                <w:sz w:val="13"/>
                <w:szCs w:val="13"/>
              </w:rPr>
            </w:pPr>
            <w:r w:rsidRPr="003268EE">
              <w:rPr>
                <w:sz w:val="13"/>
                <w:szCs w:val="13"/>
              </w:rPr>
              <w:t>4.130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893A93" w14:textId="77777777">
            <w:pPr>
              <w:pStyle w:val="p-table"/>
              <w:jc w:val="right"/>
              <w:rPr>
                <w:sz w:val="13"/>
                <w:szCs w:val="13"/>
              </w:rPr>
            </w:pPr>
            <w:r w:rsidRPr="003268EE">
              <w:rPr>
                <w:sz w:val="13"/>
                <w:szCs w:val="13"/>
              </w:rPr>
              <w:t>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598DA70" w14:textId="77777777">
            <w:pPr>
              <w:pStyle w:val="p-table"/>
              <w:jc w:val="right"/>
              <w:rPr>
                <w:sz w:val="13"/>
                <w:szCs w:val="13"/>
              </w:rPr>
            </w:pPr>
            <w:r w:rsidRPr="003268EE">
              <w:rPr>
                <w:sz w:val="13"/>
                <w:szCs w:val="13"/>
              </w:rPr>
              <w:t>4.630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400EE01" w14:textId="77777777">
            <w:pPr>
              <w:pStyle w:val="p-table"/>
              <w:jc w:val="right"/>
              <w:rPr>
                <w:sz w:val="13"/>
                <w:szCs w:val="13"/>
              </w:rPr>
            </w:pPr>
            <w:r w:rsidRPr="003268EE">
              <w:rPr>
                <w:sz w:val="13"/>
                <w:szCs w:val="13"/>
              </w:rPr>
              <w:t>2.630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2B77BC0" w14:textId="77777777">
            <w:pPr>
              <w:pStyle w:val="p-table"/>
              <w:jc w:val="right"/>
              <w:rPr>
                <w:sz w:val="13"/>
                <w:szCs w:val="13"/>
              </w:rPr>
            </w:pPr>
            <w:r w:rsidRPr="003268EE">
              <w:rPr>
                <w:sz w:val="13"/>
                <w:szCs w:val="13"/>
              </w:rPr>
              <w:t>4.630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41330F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F4B5B9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90659B2" w14:textId="77777777">
            <w:pPr>
              <w:pStyle w:val="p-table"/>
              <w:jc w:val="right"/>
              <w:rPr>
                <w:sz w:val="13"/>
                <w:szCs w:val="13"/>
              </w:rPr>
            </w:pPr>
            <w:r w:rsidRPr="003268EE">
              <w:rPr>
                <w:sz w:val="13"/>
                <w:szCs w:val="13"/>
              </w:rPr>
              <w:t>0</w:t>
            </w:r>
          </w:p>
        </w:tc>
      </w:tr>
      <w:tr w:rsidR="0084290D" w:rsidTr="007433BE" w14:paraId="2AE1D289" w14:textId="77777777">
        <w:tc>
          <w:tcPr>
            <w:tcW w:w="1250" w:type="pct"/>
            <w:tcBorders>
              <w:bottom w:val="single" w:color="009EE0" w:sz="2" w:space="0"/>
            </w:tcBorders>
            <w:tcMar>
              <w:top w:w="22" w:type="dxa"/>
              <w:bottom w:w="22" w:type="dxa"/>
              <w:right w:w="28" w:type="dxa"/>
            </w:tcMar>
          </w:tcPr>
          <w:p w:rsidRPr="003268EE" w:rsidR="0084290D" w:rsidRDefault="0084290D" w14:paraId="2330541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017AF0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7A29F3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4C314F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B0817A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08140C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99F18F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78C98B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CA682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B0BC18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D0BDB1D" w14:textId="77777777">
            <w:pPr>
              <w:pStyle w:val="p-table"/>
              <w:rPr>
                <w:sz w:val="13"/>
                <w:szCs w:val="13"/>
              </w:rPr>
            </w:pPr>
          </w:p>
        </w:tc>
      </w:tr>
      <w:tr w:rsidR="0084290D" w:rsidTr="007433BE" w14:paraId="4DC03D58" w14:textId="77777777">
        <w:tc>
          <w:tcPr>
            <w:tcW w:w="1250" w:type="pct"/>
            <w:tcBorders>
              <w:bottom w:val="single" w:color="009EE0" w:sz="2" w:space="0"/>
            </w:tcBorders>
            <w:tcMar>
              <w:top w:w="22" w:type="dxa"/>
              <w:bottom w:w="22" w:type="dxa"/>
              <w:right w:w="28" w:type="dxa"/>
            </w:tcMar>
          </w:tcPr>
          <w:p w:rsidRPr="003268EE" w:rsidR="0084290D" w:rsidRDefault="00CF5B93" w14:paraId="345693EF" w14:textId="77777777">
            <w:pPr>
              <w:pStyle w:val="p-table"/>
              <w:rPr>
                <w:sz w:val="13"/>
                <w:szCs w:val="13"/>
              </w:rPr>
            </w:pPr>
            <w:r w:rsidRPr="003268EE">
              <w:rPr>
                <w:b/>
                <w:sz w:val="13"/>
                <w:szCs w:val="13"/>
              </w:rPr>
              <w:t>Opdrachten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75FA35" w14:textId="77777777">
            <w:pPr>
              <w:pStyle w:val="p-table"/>
              <w:jc w:val="right"/>
              <w:rPr>
                <w:sz w:val="13"/>
                <w:szCs w:val="13"/>
              </w:rPr>
            </w:pPr>
            <w:r w:rsidRPr="003268EE">
              <w:rPr>
                <w:b/>
                <w:sz w:val="13"/>
                <w:szCs w:val="13"/>
              </w:rPr>
              <w:t>50.033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10CC0E8"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5175A6" w14:textId="77777777">
            <w:pPr>
              <w:pStyle w:val="p-table"/>
              <w:jc w:val="right"/>
              <w:rPr>
                <w:sz w:val="13"/>
                <w:szCs w:val="13"/>
              </w:rPr>
            </w:pPr>
            <w:r w:rsidRPr="003268EE">
              <w:rPr>
                <w:b/>
                <w:sz w:val="13"/>
                <w:szCs w:val="13"/>
              </w:rPr>
              <w:t>50.033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1B3453" w14:textId="77777777">
            <w:pPr>
              <w:pStyle w:val="p-table"/>
              <w:jc w:val="right"/>
              <w:rPr>
                <w:sz w:val="13"/>
                <w:szCs w:val="13"/>
              </w:rPr>
            </w:pPr>
            <w:r w:rsidRPr="003268EE">
              <w:rPr>
                <w:b/>
                <w:sz w:val="13"/>
                <w:szCs w:val="13"/>
              </w:rPr>
              <w:t>99.376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7B337E2" w14:textId="77777777">
            <w:pPr>
              <w:pStyle w:val="p-table"/>
              <w:jc w:val="right"/>
              <w:rPr>
                <w:sz w:val="13"/>
                <w:szCs w:val="13"/>
              </w:rPr>
            </w:pPr>
            <w:r w:rsidRPr="003268EE">
              <w:rPr>
                <w:b/>
                <w:sz w:val="13"/>
                <w:szCs w:val="13"/>
              </w:rPr>
              <w:t>149.409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73A9F3" w14:textId="77777777">
            <w:pPr>
              <w:pStyle w:val="p-table"/>
              <w:jc w:val="right"/>
              <w:rPr>
                <w:sz w:val="13"/>
                <w:szCs w:val="13"/>
              </w:rPr>
            </w:pPr>
            <w:r w:rsidRPr="003268EE">
              <w:rPr>
                <w:b/>
                <w:sz w:val="13"/>
                <w:szCs w:val="13"/>
              </w:rPr>
              <w:t>188.247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4BA8BF" w14:textId="77777777">
            <w:pPr>
              <w:pStyle w:val="p-table"/>
              <w:jc w:val="right"/>
              <w:rPr>
                <w:sz w:val="13"/>
                <w:szCs w:val="13"/>
              </w:rPr>
            </w:pPr>
            <w:r w:rsidRPr="003268EE">
              <w:rPr>
                <w:b/>
                <w:sz w:val="13"/>
                <w:szCs w:val="13"/>
              </w:rPr>
              <w:t>41.848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955638"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1969FA"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003682B" w14:textId="77777777">
            <w:pPr>
              <w:pStyle w:val="p-table"/>
              <w:jc w:val="right"/>
              <w:rPr>
                <w:sz w:val="13"/>
                <w:szCs w:val="13"/>
              </w:rPr>
            </w:pPr>
            <w:r w:rsidRPr="003268EE">
              <w:rPr>
                <w:b/>
                <w:sz w:val="13"/>
                <w:szCs w:val="13"/>
              </w:rPr>
              <w:t>128</w:t>
            </w:r>
          </w:p>
        </w:tc>
      </w:tr>
      <w:tr w:rsidR="0084290D" w:rsidTr="007433BE" w14:paraId="0825F593" w14:textId="77777777">
        <w:tc>
          <w:tcPr>
            <w:tcW w:w="1250" w:type="pct"/>
            <w:tcBorders>
              <w:bottom w:val="single" w:color="009EE0" w:sz="2" w:space="0"/>
            </w:tcBorders>
            <w:tcMar>
              <w:top w:w="22" w:type="dxa"/>
              <w:bottom w:w="22" w:type="dxa"/>
              <w:right w:w="28" w:type="dxa"/>
            </w:tcMar>
          </w:tcPr>
          <w:p w:rsidRPr="003268EE" w:rsidR="0084290D" w:rsidRDefault="00CF5B93" w14:paraId="62FE3F65" w14:textId="77777777">
            <w:pPr>
              <w:pStyle w:val="p-table"/>
              <w:rPr>
                <w:sz w:val="13"/>
                <w:szCs w:val="13"/>
              </w:rPr>
            </w:pPr>
            <w:r w:rsidRPr="003268EE">
              <w:rPr>
                <w:sz w:val="13"/>
                <w:szCs w:val="13"/>
              </w:rPr>
              <w:t>ICT opdrachten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D2EB25" w14:textId="77777777">
            <w:pPr>
              <w:pStyle w:val="p-table"/>
              <w:jc w:val="right"/>
              <w:rPr>
                <w:sz w:val="13"/>
                <w:szCs w:val="13"/>
              </w:rPr>
            </w:pPr>
            <w:r w:rsidRPr="003268EE">
              <w:rPr>
                <w:sz w:val="13"/>
                <w:szCs w:val="13"/>
              </w:rPr>
              <w:t>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93C20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B8793B6" w14:textId="77777777">
            <w:pPr>
              <w:pStyle w:val="p-table"/>
              <w:jc w:val="right"/>
              <w:rPr>
                <w:sz w:val="13"/>
                <w:szCs w:val="13"/>
              </w:rPr>
            </w:pPr>
            <w:r w:rsidRPr="003268EE">
              <w:rPr>
                <w:sz w:val="13"/>
                <w:szCs w:val="13"/>
              </w:rPr>
              <w:t>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B3A68B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CEEAEC" w14:textId="77777777">
            <w:pPr>
              <w:pStyle w:val="p-table"/>
              <w:jc w:val="right"/>
              <w:rPr>
                <w:sz w:val="13"/>
                <w:szCs w:val="13"/>
              </w:rPr>
            </w:pPr>
            <w:r w:rsidRPr="003268EE">
              <w:rPr>
                <w:sz w:val="13"/>
                <w:szCs w:val="13"/>
              </w:rPr>
              <w:t>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7F174868" w14:textId="77777777">
            <w:pPr>
              <w:pStyle w:val="p-table"/>
              <w:jc w:val="right"/>
              <w:rPr>
                <w:sz w:val="13"/>
                <w:szCs w:val="13"/>
              </w:rPr>
            </w:pPr>
            <w:r w:rsidRPr="003268EE">
              <w:rPr>
                <w:sz w:val="13"/>
                <w:szCs w:val="13"/>
              </w:rPr>
              <w:t>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B41B478" w14:textId="77777777">
            <w:pPr>
              <w:pStyle w:val="p-table"/>
              <w:jc w:val="right"/>
              <w:rPr>
                <w:sz w:val="13"/>
                <w:szCs w:val="13"/>
              </w:rPr>
            </w:pPr>
            <w:r w:rsidRPr="003268EE">
              <w:rPr>
                <w:sz w:val="13"/>
                <w:szCs w:val="13"/>
              </w:rPr>
              <w:t>1.500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B52EA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CB3B9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EBB07C6" w14:textId="77777777">
            <w:pPr>
              <w:pStyle w:val="p-table"/>
              <w:jc w:val="right"/>
              <w:rPr>
                <w:sz w:val="13"/>
                <w:szCs w:val="13"/>
              </w:rPr>
            </w:pPr>
            <w:r w:rsidRPr="003268EE">
              <w:rPr>
                <w:sz w:val="13"/>
                <w:szCs w:val="13"/>
              </w:rPr>
              <w:t>27</w:t>
            </w:r>
          </w:p>
        </w:tc>
      </w:tr>
      <w:tr w:rsidR="0084290D" w:rsidTr="007433BE" w14:paraId="002679C3" w14:textId="77777777">
        <w:tc>
          <w:tcPr>
            <w:tcW w:w="1250" w:type="pct"/>
            <w:tcBorders>
              <w:bottom w:val="single" w:color="009EE0" w:sz="2" w:space="0"/>
            </w:tcBorders>
            <w:tcMar>
              <w:top w:w="22" w:type="dxa"/>
              <w:bottom w:w="22" w:type="dxa"/>
              <w:right w:w="28" w:type="dxa"/>
            </w:tcMar>
          </w:tcPr>
          <w:p w:rsidRPr="003268EE" w:rsidR="0084290D" w:rsidRDefault="00CF5B93" w14:paraId="334AB62F" w14:textId="77777777">
            <w:pPr>
              <w:pStyle w:val="p-table"/>
              <w:rPr>
                <w:sz w:val="13"/>
                <w:szCs w:val="13"/>
              </w:rPr>
            </w:pPr>
            <w:r w:rsidRPr="003268EE">
              <w:rPr>
                <w:sz w:val="13"/>
                <w:szCs w:val="13"/>
              </w:rPr>
              <w:t>Overige opdrachten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3C023D" w14:textId="77777777">
            <w:pPr>
              <w:pStyle w:val="p-table"/>
              <w:jc w:val="right"/>
              <w:rPr>
                <w:sz w:val="13"/>
                <w:szCs w:val="13"/>
              </w:rPr>
            </w:pPr>
            <w:r w:rsidRPr="003268EE">
              <w:rPr>
                <w:sz w:val="13"/>
                <w:szCs w:val="13"/>
              </w:rPr>
              <w:t>50.006</w:t>
            </w:r>
          </w:p>
        </w:tc>
        <w:tc>
          <w:tcPr>
            <w:tcW w:w="375" w:type="pct"/>
            <w:tcBorders>
              <w:bottom w:val="single" w:color="009EE0" w:sz="2" w:space="0"/>
            </w:tcBorders>
            <w:tcMar>
              <w:top w:w="22" w:type="dxa"/>
              <w:left w:w="28" w:type="dxa"/>
              <w:bottom w:w="22" w:type="dxa"/>
              <w:right w:w="28" w:type="dxa"/>
            </w:tcMar>
          </w:tcPr>
          <w:p w:rsidRPr="003268EE" w:rsidR="0084290D" w:rsidRDefault="00CF5B93" w14:paraId="1D2EBDD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535DF96" w14:textId="77777777">
            <w:pPr>
              <w:pStyle w:val="p-table"/>
              <w:jc w:val="right"/>
              <w:rPr>
                <w:sz w:val="13"/>
                <w:szCs w:val="13"/>
              </w:rPr>
            </w:pPr>
            <w:r w:rsidRPr="003268EE">
              <w:rPr>
                <w:sz w:val="13"/>
                <w:szCs w:val="13"/>
              </w:rPr>
              <w:t>50.006</w:t>
            </w:r>
          </w:p>
        </w:tc>
        <w:tc>
          <w:tcPr>
            <w:tcW w:w="375" w:type="pct"/>
            <w:tcBorders>
              <w:bottom w:val="single" w:color="009EE0" w:sz="2" w:space="0"/>
            </w:tcBorders>
            <w:tcMar>
              <w:top w:w="22" w:type="dxa"/>
              <w:left w:w="28" w:type="dxa"/>
              <w:bottom w:w="22" w:type="dxa"/>
              <w:right w:w="28" w:type="dxa"/>
            </w:tcMar>
          </w:tcPr>
          <w:p w:rsidRPr="003268EE" w:rsidR="0084290D" w:rsidRDefault="00CF5B93" w14:paraId="1ECF4859" w14:textId="77777777">
            <w:pPr>
              <w:pStyle w:val="p-table"/>
              <w:jc w:val="right"/>
              <w:rPr>
                <w:sz w:val="13"/>
                <w:szCs w:val="13"/>
              </w:rPr>
            </w:pPr>
            <w:r w:rsidRPr="003268EE">
              <w:rPr>
                <w:sz w:val="13"/>
                <w:szCs w:val="13"/>
              </w:rPr>
              <w:t>99.376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17436B" w14:textId="77777777">
            <w:pPr>
              <w:pStyle w:val="p-table"/>
              <w:jc w:val="right"/>
              <w:rPr>
                <w:sz w:val="13"/>
                <w:szCs w:val="13"/>
              </w:rPr>
            </w:pPr>
            <w:r w:rsidRPr="003268EE">
              <w:rPr>
                <w:sz w:val="13"/>
                <w:szCs w:val="13"/>
              </w:rPr>
              <w:t>149.382</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82257B" w14:textId="77777777">
            <w:pPr>
              <w:pStyle w:val="p-table"/>
              <w:jc w:val="right"/>
              <w:rPr>
                <w:sz w:val="13"/>
                <w:szCs w:val="13"/>
              </w:rPr>
            </w:pPr>
            <w:r w:rsidRPr="003268EE">
              <w:rPr>
                <w:sz w:val="13"/>
                <w:szCs w:val="13"/>
              </w:rPr>
              <w:t>187.247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E4AFB5" w14:textId="77777777">
            <w:pPr>
              <w:pStyle w:val="p-table"/>
              <w:jc w:val="right"/>
              <w:rPr>
                <w:sz w:val="13"/>
                <w:szCs w:val="13"/>
              </w:rPr>
            </w:pPr>
            <w:r w:rsidRPr="003268EE">
              <w:rPr>
                <w:sz w:val="13"/>
                <w:szCs w:val="13"/>
              </w:rPr>
              <w:t>40.348</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358C4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53F56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7FA80A8" w14:textId="77777777">
            <w:pPr>
              <w:pStyle w:val="p-table"/>
              <w:jc w:val="right"/>
              <w:rPr>
                <w:sz w:val="13"/>
                <w:szCs w:val="13"/>
              </w:rPr>
            </w:pPr>
            <w:r w:rsidRPr="003268EE">
              <w:rPr>
                <w:sz w:val="13"/>
                <w:szCs w:val="13"/>
              </w:rPr>
              <w:t>101</w:t>
            </w:r>
          </w:p>
        </w:tc>
      </w:tr>
      <w:tr w:rsidR="0084290D" w:rsidTr="007433BE" w14:paraId="79649848" w14:textId="77777777">
        <w:tc>
          <w:tcPr>
            <w:tcW w:w="1250" w:type="pct"/>
            <w:tcBorders>
              <w:bottom w:val="single" w:color="009EE0" w:sz="2" w:space="0"/>
            </w:tcBorders>
            <w:tcMar>
              <w:top w:w="22" w:type="dxa"/>
              <w:bottom w:w="22" w:type="dxa"/>
              <w:right w:w="28" w:type="dxa"/>
            </w:tcMar>
          </w:tcPr>
          <w:p w:rsidRPr="003268EE" w:rsidR="0084290D" w:rsidRDefault="0084290D" w14:paraId="5F19E15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EE5B2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CEE50D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DA0D16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D8F23B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75999D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36EB03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86AAD7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F8D30E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69AE29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EF49E2B" w14:textId="77777777">
            <w:pPr>
              <w:pStyle w:val="p-table"/>
              <w:rPr>
                <w:sz w:val="13"/>
                <w:szCs w:val="13"/>
              </w:rPr>
            </w:pPr>
          </w:p>
        </w:tc>
      </w:tr>
      <w:tr w:rsidR="0084290D" w:rsidTr="007433BE" w14:paraId="21C9C799" w14:textId="77777777">
        <w:tc>
          <w:tcPr>
            <w:tcW w:w="1250" w:type="pct"/>
            <w:tcBorders>
              <w:bottom w:val="single" w:color="009EE0" w:sz="2" w:space="0"/>
            </w:tcBorders>
            <w:tcMar>
              <w:top w:w="22" w:type="dxa"/>
              <w:bottom w:w="22" w:type="dxa"/>
              <w:right w:w="28" w:type="dxa"/>
            </w:tcMar>
          </w:tcPr>
          <w:p w:rsidRPr="003268EE" w:rsidR="0084290D" w:rsidRDefault="00CF5B93" w14:paraId="2332F8FF" w14:textId="77777777">
            <w:pPr>
              <w:pStyle w:val="p-table"/>
              <w:rPr>
                <w:sz w:val="13"/>
                <w:szCs w:val="13"/>
              </w:rPr>
            </w:pPr>
            <w:r w:rsidRPr="003268EE">
              <w:rPr>
                <w:b/>
                <w:sz w:val="13"/>
                <w:szCs w:val="13"/>
              </w:rPr>
              <w:t>Bijdrage aan medeoverheden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5870568" w14:textId="77777777">
            <w:pPr>
              <w:pStyle w:val="p-table"/>
              <w:jc w:val="right"/>
              <w:rPr>
                <w:sz w:val="13"/>
                <w:szCs w:val="13"/>
              </w:rPr>
            </w:pPr>
            <w:r w:rsidRPr="003268EE">
              <w:rPr>
                <w:b/>
                <w:sz w:val="13"/>
                <w:szCs w:val="13"/>
              </w:rPr>
              <w:t>121.630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7E75E8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21D1FB" w14:textId="77777777">
            <w:pPr>
              <w:pStyle w:val="p-table"/>
              <w:jc w:val="right"/>
              <w:rPr>
                <w:sz w:val="13"/>
                <w:szCs w:val="13"/>
              </w:rPr>
            </w:pPr>
            <w:r w:rsidRPr="003268EE">
              <w:rPr>
                <w:b/>
                <w:sz w:val="13"/>
                <w:szCs w:val="13"/>
              </w:rPr>
              <w:t>121.630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68176D4" w14:textId="77777777">
            <w:pPr>
              <w:pStyle w:val="p-table"/>
              <w:jc w:val="right"/>
              <w:rPr>
                <w:sz w:val="13"/>
                <w:szCs w:val="13"/>
              </w:rPr>
            </w:pPr>
            <w:r w:rsidRPr="003268EE">
              <w:rPr>
                <w:b/>
                <w:sz w:val="13"/>
                <w:szCs w:val="13"/>
              </w:rPr>
              <w:t>94.370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B88B63" w14:textId="77777777">
            <w:pPr>
              <w:pStyle w:val="p-table"/>
              <w:jc w:val="right"/>
              <w:rPr>
                <w:sz w:val="13"/>
                <w:szCs w:val="13"/>
              </w:rPr>
            </w:pPr>
            <w:r w:rsidRPr="003268EE">
              <w:rPr>
                <w:b/>
                <w:sz w:val="13"/>
                <w:szCs w:val="13"/>
              </w:rPr>
              <w:t>216.000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5C85625" w14:textId="77777777">
            <w:pPr>
              <w:pStyle w:val="p-table"/>
              <w:jc w:val="right"/>
              <w:rPr>
                <w:sz w:val="13"/>
                <w:szCs w:val="13"/>
              </w:rPr>
            </w:pPr>
            <w:r w:rsidRPr="003268EE">
              <w:rPr>
                <w:b/>
                <w:sz w:val="13"/>
                <w:szCs w:val="13"/>
              </w:rPr>
              <w:t>140.244</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9D829D" w14:textId="77777777">
            <w:pPr>
              <w:pStyle w:val="p-table"/>
              <w:jc w:val="right"/>
              <w:rPr>
                <w:sz w:val="13"/>
                <w:szCs w:val="13"/>
              </w:rPr>
            </w:pPr>
            <w:r w:rsidRPr="003268EE">
              <w:rPr>
                <w:b/>
                <w:sz w:val="13"/>
                <w:szCs w:val="13"/>
              </w:rPr>
              <w:t>101.000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A88B37" w14:textId="77777777">
            <w:pPr>
              <w:pStyle w:val="p-table"/>
              <w:jc w:val="right"/>
              <w:rPr>
                <w:sz w:val="13"/>
                <w:szCs w:val="13"/>
              </w:rPr>
            </w:pPr>
            <w:r w:rsidRPr="003268EE">
              <w:rPr>
                <w:b/>
                <w:sz w:val="13"/>
                <w:szCs w:val="13"/>
              </w:rPr>
              <w:t>38.000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F19014" w14:textId="77777777">
            <w:pPr>
              <w:pStyle w:val="p-table"/>
              <w:jc w:val="right"/>
              <w:rPr>
                <w:sz w:val="13"/>
                <w:szCs w:val="13"/>
              </w:rPr>
            </w:pPr>
            <w:r w:rsidRPr="003268EE">
              <w:rPr>
                <w:b/>
                <w:sz w:val="13"/>
                <w:szCs w:val="13"/>
              </w:rPr>
              <w:t>12.500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31139A" w14:textId="77777777">
            <w:pPr>
              <w:pStyle w:val="p-table"/>
              <w:jc w:val="right"/>
              <w:rPr>
                <w:sz w:val="13"/>
                <w:szCs w:val="13"/>
              </w:rPr>
            </w:pPr>
            <w:r w:rsidRPr="003268EE">
              <w:rPr>
                <w:b/>
                <w:sz w:val="13"/>
                <w:szCs w:val="13"/>
              </w:rPr>
              <w:t>0</w:t>
            </w:r>
          </w:p>
        </w:tc>
      </w:tr>
      <w:tr w:rsidR="0084290D" w:rsidTr="007433BE" w14:paraId="5395F674" w14:textId="77777777">
        <w:tc>
          <w:tcPr>
            <w:tcW w:w="1250" w:type="pct"/>
            <w:tcBorders>
              <w:bottom w:val="single" w:color="009EE0" w:sz="2" w:space="0"/>
            </w:tcBorders>
            <w:tcMar>
              <w:top w:w="22" w:type="dxa"/>
              <w:bottom w:w="22" w:type="dxa"/>
              <w:right w:w="28" w:type="dxa"/>
            </w:tcMar>
          </w:tcPr>
          <w:p w:rsidRPr="003268EE" w:rsidR="0084290D" w:rsidRDefault="00CF5B93" w14:paraId="54FB0B74" w14:textId="77777777">
            <w:pPr>
              <w:pStyle w:val="p-table"/>
              <w:rPr>
                <w:sz w:val="13"/>
                <w:szCs w:val="13"/>
              </w:rPr>
            </w:pPr>
            <w:r w:rsidRPr="003268EE">
              <w:rPr>
                <w:sz w:val="13"/>
                <w:szCs w:val="13"/>
              </w:rPr>
              <w:t>Bijdrage aan medeoverheden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DF336EF" w14:textId="77777777">
            <w:pPr>
              <w:pStyle w:val="p-table"/>
              <w:jc w:val="right"/>
              <w:rPr>
                <w:sz w:val="13"/>
                <w:szCs w:val="13"/>
              </w:rPr>
            </w:pPr>
            <w:r w:rsidRPr="003268EE">
              <w:rPr>
                <w:sz w:val="13"/>
                <w:szCs w:val="13"/>
              </w:rPr>
              <w:t>121.630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8F47D7"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1C3D4DA" w14:textId="77777777">
            <w:pPr>
              <w:pStyle w:val="p-table"/>
              <w:jc w:val="right"/>
              <w:rPr>
                <w:sz w:val="13"/>
                <w:szCs w:val="13"/>
              </w:rPr>
            </w:pPr>
            <w:r w:rsidRPr="003268EE">
              <w:rPr>
                <w:sz w:val="13"/>
                <w:szCs w:val="13"/>
              </w:rPr>
              <w:t>121.630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0C98F8E" w14:textId="77777777">
            <w:pPr>
              <w:pStyle w:val="p-table"/>
              <w:jc w:val="right"/>
              <w:rPr>
                <w:sz w:val="13"/>
                <w:szCs w:val="13"/>
              </w:rPr>
            </w:pPr>
            <w:r w:rsidRPr="003268EE">
              <w:rPr>
                <w:sz w:val="13"/>
                <w:szCs w:val="13"/>
              </w:rPr>
              <w:t>94.370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9504B1" w14:textId="77777777">
            <w:pPr>
              <w:pStyle w:val="p-table"/>
              <w:jc w:val="right"/>
              <w:rPr>
                <w:sz w:val="13"/>
                <w:szCs w:val="13"/>
              </w:rPr>
            </w:pPr>
            <w:r w:rsidRPr="003268EE">
              <w:rPr>
                <w:sz w:val="13"/>
                <w:szCs w:val="13"/>
              </w:rPr>
              <w:t>216.000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E1C66D" w14:textId="77777777">
            <w:pPr>
              <w:pStyle w:val="p-table"/>
              <w:jc w:val="right"/>
              <w:rPr>
                <w:sz w:val="13"/>
                <w:szCs w:val="13"/>
              </w:rPr>
            </w:pPr>
            <w:r w:rsidRPr="003268EE">
              <w:rPr>
                <w:sz w:val="13"/>
                <w:szCs w:val="13"/>
              </w:rPr>
              <w:t>140.244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A86326C" w14:textId="77777777">
            <w:pPr>
              <w:pStyle w:val="p-table"/>
              <w:jc w:val="right"/>
              <w:rPr>
                <w:sz w:val="13"/>
                <w:szCs w:val="13"/>
              </w:rPr>
            </w:pPr>
            <w:r w:rsidRPr="003268EE">
              <w:rPr>
                <w:sz w:val="13"/>
                <w:szCs w:val="13"/>
              </w:rPr>
              <w:t>101.000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48FF26" w14:textId="77777777">
            <w:pPr>
              <w:pStyle w:val="p-table"/>
              <w:jc w:val="right"/>
              <w:rPr>
                <w:sz w:val="13"/>
                <w:szCs w:val="13"/>
              </w:rPr>
            </w:pPr>
            <w:r w:rsidRPr="003268EE">
              <w:rPr>
                <w:sz w:val="13"/>
                <w:szCs w:val="13"/>
              </w:rPr>
              <w:t>38.000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712B32" w14:textId="77777777">
            <w:pPr>
              <w:pStyle w:val="p-table"/>
              <w:jc w:val="right"/>
              <w:rPr>
                <w:sz w:val="13"/>
                <w:szCs w:val="13"/>
              </w:rPr>
            </w:pPr>
            <w:r w:rsidRPr="003268EE">
              <w:rPr>
                <w:sz w:val="13"/>
                <w:szCs w:val="13"/>
              </w:rPr>
              <w:t>12.500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093078F" w14:textId="77777777">
            <w:pPr>
              <w:pStyle w:val="p-table"/>
              <w:jc w:val="right"/>
              <w:rPr>
                <w:sz w:val="13"/>
                <w:szCs w:val="13"/>
              </w:rPr>
            </w:pPr>
            <w:r w:rsidRPr="003268EE">
              <w:rPr>
                <w:sz w:val="13"/>
                <w:szCs w:val="13"/>
              </w:rPr>
              <w:t>0</w:t>
            </w:r>
          </w:p>
        </w:tc>
      </w:tr>
      <w:tr w:rsidR="0084290D" w:rsidTr="007433BE" w14:paraId="72863420" w14:textId="77777777">
        <w:tc>
          <w:tcPr>
            <w:tcW w:w="1250" w:type="pct"/>
            <w:tcBorders>
              <w:bottom w:val="single" w:color="009EE0" w:sz="2" w:space="0"/>
            </w:tcBorders>
            <w:tcMar>
              <w:top w:w="22" w:type="dxa"/>
              <w:bottom w:w="22" w:type="dxa"/>
              <w:right w:w="28" w:type="dxa"/>
            </w:tcMar>
          </w:tcPr>
          <w:p w:rsidRPr="003268EE" w:rsidR="0084290D" w:rsidRDefault="0084290D" w14:paraId="3B1CA39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4BBF34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971B3F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A116F7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9EDB0D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EA64A6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C8115A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F2979E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5361D2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80A697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27DE34F" w14:textId="77777777">
            <w:pPr>
              <w:pStyle w:val="p-table"/>
              <w:rPr>
                <w:sz w:val="13"/>
                <w:szCs w:val="13"/>
              </w:rPr>
            </w:pPr>
          </w:p>
        </w:tc>
      </w:tr>
      <w:tr w:rsidR="0084290D" w:rsidTr="007433BE" w14:paraId="7F6BA49B" w14:textId="77777777">
        <w:tc>
          <w:tcPr>
            <w:tcW w:w="1250" w:type="pct"/>
            <w:tcBorders>
              <w:bottom w:val="single" w:color="009EE0" w:sz="2" w:space="0"/>
            </w:tcBorders>
            <w:tcMar>
              <w:top w:w="22" w:type="dxa"/>
              <w:bottom w:w="22" w:type="dxa"/>
              <w:right w:w="28" w:type="dxa"/>
            </w:tcMar>
          </w:tcPr>
          <w:p w:rsidRPr="003268EE" w:rsidR="0084290D" w:rsidRDefault="00CF5B93" w14:paraId="218A9515" w14:textId="77777777">
            <w:pPr>
              <w:pStyle w:val="p-table"/>
              <w:rPr>
                <w:sz w:val="13"/>
                <w:szCs w:val="13"/>
              </w:rPr>
            </w:pPr>
            <w:r w:rsidRPr="003268EE">
              <w:rPr>
                <w:b/>
                <w:sz w:val="13"/>
                <w:szCs w:val="13"/>
              </w:rPr>
              <w:t>(Schade)vergoeding</w:t>
            </w:r>
          </w:p>
        </w:tc>
        <w:tc>
          <w:tcPr>
            <w:tcW w:w="375" w:type="pct"/>
            <w:tcBorders>
              <w:bottom w:val="single" w:color="009EE0" w:sz="2" w:space="0"/>
            </w:tcBorders>
            <w:tcMar>
              <w:top w:w="22" w:type="dxa"/>
              <w:left w:w="28" w:type="dxa"/>
              <w:bottom w:w="22" w:type="dxa"/>
              <w:right w:w="28" w:type="dxa"/>
            </w:tcMar>
          </w:tcPr>
          <w:p w:rsidRPr="003268EE" w:rsidR="0084290D" w:rsidRDefault="00CF5B93" w14:paraId="5C85F801" w14:textId="77777777">
            <w:pPr>
              <w:pStyle w:val="p-table"/>
              <w:jc w:val="right"/>
              <w:rPr>
                <w:sz w:val="13"/>
                <w:szCs w:val="13"/>
              </w:rPr>
            </w:pPr>
            <w:r w:rsidRPr="003268EE">
              <w:rPr>
                <w:b/>
                <w:sz w:val="13"/>
                <w:szCs w:val="13"/>
              </w:rPr>
              <w:t>970.347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1A88331B"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61D4622" w14:textId="77777777">
            <w:pPr>
              <w:pStyle w:val="p-table"/>
              <w:jc w:val="right"/>
              <w:rPr>
                <w:sz w:val="13"/>
                <w:szCs w:val="13"/>
              </w:rPr>
            </w:pPr>
            <w:r w:rsidRPr="003268EE">
              <w:rPr>
                <w:b/>
                <w:sz w:val="13"/>
                <w:szCs w:val="13"/>
              </w:rPr>
              <w:t>970.347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5C187073" w14:textId="77777777">
            <w:pPr>
              <w:pStyle w:val="p-table"/>
              <w:jc w:val="right"/>
              <w:rPr>
                <w:sz w:val="13"/>
                <w:szCs w:val="13"/>
              </w:rPr>
            </w:pPr>
            <w:r w:rsidRPr="003268EE">
              <w:rPr>
                <w:b/>
                <w:sz w:val="13"/>
                <w:szCs w:val="13"/>
              </w:rPr>
              <w:t>259.415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309ECD69" w14:textId="77777777">
            <w:pPr>
              <w:pStyle w:val="p-table"/>
              <w:jc w:val="right"/>
              <w:rPr>
                <w:sz w:val="13"/>
                <w:szCs w:val="13"/>
              </w:rPr>
            </w:pPr>
            <w:r w:rsidRPr="003268EE">
              <w:rPr>
                <w:b/>
                <w:sz w:val="13"/>
                <w:szCs w:val="13"/>
              </w:rPr>
              <w:t>1.229.762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73B029F" w14:textId="77777777">
            <w:pPr>
              <w:pStyle w:val="p-table"/>
              <w:jc w:val="right"/>
              <w:rPr>
                <w:sz w:val="13"/>
                <w:szCs w:val="13"/>
              </w:rPr>
            </w:pPr>
            <w:r w:rsidRPr="003268EE">
              <w:rPr>
                <w:b/>
                <w:sz w:val="13"/>
                <w:szCs w:val="13"/>
              </w:rPr>
              <w:t>‒ 96.706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E06090" w14:textId="77777777">
            <w:pPr>
              <w:pStyle w:val="p-table"/>
              <w:jc w:val="right"/>
              <w:rPr>
                <w:sz w:val="13"/>
                <w:szCs w:val="13"/>
              </w:rPr>
            </w:pPr>
            <w:r w:rsidRPr="003268EE">
              <w:rPr>
                <w:b/>
                <w:sz w:val="13"/>
                <w:szCs w:val="13"/>
              </w:rPr>
              <w:t>‒ 313.930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3E51CC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78DB511"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681E9F" w14:textId="77777777">
            <w:pPr>
              <w:pStyle w:val="p-table"/>
              <w:jc w:val="right"/>
              <w:rPr>
                <w:sz w:val="13"/>
                <w:szCs w:val="13"/>
              </w:rPr>
            </w:pPr>
            <w:r w:rsidRPr="003268EE">
              <w:rPr>
                <w:b/>
                <w:sz w:val="13"/>
                <w:szCs w:val="13"/>
              </w:rPr>
              <w:t>603</w:t>
            </w:r>
          </w:p>
        </w:tc>
      </w:tr>
      <w:tr w:rsidR="0084290D" w:rsidTr="007433BE" w14:paraId="6432FEAD" w14:textId="77777777">
        <w:tc>
          <w:tcPr>
            <w:tcW w:w="1250" w:type="pct"/>
            <w:tcBorders>
              <w:bottom w:val="single" w:color="009EE0" w:sz="2" w:space="0"/>
            </w:tcBorders>
            <w:tcMar>
              <w:top w:w="22" w:type="dxa"/>
              <w:bottom w:w="22" w:type="dxa"/>
              <w:right w:w="28" w:type="dxa"/>
            </w:tcMar>
          </w:tcPr>
          <w:p w:rsidRPr="003268EE" w:rsidR="0084290D" w:rsidRDefault="00CF5B93" w14:paraId="5F96CF42" w14:textId="77777777">
            <w:pPr>
              <w:pStyle w:val="p-table"/>
              <w:rPr>
                <w:sz w:val="13"/>
                <w:szCs w:val="13"/>
              </w:rPr>
            </w:pPr>
            <w:r w:rsidRPr="003268EE">
              <w:rPr>
                <w:sz w:val="13"/>
                <w:szCs w:val="13"/>
              </w:rPr>
              <w:t>Compensatie toeslagengedupeerden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79A080B" w14:textId="77777777">
            <w:pPr>
              <w:pStyle w:val="p-table"/>
              <w:jc w:val="right"/>
              <w:rPr>
                <w:sz w:val="13"/>
                <w:szCs w:val="13"/>
              </w:rPr>
            </w:pPr>
            <w:r w:rsidRPr="003268EE">
              <w:rPr>
                <w:sz w:val="13"/>
                <w:szCs w:val="13"/>
              </w:rPr>
              <w:t>73.556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336B8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B02813" w14:textId="77777777">
            <w:pPr>
              <w:pStyle w:val="p-table"/>
              <w:jc w:val="right"/>
              <w:rPr>
                <w:sz w:val="13"/>
                <w:szCs w:val="13"/>
              </w:rPr>
            </w:pPr>
            <w:r w:rsidRPr="003268EE">
              <w:rPr>
                <w:sz w:val="13"/>
                <w:szCs w:val="13"/>
              </w:rPr>
              <w:t>73.556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6FE5689" w14:textId="77777777">
            <w:pPr>
              <w:pStyle w:val="p-table"/>
              <w:jc w:val="right"/>
              <w:rPr>
                <w:sz w:val="13"/>
                <w:szCs w:val="13"/>
              </w:rPr>
            </w:pPr>
            <w:r w:rsidRPr="003268EE">
              <w:rPr>
                <w:sz w:val="13"/>
                <w:szCs w:val="13"/>
              </w:rPr>
              <w:t>83.602</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4ACCDE" w14:textId="77777777">
            <w:pPr>
              <w:pStyle w:val="p-table"/>
              <w:jc w:val="right"/>
              <w:rPr>
                <w:sz w:val="13"/>
                <w:szCs w:val="13"/>
              </w:rPr>
            </w:pPr>
            <w:r w:rsidRPr="003268EE">
              <w:rPr>
                <w:sz w:val="13"/>
                <w:szCs w:val="13"/>
              </w:rPr>
              <w:t>157.158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A2274E" w14:textId="77777777">
            <w:pPr>
              <w:pStyle w:val="p-table"/>
              <w:jc w:val="right"/>
              <w:rPr>
                <w:sz w:val="13"/>
                <w:szCs w:val="13"/>
              </w:rPr>
            </w:pPr>
            <w:r w:rsidRPr="003268EE">
              <w:rPr>
                <w:sz w:val="13"/>
                <w:szCs w:val="13"/>
              </w:rPr>
              <w:t>‒ 5.991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3DCAC031" w14:textId="77777777">
            <w:pPr>
              <w:pStyle w:val="p-table"/>
              <w:jc w:val="right"/>
              <w:rPr>
                <w:sz w:val="13"/>
                <w:szCs w:val="13"/>
              </w:rPr>
            </w:pPr>
            <w:r w:rsidRPr="003268EE">
              <w:rPr>
                <w:sz w:val="13"/>
                <w:szCs w:val="13"/>
              </w:rPr>
              <w:t>15.077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3BDE0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1C0D42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D96FB49" w14:textId="77777777">
            <w:pPr>
              <w:pStyle w:val="p-table"/>
              <w:jc w:val="right"/>
              <w:rPr>
                <w:sz w:val="13"/>
                <w:szCs w:val="13"/>
              </w:rPr>
            </w:pPr>
            <w:r w:rsidRPr="003268EE">
              <w:rPr>
                <w:sz w:val="13"/>
                <w:szCs w:val="13"/>
              </w:rPr>
              <w:t>0</w:t>
            </w:r>
          </w:p>
        </w:tc>
      </w:tr>
      <w:tr w:rsidR="0084290D" w:rsidTr="007433BE" w14:paraId="58F465D5" w14:textId="77777777">
        <w:tc>
          <w:tcPr>
            <w:tcW w:w="1250" w:type="pct"/>
            <w:tcBorders>
              <w:bottom w:val="single" w:color="009EE0" w:sz="2" w:space="0"/>
            </w:tcBorders>
            <w:tcMar>
              <w:top w:w="22" w:type="dxa"/>
              <w:bottom w:w="22" w:type="dxa"/>
              <w:right w:w="28" w:type="dxa"/>
            </w:tcMar>
          </w:tcPr>
          <w:p w:rsidRPr="003268EE" w:rsidR="0084290D" w:rsidRDefault="00CF5B93" w14:paraId="136126EA" w14:textId="77777777">
            <w:pPr>
              <w:pStyle w:val="p-table"/>
              <w:rPr>
                <w:sz w:val="13"/>
                <w:szCs w:val="13"/>
              </w:rPr>
            </w:pPr>
            <w:r w:rsidRPr="003268EE">
              <w:rPr>
                <w:sz w:val="13"/>
                <w:szCs w:val="13"/>
              </w:rPr>
              <w:t>Kwijtschelden private schulden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1EA059" w14:textId="77777777">
            <w:pPr>
              <w:pStyle w:val="p-table"/>
              <w:jc w:val="right"/>
              <w:rPr>
                <w:sz w:val="13"/>
                <w:szCs w:val="13"/>
              </w:rPr>
            </w:pPr>
            <w:r w:rsidRPr="003268EE">
              <w:rPr>
                <w:sz w:val="13"/>
                <w:szCs w:val="13"/>
              </w:rPr>
              <w:t>44.174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FA38C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061A202" w14:textId="77777777">
            <w:pPr>
              <w:pStyle w:val="p-table"/>
              <w:jc w:val="right"/>
              <w:rPr>
                <w:sz w:val="13"/>
                <w:szCs w:val="13"/>
              </w:rPr>
            </w:pPr>
            <w:r w:rsidRPr="003268EE">
              <w:rPr>
                <w:sz w:val="13"/>
                <w:szCs w:val="13"/>
              </w:rPr>
              <w:t>44.174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7C90ED88" w14:textId="77777777">
            <w:pPr>
              <w:pStyle w:val="p-table"/>
              <w:jc w:val="right"/>
              <w:rPr>
                <w:sz w:val="13"/>
                <w:szCs w:val="13"/>
              </w:rPr>
            </w:pPr>
            <w:r w:rsidRPr="003268EE">
              <w:rPr>
                <w:sz w:val="13"/>
                <w:szCs w:val="13"/>
              </w:rPr>
              <w:t>‒ 15.866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F56D32" w14:textId="77777777">
            <w:pPr>
              <w:pStyle w:val="p-table"/>
              <w:jc w:val="right"/>
              <w:rPr>
                <w:sz w:val="13"/>
                <w:szCs w:val="13"/>
              </w:rPr>
            </w:pPr>
            <w:r w:rsidRPr="003268EE">
              <w:rPr>
                <w:sz w:val="13"/>
                <w:szCs w:val="13"/>
              </w:rPr>
              <w:t>28.308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6AFB7F" w14:textId="77777777">
            <w:pPr>
              <w:pStyle w:val="p-table"/>
              <w:jc w:val="right"/>
              <w:rPr>
                <w:sz w:val="13"/>
                <w:szCs w:val="13"/>
              </w:rPr>
            </w:pPr>
            <w:r w:rsidRPr="003268EE">
              <w:rPr>
                <w:sz w:val="13"/>
                <w:szCs w:val="13"/>
              </w:rPr>
              <w:t>‒ 9.519</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3EF2E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FA6C5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A1B950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303F2C" w14:textId="77777777">
            <w:pPr>
              <w:pStyle w:val="p-table"/>
              <w:jc w:val="right"/>
              <w:rPr>
                <w:sz w:val="13"/>
                <w:szCs w:val="13"/>
              </w:rPr>
            </w:pPr>
            <w:r w:rsidRPr="003268EE">
              <w:rPr>
                <w:sz w:val="13"/>
                <w:szCs w:val="13"/>
              </w:rPr>
              <w:t>0</w:t>
            </w:r>
          </w:p>
        </w:tc>
      </w:tr>
      <w:tr w:rsidR="0084290D" w:rsidTr="007433BE" w14:paraId="5AA53E9E" w14:textId="77777777">
        <w:tc>
          <w:tcPr>
            <w:tcW w:w="1250" w:type="pct"/>
            <w:tcBorders>
              <w:bottom w:val="single" w:color="009EE0" w:sz="2" w:space="0"/>
            </w:tcBorders>
            <w:tcMar>
              <w:top w:w="22" w:type="dxa"/>
              <w:bottom w:w="22" w:type="dxa"/>
              <w:right w:w="28" w:type="dxa"/>
            </w:tcMar>
          </w:tcPr>
          <w:p w:rsidRPr="003268EE" w:rsidR="0084290D" w:rsidRDefault="00CF5B93" w14:paraId="32F376F8" w14:textId="77777777">
            <w:pPr>
              <w:pStyle w:val="p-table"/>
              <w:rPr>
                <w:sz w:val="13"/>
                <w:szCs w:val="13"/>
              </w:rPr>
            </w:pPr>
            <w:r w:rsidRPr="003268EE">
              <w:rPr>
                <w:sz w:val="13"/>
                <w:szCs w:val="13"/>
              </w:rPr>
              <w:t>Herstelprogramma voor kinderen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27D2B9" w14:textId="77777777">
            <w:pPr>
              <w:pStyle w:val="p-table"/>
              <w:jc w:val="right"/>
              <w:rPr>
                <w:sz w:val="13"/>
                <w:szCs w:val="13"/>
              </w:rPr>
            </w:pPr>
            <w:r w:rsidRPr="003268EE">
              <w:rPr>
                <w:sz w:val="13"/>
                <w:szCs w:val="13"/>
              </w:rPr>
              <w:t>25.716</w:t>
            </w:r>
          </w:p>
        </w:tc>
        <w:tc>
          <w:tcPr>
            <w:tcW w:w="375" w:type="pct"/>
            <w:tcBorders>
              <w:bottom w:val="single" w:color="009EE0" w:sz="2" w:space="0"/>
            </w:tcBorders>
            <w:tcMar>
              <w:top w:w="22" w:type="dxa"/>
              <w:left w:w="28" w:type="dxa"/>
              <w:bottom w:w="22" w:type="dxa"/>
              <w:right w:w="28" w:type="dxa"/>
            </w:tcMar>
          </w:tcPr>
          <w:p w:rsidRPr="003268EE" w:rsidR="0084290D" w:rsidRDefault="00CF5B93" w14:paraId="2FCBD9C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6D6CB9" w14:textId="77777777">
            <w:pPr>
              <w:pStyle w:val="p-table"/>
              <w:jc w:val="right"/>
              <w:rPr>
                <w:sz w:val="13"/>
                <w:szCs w:val="13"/>
              </w:rPr>
            </w:pPr>
            <w:r w:rsidRPr="003268EE">
              <w:rPr>
                <w:sz w:val="13"/>
                <w:szCs w:val="13"/>
              </w:rPr>
              <w:t>25.716</w:t>
            </w:r>
          </w:p>
        </w:tc>
        <w:tc>
          <w:tcPr>
            <w:tcW w:w="375" w:type="pct"/>
            <w:tcBorders>
              <w:bottom w:val="single" w:color="009EE0" w:sz="2" w:space="0"/>
            </w:tcBorders>
            <w:tcMar>
              <w:top w:w="22" w:type="dxa"/>
              <w:left w:w="28" w:type="dxa"/>
              <w:bottom w:w="22" w:type="dxa"/>
              <w:right w:w="28" w:type="dxa"/>
            </w:tcMar>
          </w:tcPr>
          <w:p w:rsidRPr="003268EE" w:rsidR="0084290D" w:rsidRDefault="00CF5B93" w14:paraId="12F0C41C" w14:textId="77777777">
            <w:pPr>
              <w:pStyle w:val="p-table"/>
              <w:jc w:val="right"/>
              <w:rPr>
                <w:sz w:val="13"/>
                <w:szCs w:val="13"/>
              </w:rPr>
            </w:pPr>
            <w:r w:rsidRPr="003268EE">
              <w:rPr>
                <w:sz w:val="13"/>
                <w:szCs w:val="13"/>
              </w:rPr>
              <w:t>6.200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9A023EA" w14:textId="77777777">
            <w:pPr>
              <w:pStyle w:val="p-table"/>
              <w:jc w:val="right"/>
              <w:rPr>
                <w:sz w:val="13"/>
                <w:szCs w:val="13"/>
              </w:rPr>
            </w:pPr>
            <w:r w:rsidRPr="003268EE">
              <w:rPr>
                <w:sz w:val="13"/>
                <w:szCs w:val="13"/>
              </w:rPr>
              <w:t>31.916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8E954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00E93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00579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2E4AC6"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F769DF" w14:textId="77777777">
            <w:pPr>
              <w:pStyle w:val="p-table"/>
              <w:jc w:val="right"/>
              <w:rPr>
                <w:sz w:val="13"/>
                <w:szCs w:val="13"/>
              </w:rPr>
            </w:pPr>
            <w:r w:rsidRPr="003268EE">
              <w:rPr>
                <w:sz w:val="13"/>
                <w:szCs w:val="13"/>
              </w:rPr>
              <w:t>0</w:t>
            </w:r>
          </w:p>
        </w:tc>
      </w:tr>
      <w:tr w:rsidR="0084290D" w:rsidTr="007433BE" w14:paraId="65DF6766" w14:textId="77777777">
        <w:tc>
          <w:tcPr>
            <w:tcW w:w="1250" w:type="pct"/>
            <w:tcBorders>
              <w:bottom w:val="single" w:color="009EE0" w:sz="2" w:space="0"/>
            </w:tcBorders>
            <w:tcMar>
              <w:top w:w="22" w:type="dxa"/>
              <w:bottom w:w="22" w:type="dxa"/>
              <w:right w:w="28" w:type="dxa"/>
            </w:tcMar>
          </w:tcPr>
          <w:p w:rsidRPr="003268EE" w:rsidR="0084290D" w:rsidRDefault="00CF5B93" w14:paraId="10600C7E" w14:textId="77777777">
            <w:pPr>
              <w:pStyle w:val="p-table"/>
              <w:rPr>
                <w:sz w:val="13"/>
                <w:szCs w:val="13"/>
              </w:rPr>
            </w:pPr>
            <w:r w:rsidRPr="003268EE">
              <w:rPr>
                <w:sz w:val="13"/>
                <w:szCs w:val="13"/>
              </w:rPr>
              <w:t>Herstelregeling voor ex-partners</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CBF020" w14:textId="77777777">
            <w:pPr>
              <w:pStyle w:val="p-table"/>
              <w:jc w:val="right"/>
              <w:rPr>
                <w:sz w:val="13"/>
                <w:szCs w:val="13"/>
              </w:rPr>
            </w:pPr>
            <w:r w:rsidRPr="003268EE">
              <w:rPr>
                <w:sz w:val="13"/>
                <w:szCs w:val="13"/>
              </w:rPr>
              <w:t>4.000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DC7D7D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B103C3" w14:textId="77777777">
            <w:pPr>
              <w:pStyle w:val="p-table"/>
              <w:jc w:val="right"/>
              <w:rPr>
                <w:sz w:val="13"/>
                <w:szCs w:val="13"/>
              </w:rPr>
            </w:pPr>
            <w:r w:rsidRPr="003268EE">
              <w:rPr>
                <w:sz w:val="13"/>
                <w:szCs w:val="13"/>
              </w:rPr>
              <w:t>4.000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EA3EC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878656A" w14:textId="77777777">
            <w:pPr>
              <w:pStyle w:val="p-table"/>
              <w:jc w:val="right"/>
              <w:rPr>
                <w:sz w:val="13"/>
                <w:szCs w:val="13"/>
              </w:rPr>
            </w:pPr>
            <w:r w:rsidRPr="003268EE">
              <w:rPr>
                <w:sz w:val="13"/>
                <w:szCs w:val="13"/>
              </w:rPr>
              <w:t>4.000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D761A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CA552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3295F5"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AFC67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5CF994" w14:textId="77777777">
            <w:pPr>
              <w:pStyle w:val="p-table"/>
              <w:jc w:val="right"/>
              <w:rPr>
                <w:sz w:val="13"/>
                <w:szCs w:val="13"/>
              </w:rPr>
            </w:pPr>
            <w:r w:rsidRPr="003268EE">
              <w:rPr>
                <w:sz w:val="13"/>
                <w:szCs w:val="13"/>
              </w:rPr>
              <w:t>0</w:t>
            </w:r>
          </w:p>
        </w:tc>
      </w:tr>
      <w:tr w:rsidR="0084290D" w:rsidTr="007433BE" w14:paraId="5E9C46A2" w14:textId="77777777">
        <w:tc>
          <w:tcPr>
            <w:tcW w:w="1250" w:type="pct"/>
            <w:tcBorders>
              <w:bottom w:val="single" w:color="009EE0" w:sz="2" w:space="0"/>
            </w:tcBorders>
            <w:tcMar>
              <w:top w:w="22" w:type="dxa"/>
              <w:bottom w:w="22" w:type="dxa"/>
              <w:right w:w="28" w:type="dxa"/>
            </w:tcMar>
          </w:tcPr>
          <w:p w:rsidRPr="003268EE" w:rsidR="0084290D" w:rsidRDefault="00CF5B93" w14:paraId="468E9C94" w14:textId="77777777">
            <w:pPr>
              <w:pStyle w:val="p-table"/>
              <w:rPr>
                <w:sz w:val="13"/>
                <w:szCs w:val="13"/>
              </w:rPr>
            </w:pPr>
            <w:r w:rsidRPr="003268EE">
              <w:rPr>
                <w:sz w:val="13"/>
                <w:szCs w:val="13"/>
              </w:rPr>
              <w:t>Herstelregeling voor gedupeerden andere toeslagen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6819C283" w14:textId="77777777">
            <w:pPr>
              <w:pStyle w:val="p-table"/>
              <w:jc w:val="right"/>
              <w:rPr>
                <w:sz w:val="13"/>
                <w:szCs w:val="13"/>
              </w:rPr>
            </w:pPr>
            <w:r w:rsidRPr="003268EE">
              <w:rPr>
                <w:sz w:val="13"/>
                <w:szCs w:val="13"/>
              </w:rPr>
              <w:t>11.360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48193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BFD50D1" w14:textId="77777777">
            <w:pPr>
              <w:pStyle w:val="p-table"/>
              <w:jc w:val="right"/>
              <w:rPr>
                <w:sz w:val="13"/>
                <w:szCs w:val="13"/>
              </w:rPr>
            </w:pPr>
            <w:r w:rsidRPr="003268EE">
              <w:rPr>
                <w:sz w:val="13"/>
                <w:szCs w:val="13"/>
              </w:rPr>
              <w:t>11.360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0122DFA" w14:textId="77777777">
            <w:pPr>
              <w:pStyle w:val="p-table"/>
              <w:jc w:val="right"/>
              <w:rPr>
                <w:sz w:val="13"/>
                <w:szCs w:val="13"/>
              </w:rPr>
            </w:pPr>
            <w:r w:rsidRPr="003268EE">
              <w:rPr>
                <w:sz w:val="13"/>
                <w:szCs w:val="13"/>
              </w:rPr>
              <w:t>22.300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7AB7AB" w14:textId="77777777">
            <w:pPr>
              <w:pStyle w:val="p-table"/>
              <w:jc w:val="right"/>
              <w:rPr>
                <w:sz w:val="13"/>
                <w:szCs w:val="13"/>
              </w:rPr>
            </w:pPr>
            <w:r w:rsidRPr="003268EE">
              <w:rPr>
                <w:sz w:val="13"/>
                <w:szCs w:val="13"/>
              </w:rPr>
              <w:t>33.660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E511E2" w14:textId="77777777">
            <w:pPr>
              <w:pStyle w:val="p-table"/>
              <w:jc w:val="right"/>
              <w:rPr>
                <w:sz w:val="13"/>
                <w:szCs w:val="13"/>
              </w:rPr>
            </w:pPr>
            <w:r w:rsidRPr="003268EE">
              <w:rPr>
                <w:sz w:val="13"/>
                <w:szCs w:val="13"/>
              </w:rPr>
              <w:t>1.840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8EBE11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C2829D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BD922A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1401F8" w14:textId="77777777">
            <w:pPr>
              <w:pStyle w:val="p-table"/>
              <w:jc w:val="right"/>
              <w:rPr>
                <w:sz w:val="13"/>
                <w:szCs w:val="13"/>
              </w:rPr>
            </w:pPr>
            <w:r w:rsidRPr="003268EE">
              <w:rPr>
                <w:sz w:val="13"/>
                <w:szCs w:val="13"/>
              </w:rPr>
              <w:t>0</w:t>
            </w:r>
          </w:p>
        </w:tc>
      </w:tr>
      <w:tr w:rsidR="0084290D" w:rsidTr="007433BE" w14:paraId="5D6C9B02" w14:textId="77777777">
        <w:tc>
          <w:tcPr>
            <w:tcW w:w="1250" w:type="pct"/>
            <w:tcBorders>
              <w:bottom w:val="single" w:color="009EE0" w:sz="2" w:space="0"/>
            </w:tcBorders>
            <w:tcMar>
              <w:top w:w="22" w:type="dxa"/>
              <w:bottom w:w="22" w:type="dxa"/>
              <w:right w:w="28" w:type="dxa"/>
            </w:tcMar>
          </w:tcPr>
          <w:p w:rsidRPr="003268EE" w:rsidR="0084290D" w:rsidRDefault="00CF5B93" w14:paraId="2C4E8FE4" w14:textId="77777777">
            <w:pPr>
              <w:pStyle w:val="p-table"/>
              <w:rPr>
                <w:sz w:val="13"/>
                <w:szCs w:val="13"/>
              </w:rPr>
            </w:pPr>
            <w:r w:rsidRPr="003268EE">
              <w:rPr>
                <w:sz w:val="13"/>
                <w:szCs w:val="13"/>
              </w:rPr>
              <w:t>Aanvullende schade</w:t>
            </w:r>
          </w:p>
        </w:tc>
        <w:tc>
          <w:tcPr>
            <w:tcW w:w="375" w:type="pct"/>
            <w:tcBorders>
              <w:bottom w:val="single" w:color="009EE0" w:sz="2" w:space="0"/>
            </w:tcBorders>
            <w:tcMar>
              <w:top w:w="22" w:type="dxa"/>
              <w:left w:w="28" w:type="dxa"/>
              <w:bottom w:w="22" w:type="dxa"/>
              <w:right w:w="28" w:type="dxa"/>
            </w:tcMar>
          </w:tcPr>
          <w:p w:rsidRPr="003268EE" w:rsidR="0084290D" w:rsidRDefault="00CF5B93" w14:paraId="5CF2EBE7" w14:textId="77777777">
            <w:pPr>
              <w:pStyle w:val="p-table"/>
              <w:jc w:val="right"/>
              <w:rPr>
                <w:sz w:val="13"/>
                <w:szCs w:val="13"/>
              </w:rPr>
            </w:pPr>
            <w:r w:rsidRPr="003268EE">
              <w:rPr>
                <w:sz w:val="13"/>
                <w:szCs w:val="13"/>
              </w:rPr>
              <w:t>776.848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50E11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FD8504E" w14:textId="77777777">
            <w:pPr>
              <w:pStyle w:val="p-table"/>
              <w:jc w:val="right"/>
              <w:rPr>
                <w:sz w:val="13"/>
                <w:szCs w:val="13"/>
              </w:rPr>
            </w:pPr>
            <w:r w:rsidRPr="003268EE">
              <w:rPr>
                <w:sz w:val="13"/>
                <w:szCs w:val="13"/>
              </w:rPr>
              <w:t>776.848</w:t>
            </w:r>
          </w:p>
        </w:tc>
        <w:tc>
          <w:tcPr>
            <w:tcW w:w="375" w:type="pct"/>
            <w:tcBorders>
              <w:bottom w:val="single" w:color="009EE0" w:sz="2" w:space="0"/>
            </w:tcBorders>
            <w:tcMar>
              <w:top w:w="22" w:type="dxa"/>
              <w:left w:w="28" w:type="dxa"/>
              <w:bottom w:w="22" w:type="dxa"/>
              <w:right w:w="28" w:type="dxa"/>
            </w:tcMar>
          </w:tcPr>
          <w:p w:rsidRPr="003268EE" w:rsidR="0084290D" w:rsidRDefault="00CF5B93" w14:paraId="188D7A1C" w14:textId="77777777">
            <w:pPr>
              <w:pStyle w:val="p-table"/>
              <w:jc w:val="right"/>
              <w:rPr>
                <w:sz w:val="13"/>
                <w:szCs w:val="13"/>
              </w:rPr>
            </w:pPr>
            <w:r w:rsidRPr="003268EE">
              <w:rPr>
                <w:sz w:val="13"/>
                <w:szCs w:val="13"/>
              </w:rPr>
              <w:t>114.645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06923960" w14:textId="77777777">
            <w:pPr>
              <w:pStyle w:val="p-table"/>
              <w:jc w:val="right"/>
              <w:rPr>
                <w:sz w:val="13"/>
                <w:szCs w:val="13"/>
              </w:rPr>
            </w:pPr>
            <w:r w:rsidRPr="003268EE">
              <w:rPr>
                <w:sz w:val="13"/>
                <w:szCs w:val="13"/>
              </w:rPr>
              <w:t>891.493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AFCA01" w14:textId="77777777">
            <w:pPr>
              <w:pStyle w:val="p-table"/>
              <w:jc w:val="right"/>
              <w:rPr>
                <w:sz w:val="13"/>
                <w:szCs w:val="13"/>
              </w:rPr>
            </w:pPr>
            <w:r w:rsidRPr="003268EE">
              <w:rPr>
                <w:sz w:val="13"/>
                <w:szCs w:val="13"/>
              </w:rPr>
              <w:t>‒ 90.568</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E54FB3" w14:textId="77777777">
            <w:pPr>
              <w:pStyle w:val="p-table"/>
              <w:jc w:val="right"/>
              <w:rPr>
                <w:sz w:val="13"/>
                <w:szCs w:val="13"/>
              </w:rPr>
            </w:pPr>
            <w:r w:rsidRPr="003268EE">
              <w:rPr>
                <w:sz w:val="13"/>
                <w:szCs w:val="13"/>
              </w:rPr>
              <w:t>‒ 329.007</w:t>
            </w:r>
          </w:p>
        </w:tc>
        <w:tc>
          <w:tcPr>
            <w:tcW w:w="375" w:type="pct"/>
            <w:tcBorders>
              <w:bottom w:val="single" w:color="009EE0" w:sz="2" w:space="0"/>
            </w:tcBorders>
            <w:tcMar>
              <w:top w:w="22" w:type="dxa"/>
              <w:left w:w="28" w:type="dxa"/>
              <w:bottom w:w="22" w:type="dxa"/>
              <w:right w:w="28" w:type="dxa"/>
            </w:tcMar>
          </w:tcPr>
          <w:p w:rsidRPr="003268EE" w:rsidR="0084290D" w:rsidRDefault="00CF5B93" w14:paraId="242F368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24AE0B5"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D9B6488" w14:textId="77777777">
            <w:pPr>
              <w:pStyle w:val="p-table"/>
              <w:jc w:val="right"/>
              <w:rPr>
                <w:sz w:val="13"/>
                <w:szCs w:val="13"/>
              </w:rPr>
            </w:pPr>
            <w:r w:rsidRPr="003268EE">
              <w:rPr>
                <w:sz w:val="13"/>
                <w:szCs w:val="13"/>
              </w:rPr>
              <w:t>0</w:t>
            </w:r>
          </w:p>
        </w:tc>
      </w:tr>
      <w:tr w:rsidR="0084290D" w:rsidTr="007433BE" w14:paraId="4AB211CD" w14:textId="77777777">
        <w:tc>
          <w:tcPr>
            <w:tcW w:w="1250" w:type="pct"/>
            <w:tcBorders>
              <w:bottom w:val="single" w:color="009EE0" w:sz="2" w:space="0"/>
            </w:tcBorders>
            <w:tcMar>
              <w:top w:w="22" w:type="dxa"/>
              <w:bottom w:w="22" w:type="dxa"/>
              <w:right w:w="28" w:type="dxa"/>
            </w:tcMar>
          </w:tcPr>
          <w:p w:rsidRPr="003268EE" w:rsidR="0084290D" w:rsidRDefault="00CF5B93" w14:paraId="2A838142" w14:textId="77777777">
            <w:pPr>
              <w:pStyle w:val="p-table"/>
              <w:rPr>
                <w:sz w:val="13"/>
                <w:szCs w:val="13"/>
              </w:rPr>
            </w:pPr>
            <w:r w:rsidRPr="003268EE">
              <w:rPr>
                <w:sz w:val="13"/>
                <w:szCs w:val="13"/>
              </w:rPr>
              <w:t>Overige (schade)vergoedingen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1202792D" w14:textId="77777777">
            <w:pPr>
              <w:pStyle w:val="p-table"/>
              <w:jc w:val="right"/>
              <w:rPr>
                <w:sz w:val="13"/>
                <w:szCs w:val="13"/>
              </w:rPr>
            </w:pPr>
            <w:r w:rsidRPr="003268EE">
              <w:rPr>
                <w:sz w:val="13"/>
                <w:szCs w:val="13"/>
              </w:rPr>
              <w:t>34.693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EF6FA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9BAF11" w14:textId="77777777">
            <w:pPr>
              <w:pStyle w:val="p-table"/>
              <w:jc w:val="right"/>
              <w:rPr>
                <w:sz w:val="13"/>
                <w:szCs w:val="13"/>
              </w:rPr>
            </w:pPr>
            <w:r w:rsidRPr="003268EE">
              <w:rPr>
                <w:sz w:val="13"/>
                <w:szCs w:val="13"/>
              </w:rPr>
              <w:t>34.693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97DEA4" w14:textId="77777777">
            <w:pPr>
              <w:pStyle w:val="p-table"/>
              <w:jc w:val="right"/>
              <w:rPr>
                <w:sz w:val="13"/>
                <w:szCs w:val="13"/>
              </w:rPr>
            </w:pPr>
            <w:r w:rsidRPr="003268EE">
              <w:rPr>
                <w:sz w:val="13"/>
                <w:szCs w:val="13"/>
              </w:rPr>
              <w:t>48.534</w:t>
            </w:r>
          </w:p>
        </w:tc>
        <w:tc>
          <w:tcPr>
            <w:tcW w:w="375" w:type="pct"/>
            <w:tcBorders>
              <w:bottom w:val="single" w:color="009EE0" w:sz="2" w:space="0"/>
            </w:tcBorders>
            <w:tcMar>
              <w:top w:w="22" w:type="dxa"/>
              <w:left w:w="28" w:type="dxa"/>
              <w:bottom w:w="22" w:type="dxa"/>
              <w:right w:w="28" w:type="dxa"/>
            </w:tcMar>
          </w:tcPr>
          <w:p w:rsidRPr="003268EE" w:rsidR="0084290D" w:rsidRDefault="00CF5B93" w14:paraId="1B450DA6" w14:textId="77777777">
            <w:pPr>
              <w:pStyle w:val="p-table"/>
              <w:jc w:val="right"/>
              <w:rPr>
                <w:sz w:val="13"/>
                <w:szCs w:val="13"/>
              </w:rPr>
            </w:pPr>
            <w:r w:rsidRPr="003268EE">
              <w:rPr>
                <w:sz w:val="13"/>
                <w:szCs w:val="13"/>
              </w:rPr>
              <w:t>83.227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296B80" w14:textId="77777777">
            <w:pPr>
              <w:pStyle w:val="p-table"/>
              <w:jc w:val="right"/>
              <w:rPr>
                <w:sz w:val="13"/>
                <w:szCs w:val="13"/>
              </w:rPr>
            </w:pPr>
            <w:r w:rsidRPr="003268EE">
              <w:rPr>
                <w:sz w:val="13"/>
                <w:szCs w:val="13"/>
              </w:rPr>
              <w:t>7.532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70DF14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CEF151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086EA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896344" w14:textId="77777777">
            <w:pPr>
              <w:pStyle w:val="p-table"/>
              <w:jc w:val="right"/>
              <w:rPr>
                <w:sz w:val="13"/>
                <w:szCs w:val="13"/>
              </w:rPr>
            </w:pPr>
            <w:r w:rsidRPr="003268EE">
              <w:rPr>
                <w:sz w:val="13"/>
                <w:szCs w:val="13"/>
              </w:rPr>
              <w:t>603</w:t>
            </w:r>
          </w:p>
        </w:tc>
      </w:tr>
      <w:tr w:rsidR="0084290D" w:rsidTr="007433BE" w14:paraId="45E9D017" w14:textId="77777777">
        <w:tc>
          <w:tcPr>
            <w:tcW w:w="1250" w:type="pct"/>
            <w:tcBorders>
              <w:bottom w:val="single" w:color="009EE0" w:sz="2" w:space="0"/>
            </w:tcBorders>
            <w:tcMar>
              <w:top w:w="22" w:type="dxa"/>
              <w:bottom w:w="22" w:type="dxa"/>
              <w:right w:w="28" w:type="dxa"/>
            </w:tcMar>
          </w:tcPr>
          <w:p w:rsidRPr="003268EE" w:rsidR="0084290D" w:rsidRDefault="0084290D" w14:paraId="2C61C71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E20244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21CD75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7D0D4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3722D6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E44005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1CDC74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E628EC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60CA45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E0A5A7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E3DDA3B" w14:textId="77777777">
            <w:pPr>
              <w:pStyle w:val="p-table"/>
              <w:rPr>
                <w:sz w:val="13"/>
                <w:szCs w:val="13"/>
              </w:rPr>
            </w:pPr>
          </w:p>
        </w:tc>
      </w:tr>
      <w:tr w:rsidR="0084290D" w:rsidTr="007433BE" w14:paraId="458DAE37" w14:textId="77777777">
        <w:tc>
          <w:tcPr>
            <w:tcW w:w="1250" w:type="pct"/>
            <w:tcBorders>
              <w:bottom w:val="single" w:color="009EE0" w:sz="2" w:space="0"/>
            </w:tcBorders>
            <w:tcMar>
              <w:top w:w="22" w:type="dxa"/>
              <w:bottom w:w="22" w:type="dxa"/>
              <w:right w:w="28" w:type="dxa"/>
            </w:tcMar>
          </w:tcPr>
          <w:p w:rsidRPr="003268EE" w:rsidR="0084290D" w:rsidRDefault="00CF5B93" w14:paraId="35E0E736" w14:textId="77777777">
            <w:pPr>
              <w:pStyle w:val="p-table"/>
              <w:rPr>
                <w:sz w:val="13"/>
                <w:szCs w:val="13"/>
              </w:rPr>
            </w:pPr>
            <w:r w:rsidRPr="003268EE">
              <w:rPr>
                <w:b/>
                <w:sz w:val="13"/>
                <w:szCs w:val="13"/>
              </w:rPr>
              <w:t>Subsidies</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12C8D4" w14:textId="77777777">
            <w:pPr>
              <w:pStyle w:val="p-table"/>
              <w:jc w:val="right"/>
              <w:rPr>
                <w:sz w:val="13"/>
                <w:szCs w:val="13"/>
              </w:rPr>
            </w:pPr>
            <w:r w:rsidRPr="003268EE">
              <w:rPr>
                <w:b/>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BAF280F"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A0A662" w14:textId="77777777">
            <w:pPr>
              <w:pStyle w:val="p-table"/>
              <w:jc w:val="right"/>
              <w:rPr>
                <w:sz w:val="13"/>
                <w:szCs w:val="13"/>
              </w:rPr>
            </w:pPr>
            <w:r w:rsidRPr="003268EE">
              <w:rPr>
                <w:b/>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1BDCC3"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F0F28A" w14:textId="77777777">
            <w:pPr>
              <w:pStyle w:val="p-table"/>
              <w:jc w:val="right"/>
              <w:rPr>
                <w:sz w:val="13"/>
                <w:szCs w:val="13"/>
              </w:rPr>
            </w:pPr>
            <w:r w:rsidRPr="003268EE">
              <w:rPr>
                <w:b/>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957FD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55F73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2F96427"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83F2F9"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50D2D3F" w14:textId="77777777">
            <w:pPr>
              <w:pStyle w:val="p-table"/>
              <w:jc w:val="right"/>
              <w:rPr>
                <w:sz w:val="13"/>
                <w:szCs w:val="13"/>
              </w:rPr>
            </w:pPr>
            <w:r w:rsidRPr="003268EE">
              <w:rPr>
                <w:b/>
                <w:sz w:val="13"/>
                <w:szCs w:val="13"/>
              </w:rPr>
              <w:t>0</w:t>
            </w:r>
          </w:p>
        </w:tc>
      </w:tr>
      <w:tr w:rsidR="0084290D" w:rsidTr="007433BE" w14:paraId="121D452A" w14:textId="77777777">
        <w:tc>
          <w:tcPr>
            <w:tcW w:w="1250" w:type="pct"/>
            <w:tcBorders>
              <w:bottom w:val="single" w:color="009EE0" w:sz="2" w:space="0"/>
            </w:tcBorders>
            <w:tcMar>
              <w:top w:w="22" w:type="dxa"/>
              <w:bottom w:w="22" w:type="dxa"/>
              <w:right w:w="28" w:type="dxa"/>
            </w:tcMar>
          </w:tcPr>
          <w:p w:rsidRPr="003268EE" w:rsidR="0084290D" w:rsidRDefault="00CF5B93" w14:paraId="67615622" w14:textId="77777777">
            <w:pPr>
              <w:pStyle w:val="p-table"/>
              <w:rPr>
                <w:sz w:val="13"/>
                <w:szCs w:val="13"/>
              </w:rPr>
            </w:pPr>
            <w:r w:rsidRPr="003268EE">
              <w:rPr>
                <w:sz w:val="13"/>
                <w:szCs w:val="13"/>
              </w:rPr>
              <w:t>Subsidie toeslagen herstel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32549C" w14:textId="77777777">
            <w:pPr>
              <w:pStyle w:val="p-table"/>
              <w:jc w:val="right"/>
              <w:rPr>
                <w:sz w:val="13"/>
                <w:szCs w:val="13"/>
              </w:rPr>
            </w:pPr>
            <w:r w:rsidRPr="003268EE">
              <w:rPr>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E49A9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0C9735" w14:textId="77777777">
            <w:pPr>
              <w:pStyle w:val="p-table"/>
              <w:jc w:val="right"/>
              <w:rPr>
                <w:sz w:val="13"/>
                <w:szCs w:val="13"/>
              </w:rPr>
            </w:pPr>
            <w:r w:rsidRPr="003268EE">
              <w:rPr>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11B71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2AA3B09" w14:textId="77777777">
            <w:pPr>
              <w:pStyle w:val="p-table"/>
              <w:jc w:val="right"/>
              <w:rPr>
                <w:sz w:val="13"/>
                <w:szCs w:val="13"/>
              </w:rPr>
            </w:pPr>
            <w:r w:rsidRPr="003268EE">
              <w:rPr>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7A792E5"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BB581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82F892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AC8CE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A76D69" w14:textId="77777777">
            <w:pPr>
              <w:pStyle w:val="p-table"/>
              <w:jc w:val="right"/>
              <w:rPr>
                <w:sz w:val="13"/>
                <w:szCs w:val="13"/>
              </w:rPr>
            </w:pPr>
            <w:r w:rsidRPr="003268EE">
              <w:rPr>
                <w:sz w:val="13"/>
                <w:szCs w:val="13"/>
              </w:rPr>
              <w:t>0</w:t>
            </w:r>
          </w:p>
        </w:tc>
      </w:tr>
      <w:tr w:rsidR="0084290D" w:rsidTr="007433BE" w14:paraId="7205AC66" w14:textId="77777777">
        <w:tc>
          <w:tcPr>
            <w:tcW w:w="1250" w:type="pct"/>
            <w:tcBorders>
              <w:bottom w:val="single" w:color="009EE0" w:sz="2" w:space="0"/>
            </w:tcBorders>
            <w:tcMar>
              <w:top w:w="22" w:type="dxa"/>
              <w:bottom w:w="22" w:type="dxa"/>
              <w:right w:w="28" w:type="dxa"/>
            </w:tcMar>
          </w:tcPr>
          <w:p w:rsidRPr="003268EE" w:rsidR="0084290D" w:rsidRDefault="0084290D" w14:paraId="07F324F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5DCEC5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64C28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F8813A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266E09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FC38C9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BF4BD5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70FA51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E3C528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B368DF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6F0E172" w14:textId="77777777">
            <w:pPr>
              <w:pStyle w:val="p-table"/>
              <w:rPr>
                <w:sz w:val="13"/>
                <w:szCs w:val="13"/>
              </w:rPr>
            </w:pPr>
          </w:p>
        </w:tc>
      </w:tr>
      <w:tr w:rsidR="0084290D" w:rsidTr="007433BE" w14:paraId="2D4ED152" w14:textId="77777777">
        <w:tc>
          <w:tcPr>
            <w:tcW w:w="1250" w:type="pct"/>
            <w:tcBorders>
              <w:bottom w:val="single" w:color="009EE0" w:sz="2" w:space="0"/>
            </w:tcBorders>
            <w:tcMar>
              <w:top w:w="22" w:type="dxa"/>
              <w:bottom w:w="22" w:type="dxa"/>
              <w:right w:w="28" w:type="dxa"/>
            </w:tcMar>
          </w:tcPr>
          <w:p w:rsidRPr="003268EE" w:rsidR="0084290D" w:rsidRDefault="00CF5B93" w14:paraId="5EB3CB06" w14:textId="77777777">
            <w:pPr>
              <w:pStyle w:val="p-table"/>
              <w:rPr>
                <w:sz w:val="13"/>
                <w:szCs w:val="13"/>
              </w:rPr>
            </w:pPr>
            <w:r w:rsidRPr="003268EE">
              <w:rPr>
                <w:b/>
                <w:sz w:val="13"/>
                <w:szCs w:val="13"/>
              </w:rPr>
              <w:t>Bijdrage aan (andere) begrotingshoofdstukken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809CB1" w14:textId="77777777">
            <w:pPr>
              <w:pStyle w:val="p-table"/>
              <w:jc w:val="right"/>
              <w:rPr>
                <w:sz w:val="13"/>
                <w:szCs w:val="13"/>
              </w:rPr>
            </w:pPr>
            <w:r w:rsidRPr="003268EE">
              <w:rPr>
                <w:b/>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080147"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D25C580" w14:textId="77777777">
            <w:pPr>
              <w:pStyle w:val="p-table"/>
              <w:jc w:val="right"/>
              <w:rPr>
                <w:sz w:val="13"/>
                <w:szCs w:val="13"/>
              </w:rPr>
            </w:pPr>
            <w:r w:rsidRPr="003268EE">
              <w:rPr>
                <w:b/>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3D16AEF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442AE7" w14:textId="77777777">
            <w:pPr>
              <w:pStyle w:val="p-table"/>
              <w:jc w:val="right"/>
              <w:rPr>
                <w:sz w:val="13"/>
                <w:szCs w:val="13"/>
              </w:rPr>
            </w:pPr>
            <w:r w:rsidRPr="003268EE">
              <w:rPr>
                <w:b/>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2EB79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45BCE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6CA15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775683"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03E9E61" w14:textId="77777777">
            <w:pPr>
              <w:pStyle w:val="p-table"/>
              <w:jc w:val="right"/>
              <w:rPr>
                <w:sz w:val="13"/>
                <w:szCs w:val="13"/>
              </w:rPr>
            </w:pPr>
            <w:r w:rsidRPr="003268EE">
              <w:rPr>
                <w:b/>
                <w:sz w:val="13"/>
                <w:szCs w:val="13"/>
              </w:rPr>
              <w:t>210.791</w:t>
            </w:r>
          </w:p>
        </w:tc>
      </w:tr>
      <w:tr w:rsidR="0084290D" w:rsidTr="007433BE" w14:paraId="63AE6BF1" w14:textId="77777777">
        <w:tc>
          <w:tcPr>
            <w:tcW w:w="1250" w:type="pct"/>
            <w:tcBorders>
              <w:bottom w:val="single" w:color="009EE0" w:sz="2" w:space="0"/>
            </w:tcBorders>
            <w:tcMar>
              <w:top w:w="22" w:type="dxa"/>
              <w:bottom w:w="22" w:type="dxa"/>
              <w:right w:w="28" w:type="dxa"/>
            </w:tcMar>
          </w:tcPr>
          <w:p w:rsidRPr="003268EE" w:rsidR="0084290D" w:rsidRDefault="00CF5B93" w14:paraId="43C107C9" w14:textId="77777777">
            <w:pPr>
              <w:pStyle w:val="p-table"/>
              <w:rPr>
                <w:sz w:val="13"/>
                <w:szCs w:val="13"/>
              </w:rPr>
            </w:pPr>
            <w:r w:rsidRPr="003268EE">
              <w:rPr>
                <w:sz w:val="13"/>
                <w:szCs w:val="13"/>
              </w:rPr>
              <w:t>Toegerekende uitgaven van Belastingen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54916B" w14:textId="77777777">
            <w:pPr>
              <w:pStyle w:val="p-table"/>
              <w:jc w:val="right"/>
              <w:rPr>
                <w:sz w:val="13"/>
                <w:szCs w:val="13"/>
              </w:rPr>
            </w:pPr>
            <w:r w:rsidRPr="003268EE">
              <w:rPr>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5BA92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9765ED2" w14:textId="77777777">
            <w:pPr>
              <w:pStyle w:val="p-table"/>
              <w:jc w:val="right"/>
              <w:rPr>
                <w:sz w:val="13"/>
                <w:szCs w:val="13"/>
              </w:rPr>
            </w:pPr>
            <w:r w:rsidRPr="003268EE">
              <w:rPr>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20639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E99BF19" w14:textId="77777777">
            <w:pPr>
              <w:pStyle w:val="p-table"/>
              <w:jc w:val="right"/>
              <w:rPr>
                <w:sz w:val="13"/>
                <w:szCs w:val="13"/>
              </w:rPr>
            </w:pPr>
            <w:r w:rsidRPr="003268EE">
              <w:rPr>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44E5B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2E84A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CA5258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69DCB4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8BC918" w14:textId="77777777">
            <w:pPr>
              <w:pStyle w:val="p-table"/>
              <w:jc w:val="right"/>
              <w:rPr>
                <w:sz w:val="13"/>
                <w:szCs w:val="13"/>
              </w:rPr>
            </w:pPr>
            <w:r w:rsidRPr="003268EE">
              <w:rPr>
                <w:sz w:val="13"/>
                <w:szCs w:val="13"/>
              </w:rPr>
              <w:t>210.791</w:t>
            </w:r>
          </w:p>
        </w:tc>
      </w:tr>
      <w:tr w:rsidR="0084290D" w:rsidTr="007433BE" w14:paraId="498B00A9" w14:textId="77777777">
        <w:tc>
          <w:tcPr>
            <w:tcW w:w="1250" w:type="pct"/>
            <w:tcMar>
              <w:top w:w="22" w:type="dxa"/>
              <w:bottom w:w="22" w:type="dxa"/>
              <w:right w:w="28" w:type="dxa"/>
            </w:tcMar>
          </w:tcPr>
          <w:p w:rsidRPr="003268EE" w:rsidR="0084290D" w:rsidRDefault="0084290D" w14:paraId="356FEEA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223E21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5A5B9F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1DC0D40"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1F525E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4BB8D4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A276A0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51C91B2"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40E481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2F12A20"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8E9B9D5" w14:textId="77777777">
            <w:pPr>
              <w:pStyle w:val="p-table"/>
              <w:rPr>
                <w:sz w:val="13"/>
                <w:szCs w:val="13"/>
              </w:rPr>
            </w:pPr>
          </w:p>
        </w:tc>
      </w:tr>
      <w:tr w:rsidR="0084290D" w:rsidTr="007433BE" w14:paraId="1F28C013" w14:textId="77777777">
        <w:tc>
          <w:tcPr>
            <w:tcW w:w="1250" w:type="pct"/>
            <w:tcBorders>
              <w:bottom w:val="single" w:color="009EE0" w:sz="2" w:space="0"/>
            </w:tcBorders>
            <w:tcMar>
              <w:top w:w="22" w:type="dxa"/>
              <w:bottom w:w="22" w:type="dxa"/>
              <w:right w:w="28" w:type="dxa"/>
            </w:tcMar>
          </w:tcPr>
          <w:p w:rsidRPr="003268EE" w:rsidR="0084290D" w:rsidRDefault="00CF5B93" w14:paraId="74A53CE4" w14:textId="77777777">
            <w:pPr>
              <w:pStyle w:val="p-table"/>
              <w:rPr>
                <w:sz w:val="13"/>
                <w:szCs w:val="13"/>
              </w:rPr>
            </w:pPr>
            <w:r w:rsidRPr="003268EE">
              <w:rPr>
                <w:b/>
                <w:sz w:val="13"/>
                <w:szCs w:val="13"/>
              </w:rPr>
              <w:t>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1DED7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2AD03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82580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77B5B3"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824D7F"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5E3E730"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329056A"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7C17957"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58E388"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11DCC05" w14:textId="77777777">
            <w:pPr>
              <w:pStyle w:val="p-table"/>
              <w:jc w:val="right"/>
              <w:rPr>
                <w:sz w:val="13"/>
                <w:szCs w:val="13"/>
              </w:rPr>
            </w:pPr>
            <w:r w:rsidRPr="003268EE">
              <w:rPr>
                <w:b/>
                <w:sz w:val="13"/>
                <w:szCs w:val="13"/>
              </w:rPr>
              <w:t>0</w:t>
            </w:r>
          </w:p>
        </w:tc>
      </w:tr>
      <w:tr w:rsidR="0084290D" w:rsidTr="007433BE" w14:paraId="3418A2C9" w14:textId="77777777">
        <w:tc>
          <w:tcPr>
            <w:tcW w:w="1250" w:type="pct"/>
            <w:tcBorders>
              <w:bottom w:val="single" w:color="009EE0" w:sz="2" w:space="0"/>
            </w:tcBorders>
            <w:tcMar>
              <w:top w:w="22" w:type="dxa"/>
              <w:bottom w:w="22" w:type="dxa"/>
              <w:right w:w="28" w:type="dxa"/>
            </w:tcMar>
          </w:tcPr>
          <w:p w:rsidRPr="003268EE" w:rsidR="0084290D" w:rsidRDefault="00CF5B93" w14:paraId="795D4DE0" w14:textId="77777777">
            <w:pPr>
              <w:pStyle w:val="p-table"/>
              <w:rPr>
                <w:sz w:val="13"/>
                <w:szCs w:val="13"/>
              </w:rPr>
            </w:pPr>
            <w:r w:rsidRPr="003268EE">
              <w:rPr>
                <w:sz w:val="13"/>
                <w:szCs w:val="13"/>
              </w:rPr>
              <w:t>Apparaatsontvangsten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81745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58680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A9A854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4F8580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656CFB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6BE6B6"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57ED3B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D8D209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275C1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3043957" w14:textId="77777777">
            <w:pPr>
              <w:pStyle w:val="p-table"/>
              <w:jc w:val="right"/>
              <w:rPr>
                <w:sz w:val="13"/>
                <w:szCs w:val="13"/>
              </w:rPr>
            </w:pPr>
            <w:r w:rsidRPr="003268EE">
              <w:rPr>
                <w:sz w:val="13"/>
                <w:szCs w:val="13"/>
              </w:rPr>
              <w:t>0</w:t>
            </w:r>
          </w:p>
        </w:tc>
      </w:tr>
      <w:tr w:rsidR="0084290D" w:rsidTr="007433BE" w14:paraId="030D4E5B" w14:textId="77777777">
        <w:tc>
          <w:tcPr>
            <w:tcW w:w="1250" w:type="pct"/>
            <w:tcBorders>
              <w:bottom w:val="single" w:color="009EE0" w:sz="2" w:space="0"/>
            </w:tcBorders>
            <w:tcMar>
              <w:top w:w="22" w:type="dxa"/>
              <w:bottom w:w="22" w:type="dxa"/>
              <w:right w:w="28" w:type="dxa"/>
            </w:tcMar>
          </w:tcPr>
          <w:p w:rsidRPr="003268EE" w:rsidR="0084290D" w:rsidRDefault="00CF5B93" w14:paraId="3029CD3D" w14:textId="77777777">
            <w:pPr>
              <w:pStyle w:val="p-table"/>
              <w:rPr>
                <w:sz w:val="13"/>
                <w:szCs w:val="13"/>
              </w:rPr>
            </w:pPr>
            <w:r w:rsidRPr="003268EE">
              <w:rPr>
                <w:sz w:val="13"/>
                <w:szCs w:val="13"/>
              </w:rPr>
              <w:t>Programma-ontvangsten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B37D4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DA81C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7B2BAB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B0DFA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28020B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8731426"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1D8B43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86ADF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CC027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B86879C" w14:textId="77777777">
            <w:pPr>
              <w:pStyle w:val="p-table"/>
              <w:jc w:val="right"/>
              <w:rPr>
                <w:sz w:val="13"/>
                <w:szCs w:val="13"/>
              </w:rPr>
            </w:pPr>
            <w:r w:rsidRPr="003268EE">
              <w:rPr>
                <w:sz w:val="13"/>
                <w:szCs w:val="13"/>
              </w:rPr>
              <w:t>0</w:t>
            </w:r>
          </w:p>
        </w:tc>
      </w:tr>
    </w:tbl>
    <w:p w:rsidR="0084290D" w:rsidRDefault="0084290D" w14:paraId="3083B501"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37E3FE17" w14:textId="77777777">
        <w:trPr>
          <w:tblHeader/>
        </w:trPr>
        <w:tc>
          <w:tcPr>
            <w:tcW w:w="5508" w:type="dxa"/>
            <w:gridSpan w:val="2"/>
            <w:tcMar>
              <w:top w:w="22" w:type="dxa"/>
              <w:left w:w="113" w:type="dxa"/>
              <w:bottom w:w="22" w:type="dxa"/>
            </w:tcMar>
          </w:tcPr>
          <w:p w:rsidR="0084290D" w:rsidRDefault="00CF5B93" w14:paraId="47C3A6D4" w14:textId="77777777">
            <w:pPr>
              <w:pStyle w:val="kio2-table-title"/>
            </w:pPr>
            <w:r>
              <w:lastRenderedPageBreak/>
              <w:t>Tabel 27 Geschatte budgetflexibiliteit</w:t>
            </w:r>
          </w:p>
        </w:tc>
      </w:tr>
      <w:tr w:rsidR="0084290D" w14:paraId="71BD0283" w14:textId="77777777">
        <w:trPr>
          <w:tblHeader/>
        </w:trPr>
        <w:tc>
          <w:tcPr>
            <w:tcW w:w="2754" w:type="dxa"/>
            <w:tcBorders>
              <w:top w:val="single" w:color="000000" w:sz="2" w:space="0"/>
              <w:bottom w:val="single" w:color="009EE0" w:sz="2" w:space="0"/>
            </w:tcBorders>
            <w:tcMar>
              <w:top w:w="28" w:type="dxa"/>
              <w:bottom w:w="28" w:type="dxa"/>
              <w:right w:w="28" w:type="dxa"/>
            </w:tcMar>
          </w:tcPr>
          <w:p w:rsidRPr="0000781C" w:rsidR="0084290D" w:rsidRDefault="0084290D" w14:paraId="4097817C"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00781C" w:rsidR="0084290D" w:rsidRDefault="00CF5B93" w14:paraId="0F4F56AE" w14:textId="78C5B5ED">
            <w:pPr>
              <w:pStyle w:val="p-table"/>
              <w:jc w:val="right"/>
              <w:rPr>
                <w:color w:val="000000"/>
                <w:sz w:val="13"/>
                <w:szCs w:val="13"/>
              </w:rPr>
            </w:pPr>
            <w:r w:rsidRPr="0000781C">
              <w:rPr>
                <w:color w:val="000000"/>
                <w:sz w:val="13"/>
                <w:szCs w:val="13"/>
              </w:rPr>
              <w:t>2026</w:t>
            </w:r>
          </w:p>
        </w:tc>
      </w:tr>
      <w:tr w:rsidR="0084290D" w14:paraId="77F59D1A" w14:textId="77777777">
        <w:tc>
          <w:tcPr>
            <w:tcW w:w="2754" w:type="dxa"/>
            <w:tcBorders>
              <w:bottom w:val="single" w:color="009EE0" w:sz="2" w:space="0"/>
            </w:tcBorders>
            <w:tcMar>
              <w:top w:w="22" w:type="dxa"/>
              <w:bottom w:w="22" w:type="dxa"/>
              <w:right w:w="28" w:type="dxa"/>
            </w:tcMar>
          </w:tcPr>
          <w:p w:rsidRPr="0000781C" w:rsidR="0084290D" w:rsidRDefault="00CF5B93" w14:paraId="7B16495B" w14:textId="77777777">
            <w:pPr>
              <w:pStyle w:val="p-table"/>
              <w:rPr>
                <w:sz w:val="13"/>
                <w:szCs w:val="13"/>
              </w:rPr>
            </w:pPr>
            <w:r w:rsidRPr="0000781C">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00781C" w:rsidR="0084290D" w:rsidRDefault="00CF5B93" w14:paraId="21092C4F" w14:textId="549BC4A9">
            <w:pPr>
              <w:pStyle w:val="p-table"/>
              <w:jc w:val="right"/>
              <w:rPr>
                <w:sz w:val="13"/>
                <w:szCs w:val="13"/>
              </w:rPr>
            </w:pPr>
            <w:r w:rsidRPr="0000781C">
              <w:rPr>
                <w:sz w:val="13"/>
                <w:szCs w:val="13"/>
              </w:rPr>
              <w:t>95,</w:t>
            </w:r>
            <w:r w:rsidRPr="0000781C" w:rsidR="00BE2B8D">
              <w:rPr>
                <w:sz w:val="13"/>
                <w:szCs w:val="13"/>
              </w:rPr>
              <w:t>5</w:t>
            </w:r>
            <w:r w:rsidRPr="0000781C">
              <w:rPr>
                <w:sz w:val="13"/>
                <w:szCs w:val="13"/>
              </w:rPr>
              <w:t>%</w:t>
            </w:r>
          </w:p>
        </w:tc>
      </w:tr>
      <w:tr w:rsidR="0084290D" w14:paraId="231AE087" w14:textId="77777777">
        <w:tc>
          <w:tcPr>
            <w:tcW w:w="2754" w:type="dxa"/>
            <w:tcBorders>
              <w:bottom w:val="single" w:color="009EE0" w:sz="2" w:space="0"/>
            </w:tcBorders>
            <w:tcMar>
              <w:top w:w="22" w:type="dxa"/>
              <w:bottom w:w="22" w:type="dxa"/>
              <w:right w:w="28" w:type="dxa"/>
            </w:tcMar>
          </w:tcPr>
          <w:p w:rsidRPr="0000781C" w:rsidR="0084290D" w:rsidRDefault="00CF5B93" w14:paraId="2498D673" w14:textId="77777777">
            <w:pPr>
              <w:pStyle w:val="p-table"/>
              <w:rPr>
                <w:sz w:val="13"/>
                <w:szCs w:val="13"/>
              </w:rPr>
            </w:pPr>
            <w:r w:rsidRPr="0000781C">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00781C" w:rsidR="0084290D" w:rsidRDefault="00CF5B93" w14:paraId="1667B1C0" w14:textId="77777777">
            <w:pPr>
              <w:pStyle w:val="p-table"/>
              <w:jc w:val="right"/>
              <w:rPr>
                <w:sz w:val="13"/>
                <w:szCs w:val="13"/>
              </w:rPr>
            </w:pPr>
            <w:r w:rsidRPr="0000781C">
              <w:rPr>
                <w:sz w:val="13"/>
                <w:szCs w:val="13"/>
              </w:rPr>
              <w:t>0,0%</w:t>
            </w:r>
          </w:p>
        </w:tc>
      </w:tr>
      <w:tr w:rsidR="0084290D" w14:paraId="100061E8" w14:textId="77777777">
        <w:tc>
          <w:tcPr>
            <w:tcW w:w="2754" w:type="dxa"/>
            <w:tcBorders>
              <w:bottom w:val="single" w:color="009EE0" w:sz="2" w:space="0"/>
            </w:tcBorders>
            <w:tcMar>
              <w:top w:w="22" w:type="dxa"/>
              <w:bottom w:w="22" w:type="dxa"/>
              <w:right w:w="28" w:type="dxa"/>
            </w:tcMar>
          </w:tcPr>
          <w:p w:rsidRPr="0000781C" w:rsidR="0084290D" w:rsidRDefault="00CF5B93" w14:paraId="59246359" w14:textId="77777777">
            <w:pPr>
              <w:pStyle w:val="p-table"/>
              <w:rPr>
                <w:sz w:val="13"/>
                <w:szCs w:val="13"/>
              </w:rPr>
            </w:pPr>
            <w:r w:rsidRPr="0000781C">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00781C" w:rsidR="0084290D" w:rsidRDefault="00BE2B8D" w14:paraId="64043209" w14:textId="36FA7A86">
            <w:pPr>
              <w:pStyle w:val="p-table"/>
              <w:jc w:val="right"/>
              <w:rPr>
                <w:sz w:val="13"/>
                <w:szCs w:val="13"/>
              </w:rPr>
            </w:pPr>
            <w:r w:rsidRPr="0000781C">
              <w:rPr>
                <w:sz w:val="13"/>
                <w:szCs w:val="13"/>
              </w:rPr>
              <w:t>4,5</w:t>
            </w:r>
            <w:r w:rsidRPr="0000781C" w:rsidR="00CF5B93">
              <w:rPr>
                <w:sz w:val="13"/>
                <w:szCs w:val="13"/>
              </w:rPr>
              <w:t>%</w:t>
            </w:r>
          </w:p>
        </w:tc>
      </w:tr>
      <w:tr w:rsidR="0084290D" w14:paraId="5014FA33" w14:textId="77777777">
        <w:tc>
          <w:tcPr>
            <w:tcW w:w="2754" w:type="dxa"/>
            <w:tcBorders>
              <w:bottom w:val="single" w:color="009EE0" w:sz="2" w:space="0"/>
            </w:tcBorders>
            <w:tcMar>
              <w:top w:w="22" w:type="dxa"/>
              <w:bottom w:w="22" w:type="dxa"/>
              <w:right w:w="28" w:type="dxa"/>
            </w:tcMar>
          </w:tcPr>
          <w:p w:rsidRPr="0000781C" w:rsidR="0084290D" w:rsidRDefault="00CF5B93" w14:paraId="79B8C490" w14:textId="77777777">
            <w:pPr>
              <w:pStyle w:val="p-table"/>
              <w:rPr>
                <w:sz w:val="13"/>
                <w:szCs w:val="13"/>
              </w:rPr>
            </w:pPr>
            <w:r w:rsidRPr="0000781C">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00781C" w:rsidR="0084290D" w:rsidRDefault="00CF5B93" w14:paraId="4059CCDC" w14:textId="77777777">
            <w:pPr>
              <w:pStyle w:val="p-table"/>
              <w:jc w:val="right"/>
              <w:rPr>
                <w:sz w:val="13"/>
                <w:szCs w:val="13"/>
              </w:rPr>
            </w:pPr>
            <w:r w:rsidRPr="0000781C">
              <w:rPr>
                <w:sz w:val="13"/>
                <w:szCs w:val="13"/>
              </w:rPr>
              <w:t>0,0%</w:t>
            </w:r>
          </w:p>
        </w:tc>
      </w:tr>
    </w:tbl>
    <w:p w:rsidR="0084290D" w:rsidRDefault="0084290D" w14:paraId="4FCF4E0B" w14:textId="77777777">
      <w:pPr>
        <w:pStyle w:val="p-marginbottom"/>
      </w:pPr>
    </w:p>
    <w:p w:rsidR="0084290D" w:rsidRDefault="00CF5B93" w14:paraId="5EF1DBD4" w14:textId="77777777">
      <w:pPr>
        <w:pStyle w:val="header-h1"/>
      </w:pPr>
      <w:r>
        <w:t>Toelichting</w:t>
      </w:r>
    </w:p>
    <w:p w:rsidR="0084290D" w:rsidRDefault="0084290D" w14:paraId="7F8B3A10" w14:textId="77777777">
      <w:pPr>
        <w:pStyle w:val="p-marginbottom"/>
      </w:pPr>
    </w:p>
    <w:p w:rsidR="0084290D" w:rsidRDefault="00CF5B93" w14:paraId="1B3F8727" w14:textId="77777777">
      <w:pPr>
        <w:pStyle w:val="header-h1"/>
      </w:pPr>
      <w:r>
        <w:t>Budgetflexibiliteit</w:t>
      </w:r>
    </w:p>
    <w:p w:rsidR="0084290D" w:rsidRDefault="00CF5B93" w14:paraId="6F30A913" w14:textId="77777777">
      <w:pPr>
        <w:pStyle w:val="p"/>
      </w:pPr>
      <w:r w:rsidRPr="00BE2B8D">
        <w:t>De programma-uitgaven zijn overwegend gerelateerd aan de compensatie voor de gedupeerden van de problemen bij toeslagen. Deze uitgaven zijn voor circa 95,5% juridisch verplicht doordat regelingen zijn verankerd in wetgeving of anderszins bindende afspraken die contractueel zijn vastgelegd.</w:t>
      </w:r>
    </w:p>
    <w:p w:rsidR="0084290D" w:rsidRDefault="00CF5B93" w14:paraId="38D329CD" w14:textId="77777777">
      <w:pPr>
        <w:pStyle w:val="header-h1"/>
      </w:pPr>
      <w:r>
        <w:t>Verplichtingen en uitgaven</w:t>
      </w:r>
    </w:p>
    <w:p w:rsidR="0084290D" w:rsidRDefault="0084290D" w14:paraId="17F76688" w14:textId="77777777">
      <w:pPr>
        <w:pStyle w:val="p-marginbottom"/>
      </w:pPr>
    </w:p>
    <w:p w:rsidR="0084290D" w:rsidRDefault="00CF5B93" w14:paraId="092526B5" w14:textId="77777777">
      <w:pPr>
        <w:pStyle w:val="header-h2"/>
      </w:pPr>
      <w:r>
        <w:t>Personele uitgaven</w:t>
      </w:r>
    </w:p>
    <w:p w:rsidR="0084290D" w:rsidP="00BD5046" w:rsidRDefault="00CF5B93" w14:paraId="714AA32D" w14:textId="77777777">
      <w:pPr>
        <w:pStyle w:val="p"/>
        <w:spacing w:after="0"/>
      </w:pPr>
      <w:r>
        <w:t>De bijstelling van het budget voor personele uitgaven kent verschillende redenen. De belangrijkste zijn:</w:t>
      </w:r>
    </w:p>
    <w:p w:rsidR="0084290D" w:rsidP="00BD5046" w:rsidRDefault="00CF5B93" w14:paraId="5762E2BE" w14:textId="77777777">
      <w:pPr>
        <w:pStyle w:val="p"/>
        <w:numPr>
          <w:ilvl w:val="0"/>
          <w:numId w:val="17"/>
        </w:numPr>
        <w:spacing w:after="0"/>
        <w:ind w:left="357" w:hanging="357"/>
      </w:pPr>
      <w:r w:rsidRPr="00BD5046">
        <w:t>De raming van de Hersteloperatie is herijkt op basis van de actuele inzichten in de ontwikkelingen binnen Toeslagen Herstel. Hiermee wordt het personeelsbudget bijgesteld vanuit de niet bestede middelen 2025, de Aanvullende Post en herschikkingen binnen artikel 13. Dit leidt onder andere tot een verhoging van het budget voor eigen personeel in 2026 (€ 83,5 mln.) en een verhoging in 2027 en 2028 (respectievelijk € 60,4 mln. en € 10,5 mln.). De herijking leidt tot een verlaging van het budget voor externe inhuur in 2026 (€ 101,6 mln.) en 2027 (€ 38,8 mln.).</w:t>
      </w:r>
    </w:p>
    <w:p w:rsidR="0084290D" w:rsidP="00BD5046" w:rsidRDefault="00CF5B93" w14:paraId="07A1745C" w14:textId="77777777">
      <w:pPr>
        <w:pStyle w:val="p"/>
        <w:numPr>
          <w:ilvl w:val="0"/>
          <w:numId w:val="17"/>
        </w:numPr>
        <w:spacing w:after="0"/>
        <w:ind w:left="357" w:hanging="357"/>
      </w:pPr>
      <w:r w:rsidRPr="00BD5046">
        <w:t>Voor de dekking van de uitvoeringskosten van het nieuwe financieringsstelsel kinderopvang (NFKO) is een beroep gedaan op gereserveerde middelen op de Aanvullende Post. Hiervoor wordt € 28,3 mln. toegevoegd in 2027, € 27,6 mln. in 2028 en € 12 mln. in de jaren erna.</w:t>
      </w:r>
    </w:p>
    <w:p w:rsidR="0084290D" w:rsidP="00BD5046" w:rsidRDefault="00CF5B93" w14:paraId="57F99F06" w14:textId="77777777">
      <w:pPr>
        <w:pStyle w:val="p"/>
        <w:numPr>
          <w:ilvl w:val="0"/>
          <w:numId w:val="17"/>
        </w:numPr>
        <w:spacing w:after="0"/>
        <w:ind w:left="357" w:hanging="357"/>
      </w:pPr>
      <w:r w:rsidRPr="00BD5046">
        <w:t>Binnen het reguliere budget van Dienst Toeslagen vindt een overheveling plaats vanuit andere departementen, om conform gemaakte afspraken bij te dragen aan het budgettair tekort (€ 16,5 mln. in 2027 en € 13,0 mln. structureel).</w:t>
      </w:r>
    </w:p>
    <w:p w:rsidR="0084290D" w:rsidRDefault="0084290D" w14:paraId="1E568C76" w14:textId="77777777"/>
    <w:p w:rsidR="0084290D" w:rsidRDefault="00CF5B93" w14:paraId="79575831" w14:textId="77777777">
      <w:pPr>
        <w:pStyle w:val="header-h2"/>
      </w:pPr>
      <w:r>
        <w:t>Materiële uitgaven</w:t>
      </w:r>
    </w:p>
    <w:p w:rsidR="0084290D" w:rsidRDefault="00CF5B93" w14:paraId="26DF3B06" w14:textId="77777777">
      <w:pPr>
        <w:pStyle w:val="p"/>
      </w:pPr>
      <w:r>
        <w:t>De bijstelling van de materiële uitgaven wordt voornamelijk veroorzaakt door een structurele verrekening tussen de Belastingdienst en Toeslagen. Voor de verrekening van uitgaven voor werkplek, automatisering, huisvesting en documentaire informatievoorziening werd voorheen uitgegaan van standaardtarieven en worden voortaan de werkelijke tarieven en uitgaven gebruikt.</w:t>
      </w:r>
    </w:p>
    <w:p w:rsidR="0084290D" w:rsidRDefault="00CF5B93" w14:paraId="5CE82C52" w14:textId="77777777">
      <w:pPr>
        <w:pStyle w:val="header-h2"/>
      </w:pPr>
      <w:r>
        <w:t>Opdrachten</w:t>
      </w:r>
    </w:p>
    <w:p w:rsidR="00BD5046" w:rsidP="00BD5046" w:rsidRDefault="00CF5B93" w14:paraId="3EDAE7EA" w14:textId="77777777">
      <w:pPr>
        <w:pStyle w:val="p"/>
        <w:spacing w:after="0"/>
      </w:pPr>
      <w:r>
        <w:t>Er vinden meerdere wijzigingen plaats op het budget van opdrachten:</w:t>
      </w:r>
    </w:p>
    <w:p w:rsidR="00BD5046" w:rsidP="00BD5046" w:rsidRDefault="00CF5B93" w14:paraId="3E0F6FB1" w14:textId="77777777">
      <w:pPr>
        <w:pStyle w:val="p"/>
        <w:numPr>
          <w:ilvl w:val="0"/>
          <w:numId w:val="17"/>
        </w:numPr>
        <w:spacing w:after="0"/>
        <w:ind w:left="357" w:hanging="357"/>
      </w:pPr>
      <w:r w:rsidRPr="00671AAB">
        <w:t>De niet bestede middelen 2025, de reservering op de Aanvullende Post en herschikkingen binnen artikel 13 worden ingezet om het budget van opdrachten te verhogen met € 146,9 mln. in 2026, € 185,8 mln. in 2027 en € 38,7 mln. in 2028 voornamelijk voor de uitvoeringskosten voor de forfaitaire routes van aanvullende schade.</w:t>
      </w:r>
    </w:p>
    <w:p w:rsidR="0084290D" w:rsidP="00BD5046" w:rsidRDefault="00CF5B93" w14:paraId="11D5C767" w14:textId="198FD5F2">
      <w:pPr>
        <w:pStyle w:val="p"/>
        <w:numPr>
          <w:ilvl w:val="0"/>
          <w:numId w:val="17"/>
        </w:numPr>
        <w:spacing w:after="0"/>
        <w:ind w:left="357" w:hanging="357"/>
      </w:pPr>
      <w:r w:rsidRPr="00671AAB">
        <w:t>Er vindt in 2026 een budgetoverheveling van € 47,9 mln. plaats naar de Belastingdienst voor de uitvoering van werkzaamheden voor de aanvullende schaderoutes.</w:t>
      </w:r>
    </w:p>
    <w:p w:rsidR="0084290D" w:rsidRDefault="0084290D" w14:paraId="514F6B7F" w14:textId="77777777"/>
    <w:p w:rsidR="00EC1273" w:rsidRDefault="00EC1273" w14:paraId="484472C0" w14:textId="77777777">
      <w:pPr>
        <w:rPr>
          <w:i/>
          <w:sz w:val="17"/>
        </w:rPr>
      </w:pPr>
      <w:r>
        <w:br w:type="page"/>
      </w:r>
    </w:p>
    <w:p w:rsidR="0084290D" w:rsidRDefault="00CF5B93" w14:paraId="6EDBC000" w14:textId="13192F9E">
      <w:pPr>
        <w:pStyle w:val="header-h2"/>
      </w:pPr>
      <w:r>
        <w:lastRenderedPageBreak/>
        <w:t>Bijdrage aan medeoverheden</w:t>
      </w:r>
    </w:p>
    <w:p w:rsidR="0084290D" w:rsidRDefault="00CF5B93" w14:paraId="7F61AA2B" w14:textId="77777777">
      <w:pPr>
        <w:pStyle w:val="p"/>
      </w:pPr>
      <w:r>
        <w:t>De niet bestede middelen 2025 en herschikkingen binnen artikel 13 worden ingezet voor de brede hulp door gemeenten via de SPUK.</w:t>
      </w:r>
    </w:p>
    <w:p w:rsidR="0084290D" w:rsidRDefault="00CF5B93" w14:paraId="60CA42A8" w14:textId="041A83FF">
      <w:pPr>
        <w:pStyle w:val="header-h2"/>
      </w:pPr>
      <w:r>
        <w:t>(Schade)vergoeding</w:t>
      </w:r>
    </w:p>
    <w:p w:rsidR="0084290D" w:rsidRDefault="00CF5B93" w14:paraId="4A6C1DCB" w14:textId="77777777">
      <w:pPr>
        <w:pStyle w:val="p"/>
      </w:pPr>
      <w:r>
        <w:t>De raming van de Hersteloperatie is herijkt op basis van actuele inzichten in de ontwikkelingen binnen Toeslagen Herstel, waaronder de aanvullende schade en de SPUK brede ondersteuning. Als gevolg van de herijking worden de begrote compensatie- en hersteluitgaven bijgesteld door middel van herschikkingen binnen het herstelbudget, de reservering op de Aanvullende Post, en niet bestede middelen 2025. Tot slot vindt er een wijziging plaats in het kasritme van de herstelmiddelen. Het betreft een verschuiving van circa € 348,2 mln. vanuit 2027 en 2028 naar 2026 (€ 93,4 mln.), 2029 (€ 197,3 mln.) en 2030 (€ 57,5 mln.). Het budget in 2029 en 2030 is voornamelijk bestemd voor de brede ondersteuning door gemeenten. De middelen vanaf 2028 zijn bedoeld voor aanvullende schade voor ex-partners.</w:t>
      </w:r>
    </w:p>
    <w:p w:rsidRPr="00D52ED7" w:rsidR="00D52ED7" w:rsidP="00D52ED7" w:rsidRDefault="00D52ED7" w14:paraId="0DF9C02D" w14:textId="492C7031">
      <w:pPr>
        <w:pStyle w:val="p"/>
      </w:pPr>
      <w:r w:rsidRPr="00D52ED7">
        <w:t>De bijstellingen leiden tot een verhoging van het herstelbudget op (schade)vergoedingen in 2026 (€ 259,4 mln.) en tot een verlaging in 2027 en 2028 (respectievelijk € 96,7 mln. en € 313.9 mln.). Het integrale overzicht van de financiële</w:t>
      </w:r>
      <w:r>
        <w:t xml:space="preserve"> </w:t>
      </w:r>
      <w:r w:rsidRPr="00D52ED7">
        <w:t xml:space="preserve">stand van zaken van de Hersteloperatie Toeslagen en de voortgang per compensatieregeling is te vinden in de voortgangsrapportage Hersteloperatie Toeslagen. </w:t>
      </w:r>
    </w:p>
    <w:p w:rsidR="0084290D" w:rsidRDefault="0084290D" w14:paraId="48D288C2" w14:textId="77777777">
      <w:pPr>
        <w:pStyle w:val="page-break"/>
      </w:pPr>
    </w:p>
    <w:p w:rsidR="0084290D" w:rsidRDefault="00CF5B93" w14:paraId="4FD56639" w14:textId="77777777">
      <w:pPr>
        <w:pStyle w:val="section-title-2"/>
      </w:pPr>
      <w:bookmarkStart w:name="1294079410729285" w:id="5"/>
      <w:r>
        <w:t>4 Beleidsartikelen Nationale Schuld (IXA)</w:t>
      </w:r>
      <w:bookmarkEnd w:id="5"/>
    </w:p>
    <w:p w:rsidR="0084290D" w:rsidRDefault="00CF5B93" w14:paraId="48BF7A30" w14:textId="77777777">
      <w:pPr>
        <w:pStyle w:val="section-title-3"/>
      </w:pPr>
      <w:r>
        <w:t>Artikel 11 Financiering staatsschuld</w:t>
      </w:r>
    </w:p>
    <w:p w:rsidR="0084290D" w:rsidRDefault="00CF5B93" w14:paraId="74BF6956"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322"/>
        <w:gridCol w:w="696"/>
        <w:gridCol w:w="696"/>
        <w:gridCol w:w="889"/>
        <w:gridCol w:w="696"/>
        <w:gridCol w:w="889"/>
        <w:gridCol w:w="696"/>
        <w:gridCol w:w="696"/>
        <w:gridCol w:w="696"/>
        <w:gridCol w:w="696"/>
        <w:gridCol w:w="694"/>
      </w:tblGrid>
      <w:tr w:rsidR="0084290D" w:rsidTr="007433BE" w14:paraId="1D33CD18" w14:textId="77777777">
        <w:trPr>
          <w:tblHeader/>
        </w:trPr>
        <w:tc>
          <w:tcPr>
            <w:tcW w:w="5000" w:type="pct"/>
            <w:gridSpan w:val="11"/>
            <w:tcMar>
              <w:top w:w="22" w:type="dxa"/>
              <w:left w:w="113" w:type="dxa"/>
              <w:bottom w:w="22" w:type="dxa"/>
            </w:tcMar>
          </w:tcPr>
          <w:p w:rsidR="0084290D" w:rsidRDefault="00CF5B93" w14:paraId="6E3909A4" w14:textId="77777777">
            <w:pPr>
              <w:pStyle w:val="kio2-table-title"/>
            </w:pPr>
            <w:r>
              <w:t>Tabel 28 Budgettaire gevolgen van beleid artikel 11 Financiering staatsschuld (bedragen x € 1 mln.)</w:t>
            </w:r>
          </w:p>
        </w:tc>
      </w:tr>
      <w:tr w:rsidR="0084290D" w:rsidTr="007433BE" w14:paraId="1A20C744" w14:textId="77777777">
        <w:trPr>
          <w:tblHeader/>
        </w:trPr>
        <w:tc>
          <w:tcPr>
            <w:tcW w:w="1201" w:type="pct"/>
            <w:tcBorders>
              <w:top w:val="single" w:color="000000" w:sz="2" w:space="0"/>
            </w:tcBorders>
            <w:tcMar>
              <w:top w:w="28" w:type="dxa"/>
              <w:bottom w:w="28" w:type="dxa"/>
              <w:right w:w="28" w:type="dxa"/>
            </w:tcMar>
          </w:tcPr>
          <w:p w:rsidRPr="003268EE" w:rsidR="0084290D" w:rsidRDefault="00CF5B93" w14:paraId="674FD693" w14:textId="77777777">
            <w:pPr>
              <w:pStyle w:val="p-table"/>
              <w:rPr>
                <w:color w:val="000000"/>
                <w:sz w:val="13"/>
                <w:szCs w:val="13"/>
              </w:rPr>
            </w:pPr>
            <w:r w:rsidRPr="003268EE">
              <w:rPr>
                <w:color w:val="000000"/>
                <w:sz w:val="13"/>
                <w:szCs w:val="13"/>
              </w:rPr>
              <w:t>Omschrijving</w:t>
            </w:r>
          </w:p>
        </w:tc>
        <w:tc>
          <w:tcPr>
            <w:tcW w:w="360" w:type="pct"/>
            <w:tcBorders>
              <w:top w:val="single" w:color="000000" w:sz="2" w:space="0"/>
            </w:tcBorders>
            <w:tcMar>
              <w:top w:w="28" w:type="dxa"/>
              <w:left w:w="28" w:type="dxa"/>
              <w:bottom w:w="28" w:type="dxa"/>
              <w:right w:w="28" w:type="dxa"/>
            </w:tcMar>
          </w:tcPr>
          <w:p w:rsidRPr="003268EE" w:rsidR="0084290D" w:rsidRDefault="00CF5B93" w14:paraId="7CE7C2D4" w14:textId="77777777">
            <w:pPr>
              <w:pStyle w:val="p-table"/>
              <w:jc w:val="right"/>
              <w:rPr>
                <w:color w:val="000000"/>
                <w:sz w:val="13"/>
                <w:szCs w:val="13"/>
              </w:rPr>
            </w:pPr>
            <w:r w:rsidRPr="003268EE">
              <w:rPr>
                <w:color w:val="000000"/>
                <w:sz w:val="13"/>
                <w:szCs w:val="13"/>
              </w:rPr>
              <w:t>Ontwerpbegroting 2026 (1)</w:t>
            </w:r>
          </w:p>
        </w:tc>
        <w:tc>
          <w:tcPr>
            <w:tcW w:w="360" w:type="pct"/>
            <w:tcBorders>
              <w:top w:val="single" w:color="000000" w:sz="2" w:space="0"/>
            </w:tcBorders>
            <w:tcMar>
              <w:top w:w="28" w:type="dxa"/>
              <w:left w:w="28" w:type="dxa"/>
              <w:bottom w:w="28" w:type="dxa"/>
              <w:right w:w="28" w:type="dxa"/>
            </w:tcMar>
          </w:tcPr>
          <w:p w:rsidRPr="003268EE" w:rsidR="0084290D" w:rsidRDefault="00CF5B93" w14:paraId="622A41C4" w14:textId="77777777">
            <w:pPr>
              <w:pStyle w:val="p-table"/>
              <w:jc w:val="right"/>
              <w:rPr>
                <w:color w:val="000000"/>
                <w:sz w:val="13"/>
                <w:szCs w:val="13"/>
              </w:rPr>
            </w:pPr>
            <w:r w:rsidRPr="003268EE">
              <w:rPr>
                <w:color w:val="000000"/>
                <w:sz w:val="13"/>
                <w:szCs w:val="13"/>
              </w:rPr>
              <w:t>Mutaties via NvW, moties, amendementen en ISB (2)</w:t>
            </w:r>
          </w:p>
        </w:tc>
        <w:tc>
          <w:tcPr>
            <w:tcW w:w="460" w:type="pct"/>
            <w:tcBorders>
              <w:top w:val="single" w:color="000000" w:sz="2" w:space="0"/>
            </w:tcBorders>
            <w:tcMar>
              <w:top w:w="28" w:type="dxa"/>
              <w:left w:w="28" w:type="dxa"/>
              <w:bottom w:w="28" w:type="dxa"/>
              <w:right w:w="28" w:type="dxa"/>
            </w:tcMar>
          </w:tcPr>
          <w:p w:rsidRPr="003268EE" w:rsidR="0084290D" w:rsidRDefault="00CF5B93" w14:paraId="0A29D4B2" w14:textId="77777777">
            <w:pPr>
              <w:pStyle w:val="p-table"/>
              <w:jc w:val="right"/>
              <w:rPr>
                <w:color w:val="000000"/>
                <w:sz w:val="13"/>
                <w:szCs w:val="13"/>
              </w:rPr>
            </w:pPr>
            <w:r w:rsidRPr="003268EE">
              <w:rPr>
                <w:color w:val="000000"/>
                <w:sz w:val="13"/>
                <w:szCs w:val="13"/>
              </w:rPr>
              <w:t>Vastgestelde begroting 2026 (3)=(1)+(2)</w:t>
            </w:r>
          </w:p>
        </w:tc>
        <w:tc>
          <w:tcPr>
            <w:tcW w:w="360" w:type="pct"/>
            <w:tcBorders>
              <w:top w:val="single" w:color="000000" w:sz="2" w:space="0"/>
            </w:tcBorders>
            <w:tcMar>
              <w:top w:w="28" w:type="dxa"/>
              <w:left w:w="28" w:type="dxa"/>
              <w:bottom w:w="28" w:type="dxa"/>
              <w:right w:w="28" w:type="dxa"/>
            </w:tcMar>
          </w:tcPr>
          <w:p w:rsidRPr="003268EE" w:rsidR="0084290D" w:rsidRDefault="00CF5B93" w14:paraId="01D17800"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460" w:type="pct"/>
            <w:tcBorders>
              <w:top w:val="single" w:color="000000" w:sz="2" w:space="0"/>
            </w:tcBorders>
            <w:tcMar>
              <w:top w:w="28" w:type="dxa"/>
              <w:left w:w="28" w:type="dxa"/>
              <w:bottom w:w="28" w:type="dxa"/>
              <w:right w:w="28" w:type="dxa"/>
            </w:tcMar>
          </w:tcPr>
          <w:p w:rsidRPr="003268EE" w:rsidR="0084290D" w:rsidRDefault="00CF5B93" w14:paraId="5BF5487A"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60" w:type="pct"/>
            <w:tcBorders>
              <w:top w:val="single" w:color="000000" w:sz="2" w:space="0"/>
            </w:tcBorders>
            <w:tcMar>
              <w:top w:w="28" w:type="dxa"/>
              <w:left w:w="28" w:type="dxa"/>
              <w:bottom w:w="28" w:type="dxa"/>
              <w:right w:w="28" w:type="dxa"/>
            </w:tcMar>
          </w:tcPr>
          <w:p w:rsidRPr="003268EE" w:rsidR="0084290D" w:rsidRDefault="00CF5B93" w14:paraId="6BEA5E2A" w14:textId="77777777">
            <w:pPr>
              <w:pStyle w:val="p-table"/>
              <w:jc w:val="right"/>
              <w:rPr>
                <w:color w:val="000000"/>
                <w:sz w:val="13"/>
                <w:szCs w:val="13"/>
              </w:rPr>
            </w:pPr>
            <w:r w:rsidRPr="003268EE">
              <w:rPr>
                <w:color w:val="000000"/>
                <w:sz w:val="13"/>
                <w:szCs w:val="13"/>
              </w:rPr>
              <w:t>Mutatie 2027</w:t>
            </w:r>
          </w:p>
        </w:tc>
        <w:tc>
          <w:tcPr>
            <w:tcW w:w="360" w:type="pct"/>
            <w:tcBorders>
              <w:top w:val="single" w:color="000000" w:sz="2" w:space="0"/>
            </w:tcBorders>
            <w:tcMar>
              <w:top w:w="28" w:type="dxa"/>
              <w:left w:w="28" w:type="dxa"/>
              <w:bottom w:w="28" w:type="dxa"/>
              <w:right w:w="28" w:type="dxa"/>
            </w:tcMar>
          </w:tcPr>
          <w:p w:rsidRPr="003268EE" w:rsidR="0084290D" w:rsidRDefault="00CF5B93" w14:paraId="192B6D0B" w14:textId="77777777">
            <w:pPr>
              <w:pStyle w:val="p-table"/>
              <w:jc w:val="right"/>
              <w:rPr>
                <w:color w:val="000000"/>
                <w:sz w:val="13"/>
                <w:szCs w:val="13"/>
              </w:rPr>
            </w:pPr>
            <w:r w:rsidRPr="003268EE">
              <w:rPr>
                <w:color w:val="000000"/>
                <w:sz w:val="13"/>
                <w:szCs w:val="13"/>
              </w:rPr>
              <w:t>Mutatie 2028</w:t>
            </w:r>
          </w:p>
        </w:tc>
        <w:tc>
          <w:tcPr>
            <w:tcW w:w="360" w:type="pct"/>
            <w:tcBorders>
              <w:top w:val="single" w:color="000000" w:sz="2" w:space="0"/>
            </w:tcBorders>
            <w:tcMar>
              <w:top w:w="28" w:type="dxa"/>
              <w:left w:w="28" w:type="dxa"/>
              <w:bottom w:w="28" w:type="dxa"/>
              <w:right w:w="28" w:type="dxa"/>
            </w:tcMar>
          </w:tcPr>
          <w:p w:rsidRPr="003268EE" w:rsidR="0084290D" w:rsidRDefault="00CF5B93" w14:paraId="3202F52C" w14:textId="77777777">
            <w:pPr>
              <w:pStyle w:val="p-table"/>
              <w:jc w:val="right"/>
              <w:rPr>
                <w:color w:val="000000"/>
                <w:sz w:val="13"/>
                <w:szCs w:val="13"/>
              </w:rPr>
            </w:pPr>
            <w:r w:rsidRPr="003268EE">
              <w:rPr>
                <w:color w:val="000000"/>
                <w:sz w:val="13"/>
                <w:szCs w:val="13"/>
              </w:rPr>
              <w:t>Mutatie 2029</w:t>
            </w:r>
          </w:p>
        </w:tc>
        <w:tc>
          <w:tcPr>
            <w:tcW w:w="360" w:type="pct"/>
            <w:tcBorders>
              <w:top w:val="single" w:color="000000" w:sz="2" w:space="0"/>
            </w:tcBorders>
            <w:tcMar>
              <w:top w:w="28" w:type="dxa"/>
              <w:left w:w="28" w:type="dxa"/>
              <w:bottom w:w="28" w:type="dxa"/>
              <w:right w:w="28" w:type="dxa"/>
            </w:tcMar>
          </w:tcPr>
          <w:p w:rsidRPr="003268EE" w:rsidR="0084290D" w:rsidRDefault="00CF5B93" w14:paraId="368458F9" w14:textId="77777777">
            <w:pPr>
              <w:pStyle w:val="p-table"/>
              <w:jc w:val="right"/>
              <w:rPr>
                <w:color w:val="000000"/>
                <w:sz w:val="13"/>
                <w:szCs w:val="13"/>
              </w:rPr>
            </w:pPr>
            <w:r w:rsidRPr="003268EE">
              <w:rPr>
                <w:color w:val="000000"/>
                <w:sz w:val="13"/>
                <w:szCs w:val="13"/>
              </w:rPr>
              <w:t>Mutatie 2030</w:t>
            </w:r>
          </w:p>
        </w:tc>
        <w:tc>
          <w:tcPr>
            <w:tcW w:w="359" w:type="pct"/>
            <w:tcBorders>
              <w:top w:val="single" w:color="000000" w:sz="2" w:space="0"/>
            </w:tcBorders>
            <w:tcMar>
              <w:top w:w="28" w:type="dxa"/>
              <w:left w:w="28" w:type="dxa"/>
              <w:bottom w:w="28" w:type="dxa"/>
              <w:right w:w="28" w:type="dxa"/>
            </w:tcMar>
          </w:tcPr>
          <w:p w:rsidRPr="003268EE" w:rsidR="0084290D" w:rsidRDefault="00CF5B93" w14:paraId="0E5626F2" w14:textId="77777777">
            <w:pPr>
              <w:pStyle w:val="p-table"/>
              <w:jc w:val="right"/>
              <w:rPr>
                <w:color w:val="000000"/>
                <w:sz w:val="13"/>
                <w:szCs w:val="13"/>
              </w:rPr>
            </w:pPr>
            <w:r w:rsidRPr="003268EE">
              <w:rPr>
                <w:color w:val="000000"/>
                <w:sz w:val="13"/>
                <w:szCs w:val="13"/>
              </w:rPr>
              <w:t>Mutatie 2031</w:t>
            </w:r>
          </w:p>
        </w:tc>
      </w:tr>
      <w:tr w:rsidR="0084290D" w:rsidTr="007433BE" w14:paraId="26E70BC6" w14:textId="77777777">
        <w:trPr>
          <w:tblHeader/>
        </w:trPr>
        <w:tc>
          <w:tcPr>
            <w:tcW w:w="4641" w:type="pct"/>
            <w:gridSpan w:val="10"/>
            <w:tcBorders>
              <w:bottom w:val="single" w:color="009EE0" w:sz="2" w:space="0"/>
            </w:tcBorders>
            <w:tcMar>
              <w:top w:w="28" w:type="dxa"/>
              <w:bottom w:w="28" w:type="dxa"/>
              <w:right w:w="28" w:type="dxa"/>
            </w:tcMar>
          </w:tcPr>
          <w:p w:rsidRPr="003268EE" w:rsidR="0084290D" w:rsidRDefault="0084290D" w14:paraId="76893BC4" w14:textId="77777777">
            <w:pPr>
              <w:pStyle w:val="p-table"/>
              <w:rPr>
                <w:color w:val="000000"/>
                <w:sz w:val="13"/>
                <w:szCs w:val="13"/>
              </w:rPr>
            </w:pPr>
          </w:p>
        </w:tc>
        <w:tc>
          <w:tcPr>
            <w:tcW w:w="359" w:type="pct"/>
            <w:tcBorders>
              <w:bottom w:val="single" w:color="009EE0" w:sz="2" w:space="0"/>
            </w:tcBorders>
            <w:tcMar>
              <w:top w:w="28" w:type="dxa"/>
              <w:left w:w="28" w:type="dxa"/>
              <w:bottom w:w="28" w:type="dxa"/>
              <w:right w:w="28" w:type="dxa"/>
            </w:tcMar>
          </w:tcPr>
          <w:p w:rsidRPr="003268EE" w:rsidR="0084290D" w:rsidRDefault="0084290D" w14:paraId="09C6B3A9" w14:textId="77777777">
            <w:pPr>
              <w:pStyle w:val="p-table"/>
              <w:rPr>
                <w:color w:val="000000"/>
                <w:sz w:val="13"/>
                <w:szCs w:val="13"/>
              </w:rPr>
            </w:pPr>
          </w:p>
        </w:tc>
      </w:tr>
      <w:tr w:rsidRPr="0043364C" w:rsidR="0043364C" w:rsidTr="007433BE" w14:paraId="4723F1A7" w14:textId="77777777">
        <w:trPr>
          <w:tblHeader/>
        </w:trPr>
        <w:tc>
          <w:tcPr>
            <w:tcW w:w="1201" w:type="pct"/>
            <w:tcBorders>
              <w:bottom w:val="single" w:color="009EE0" w:sz="2" w:space="0"/>
            </w:tcBorders>
            <w:tcMar>
              <w:top w:w="28" w:type="dxa"/>
              <w:bottom w:w="28" w:type="dxa"/>
              <w:right w:w="28" w:type="dxa"/>
            </w:tcMar>
          </w:tcPr>
          <w:p w:rsidRPr="003268EE" w:rsidR="0043364C" w:rsidP="0043364C" w:rsidRDefault="0043364C" w14:paraId="08BB794F" w14:textId="77777777">
            <w:pPr>
              <w:pStyle w:val="p-table"/>
              <w:rPr>
                <w:b/>
                <w:bCs/>
                <w:color w:val="000000"/>
                <w:sz w:val="13"/>
                <w:szCs w:val="13"/>
              </w:rPr>
            </w:pPr>
            <w:r w:rsidRPr="003268EE">
              <w:rPr>
                <w:b/>
                <w:bCs/>
                <w:color w:val="000000"/>
                <w:sz w:val="13"/>
                <w:szCs w:val="13"/>
              </w:rPr>
              <w:t>Verplichtingen</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1B297F07" w14:textId="77777777">
            <w:pPr>
              <w:pStyle w:val="p-table"/>
              <w:jc w:val="right"/>
              <w:rPr>
                <w:b/>
                <w:bCs/>
                <w:color w:val="000000"/>
                <w:sz w:val="13"/>
                <w:szCs w:val="13"/>
              </w:rPr>
            </w:pPr>
            <w:r w:rsidRPr="003268EE">
              <w:rPr>
                <w:b/>
                <w:bCs/>
                <w:color w:val="000000"/>
                <w:sz w:val="13"/>
                <w:szCs w:val="13"/>
              </w:rPr>
              <w:t>37.622</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21FAF348" w14:textId="77777777">
            <w:pPr>
              <w:pStyle w:val="p-table"/>
              <w:jc w:val="right"/>
              <w:rPr>
                <w:b/>
                <w:bCs/>
                <w:color w:val="000000"/>
                <w:sz w:val="13"/>
                <w:szCs w:val="13"/>
              </w:rPr>
            </w:pPr>
            <w:r w:rsidRPr="003268EE">
              <w:rPr>
                <w:b/>
                <w:bCs/>
                <w:color w:val="000000"/>
                <w:sz w:val="13"/>
                <w:szCs w:val="13"/>
              </w:rPr>
              <w:t>0</w:t>
            </w:r>
          </w:p>
        </w:tc>
        <w:tc>
          <w:tcPr>
            <w:tcW w:w="460" w:type="pct"/>
            <w:tcBorders>
              <w:bottom w:val="single" w:color="009EE0" w:sz="2" w:space="0"/>
            </w:tcBorders>
            <w:tcMar>
              <w:top w:w="28" w:type="dxa"/>
              <w:left w:w="28" w:type="dxa"/>
              <w:bottom w:w="28" w:type="dxa"/>
              <w:right w:w="28" w:type="dxa"/>
            </w:tcMar>
          </w:tcPr>
          <w:p w:rsidRPr="003268EE" w:rsidR="0043364C" w:rsidP="0043364C" w:rsidRDefault="0043364C" w14:paraId="3353CC6D" w14:textId="77777777">
            <w:pPr>
              <w:pStyle w:val="p-table"/>
              <w:jc w:val="right"/>
              <w:rPr>
                <w:b/>
                <w:bCs/>
                <w:color w:val="000000"/>
                <w:sz w:val="13"/>
                <w:szCs w:val="13"/>
              </w:rPr>
            </w:pPr>
            <w:r w:rsidRPr="003268EE">
              <w:rPr>
                <w:b/>
                <w:bCs/>
                <w:color w:val="000000"/>
                <w:sz w:val="13"/>
                <w:szCs w:val="13"/>
              </w:rPr>
              <w:t>37.622</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30D63F13" w14:textId="6E9DDA2E">
            <w:pPr>
              <w:pStyle w:val="p-table"/>
              <w:jc w:val="right"/>
              <w:rPr>
                <w:b/>
                <w:bCs/>
                <w:color w:val="000000"/>
                <w:sz w:val="13"/>
                <w:szCs w:val="13"/>
              </w:rPr>
            </w:pPr>
            <w:r w:rsidRPr="003268EE">
              <w:rPr>
                <w:b/>
                <w:bCs/>
                <w:color w:val="000000"/>
                <w:sz w:val="13"/>
                <w:szCs w:val="13"/>
              </w:rPr>
              <w:t>190</w:t>
            </w:r>
          </w:p>
        </w:tc>
        <w:tc>
          <w:tcPr>
            <w:tcW w:w="460" w:type="pct"/>
            <w:tcBorders>
              <w:bottom w:val="single" w:color="009EE0" w:sz="2" w:space="0"/>
            </w:tcBorders>
            <w:tcMar>
              <w:top w:w="28" w:type="dxa"/>
              <w:left w:w="28" w:type="dxa"/>
              <w:bottom w:w="28" w:type="dxa"/>
              <w:right w:w="28" w:type="dxa"/>
            </w:tcMar>
          </w:tcPr>
          <w:p w:rsidRPr="003268EE" w:rsidR="0043364C" w:rsidP="0043364C" w:rsidRDefault="0043364C" w14:paraId="263E8EB3" w14:textId="0965EA3C">
            <w:pPr>
              <w:pStyle w:val="p-table"/>
              <w:jc w:val="right"/>
              <w:rPr>
                <w:b/>
                <w:bCs/>
                <w:color w:val="000000"/>
                <w:sz w:val="13"/>
                <w:szCs w:val="13"/>
              </w:rPr>
            </w:pPr>
            <w:r w:rsidRPr="003268EE">
              <w:rPr>
                <w:b/>
                <w:bCs/>
                <w:color w:val="000000"/>
                <w:sz w:val="13"/>
                <w:szCs w:val="13"/>
              </w:rPr>
              <w:t>37.812</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48F537DA" w14:textId="5F55D27B">
            <w:pPr>
              <w:pStyle w:val="p-table"/>
              <w:jc w:val="right"/>
              <w:rPr>
                <w:b/>
                <w:bCs/>
                <w:color w:val="000000"/>
                <w:sz w:val="13"/>
                <w:szCs w:val="13"/>
              </w:rPr>
            </w:pPr>
            <w:r w:rsidRPr="003268EE">
              <w:rPr>
                <w:b/>
                <w:bCs/>
                <w:color w:val="000000"/>
                <w:sz w:val="13"/>
                <w:szCs w:val="13"/>
              </w:rPr>
              <w:t>119</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026C8356" w14:textId="7E7D31A4">
            <w:pPr>
              <w:pStyle w:val="p-table"/>
              <w:jc w:val="right"/>
              <w:rPr>
                <w:b/>
                <w:bCs/>
                <w:color w:val="000000"/>
                <w:sz w:val="13"/>
                <w:szCs w:val="13"/>
              </w:rPr>
            </w:pPr>
            <w:r w:rsidRPr="003268EE">
              <w:rPr>
                <w:b/>
                <w:bCs/>
                <w:color w:val="000000"/>
                <w:sz w:val="13"/>
                <w:szCs w:val="13"/>
              </w:rPr>
              <w:t>640</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17F72541" w14:textId="5877A643">
            <w:pPr>
              <w:pStyle w:val="p-table"/>
              <w:jc w:val="right"/>
              <w:rPr>
                <w:b/>
                <w:bCs/>
                <w:color w:val="000000"/>
                <w:sz w:val="13"/>
                <w:szCs w:val="13"/>
              </w:rPr>
            </w:pPr>
            <w:r w:rsidRPr="003268EE">
              <w:rPr>
                <w:b/>
                <w:bCs/>
                <w:color w:val="000000"/>
                <w:sz w:val="13"/>
                <w:szCs w:val="13"/>
              </w:rPr>
              <w:t>887</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7F5CEC21" w14:textId="01F1CFE4">
            <w:pPr>
              <w:pStyle w:val="p-table"/>
              <w:jc w:val="right"/>
              <w:rPr>
                <w:b/>
                <w:bCs/>
                <w:color w:val="000000"/>
                <w:sz w:val="13"/>
                <w:szCs w:val="13"/>
              </w:rPr>
            </w:pPr>
            <w:r w:rsidRPr="003268EE">
              <w:rPr>
                <w:b/>
                <w:bCs/>
                <w:color w:val="000000"/>
                <w:sz w:val="13"/>
                <w:szCs w:val="13"/>
              </w:rPr>
              <w:t>1.045</w:t>
            </w:r>
          </w:p>
        </w:tc>
        <w:tc>
          <w:tcPr>
            <w:tcW w:w="359" w:type="pct"/>
            <w:tcBorders>
              <w:bottom w:val="single" w:color="009EE0" w:sz="2" w:space="0"/>
            </w:tcBorders>
            <w:tcMar>
              <w:top w:w="28" w:type="dxa"/>
              <w:left w:w="28" w:type="dxa"/>
              <w:bottom w:w="28" w:type="dxa"/>
              <w:right w:w="28" w:type="dxa"/>
            </w:tcMar>
          </w:tcPr>
          <w:p w:rsidRPr="003268EE" w:rsidR="0043364C" w:rsidP="0043364C" w:rsidRDefault="0043364C" w14:paraId="2ADBA3B4" w14:textId="6C0FAE08">
            <w:pPr>
              <w:pStyle w:val="p-table"/>
              <w:jc w:val="right"/>
              <w:rPr>
                <w:b/>
                <w:bCs/>
                <w:color w:val="000000"/>
                <w:sz w:val="13"/>
                <w:szCs w:val="13"/>
              </w:rPr>
            </w:pPr>
            <w:r w:rsidRPr="003268EE">
              <w:rPr>
                <w:b/>
                <w:bCs/>
                <w:color w:val="000000"/>
                <w:sz w:val="13"/>
                <w:szCs w:val="13"/>
              </w:rPr>
              <w:t>40.709</w:t>
            </w:r>
          </w:p>
        </w:tc>
      </w:tr>
      <w:tr w:rsidR="0084290D" w:rsidTr="007433BE" w14:paraId="3BF4EA17" w14:textId="77777777">
        <w:tc>
          <w:tcPr>
            <w:tcW w:w="1201" w:type="pct"/>
            <w:tcMar>
              <w:top w:w="22" w:type="dxa"/>
              <w:bottom w:w="22" w:type="dxa"/>
              <w:right w:w="28" w:type="dxa"/>
            </w:tcMar>
          </w:tcPr>
          <w:p w:rsidRPr="003268EE" w:rsidR="0084290D" w:rsidRDefault="0084290D" w14:paraId="48FA7586"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4B7B780F"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5AB9C43E" w14:textId="77777777">
            <w:pPr>
              <w:pStyle w:val="p-table"/>
              <w:rPr>
                <w:sz w:val="13"/>
                <w:szCs w:val="13"/>
              </w:rPr>
            </w:pPr>
          </w:p>
        </w:tc>
        <w:tc>
          <w:tcPr>
            <w:tcW w:w="460" w:type="pct"/>
            <w:tcMar>
              <w:top w:w="22" w:type="dxa"/>
              <w:left w:w="28" w:type="dxa"/>
              <w:bottom w:w="22" w:type="dxa"/>
              <w:right w:w="28" w:type="dxa"/>
            </w:tcMar>
          </w:tcPr>
          <w:p w:rsidRPr="003268EE" w:rsidR="0084290D" w:rsidRDefault="0084290D" w14:paraId="23AA74D6"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5D510850" w14:textId="77777777">
            <w:pPr>
              <w:pStyle w:val="p-table"/>
              <w:rPr>
                <w:sz w:val="13"/>
                <w:szCs w:val="13"/>
              </w:rPr>
            </w:pPr>
          </w:p>
        </w:tc>
        <w:tc>
          <w:tcPr>
            <w:tcW w:w="460" w:type="pct"/>
            <w:tcMar>
              <w:top w:w="22" w:type="dxa"/>
              <w:left w:w="28" w:type="dxa"/>
              <w:bottom w:w="22" w:type="dxa"/>
              <w:right w:w="28" w:type="dxa"/>
            </w:tcMar>
          </w:tcPr>
          <w:p w:rsidRPr="003268EE" w:rsidR="0084290D" w:rsidRDefault="0084290D" w14:paraId="08B8C559"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3377AA78"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10D38DD8"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1EF55F8D"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465F7405" w14:textId="77777777">
            <w:pPr>
              <w:pStyle w:val="p-table"/>
              <w:rPr>
                <w:sz w:val="13"/>
                <w:szCs w:val="13"/>
              </w:rPr>
            </w:pPr>
          </w:p>
        </w:tc>
        <w:tc>
          <w:tcPr>
            <w:tcW w:w="359" w:type="pct"/>
            <w:tcMar>
              <w:top w:w="22" w:type="dxa"/>
              <w:left w:w="28" w:type="dxa"/>
              <w:bottom w:w="22" w:type="dxa"/>
              <w:right w:w="28" w:type="dxa"/>
            </w:tcMar>
          </w:tcPr>
          <w:p w:rsidRPr="003268EE" w:rsidR="0084290D" w:rsidRDefault="0084290D" w14:paraId="56F2CED0" w14:textId="77777777">
            <w:pPr>
              <w:pStyle w:val="p-table"/>
              <w:rPr>
                <w:sz w:val="13"/>
                <w:szCs w:val="13"/>
              </w:rPr>
            </w:pPr>
          </w:p>
        </w:tc>
      </w:tr>
      <w:tr w:rsidR="0043364C" w:rsidTr="007433BE" w14:paraId="4637C78D"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3DC536BE" w14:textId="77777777">
            <w:pPr>
              <w:pStyle w:val="p-table"/>
              <w:rPr>
                <w:sz w:val="13"/>
                <w:szCs w:val="13"/>
              </w:rPr>
            </w:pPr>
            <w:r w:rsidRPr="003268EE">
              <w:rPr>
                <w:b/>
                <w:sz w:val="13"/>
                <w:szCs w:val="13"/>
              </w:rPr>
              <w:t>Uitgaven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1D1EE50" w14:textId="77777777">
            <w:pPr>
              <w:pStyle w:val="p-table"/>
              <w:jc w:val="right"/>
              <w:rPr>
                <w:sz w:val="13"/>
                <w:szCs w:val="13"/>
              </w:rPr>
            </w:pPr>
            <w:r w:rsidRPr="003268EE">
              <w:rPr>
                <w:b/>
                <w:sz w:val="13"/>
                <w:szCs w:val="13"/>
              </w:rPr>
              <w:t>37.622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DB0645A"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7306C31C" w14:textId="77777777">
            <w:pPr>
              <w:pStyle w:val="p-table"/>
              <w:jc w:val="right"/>
              <w:rPr>
                <w:sz w:val="13"/>
                <w:szCs w:val="13"/>
              </w:rPr>
            </w:pPr>
            <w:r w:rsidRPr="003268EE">
              <w:rPr>
                <w:b/>
                <w:sz w:val="13"/>
                <w:szCs w:val="13"/>
              </w:rPr>
              <w:t>37.622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577F118" w14:textId="6170B149">
            <w:pPr>
              <w:pStyle w:val="p-table"/>
              <w:jc w:val="right"/>
              <w:rPr>
                <w:b/>
                <w:bCs/>
                <w:sz w:val="13"/>
                <w:szCs w:val="13"/>
              </w:rPr>
            </w:pPr>
            <w:r w:rsidRPr="003268EE">
              <w:rPr>
                <w:b/>
                <w:bCs/>
                <w:sz w:val="13"/>
                <w:szCs w:val="13"/>
              </w:rPr>
              <w:t>190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5692386" w14:textId="289BC724">
            <w:pPr>
              <w:pStyle w:val="p-table"/>
              <w:jc w:val="right"/>
              <w:rPr>
                <w:b/>
                <w:bCs/>
                <w:sz w:val="13"/>
                <w:szCs w:val="13"/>
              </w:rPr>
            </w:pPr>
            <w:r w:rsidRPr="003268EE">
              <w:rPr>
                <w:b/>
                <w:bCs/>
                <w:sz w:val="13"/>
                <w:szCs w:val="13"/>
              </w:rPr>
              <w:t>37.812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D84A48B" w14:textId="7E456755">
            <w:pPr>
              <w:pStyle w:val="p-table"/>
              <w:jc w:val="right"/>
              <w:rPr>
                <w:b/>
                <w:bCs/>
                <w:sz w:val="13"/>
                <w:szCs w:val="13"/>
              </w:rPr>
            </w:pPr>
            <w:r w:rsidRPr="003268EE">
              <w:rPr>
                <w:b/>
                <w:bCs/>
                <w:sz w:val="13"/>
                <w:szCs w:val="13"/>
              </w:rPr>
              <w:t>119</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4A952AC" w14:textId="7D939B4E">
            <w:pPr>
              <w:pStyle w:val="p-table"/>
              <w:jc w:val="right"/>
              <w:rPr>
                <w:b/>
                <w:bCs/>
                <w:sz w:val="13"/>
                <w:szCs w:val="13"/>
              </w:rPr>
            </w:pPr>
            <w:r w:rsidRPr="003268EE">
              <w:rPr>
                <w:b/>
                <w:bCs/>
                <w:sz w:val="13"/>
                <w:szCs w:val="13"/>
              </w:rPr>
              <w:t>640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ED552CC" w14:textId="56B22A41">
            <w:pPr>
              <w:pStyle w:val="p-table"/>
              <w:jc w:val="right"/>
              <w:rPr>
                <w:b/>
                <w:bCs/>
                <w:sz w:val="13"/>
                <w:szCs w:val="13"/>
              </w:rPr>
            </w:pPr>
            <w:r w:rsidRPr="003268EE">
              <w:rPr>
                <w:b/>
                <w:bCs/>
                <w:sz w:val="13"/>
                <w:szCs w:val="13"/>
              </w:rPr>
              <w:t>887</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8D62C6F" w14:textId="3CADB3CE">
            <w:pPr>
              <w:pStyle w:val="p-table"/>
              <w:jc w:val="right"/>
              <w:rPr>
                <w:b/>
                <w:bCs/>
                <w:sz w:val="13"/>
                <w:szCs w:val="13"/>
              </w:rPr>
            </w:pPr>
            <w:r w:rsidRPr="003268EE">
              <w:rPr>
                <w:b/>
                <w:bCs/>
                <w:sz w:val="13"/>
                <w:szCs w:val="13"/>
              </w:rPr>
              <w:t>1.045</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6B736D5F" w14:textId="669079A1">
            <w:pPr>
              <w:pStyle w:val="p-table"/>
              <w:jc w:val="right"/>
              <w:rPr>
                <w:b/>
                <w:bCs/>
                <w:sz w:val="13"/>
                <w:szCs w:val="13"/>
              </w:rPr>
            </w:pPr>
            <w:r w:rsidRPr="003268EE">
              <w:rPr>
                <w:b/>
                <w:bCs/>
                <w:sz w:val="13"/>
                <w:szCs w:val="13"/>
              </w:rPr>
              <w:t>40.709</w:t>
            </w:r>
          </w:p>
        </w:tc>
      </w:tr>
      <w:tr w:rsidR="0043364C" w:rsidTr="007433BE" w14:paraId="1DE4F1E9" w14:textId="77777777">
        <w:tc>
          <w:tcPr>
            <w:tcW w:w="1201" w:type="pct"/>
            <w:tcMar>
              <w:top w:w="22" w:type="dxa"/>
              <w:bottom w:w="22" w:type="dxa"/>
              <w:right w:w="28" w:type="dxa"/>
            </w:tcMar>
          </w:tcPr>
          <w:p w:rsidRPr="003268EE" w:rsidR="0043364C" w:rsidP="0043364C" w:rsidRDefault="0043364C" w14:paraId="64EF57BE"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4D0606F7"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7B45FDA1" w14:textId="77777777">
            <w:pPr>
              <w:pStyle w:val="p-table"/>
              <w:rPr>
                <w:sz w:val="13"/>
                <w:szCs w:val="13"/>
              </w:rPr>
            </w:pPr>
          </w:p>
        </w:tc>
        <w:tc>
          <w:tcPr>
            <w:tcW w:w="460" w:type="pct"/>
            <w:tcMar>
              <w:top w:w="22" w:type="dxa"/>
              <w:left w:w="28" w:type="dxa"/>
              <w:bottom w:w="22" w:type="dxa"/>
              <w:right w:w="28" w:type="dxa"/>
            </w:tcMar>
          </w:tcPr>
          <w:p w:rsidRPr="003268EE" w:rsidR="0043364C" w:rsidP="0043364C" w:rsidRDefault="0043364C" w14:paraId="472009C4"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33237CD8" w14:textId="77777777">
            <w:pPr>
              <w:pStyle w:val="p-table"/>
              <w:rPr>
                <w:sz w:val="13"/>
                <w:szCs w:val="13"/>
              </w:rPr>
            </w:pPr>
          </w:p>
        </w:tc>
        <w:tc>
          <w:tcPr>
            <w:tcW w:w="460" w:type="pct"/>
            <w:tcMar>
              <w:top w:w="22" w:type="dxa"/>
              <w:left w:w="28" w:type="dxa"/>
              <w:bottom w:w="22" w:type="dxa"/>
              <w:right w:w="28" w:type="dxa"/>
            </w:tcMar>
            <w:vAlign w:val="bottom"/>
          </w:tcPr>
          <w:p w:rsidRPr="003268EE" w:rsidR="0043364C" w:rsidP="0043364C" w:rsidRDefault="0043364C" w14:paraId="73793FBC"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0D8F0443"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42A346A5"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0CDA0CA6"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423F494" w14:textId="77777777">
            <w:pPr>
              <w:pStyle w:val="p-table"/>
              <w:jc w:val="right"/>
              <w:rPr>
                <w:b/>
                <w:bCs/>
                <w:sz w:val="13"/>
                <w:szCs w:val="13"/>
              </w:rPr>
            </w:pPr>
          </w:p>
        </w:tc>
        <w:tc>
          <w:tcPr>
            <w:tcW w:w="359" w:type="pct"/>
            <w:tcMar>
              <w:top w:w="22" w:type="dxa"/>
              <w:left w:w="28" w:type="dxa"/>
              <w:bottom w:w="22" w:type="dxa"/>
              <w:right w:w="28" w:type="dxa"/>
            </w:tcMar>
            <w:vAlign w:val="bottom"/>
          </w:tcPr>
          <w:p w:rsidRPr="003268EE" w:rsidR="0043364C" w:rsidP="0043364C" w:rsidRDefault="0043364C" w14:paraId="126A950E" w14:textId="77777777">
            <w:pPr>
              <w:pStyle w:val="p-table"/>
              <w:jc w:val="right"/>
              <w:rPr>
                <w:b/>
                <w:bCs/>
                <w:sz w:val="13"/>
                <w:szCs w:val="13"/>
              </w:rPr>
            </w:pPr>
          </w:p>
        </w:tc>
      </w:tr>
      <w:tr w:rsidR="0043364C" w:rsidTr="007433BE" w14:paraId="5AFFE1A8"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7321377B" w14:textId="77777777">
            <w:pPr>
              <w:pStyle w:val="p-table"/>
              <w:rPr>
                <w:sz w:val="13"/>
                <w:szCs w:val="13"/>
              </w:rPr>
            </w:pPr>
            <w:r w:rsidRPr="003268EE">
              <w:rPr>
                <w:b/>
                <w:sz w:val="13"/>
                <w:szCs w:val="13"/>
              </w:rPr>
              <w:t>Opdrachten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C5A6098" w14:textId="77777777">
            <w:pPr>
              <w:pStyle w:val="p-table"/>
              <w:jc w:val="right"/>
              <w:rPr>
                <w:sz w:val="13"/>
                <w:szCs w:val="13"/>
              </w:rPr>
            </w:pPr>
            <w:r w:rsidRPr="003268EE">
              <w:rPr>
                <w:b/>
                <w:sz w:val="13"/>
                <w:szCs w:val="13"/>
              </w:rPr>
              <w:t>24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2388B40"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E42DC89" w14:textId="77777777">
            <w:pPr>
              <w:pStyle w:val="p-table"/>
              <w:jc w:val="right"/>
              <w:rPr>
                <w:sz w:val="13"/>
                <w:szCs w:val="13"/>
              </w:rPr>
            </w:pPr>
            <w:r w:rsidRPr="003268EE">
              <w:rPr>
                <w:b/>
                <w:sz w:val="13"/>
                <w:szCs w:val="13"/>
              </w:rPr>
              <w:t>24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61335C9" w14:textId="77777777">
            <w:pPr>
              <w:pStyle w:val="p-table"/>
              <w:jc w:val="right"/>
              <w:rPr>
                <w:sz w:val="13"/>
                <w:szCs w:val="13"/>
              </w:rPr>
            </w:pPr>
            <w:r w:rsidRPr="003268EE">
              <w:rPr>
                <w:b/>
                <w:sz w:val="13"/>
                <w:szCs w:val="13"/>
              </w:rPr>
              <w:t>2</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A031479" w14:textId="6EEC1E37">
            <w:pPr>
              <w:pStyle w:val="p-table"/>
              <w:jc w:val="right"/>
              <w:rPr>
                <w:b/>
                <w:bCs/>
                <w:sz w:val="13"/>
                <w:szCs w:val="13"/>
              </w:rPr>
            </w:pPr>
            <w:r w:rsidRPr="003268EE">
              <w:rPr>
                <w:b/>
                <w:bCs/>
                <w:sz w:val="13"/>
                <w:szCs w:val="13"/>
              </w:rPr>
              <w:t>26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3351F20" w14:textId="641BB5BC">
            <w:pPr>
              <w:pStyle w:val="p-table"/>
              <w:jc w:val="right"/>
              <w:rPr>
                <w:b/>
                <w:bCs/>
                <w:sz w:val="13"/>
                <w:szCs w:val="13"/>
              </w:rPr>
            </w:pPr>
            <w:r w:rsidRPr="003268EE">
              <w:rPr>
                <w:b/>
                <w:bCs/>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7F7FF2B" w14:textId="2AB50A93">
            <w:pPr>
              <w:pStyle w:val="p-table"/>
              <w:jc w:val="right"/>
              <w:rPr>
                <w:b/>
                <w:bCs/>
                <w:sz w:val="13"/>
                <w:szCs w:val="13"/>
              </w:rPr>
            </w:pPr>
            <w:r w:rsidRPr="003268EE">
              <w:rPr>
                <w:b/>
                <w:bCs/>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004E7B8" w14:textId="4AD131A5">
            <w:pPr>
              <w:pStyle w:val="p-table"/>
              <w:jc w:val="right"/>
              <w:rPr>
                <w:b/>
                <w:bCs/>
                <w:sz w:val="13"/>
                <w:szCs w:val="13"/>
              </w:rPr>
            </w:pPr>
            <w:r w:rsidRPr="003268EE">
              <w:rPr>
                <w:b/>
                <w:bCs/>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73A422E" w14:textId="485ABDFC">
            <w:pPr>
              <w:pStyle w:val="p-table"/>
              <w:jc w:val="right"/>
              <w:rPr>
                <w:b/>
                <w:bCs/>
                <w:sz w:val="13"/>
                <w:szCs w:val="13"/>
              </w:rPr>
            </w:pPr>
            <w:r w:rsidRPr="003268EE">
              <w:rPr>
                <w:b/>
                <w:bCs/>
                <w:sz w:val="13"/>
                <w:szCs w:val="13"/>
              </w:rPr>
              <w:t>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3109AB5D" w14:textId="5165C0AF">
            <w:pPr>
              <w:pStyle w:val="p-table"/>
              <w:jc w:val="right"/>
              <w:rPr>
                <w:b/>
                <w:bCs/>
                <w:sz w:val="13"/>
                <w:szCs w:val="13"/>
              </w:rPr>
            </w:pPr>
            <w:r w:rsidRPr="003268EE">
              <w:rPr>
                <w:b/>
                <w:bCs/>
                <w:sz w:val="13"/>
                <w:szCs w:val="13"/>
              </w:rPr>
              <w:t>23</w:t>
            </w:r>
          </w:p>
        </w:tc>
      </w:tr>
      <w:tr w:rsidR="0043364C" w:rsidTr="007433BE" w14:paraId="569322BE"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2580BFD3" w14:textId="77777777">
            <w:pPr>
              <w:pStyle w:val="p-table"/>
              <w:rPr>
                <w:sz w:val="13"/>
                <w:szCs w:val="13"/>
              </w:rPr>
            </w:pPr>
            <w:r w:rsidRPr="003268EE">
              <w:rPr>
                <w:sz w:val="13"/>
                <w:szCs w:val="13"/>
              </w:rPr>
              <w:t>Overige kosten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74BDAAB" w14:textId="77777777">
            <w:pPr>
              <w:pStyle w:val="p-table"/>
              <w:jc w:val="right"/>
              <w:rPr>
                <w:sz w:val="13"/>
                <w:szCs w:val="13"/>
              </w:rPr>
            </w:pPr>
            <w:r w:rsidRPr="003268EE">
              <w:rPr>
                <w:sz w:val="13"/>
                <w:szCs w:val="13"/>
              </w:rPr>
              <w:t>24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410A3DF"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D6B5C01" w14:textId="77777777">
            <w:pPr>
              <w:pStyle w:val="p-table"/>
              <w:jc w:val="right"/>
              <w:rPr>
                <w:sz w:val="13"/>
                <w:szCs w:val="13"/>
              </w:rPr>
            </w:pPr>
            <w:r w:rsidRPr="003268EE">
              <w:rPr>
                <w:sz w:val="13"/>
                <w:szCs w:val="13"/>
              </w:rPr>
              <w:t>24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AB582D4" w14:textId="77777777">
            <w:pPr>
              <w:pStyle w:val="p-table"/>
              <w:jc w:val="right"/>
              <w:rPr>
                <w:sz w:val="13"/>
                <w:szCs w:val="13"/>
              </w:rPr>
            </w:pPr>
            <w:r w:rsidRPr="003268EE">
              <w:rPr>
                <w:sz w:val="13"/>
                <w:szCs w:val="13"/>
              </w:rPr>
              <w:t>2</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068F182" w14:textId="1022B463">
            <w:pPr>
              <w:pStyle w:val="p-table"/>
              <w:jc w:val="right"/>
              <w:rPr>
                <w:sz w:val="13"/>
                <w:szCs w:val="13"/>
              </w:rPr>
            </w:pPr>
            <w:r w:rsidRPr="003268EE">
              <w:rPr>
                <w:sz w:val="13"/>
                <w:szCs w:val="13"/>
              </w:rPr>
              <w:t>26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505D0AE" w14:textId="1F392981">
            <w:pPr>
              <w:pStyle w:val="p-table"/>
              <w:jc w:val="right"/>
              <w:rPr>
                <w:sz w:val="13"/>
                <w:szCs w:val="13"/>
              </w:rPr>
            </w:pPr>
            <w:r w:rsidRPr="003268EE">
              <w:rPr>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B2395D9" w14:textId="059CEE13">
            <w:pPr>
              <w:pStyle w:val="p-table"/>
              <w:jc w:val="right"/>
              <w:rPr>
                <w:sz w:val="13"/>
                <w:szCs w:val="13"/>
              </w:rPr>
            </w:pPr>
            <w:r w:rsidRPr="003268EE">
              <w:rPr>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F38A2BD" w14:textId="13849FC7">
            <w:pPr>
              <w:pStyle w:val="p-table"/>
              <w:jc w:val="right"/>
              <w:rPr>
                <w:sz w:val="13"/>
                <w:szCs w:val="13"/>
              </w:rPr>
            </w:pPr>
            <w:r w:rsidRPr="003268EE">
              <w:rPr>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AC7FEB5" w14:textId="26F57E35">
            <w:pPr>
              <w:pStyle w:val="p-table"/>
              <w:jc w:val="right"/>
              <w:rPr>
                <w:sz w:val="13"/>
                <w:szCs w:val="13"/>
              </w:rPr>
            </w:pPr>
            <w:r w:rsidRPr="003268EE">
              <w:rPr>
                <w:sz w:val="13"/>
                <w:szCs w:val="13"/>
              </w:rPr>
              <w:t>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45833B9F" w14:textId="59841112">
            <w:pPr>
              <w:pStyle w:val="p-table"/>
              <w:jc w:val="right"/>
              <w:rPr>
                <w:sz w:val="13"/>
                <w:szCs w:val="13"/>
              </w:rPr>
            </w:pPr>
            <w:r w:rsidRPr="003268EE">
              <w:rPr>
                <w:sz w:val="13"/>
                <w:szCs w:val="13"/>
              </w:rPr>
              <w:t>23</w:t>
            </w:r>
          </w:p>
        </w:tc>
      </w:tr>
      <w:tr w:rsidR="0043364C" w:rsidTr="007433BE" w14:paraId="049B8206"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65A8C703"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6E79ED3"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EC4CB3C"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6EB59AAE"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FBF5E7"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8157FF4" w14:textId="3A8FB57C">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BDA6FBB" w14:textId="363216A3">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5FD4CB2" w14:textId="3A9B34B8">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1743ADB" w14:textId="6F4257F3">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302B682" w14:textId="5F34EEB3">
            <w:pPr>
              <w:pStyle w:val="p-table"/>
              <w:jc w:val="right"/>
              <w:rPr>
                <w:b/>
                <w:bCs/>
                <w:sz w:val="13"/>
                <w:szCs w:val="13"/>
              </w:rPr>
            </w:pPr>
            <w:r w:rsidRPr="003268EE">
              <w:rPr>
                <w:b/>
                <w:bCs/>
                <w:sz w:val="13"/>
                <w:szCs w:val="13"/>
              </w:rPr>
              <w:t> </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3A204FA0" w14:textId="0CB638C0">
            <w:pPr>
              <w:pStyle w:val="p-table"/>
              <w:jc w:val="right"/>
              <w:rPr>
                <w:b/>
                <w:bCs/>
                <w:sz w:val="13"/>
                <w:szCs w:val="13"/>
              </w:rPr>
            </w:pPr>
            <w:r w:rsidRPr="003268EE">
              <w:rPr>
                <w:b/>
                <w:bCs/>
                <w:sz w:val="13"/>
                <w:szCs w:val="13"/>
              </w:rPr>
              <w:t> </w:t>
            </w:r>
          </w:p>
        </w:tc>
      </w:tr>
      <w:tr w:rsidR="0043364C" w:rsidTr="007433BE" w14:paraId="2FD1EB1B"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5CD7CBF0" w14:textId="77777777">
            <w:pPr>
              <w:pStyle w:val="p-table"/>
              <w:rPr>
                <w:sz w:val="13"/>
                <w:szCs w:val="13"/>
              </w:rPr>
            </w:pPr>
            <w:r w:rsidRPr="003268EE">
              <w:rPr>
                <w:b/>
                <w:sz w:val="13"/>
                <w:szCs w:val="13"/>
              </w:rPr>
              <w:t>Rente</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DB79306" w14:textId="77777777">
            <w:pPr>
              <w:pStyle w:val="p-table"/>
              <w:jc w:val="right"/>
              <w:rPr>
                <w:sz w:val="13"/>
                <w:szCs w:val="13"/>
              </w:rPr>
            </w:pPr>
            <w:r w:rsidRPr="003268EE">
              <w:rPr>
                <w:b/>
                <w:sz w:val="13"/>
                <w:szCs w:val="13"/>
              </w:rPr>
              <w:t>8.763</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690290A"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38358FF" w14:textId="77777777">
            <w:pPr>
              <w:pStyle w:val="p-table"/>
              <w:jc w:val="right"/>
              <w:rPr>
                <w:sz w:val="13"/>
                <w:szCs w:val="13"/>
              </w:rPr>
            </w:pPr>
            <w:r w:rsidRPr="003268EE">
              <w:rPr>
                <w:b/>
                <w:sz w:val="13"/>
                <w:szCs w:val="13"/>
              </w:rPr>
              <w:t>8.763</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0FA0BDA" w14:textId="575E8F8D">
            <w:pPr>
              <w:pStyle w:val="p-table"/>
              <w:jc w:val="right"/>
              <w:rPr>
                <w:b/>
                <w:bCs/>
                <w:sz w:val="13"/>
                <w:szCs w:val="13"/>
              </w:rPr>
            </w:pPr>
            <w:r w:rsidRPr="003268EE">
              <w:rPr>
                <w:b/>
                <w:bCs/>
                <w:sz w:val="13"/>
                <w:szCs w:val="13"/>
              </w:rPr>
              <w:t>-32</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3A55C2C" w14:textId="6A869B40">
            <w:pPr>
              <w:pStyle w:val="p-table"/>
              <w:jc w:val="right"/>
              <w:rPr>
                <w:b/>
                <w:bCs/>
                <w:sz w:val="13"/>
                <w:szCs w:val="13"/>
              </w:rPr>
            </w:pPr>
            <w:r w:rsidRPr="003268EE">
              <w:rPr>
                <w:b/>
                <w:bCs/>
                <w:sz w:val="13"/>
                <w:szCs w:val="13"/>
              </w:rPr>
              <w:t>8.731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9CDE3BE" w14:textId="7343BFAF">
            <w:pPr>
              <w:pStyle w:val="p-table"/>
              <w:jc w:val="right"/>
              <w:rPr>
                <w:b/>
                <w:bCs/>
                <w:sz w:val="13"/>
                <w:szCs w:val="13"/>
              </w:rPr>
            </w:pPr>
            <w:r w:rsidRPr="003268EE">
              <w:rPr>
                <w:b/>
                <w:bCs/>
                <w:sz w:val="13"/>
                <w:szCs w:val="13"/>
              </w:rPr>
              <w:t>388</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AA6CF1C" w14:textId="4EF1FD2D">
            <w:pPr>
              <w:pStyle w:val="p-table"/>
              <w:jc w:val="right"/>
              <w:rPr>
                <w:b/>
                <w:bCs/>
                <w:sz w:val="13"/>
                <w:szCs w:val="13"/>
              </w:rPr>
            </w:pPr>
            <w:r w:rsidRPr="003268EE">
              <w:rPr>
                <w:b/>
                <w:bCs/>
                <w:sz w:val="13"/>
                <w:szCs w:val="13"/>
              </w:rPr>
              <w:t>639</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C642BE8" w14:textId="41B2F2CA">
            <w:pPr>
              <w:pStyle w:val="p-table"/>
              <w:jc w:val="right"/>
              <w:rPr>
                <w:b/>
                <w:bCs/>
                <w:sz w:val="13"/>
                <w:szCs w:val="13"/>
              </w:rPr>
            </w:pPr>
            <w:r w:rsidRPr="003268EE">
              <w:rPr>
                <w:b/>
                <w:bCs/>
                <w:sz w:val="13"/>
                <w:szCs w:val="13"/>
              </w:rPr>
              <w:t>874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9F528BD" w14:textId="2013866D">
            <w:pPr>
              <w:pStyle w:val="p-table"/>
              <w:jc w:val="right"/>
              <w:rPr>
                <w:b/>
                <w:bCs/>
                <w:sz w:val="13"/>
                <w:szCs w:val="13"/>
              </w:rPr>
            </w:pPr>
            <w:r w:rsidRPr="003268EE">
              <w:rPr>
                <w:b/>
                <w:bCs/>
                <w:sz w:val="13"/>
                <w:szCs w:val="13"/>
              </w:rPr>
              <w:t>1.041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4D28C31C" w14:textId="5839B9CE">
            <w:pPr>
              <w:pStyle w:val="p-table"/>
              <w:jc w:val="right"/>
              <w:rPr>
                <w:b/>
                <w:bCs/>
                <w:sz w:val="13"/>
                <w:szCs w:val="13"/>
              </w:rPr>
            </w:pPr>
            <w:r w:rsidRPr="003268EE">
              <w:rPr>
                <w:b/>
                <w:bCs/>
                <w:sz w:val="13"/>
                <w:szCs w:val="13"/>
              </w:rPr>
              <w:t>17.463</w:t>
            </w:r>
          </w:p>
        </w:tc>
      </w:tr>
      <w:tr w:rsidR="0043364C" w:rsidTr="007433BE" w14:paraId="71706F72"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23352DCC" w14:textId="77777777">
            <w:pPr>
              <w:pStyle w:val="p-table"/>
              <w:rPr>
                <w:sz w:val="13"/>
                <w:szCs w:val="13"/>
              </w:rPr>
            </w:pPr>
            <w:r w:rsidRPr="003268EE">
              <w:rPr>
                <w:sz w:val="13"/>
                <w:szCs w:val="13"/>
              </w:rPr>
              <w:t>Rente vaste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A2AAD6C" w14:textId="77777777">
            <w:pPr>
              <w:pStyle w:val="p-table"/>
              <w:jc w:val="right"/>
              <w:rPr>
                <w:sz w:val="13"/>
                <w:szCs w:val="13"/>
              </w:rPr>
            </w:pPr>
            <w:r w:rsidRPr="003268EE">
              <w:rPr>
                <w:sz w:val="13"/>
                <w:szCs w:val="13"/>
              </w:rPr>
              <w:t>7.686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24BD88E"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2BFB500" w14:textId="77777777">
            <w:pPr>
              <w:pStyle w:val="p-table"/>
              <w:jc w:val="right"/>
              <w:rPr>
                <w:sz w:val="13"/>
                <w:szCs w:val="13"/>
              </w:rPr>
            </w:pPr>
            <w:r w:rsidRPr="003268EE">
              <w:rPr>
                <w:sz w:val="13"/>
                <w:szCs w:val="13"/>
              </w:rPr>
              <w:t>7.686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F8F8CAD" w14:textId="77777777">
            <w:pPr>
              <w:pStyle w:val="p-table"/>
              <w:jc w:val="right"/>
              <w:rPr>
                <w:sz w:val="13"/>
                <w:szCs w:val="13"/>
              </w:rPr>
            </w:pPr>
            <w:r w:rsidRPr="003268EE">
              <w:rPr>
                <w:sz w:val="13"/>
                <w:szCs w:val="13"/>
              </w:rPr>
              <w:t>‒ 449</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114B439" w14:textId="6279296C">
            <w:pPr>
              <w:pStyle w:val="p-table"/>
              <w:jc w:val="right"/>
              <w:rPr>
                <w:sz w:val="13"/>
                <w:szCs w:val="13"/>
              </w:rPr>
            </w:pPr>
            <w:r w:rsidRPr="003268EE">
              <w:rPr>
                <w:sz w:val="13"/>
                <w:szCs w:val="13"/>
              </w:rPr>
              <w:t>7.237</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252AD59" w14:textId="20F32E15">
            <w:pPr>
              <w:pStyle w:val="p-table"/>
              <w:jc w:val="right"/>
              <w:rPr>
                <w:sz w:val="13"/>
                <w:szCs w:val="13"/>
              </w:rPr>
            </w:pPr>
            <w:r w:rsidRPr="003268EE">
              <w:rPr>
                <w:sz w:val="13"/>
                <w:szCs w:val="13"/>
              </w:rPr>
              <w:t>-453</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8D1037A" w14:textId="078886F8">
            <w:pPr>
              <w:pStyle w:val="p-table"/>
              <w:jc w:val="right"/>
              <w:rPr>
                <w:sz w:val="13"/>
                <w:szCs w:val="13"/>
              </w:rPr>
            </w:pPr>
            <w:r w:rsidRPr="003268EE">
              <w:rPr>
                <w:sz w:val="13"/>
                <w:szCs w:val="13"/>
              </w:rPr>
              <w:t>-273</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57F387B" w14:textId="1515B038">
            <w:pPr>
              <w:pStyle w:val="p-table"/>
              <w:jc w:val="right"/>
              <w:rPr>
                <w:sz w:val="13"/>
                <w:szCs w:val="13"/>
              </w:rPr>
            </w:pPr>
            <w:r w:rsidRPr="003268EE">
              <w:rPr>
                <w:sz w:val="13"/>
                <w:szCs w:val="13"/>
              </w:rPr>
              <w:t>-110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CA6CCBB" w14:textId="752B29F7">
            <w:pPr>
              <w:pStyle w:val="p-table"/>
              <w:jc w:val="right"/>
              <w:rPr>
                <w:sz w:val="13"/>
                <w:szCs w:val="13"/>
              </w:rPr>
            </w:pPr>
            <w:r w:rsidRPr="003268EE">
              <w:rPr>
                <w:sz w:val="13"/>
                <w:szCs w:val="13"/>
              </w:rPr>
              <w:t>3</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608FA21" w14:textId="5B26F3E2">
            <w:pPr>
              <w:pStyle w:val="p-table"/>
              <w:jc w:val="right"/>
              <w:rPr>
                <w:sz w:val="13"/>
                <w:szCs w:val="13"/>
              </w:rPr>
            </w:pPr>
            <w:r w:rsidRPr="003268EE">
              <w:rPr>
                <w:sz w:val="13"/>
                <w:szCs w:val="13"/>
              </w:rPr>
              <w:t>14.678</w:t>
            </w:r>
          </w:p>
        </w:tc>
      </w:tr>
      <w:tr w:rsidR="0043364C" w:rsidTr="007433BE" w14:paraId="750503AB"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01704FBF" w14:textId="77777777">
            <w:pPr>
              <w:pStyle w:val="p-table"/>
              <w:rPr>
                <w:sz w:val="13"/>
                <w:szCs w:val="13"/>
              </w:rPr>
            </w:pPr>
            <w:r w:rsidRPr="003268EE">
              <w:rPr>
                <w:sz w:val="13"/>
                <w:szCs w:val="13"/>
              </w:rPr>
              <w:t>Rente vlottende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CAFF215" w14:textId="77777777">
            <w:pPr>
              <w:pStyle w:val="p-table"/>
              <w:jc w:val="right"/>
              <w:rPr>
                <w:sz w:val="13"/>
                <w:szCs w:val="13"/>
              </w:rPr>
            </w:pPr>
            <w:r w:rsidRPr="003268EE">
              <w:rPr>
                <w:sz w:val="13"/>
                <w:szCs w:val="13"/>
              </w:rPr>
              <w:t>1.077</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4E6E31A"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78A328B8" w14:textId="77777777">
            <w:pPr>
              <w:pStyle w:val="p-table"/>
              <w:jc w:val="right"/>
              <w:rPr>
                <w:sz w:val="13"/>
                <w:szCs w:val="13"/>
              </w:rPr>
            </w:pPr>
            <w:r w:rsidRPr="003268EE">
              <w:rPr>
                <w:sz w:val="13"/>
                <w:szCs w:val="13"/>
              </w:rPr>
              <w:t>1.077</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65E179A" w14:textId="5ACDEC97">
            <w:pPr>
              <w:pStyle w:val="p-table"/>
              <w:jc w:val="right"/>
              <w:rPr>
                <w:sz w:val="13"/>
                <w:szCs w:val="13"/>
              </w:rPr>
            </w:pPr>
            <w:r w:rsidRPr="003268EE">
              <w:rPr>
                <w:sz w:val="13"/>
                <w:szCs w:val="13"/>
              </w:rPr>
              <w:t>417</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2BC330F" w14:textId="09C25B90">
            <w:pPr>
              <w:pStyle w:val="p-table"/>
              <w:jc w:val="right"/>
              <w:rPr>
                <w:sz w:val="13"/>
                <w:szCs w:val="13"/>
              </w:rPr>
            </w:pPr>
            <w:r w:rsidRPr="003268EE">
              <w:rPr>
                <w:sz w:val="13"/>
                <w:szCs w:val="13"/>
              </w:rPr>
              <w:t>1.494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8FF7E33" w14:textId="1A6432C0">
            <w:pPr>
              <w:pStyle w:val="p-table"/>
              <w:jc w:val="right"/>
              <w:rPr>
                <w:sz w:val="13"/>
                <w:szCs w:val="13"/>
              </w:rPr>
            </w:pPr>
            <w:r w:rsidRPr="003268EE">
              <w:rPr>
                <w:sz w:val="13"/>
                <w:szCs w:val="13"/>
              </w:rPr>
              <w:t>841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C992366" w14:textId="2430D3DA">
            <w:pPr>
              <w:pStyle w:val="p-table"/>
              <w:jc w:val="right"/>
              <w:rPr>
                <w:sz w:val="13"/>
                <w:szCs w:val="13"/>
              </w:rPr>
            </w:pPr>
            <w:r w:rsidRPr="003268EE">
              <w:rPr>
                <w:sz w:val="13"/>
                <w:szCs w:val="13"/>
              </w:rPr>
              <w:t>912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9EFEBB8" w14:textId="1D6366A9">
            <w:pPr>
              <w:pStyle w:val="p-table"/>
              <w:jc w:val="right"/>
              <w:rPr>
                <w:sz w:val="13"/>
                <w:szCs w:val="13"/>
              </w:rPr>
            </w:pPr>
            <w:r w:rsidRPr="003268EE">
              <w:rPr>
                <w:sz w:val="13"/>
                <w:szCs w:val="13"/>
              </w:rPr>
              <w:t>984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432BD12" w14:textId="305D5F7B">
            <w:pPr>
              <w:pStyle w:val="p-table"/>
              <w:jc w:val="right"/>
              <w:rPr>
                <w:sz w:val="13"/>
                <w:szCs w:val="13"/>
              </w:rPr>
            </w:pPr>
            <w:r w:rsidRPr="003268EE">
              <w:rPr>
                <w:sz w:val="13"/>
                <w:szCs w:val="13"/>
              </w:rPr>
              <w:t>1.038</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598C4377" w14:textId="5FC99194">
            <w:pPr>
              <w:pStyle w:val="p-table"/>
              <w:jc w:val="right"/>
              <w:rPr>
                <w:sz w:val="13"/>
                <w:szCs w:val="13"/>
              </w:rPr>
            </w:pPr>
            <w:r w:rsidRPr="003268EE">
              <w:rPr>
                <w:sz w:val="13"/>
                <w:szCs w:val="13"/>
              </w:rPr>
              <w:t>2.785</w:t>
            </w:r>
          </w:p>
        </w:tc>
      </w:tr>
      <w:tr w:rsidR="0043364C" w:rsidTr="007433BE" w14:paraId="753FB30C"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5C6AB659" w14:textId="77777777">
            <w:pPr>
              <w:pStyle w:val="p-table"/>
              <w:rPr>
                <w:sz w:val="13"/>
                <w:szCs w:val="13"/>
              </w:rPr>
            </w:pPr>
            <w:r w:rsidRPr="003268EE">
              <w:rPr>
                <w:sz w:val="13"/>
                <w:szCs w:val="13"/>
              </w:rPr>
              <w:t>Voortijdige beëindiging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4E25EA9"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B562334"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291695E"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F840F25"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845C9AB" w14:textId="6264BFDF">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8568D0D" w14:textId="7C59660E">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B6DDCB9" w14:textId="66D235C5">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0B99D78" w14:textId="3DD28468">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BDACC9A" w14:textId="1DFB8495">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03E7F8C8" w14:textId="652EA8EE">
            <w:pPr>
              <w:pStyle w:val="p-table"/>
              <w:jc w:val="right"/>
              <w:rPr>
                <w:sz w:val="13"/>
                <w:szCs w:val="13"/>
              </w:rPr>
            </w:pPr>
            <w:r w:rsidRPr="003268EE">
              <w:rPr>
                <w:sz w:val="13"/>
                <w:szCs w:val="13"/>
              </w:rPr>
              <w:t>0</w:t>
            </w:r>
          </w:p>
        </w:tc>
      </w:tr>
      <w:tr w:rsidR="0043364C" w:rsidTr="007433BE" w14:paraId="641B9255"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27C4BB83" w14:textId="77777777">
            <w:pPr>
              <w:pStyle w:val="p-table"/>
              <w:rPr>
                <w:sz w:val="13"/>
                <w:szCs w:val="13"/>
              </w:rPr>
            </w:pPr>
            <w:r w:rsidRPr="003268EE">
              <w:rPr>
                <w:sz w:val="13"/>
                <w:szCs w:val="13"/>
              </w:rPr>
              <w:t>Rente derivaten lang</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15A56A6"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1BAF1C6"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BDA201B"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A0E8A38"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AD95B16" w14:textId="6D5E7C18">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F88458A" w14:textId="0C20DC72">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9E0A437" w14:textId="4F75E32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A0886BC" w14:textId="72A3021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42588FB" w14:textId="27140FCB">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2F04BEE1" w14:textId="11264F9F">
            <w:pPr>
              <w:pStyle w:val="p-table"/>
              <w:jc w:val="right"/>
              <w:rPr>
                <w:sz w:val="13"/>
                <w:szCs w:val="13"/>
              </w:rPr>
            </w:pPr>
            <w:r w:rsidRPr="003268EE">
              <w:rPr>
                <w:sz w:val="13"/>
                <w:szCs w:val="13"/>
              </w:rPr>
              <w:t>0</w:t>
            </w:r>
          </w:p>
        </w:tc>
      </w:tr>
      <w:tr w:rsidR="0043364C" w:rsidTr="007433BE" w14:paraId="457736AF"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10C9A37E" w14:textId="77777777">
            <w:pPr>
              <w:pStyle w:val="p-table"/>
              <w:rPr>
                <w:sz w:val="13"/>
                <w:szCs w:val="13"/>
              </w:rPr>
            </w:pPr>
            <w:r w:rsidRPr="003268EE">
              <w:rPr>
                <w:sz w:val="13"/>
                <w:szCs w:val="13"/>
              </w:rPr>
              <w:t>Rente derivaten kort</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291DFBC"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140E34C"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15CB6B2"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CD9AD92"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65E48AE2" w14:textId="1444C26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BB0FFEF" w14:textId="0F672F50">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05722A8" w14:textId="72A8A58C">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9D94EAA" w14:textId="207D2642">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0AB9C1C" w14:textId="0FA8F252">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4290BB88" w14:textId="40A683BB">
            <w:pPr>
              <w:pStyle w:val="p-table"/>
              <w:jc w:val="right"/>
              <w:rPr>
                <w:sz w:val="13"/>
                <w:szCs w:val="13"/>
              </w:rPr>
            </w:pPr>
            <w:r w:rsidRPr="003268EE">
              <w:rPr>
                <w:sz w:val="13"/>
                <w:szCs w:val="13"/>
              </w:rPr>
              <w:t>0</w:t>
            </w:r>
          </w:p>
        </w:tc>
      </w:tr>
      <w:tr w:rsidR="0043364C" w:rsidTr="007433BE" w14:paraId="24051CD7"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0979AF18" w14:textId="77777777">
            <w:pPr>
              <w:pStyle w:val="p-table"/>
              <w:rPr>
                <w:sz w:val="13"/>
                <w:szCs w:val="13"/>
              </w:rPr>
            </w:pPr>
            <w:r w:rsidRPr="003268EE">
              <w:rPr>
                <w:sz w:val="13"/>
                <w:szCs w:val="13"/>
              </w:rPr>
              <w:t>Voortijdige beëindiging derivaten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C3EE531"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3EB487E"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6448CC62"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7D5B7CC"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CF8F20A" w14:textId="7ADBC13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56A36CF" w14:textId="4C7426E8">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6C5807C" w14:textId="2E930D1E">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1DEF45C" w14:textId="53B7A95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15122B3" w14:textId="26D3947F">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20ACE620" w14:textId="4A01027D">
            <w:pPr>
              <w:pStyle w:val="p-table"/>
              <w:jc w:val="right"/>
              <w:rPr>
                <w:sz w:val="13"/>
                <w:szCs w:val="13"/>
              </w:rPr>
            </w:pPr>
            <w:r w:rsidRPr="003268EE">
              <w:rPr>
                <w:sz w:val="13"/>
                <w:szCs w:val="13"/>
              </w:rPr>
              <w:t>0</w:t>
            </w:r>
          </w:p>
        </w:tc>
      </w:tr>
      <w:tr w:rsidR="0043364C" w:rsidTr="007433BE" w14:paraId="46621F14"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73302075"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85A217A"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4C31604"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B308958"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011D267"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76C1A6A9" w14:textId="23C950D3">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E239B4D" w14:textId="7D2E7934">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709C731" w14:textId="7AECB5D3">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D2B8423" w14:textId="66085C42">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978E451" w14:textId="69C82C83">
            <w:pPr>
              <w:pStyle w:val="p-table"/>
              <w:jc w:val="right"/>
              <w:rPr>
                <w:b/>
                <w:bCs/>
                <w:sz w:val="13"/>
                <w:szCs w:val="13"/>
              </w:rPr>
            </w:pPr>
            <w:r w:rsidRPr="003268EE">
              <w:rPr>
                <w:b/>
                <w:bCs/>
                <w:sz w:val="13"/>
                <w:szCs w:val="13"/>
              </w:rPr>
              <w:t> </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0DDBDAB6" w14:textId="3F6083F1">
            <w:pPr>
              <w:pStyle w:val="p-table"/>
              <w:jc w:val="right"/>
              <w:rPr>
                <w:b/>
                <w:bCs/>
                <w:sz w:val="13"/>
                <w:szCs w:val="13"/>
              </w:rPr>
            </w:pPr>
            <w:r w:rsidRPr="003268EE">
              <w:rPr>
                <w:b/>
                <w:bCs/>
                <w:sz w:val="13"/>
                <w:szCs w:val="13"/>
              </w:rPr>
              <w:t> </w:t>
            </w:r>
          </w:p>
        </w:tc>
      </w:tr>
      <w:tr w:rsidR="0043364C" w:rsidTr="007433BE" w14:paraId="3ECFE5DC"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3D4F2D7D" w14:textId="77777777">
            <w:pPr>
              <w:pStyle w:val="p-table"/>
              <w:rPr>
                <w:sz w:val="13"/>
                <w:szCs w:val="13"/>
              </w:rPr>
            </w:pPr>
            <w:r w:rsidRPr="003268EE">
              <w:rPr>
                <w:b/>
                <w:sz w:val="13"/>
                <w:szCs w:val="13"/>
              </w:rPr>
              <w:t>Leningen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190EB7B" w14:textId="77777777">
            <w:pPr>
              <w:pStyle w:val="p-table"/>
              <w:jc w:val="right"/>
              <w:rPr>
                <w:sz w:val="13"/>
                <w:szCs w:val="13"/>
              </w:rPr>
            </w:pPr>
            <w:r w:rsidRPr="003268EE">
              <w:rPr>
                <w:b/>
                <w:sz w:val="13"/>
                <w:szCs w:val="13"/>
              </w:rPr>
              <w:t>28.835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FA683B5"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2178F2B" w14:textId="77777777">
            <w:pPr>
              <w:pStyle w:val="p-table"/>
              <w:jc w:val="right"/>
              <w:rPr>
                <w:sz w:val="13"/>
                <w:szCs w:val="13"/>
              </w:rPr>
            </w:pPr>
            <w:r w:rsidRPr="003268EE">
              <w:rPr>
                <w:b/>
                <w:sz w:val="13"/>
                <w:szCs w:val="13"/>
              </w:rPr>
              <w:t>28.835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CDC4B5A" w14:textId="77777777">
            <w:pPr>
              <w:pStyle w:val="p-table"/>
              <w:jc w:val="right"/>
              <w:rPr>
                <w:sz w:val="13"/>
                <w:szCs w:val="13"/>
              </w:rPr>
            </w:pPr>
            <w:r w:rsidRPr="003268EE">
              <w:rPr>
                <w:b/>
                <w:sz w:val="13"/>
                <w:szCs w:val="13"/>
              </w:rPr>
              <w:t>220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A43704B" w14:textId="01BF9BFC">
            <w:pPr>
              <w:pStyle w:val="p-table"/>
              <w:jc w:val="right"/>
              <w:rPr>
                <w:b/>
                <w:bCs/>
                <w:sz w:val="13"/>
                <w:szCs w:val="13"/>
              </w:rPr>
            </w:pPr>
            <w:r w:rsidRPr="003268EE">
              <w:rPr>
                <w:b/>
                <w:bCs/>
                <w:sz w:val="13"/>
                <w:szCs w:val="13"/>
              </w:rPr>
              <w:t>29.055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837DAB8" w14:textId="75CF9020">
            <w:pPr>
              <w:pStyle w:val="p-table"/>
              <w:jc w:val="right"/>
              <w:rPr>
                <w:b/>
                <w:bCs/>
                <w:sz w:val="13"/>
                <w:szCs w:val="13"/>
              </w:rPr>
            </w:pPr>
            <w:r w:rsidRPr="003268EE">
              <w:rPr>
                <w:b/>
                <w:bCs/>
                <w:sz w:val="13"/>
                <w:szCs w:val="13"/>
              </w:rPr>
              <w:t>-270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1CE86C8" w14:textId="3F69E414">
            <w:pPr>
              <w:pStyle w:val="p-table"/>
              <w:jc w:val="right"/>
              <w:rPr>
                <w:b/>
                <w:bCs/>
                <w:sz w:val="13"/>
                <w:szCs w:val="13"/>
              </w:rPr>
            </w:pPr>
            <w:r w:rsidRPr="003268EE">
              <w:rPr>
                <w:b/>
                <w:bCs/>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B157A80" w14:textId="5ED6C717">
            <w:pPr>
              <w:pStyle w:val="p-table"/>
              <w:jc w:val="right"/>
              <w:rPr>
                <w:b/>
                <w:bCs/>
                <w:sz w:val="13"/>
                <w:szCs w:val="13"/>
              </w:rPr>
            </w:pPr>
            <w:r w:rsidRPr="003268EE">
              <w:rPr>
                <w:b/>
                <w:bCs/>
                <w:sz w:val="13"/>
                <w:szCs w:val="13"/>
              </w:rPr>
              <w:t>12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2096427" w14:textId="5D02FD41">
            <w:pPr>
              <w:pStyle w:val="p-table"/>
              <w:jc w:val="right"/>
              <w:rPr>
                <w:b/>
                <w:bCs/>
                <w:sz w:val="13"/>
                <w:szCs w:val="13"/>
              </w:rPr>
            </w:pPr>
            <w:r w:rsidRPr="003268EE">
              <w:rPr>
                <w:b/>
                <w:bCs/>
                <w:sz w:val="13"/>
                <w:szCs w:val="13"/>
              </w:rPr>
              <w:t>3</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D541C57" w14:textId="4FF504BD">
            <w:pPr>
              <w:pStyle w:val="p-table"/>
              <w:jc w:val="right"/>
              <w:rPr>
                <w:b/>
                <w:bCs/>
                <w:sz w:val="13"/>
                <w:szCs w:val="13"/>
              </w:rPr>
            </w:pPr>
            <w:r w:rsidRPr="003268EE">
              <w:rPr>
                <w:b/>
                <w:bCs/>
                <w:sz w:val="13"/>
                <w:szCs w:val="13"/>
              </w:rPr>
              <w:t>23.223</w:t>
            </w:r>
          </w:p>
        </w:tc>
      </w:tr>
      <w:tr w:rsidR="0043364C" w:rsidTr="007433BE" w14:paraId="7619E8BA"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48B201DD" w14:textId="77777777">
            <w:pPr>
              <w:pStyle w:val="p-table"/>
              <w:rPr>
                <w:sz w:val="13"/>
                <w:szCs w:val="13"/>
              </w:rPr>
            </w:pPr>
            <w:r w:rsidRPr="003268EE">
              <w:rPr>
                <w:sz w:val="13"/>
                <w:szCs w:val="13"/>
              </w:rPr>
              <w:t>Aflossing vaste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FFE4610" w14:textId="77777777">
            <w:pPr>
              <w:pStyle w:val="p-table"/>
              <w:jc w:val="right"/>
              <w:rPr>
                <w:sz w:val="13"/>
                <w:szCs w:val="13"/>
              </w:rPr>
            </w:pPr>
            <w:r w:rsidRPr="003268EE">
              <w:rPr>
                <w:sz w:val="13"/>
                <w:szCs w:val="13"/>
              </w:rPr>
              <w:t>28.835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8D2B84C"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6F4DF0E" w14:textId="77777777">
            <w:pPr>
              <w:pStyle w:val="p-table"/>
              <w:jc w:val="right"/>
              <w:rPr>
                <w:sz w:val="13"/>
                <w:szCs w:val="13"/>
              </w:rPr>
            </w:pPr>
            <w:r w:rsidRPr="003268EE">
              <w:rPr>
                <w:sz w:val="13"/>
                <w:szCs w:val="13"/>
              </w:rPr>
              <w:t>28.835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B1DCC57" w14:textId="77777777">
            <w:pPr>
              <w:pStyle w:val="p-table"/>
              <w:jc w:val="right"/>
              <w:rPr>
                <w:sz w:val="13"/>
                <w:szCs w:val="13"/>
              </w:rPr>
            </w:pPr>
            <w:r w:rsidRPr="003268EE">
              <w:rPr>
                <w:sz w:val="13"/>
                <w:szCs w:val="13"/>
              </w:rPr>
              <w:t>220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134FE8B" w14:textId="3C4A67AC">
            <w:pPr>
              <w:pStyle w:val="p-table"/>
              <w:jc w:val="right"/>
              <w:rPr>
                <w:sz w:val="13"/>
                <w:szCs w:val="13"/>
              </w:rPr>
            </w:pPr>
            <w:r w:rsidRPr="003268EE">
              <w:rPr>
                <w:sz w:val="13"/>
                <w:szCs w:val="13"/>
              </w:rPr>
              <w:t>29.055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9160BA2" w14:textId="52993257">
            <w:pPr>
              <w:pStyle w:val="p-table"/>
              <w:jc w:val="right"/>
              <w:rPr>
                <w:sz w:val="13"/>
                <w:szCs w:val="13"/>
              </w:rPr>
            </w:pPr>
            <w:r w:rsidRPr="003268EE">
              <w:rPr>
                <w:sz w:val="13"/>
                <w:szCs w:val="13"/>
              </w:rPr>
              <w:t>-270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DC950B1" w14:textId="0D2A62EF">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F298679" w14:textId="6FF6AA5D">
            <w:pPr>
              <w:pStyle w:val="p-table"/>
              <w:jc w:val="right"/>
              <w:rPr>
                <w:sz w:val="13"/>
                <w:szCs w:val="13"/>
              </w:rPr>
            </w:pPr>
            <w:r w:rsidRPr="003268EE">
              <w:rPr>
                <w:sz w:val="13"/>
                <w:szCs w:val="13"/>
              </w:rPr>
              <w:t>12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188036" w14:textId="4BA35FAD">
            <w:pPr>
              <w:pStyle w:val="p-table"/>
              <w:jc w:val="right"/>
              <w:rPr>
                <w:sz w:val="13"/>
                <w:szCs w:val="13"/>
              </w:rPr>
            </w:pPr>
            <w:r w:rsidRPr="003268EE">
              <w:rPr>
                <w:sz w:val="13"/>
                <w:szCs w:val="13"/>
              </w:rPr>
              <w:t>3</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1FB708F" w14:textId="1CB60358">
            <w:pPr>
              <w:pStyle w:val="p-table"/>
              <w:jc w:val="right"/>
              <w:rPr>
                <w:sz w:val="13"/>
                <w:szCs w:val="13"/>
              </w:rPr>
            </w:pPr>
            <w:r w:rsidRPr="003268EE">
              <w:rPr>
                <w:sz w:val="13"/>
                <w:szCs w:val="13"/>
              </w:rPr>
              <w:t>23.223</w:t>
            </w:r>
          </w:p>
        </w:tc>
      </w:tr>
      <w:tr w:rsidR="0043364C" w:rsidTr="007433BE" w14:paraId="27E53696"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5B020C0C" w14:textId="77777777">
            <w:pPr>
              <w:pStyle w:val="p-table"/>
              <w:rPr>
                <w:sz w:val="13"/>
                <w:szCs w:val="13"/>
              </w:rPr>
            </w:pPr>
            <w:r w:rsidRPr="003268EE">
              <w:rPr>
                <w:sz w:val="13"/>
                <w:szCs w:val="13"/>
              </w:rPr>
              <w:t>Mutatie vlottende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8951886"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ADAC9AA"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6773157"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5AC7B06"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64F8534B" w14:textId="733CDA3F">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5A05457" w14:textId="54745E00">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2D05D42" w14:textId="347539DA">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E9663AC" w14:textId="7BC81BB8">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A7AAE40" w14:textId="0D1AD599">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5F7BB540" w14:textId="4347817F">
            <w:pPr>
              <w:pStyle w:val="p-table"/>
              <w:jc w:val="right"/>
              <w:rPr>
                <w:sz w:val="13"/>
                <w:szCs w:val="13"/>
              </w:rPr>
            </w:pPr>
            <w:r w:rsidRPr="003268EE">
              <w:rPr>
                <w:sz w:val="13"/>
                <w:szCs w:val="13"/>
              </w:rPr>
              <w:t>0</w:t>
            </w:r>
          </w:p>
        </w:tc>
      </w:tr>
      <w:tr w:rsidR="0043364C" w:rsidTr="007433BE" w14:paraId="08E0EF04" w14:textId="77777777">
        <w:tc>
          <w:tcPr>
            <w:tcW w:w="1201" w:type="pct"/>
            <w:tcMar>
              <w:top w:w="22" w:type="dxa"/>
              <w:bottom w:w="22" w:type="dxa"/>
              <w:right w:w="28" w:type="dxa"/>
            </w:tcMar>
          </w:tcPr>
          <w:p w:rsidRPr="003268EE" w:rsidR="0043364C" w:rsidP="0043364C" w:rsidRDefault="0043364C" w14:paraId="1F6BE645"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096DAD60"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4FA0FA37" w14:textId="77777777">
            <w:pPr>
              <w:pStyle w:val="p-table"/>
              <w:rPr>
                <w:sz w:val="13"/>
                <w:szCs w:val="13"/>
              </w:rPr>
            </w:pPr>
          </w:p>
        </w:tc>
        <w:tc>
          <w:tcPr>
            <w:tcW w:w="460" w:type="pct"/>
            <w:tcMar>
              <w:top w:w="22" w:type="dxa"/>
              <w:left w:w="28" w:type="dxa"/>
              <w:bottom w:w="22" w:type="dxa"/>
              <w:right w:w="28" w:type="dxa"/>
            </w:tcMar>
          </w:tcPr>
          <w:p w:rsidRPr="003268EE" w:rsidR="0043364C" w:rsidP="0043364C" w:rsidRDefault="0043364C" w14:paraId="6DABEE9D"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77EDE6AE" w14:textId="77777777">
            <w:pPr>
              <w:pStyle w:val="p-table"/>
              <w:rPr>
                <w:sz w:val="13"/>
                <w:szCs w:val="13"/>
              </w:rPr>
            </w:pPr>
          </w:p>
        </w:tc>
        <w:tc>
          <w:tcPr>
            <w:tcW w:w="460" w:type="pct"/>
            <w:tcMar>
              <w:top w:w="22" w:type="dxa"/>
              <w:left w:w="28" w:type="dxa"/>
              <w:bottom w:w="22" w:type="dxa"/>
              <w:right w:w="28" w:type="dxa"/>
            </w:tcMar>
            <w:vAlign w:val="bottom"/>
          </w:tcPr>
          <w:p w:rsidRPr="003268EE" w:rsidR="0043364C" w:rsidP="0043364C" w:rsidRDefault="0043364C" w14:paraId="7CB7A5E8"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C64A97F"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CC73C7D"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72684898"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5B5F079" w14:textId="77777777">
            <w:pPr>
              <w:pStyle w:val="p-table"/>
              <w:jc w:val="right"/>
              <w:rPr>
                <w:b/>
                <w:bCs/>
                <w:sz w:val="13"/>
                <w:szCs w:val="13"/>
              </w:rPr>
            </w:pPr>
          </w:p>
        </w:tc>
        <w:tc>
          <w:tcPr>
            <w:tcW w:w="359" w:type="pct"/>
            <w:tcMar>
              <w:top w:w="22" w:type="dxa"/>
              <w:left w:w="28" w:type="dxa"/>
              <w:bottom w:w="22" w:type="dxa"/>
              <w:right w:w="28" w:type="dxa"/>
            </w:tcMar>
            <w:vAlign w:val="bottom"/>
          </w:tcPr>
          <w:p w:rsidRPr="003268EE" w:rsidR="0043364C" w:rsidP="0043364C" w:rsidRDefault="0043364C" w14:paraId="4FD7122C" w14:textId="77777777">
            <w:pPr>
              <w:pStyle w:val="p-table"/>
              <w:jc w:val="right"/>
              <w:rPr>
                <w:b/>
                <w:bCs/>
                <w:sz w:val="13"/>
                <w:szCs w:val="13"/>
              </w:rPr>
            </w:pPr>
          </w:p>
        </w:tc>
      </w:tr>
      <w:tr w:rsidR="0043364C" w:rsidTr="007433BE" w14:paraId="1925C256"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383E1571" w14:textId="77777777">
            <w:pPr>
              <w:pStyle w:val="p-table"/>
              <w:rPr>
                <w:sz w:val="13"/>
                <w:szCs w:val="13"/>
              </w:rPr>
            </w:pPr>
            <w:r w:rsidRPr="003268EE">
              <w:rPr>
                <w:b/>
                <w:sz w:val="13"/>
                <w:szCs w:val="13"/>
              </w:rPr>
              <w:t>Ontvangsten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0C9513D" w14:textId="77777777">
            <w:pPr>
              <w:pStyle w:val="p-table"/>
              <w:jc w:val="right"/>
              <w:rPr>
                <w:sz w:val="13"/>
                <w:szCs w:val="13"/>
              </w:rPr>
            </w:pPr>
            <w:r w:rsidRPr="003268EE">
              <w:rPr>
                <w:b/>
                <w:sz w:val="13"/>
                <w:szCs w:val="13"/>
              </w:rPr>
              <w:t>85.354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63E6C0D"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3C3EEDD" w14:textId="77777777">
            <w:pPr>
              <w:pStyle w:val="p-table"/>
              <w:jc w:val="right"/>
              <w:rPr>
                <w:sz w:val="13"/>
                <w:szCs w:val="13"/>
              </w:rPr>
            </w:pPr>
            <w:r w:rsidRPr="003268EE">
              <w:rPr>
                <w:b/>
                <w:sz w:val="13"/>
                <w:szCs w:val="13"/>
              </w:rPr>
              <w:t>85.354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EAF5A58" w14:textId="2154B0B2">
            <w:pPr>
              <w:pStyle w:val="p-table"/>
              <w:jc w:val="right"/>
              <w:rPr>
                <w:sz w:val="13"/>
                <w:szCs w:val="13"/>
              </w:rPr>
            </w:pPr>
            <w:r w:rsidRPr="003268EE">
              <w:rPr>
                <w:b/>
                <w:sz w:val="13"/>
                <w:szCs w:val="13"/>
              </w:rPr>
              <w:t>‒ 6.838</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829B571" w14:textId="0B18CAD1">
            <w:pPr>
              <w:pStyle w:val="p-table"/>
              <w:jc w:val="right"/>
              <w:rPr>
                <w:b/>
                <w:bCs/>
                <w:sz w:val="13"/>
                <w:szCs w:val="13"/>
              </w:rPr>
            </w:pPr>
            <w:r w:rsidRPr="003268EE">
              <w:rPr>
                <w:b/>
                <w:bCs/>
                <w:sz w:val="13"/>
                <w:szCs w:val="13"/>
              </w:rPr>
              <w:t>78.516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32270DE" w14:textId="3F64AA14">
            <w:pPr>
              <w:pStyle w:val="p-table"/>
              <w:jc w:val="right"/>
              <w:rPr>
                <w:b/>
                <w:bCs/>
                <w:sz w:val="13"/>
                <w:szCs w:val="13"/>
              </w:rPr>
            </w:pPr>
            <w:r w:rsidRPr="003268EE">
              <w:rPr>
                <w:b/>
                <w:bCs/>
                <w:sz w:val="13"/>
                <w:szCs w:val="13"/>
              </w:rPr>
              <w:t>12.044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B50ACB2" w14:textId="36101DF1">
            <w:pPr>
              <w:pStyle w:val="p-table"/>
              <w:jc w:val="right"/>
              <w:rPr>
                <w:b/>
                <w:bCs/>
                <w:sz w:val="13"/>
                <w:szCs w:val="13"/>
              </w:rPr>
            </w:pPr>
            <w:r w:rsidRPr="003268EE">
              <w:rPr>
                <w:b/>
                <w:bCs/>
                <w:sz w:val="13"/>
                <w:szCs w:val="13"/>
              </w:rPr>
              <w:t>-1.954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0FDFD68" w14:textId="38B10FC1">
            <w:pPr>
              <w:pStyle w:val="p-table"/>
              <w:jc w:val="right"/>
              <w:rPr>
                <w:b/>
                <w:bCs/>
                <w:sz w:val="13"/>
                <w:szCs w:val="13"/>
              </w:rPr>
            </w:pPr>
            <w:r w:rsidRPr="003268EE">
              <w:rPr>
                <w:b/>
                <w:bCs/>
                <w:sz w:val="13"/>
                <w:szCs w:val="13"/>
              </w:rPr>
              <w:t>2.266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AEF6954" w14:textId="18D918A2">
            <w:pPr>
              <w:pStyle w:val="p-table"/>
              <w:jc w:val="right"/>
              <w:rPr>
                <w:b/>
                <w:bCs/>
                <w:sz w:val="13"/>
                <w:szCs w:val="13"/>
              </w:rPr>
            </w:pPr>
            <w:r w:rsidRPr="003268EE">
              <w:rPr>
                <w:b/>
                <w:bCs/>
                <w:sz w:val="13"/>
                <w:szCs w:val="13"/>
              </w:rPr>
              <w:t>-1.391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0DA8A099" w14:textId="2939EAE0">
            <w:pPr>
              <w:pStyle w:val="p-table"/>
              <w:jc w:val="right"/>
              <w:rPr>
                <w:b/>
                <w:bCs/>
                <w:sz w:val="13"/>
                <w:szCs w:val="13"/>
              </w:rPr>
            </w:pPr>
            <w:r w:rsidRPr="003268EE">
              <w:rPr>
                <w:b/>
                <w:bCs/>
                <w:sz w:val="13"/>
                <w:szCs w:val="13"/>
              </w:rPr>
              <w:t>55.518</w:t>
            </w:r>
          </w:p>
        </w:tc>
      </w:tr>
      <w:tr w:rsidR="0043364C" w:rsidTr="007433BE" w14:paraId="5DEC11B6" w14:textId="77777777">
        <w:tc>
          <w:tcPr>
            <w:tcW w:w="1201" w:type="pct"/>
            <w:tcMar>
              <w:top w:w="22" w:type="dxa"/>
              <w:bottom w:w="22" w:type="dxa"/>
              <w:right w:w="28" w:type="dxa"/>
            </w:tcMar>
          </w:tcPr>
          <w:p w:rsidRPr="003268EE" w:rsidR="0043364C" w:rsidP="0043364C" w:rsidRDefault="0043364C" w14:paraId="589D0BEC"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1BDF3CCC"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5E2C0C57" w14:textId="77777777">
            <w:pPr>
              <w:pStyle w:val="p-table"/>
              <w:rPr>
                <w:sz w:val="13"/>
                <w:szCs w:val="13"/>
              </w:rPr>
            </w:pPr>
          </w:p>
        </w:tc>
        <w:tc>
          <w:tcPr>
            <w:tcW w:w="460" w:type="pct"/>
            <w:tcMar>
              <w:top w:w="22" w:type="dxa"/>
              <w:left w:w="28" w:type="dxa"/>
              <w:bottom w:w="22" w:type="dxa"/>
              <w:right w:w="28" w:type="dxa"/>
            </w:tcMar>
          </w:tcPr>
          <w:p w:rsidRPr="003268EE" w:rsidR="0043364C" w:rsidP="0043364C" w:rsidRDefault="0043364C" w14:paraId="5AE24237"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3513254D" w14:textId="77777777">
            <w:pPr>
              <w:pStyle w:val="p-table"/>
              <w:rPr>
                <w:sz w:val="13"/>
                <w:szCs w:val="13"/>
              </w:rPr>
            </w:pPr>
          </w:p>
        </w:tc>
        <w:tc>
          <w:tcPr>
            <w:tcW w:w="460" w:type="pct"/>
            <w:tcMar>
              <w:top w:w="22" w:type="dxa"/>
              <w:left w:w="28" w:type="dxa"/>
              <w:bottom w:w="22" w:type="dxa"/>
              <w:right w:w="28" w:type="dxa"/>
            </w:tcMar>
            <w:vAlign w:val="bottom"/>
          </w:tcPr>
          <w:p w:rsidRPr="003268EE" w:rsidR="0043364C" w:rsidP="0043364C" w:rsidRDefault="0043364C" w14:paraId="3A8AD556"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7B272053"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710196C"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FAC1515"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77B1A017" w14:textId="77777777">
            <w:pPr>
              <w:pStyle w:val="p-table"/>
              <w:jc w:val="right"/>
              <w:rPr>
                <w:b/>
                <w:bCs/>
                <w:sz w:val="13"/>
                <w:szCs w:val="13"/>
              </w:rPr>
            </w:pPr>
          </w:p>
        </w:tc>
        <w:tc>
          <w:tcPr>
            <w:tcW w:w="359" w:type="pct"/>
            <w:tcMar>
              <w:top w:w="22" w:type="dxa"/>
              <w:left w:w="28" w:type="dxa"/>
              <w:bottom w:w="22" w:type="dxa"/>
              <w:right w:w="28" w:type="dxa"/>
            </w:tcMar>
            <w:vAlign w:val="bottom"/>
          </w:tcPr>
          <w:p w:rsidRPr="003268EE" w:rsidR="0043364C" w:rsidP="0043364C" w:rsidRDefault="0043364C" w14:paraId="74578DE9" w14:textId="77777777">
            <w:pPr>
              <w:pStyle w:val="p-table"/>
              <w:jc w:val="right"/>
              <w:rPr>
                <w:b/>
                <w:bCs/>
                <w:sz w:val="13"/>
                <w:szCs w:val="13"/>
              </w:rPr>
            </w:pPr>
          </w:p>
        </w:tc>
      </w:tr>
      <w:tr w:rsidR="0043364C" w:rsidTr="007433BE" w14:paraId="5DAAA2EA"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44706CE0" w14:textId="77777777">
            <w:pPr>
              <w:pStyle w:val="p-table"/>
              <w:rPr>
                <w:sz w:val="13"/>
                <w:szCs w:val="13"/>
              </w:rPr>
            </w:pPr>
            <w:r w:rsidRPr="003268EE">
              <w:rPr>
                <w:b/>
                <w:sz w:val="13"/>
                <w:szCs w:val="13"/>
              </w:rPr>
              <w:t>Rente</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80DAD96" w14:textId="77777777">
            <w:pPr>
              <w:pStyle w:val="p-table"/>
              <w:jc w:val="right"/>
              <w:rPr>
                <w:sz w:val="13"/>
                <w:szCs w:val="13"/>
              </w:rPr>
            </w:pPr>
            <w:r w:rsidRPr="003268EE">
              <w:rPr>
                <w:b/>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FC90FA9"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F6A9AC3" w14:textId="77777777">
            <w:pPr>
              <w:pStyle w:val="p-table"/>
              <w:jc w:val="right"/>
              <w:rPr>
                <w:sz w:val="13"/>
                <w:szCs w:val="13"/>
              </w:rPr>
            </w:pPr>
            <w:r w:rsidRPr="003268EE">
              <w:rPr>
                <w:b/>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C018E9"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F8875F7" w14:textId="113794E3">
            <w:pPr>
              <w:pStyle w:val="p-table"/>
              <w:jc w:val="right"/>
              <w:rPr>
                <w:b/>
                <w:bCs/>
                <w:sz w:val="13"/>
                <w:szCs w:val="13"/>
              </w:rPr>
            </w:pPr>
            <w:r w:rsidRPr="003268EE">
              <w:rPr>
                <w:b/>
                <w:bCs/>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1225DF9" w14:textId="61A83054">
            <w:pPr>
              <w:pStyle w:val="p-table"/>
              <w:jc w:val="right"/>
              <w:rPr>
                <w:b/>
                <w:bCs/>
                <w:sz w:val="13"/>
                <w:szCs w:val="13"/>
              </w:rPr>
            </w:pPr>
            <w:r w:rsidRPr="003268EE">
              <w:rPr>
                <w:b/>
                <w:bCs/>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E7BD9BF" w14:textId="629E12EB">
            <w:pPr>
              <w:pStyle w:val="p-table"/>
              <w:jc w:val="right"/>
              <w:rPr>
                <w:b/>
                <w:bCs/>
                <w:sz w:val="13"/>
                <w:szCs w:val="13"/>
              </w:rPr>
            </w:pPr>
            <w:r w:rsidRPr="003268EE">
              <w:rPr>
                <w:b/>
                <w:bCs/>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05D4862" w14:textId="30401838">
            <w:pPr>
              <w:pStyle w:val="p-table"/>
              <w:jc w:val="right"/>
              <w:rPr>
                <w:b/>
                <w:bCs/>
                <w:sz w:val="13"/>
                <w:szCs w:val="13"/>
              </w:rPr>
            </w:pPr>
            <w:r w:rsidRPr="003268EE">
              <w:rPr>
                <w:b/>
                <w:bCs/>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5AEA2D5" w14:textId="314A25F1">
            <w:pPr>
              <w:pStyle w:val="p-table"/>
              <w:jc w:val="right"/>
              <w:rPr>
                <w:b/>
                <w:bCs/>
                <w:sz w:val="13"/>
                <w:szCs w:val="13"/>
              </w:rPr>
            </w:pPr>
            <w:r w:rsidRPr="003268EE">
              <w:rPr>
                <w:b/>
                <w:bCs/>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7A986F2" w14:textId="4B541ECB">
            <w:pPr>
              <w:pStyle w:val="p-table"/>
              <w:jc w:val="right"/>
              <w:rPr>
                <w:b/>
                <w:bCs/>
                <w:sz w:val="13"/>
                <w:szCs w:val="13"/>
              </w:rPr>
            </w:pPr>
            <w:r w:rsidRPr="003268EE">
              <w:rPr>
                <w:b/>
                <w:bCs/>
                <w:sz w:val="13"/>
                <w:szCs w:val="13"/>
              </w:rPr>
              <w:t>10</w:t>
            </w:r>
          </w:p>
        </w:tc>
      </w:tr>
      <w:tr w:rsidR="0043364C" w:rsidTr="007433BE" w14:paraId="74A12E52"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7638E344" w14:textId="77777777">
            <w:pPr>
              <w:pStyle w:val="p-table"/>
              <w:rPr>
                <w:sz w:val="13"/>
                <w:szCs w:val="13"/>
              </w:rPr>
            </w:pPr>
            <w:r w:rsidRPr="003268EE">
              <w:rPr>
                <w:sz w:val="13"/>
                <w:szCs w:val="13"/>
              </w:rPr>
              <w:t>Rente vlottende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F7395FE" w14:textId="77777777">
            <w:pPr>
              <w:pStyle w:val="p-table"/>
              <w:jc w:val="right"/>
              <w:rPr>
                <w:sz w:val="13"/>
                <w:szCs w:val="13"/>
              </w:rPr>
            </w:pPr>
            <w:r w:rsidRPr="003268EE">
              <w:rPr>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04E3FDD"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4F4CE3D" w14:textId="77777777">
            <w:pPr>
              <w:pStyle w:val="p-table"/>
              <w:jc w:val="right"/>
              <w:rPr>
                <w:sz w:val="13"/>
                <w:szCs w:val="13"/>
              </w:rPr>
            </w:pPr>
            <w:r w:rsidRPr="003268EE">
              <w:rPr>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E98C28A"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56C13CF" w14:textId="08FA17C5">
            <w:pPr>
              <w:pStyle w:val="p-table"/>
              <w:jc w:val="right"/>
              <w:rPr>
                <w:sz w:val="13"/>
                <w:szCs w:val="13"/>
              </w:rPr>
            </w:pPr>
            <w:r w:rsidRPr="003268EE">
              <w:rPr>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E40A05A" w14:textId="157A43F3">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054605B" w14:textId="63016A9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0015DB9" w14:textId="08F4FD96">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F7553CD" w14:textId="5913020B">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331CD842" w14:textId="0BE86178">
            <w:pPr>
              <w:pStyle w:val="p-table"/>
              <w:jc w:val="right"/>
              <w:rPr>
                <w:sz w:val="13"/>
                <w:szCs w:val="13"/>
              </w:rPr>
            </w:pPr>
            <w:r w:rsidRPr="003268EE">
              <w:rPr>
                <w:sz w:val="13"/>
                <w:szCs w:val="13"/>
              </w:rPr>
              <w:t>10</w:t>
            </w:r>
          </w:p>
        </w:tc>
      </w:tr>
      <w:tr w:rsidR="0043364C" w:rsidTr="007433BE" w14:paraId="09499DC5"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667AF187" w14:textId="77777777">
            <w:pPr>
              <w:pStyle w:val="p-table"/>
              <w:rPr>
                <w:sz w:val="13"/>
                <w:szCs w:val="13"/>
              </w:rPr>
            </w:pPr>
            <w:r w:rsidRPr="003268EE">
              <w:rPr>
                <w:sz w:val="13"/>
                <w:szCs w:val="13"/>
              </w:rPr>
              <w:t>Voortijdige beëindiging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590BE0F"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CD7FC25"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4F10836"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DD4C155"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60998D3" w14:textId="4E2B9E96">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93879F2" w14:textId="2BA81C6A">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6AB0198" w14:textId="7D8D0D7D">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9690567" w14:textId="11CE9EED">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D010A73" w14:textId="0EBBDF08">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6BFAA2EF" w14:textId="24BC0E6C">
            <w:pPr>
              <w:pStyle w:val="p-table"/>
              <w:jc w:val="right"/>
              <w:rPr>
                <w:sz w:val="13"/>
                <w:szCs w:val="13"/>
              </w:rPr>
            </w:pPr>
            <w:r w:rsidRPr="003268EE">
              <w:rPr>
                <w:sz w:val="13"/>
                <w:szCs w:val="13"/>
              </w:rPr>
              <w:t>0</w:t>
            </w:r>
          </w:p>
        </w:tc>
      </w:tr>
      <w:tr w:rsidR="0043364C" w:rsidTr="007433BE" w14:paraId="7DA08F4E"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68363441" w14:textId="77777777">
            <w:pPr>
              <w:pStyle w:val="p-table"/>
              <w:rPr>
                <w:sz w:val="13"/>
                <w:szCs w:val="13"/>
              </w:rPr>
            </w:pPr>
            <w:r w:rsidRPr="003268EE">
              <w:rPr>
                <w:sz w:val="13"/>
                <w:szCs w:val="13"/>
              </w:rPr>
              <w:t>Rente derivaten lang</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27F8978"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1C96AA0"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70C7882"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477F1DD"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8866E92" w14:textId="62879DBD">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84CB53A" w14:textId="366485A0">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1D131E8" w14:textId="15A0024B">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1748832" w14:textId="1B0C279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E99A3D4" w14:textId="75D8F186">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72EE8AA" w14:textId="5EAC9570">
            <w:pPr>
              <w:pStyle w:val="p-table"/>
              <w:jc w:val="right"/>
              <w:rPr>
                <w:sz w:val="13"/>
                <w:szCs w:val="13"/>
              </w:rPr>
            </w:pPr>
            <w:r w:rsidRPr="003268EE">
              <w:rPr>
                <w:sz w:val="13"/>
                <w:szCs w:val="13"/>
              </w:rPr>
              <w:t>0</w:t>
            </w:r>
          </w:p>
        </w:tc>
      </w:tr>
      <w:tr w:rsidR="0043364C" w:rsidTr="007433BE" w14:paraId="7B3ED45D"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13A6A377" w14:textId="77777777">
            <w:pPr>
              <w:pStyle w:val="p-table"/>
              <w:rPr>
                <w:sz w:val="13"/>
                <w:szCs w:val="13"/>
              </w:rPr>
            </w:pPr>
            <w:r w:rsidRPr="003268EE">
              <w:rPr>
                <w:sz w:val="13"/>
                <w:szCs w:val="13"/>
              </w:rPr>
              <w:t>Voortijdige beëindiging derivaten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AD9D715"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21D2C14"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430C107"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D69E123"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1EEF360" w14:textId="4683F76E">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6FB86CA" w14:textId="622A487F">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A6EAFD9" w14:textId="38C5F119">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35D0814" w14:textId="6B190C2C">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30B9EA4" w14:textId="60ECD6E8">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0FD1B5F9" w14:textId="2CC66BC9">
            <w:pPr>
              <w:pStyle w:val="p-table"/>
              <w:jc w:val="right"/>
              <w:rPr>
                <w:sz w:val="13"/>
                <w:szCs w:val="13"/>
              </w:rPr>
            </w:pPr>
            <w:r w:rsidRPr="003268EE">
              <w:rPr>
                <w:sz w:val="13"/>
                <w:szCs w:val="13"/>
              </w:rPr>
              <w:t>0</w:t>
            </w:r>
          </w:p>
        </w:tc>
      </w:tr>
      <w:tr w:rsidR="0043364C" w:rsidTr="007433BE" w14:paraId="0833BF0C"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3465FBDB"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7BD501"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4A75609"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29C8CD5"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AD3A111"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3D6F347" w14:textId="5321CEB7">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83FA60F" w14:textId="5304345F">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CD28149" w14:textId="6359FDF2">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2B6C6AD" w14:textId="0E701A2A">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8F0D01D" w14:textId="7DA86A49">
            <w:pPr>
              <w:pStyle w:val="p-table"/>
              <w:jc w:val="right"/>
              <w:rPr>
                <w:b/>
                <w:bCs/>
                <w:sz w:val="13"/>
                <w:szCs w:val="13"/>
              </w:rPr>
            </w:pPr>
            <w:r w:rsidRPr="003268EE">
              <w:rPr>
                <w:b/>
                <w:bCs/>
                <w:sz w:val="13"/>
                <w:szCs w:val="13"/>
              </w:rPr>
              <w:t> </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696CA646" w14:textId="41027917">
            <w:pPr>
              <w:pStyle w:val="p-table"/>
              <w:jc w:val="right"/>
              <w:rPr>
                <w:b/>
                <w:bCs/>
                <w:sz w:val="13"/>
                <w:szCs w:val="13"/>
              </w:rPr>
            </w:pPr>
            <w:r w:rsidRPr="003268EE">
              <w:rPr>
                <w:b/>
                <w:bCs/>
                <w:sz w:val="13"/>
                <w:szCs w:val="13"/>
              </w:rPr>
              <w:t> </w:t>
            </w:r>
          </w:p>
        </w:tc>
      </w:tr>
      <w:tr w:rsidR="0043364C" w:rsidTr="007433BE" w14:paraId="215301D1"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4434ED40" w14:textId="77777777">
            <w:pPr>
              <w:pStyle w:val="p-table"/>
              <w:rPr>
                <w:sz w:val="13"/>
                <w:szCs w:val="13"/>
              </w:rPr>
            </w:pPr>
            <w:r w:rsidRPr="003268EE">
              <w:rPr>
                <w:b/>
                <w:sz w:val="13"/>
                <w:szCs w:val="13"/>
              </w:rPr>
              <w:t>Leningen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D7E8B70" w14:textId="77777777">
            <w:pPr>
              <w:pStyle w:val="p-table"/>
              <w:jc w:val="right"/>
              <w:rPr>
                <w:sz w:val="13"/>
                <w:szCs w:val="13"/>
              </w:rPr>
            </w:pPr>
            <w:r w:rsidRPr="003268EE">
              <w:rPr>
                <w:b/>
                <w:sz w:val="13"/>
                <w:szCs w:val="13"/>
              </w:rPr>
              <w:t>85.334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AB823B3"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53E65F7" w14:textId="77777777">
            <w:pPr>
              <w:pStyle w:val="p-table"/>
              <w:jc w:val="right"/>
              <w:rPr>
                <w:sz w:val="13"/>
                <w:szCs w:val="13"/>
              </w:rPr>
            </w:pPr>
            <w:r w:rsidRPr="003268EE">
              <w:rPr>
                <w:b/>
                <w:sz w:val="13"/>
                <w:szCs w:val="13"/>
              </w:rPr>
              <w:t>85.334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5DA89B4" w14:textId="68A608C8">
            <w:pPr>
              <w:pStyle w:val="p-table"/>
              <w:jc w:val="right"/>
              <w:rPr>
                <w:sz w:val="13"/>
                <w:szCs w:val="13"/>
              </w:rPr>
            </w:pPr>
            <w:r w:rsidRPr="003268EE">
              <w:rPr>
                <w:b/>
                <w:sz w:val="13"/>
                <w:szCs w:val="13"/>
              </w:rPr>
              <w:t>‒ 6.838</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BE1711E" w14:textId="01DB5DD7">
            <w:pPr>
              <w:pStyle w:val="p-table"/>
              <w:jc w:val="right"/>
              <w:rPr>
                <w:b/>
                <w:bCs/>
                <w:sz w:val="13"/>
                <w:szCs w:val="13"/>
              </w:rPr>
            </w:pPr>
            <w:r w:rsidRPr="003268EE">
              <w:rPr>
                <w:b/>
                <w:bCs/>
                <w:sz w:val="13"/>
                <w:szCs w:val="13"/>
              </w:rPr>
              <w:t>78.496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2BD649E" w14:textId="6E83E919">
            <w:pPr>
              <w:pStyle w:val="p-table"/>
              <w:jc w:val="right"/>
              <w:rPr>
                <w:b/>
                <w:bCs/>
                <w:sz w:val="13"/>
                <w:szCs w:val="13"/>
              </w:rPr>
            </w:pPr>
            <w:r w:rsidRPr="003268EE">
              <w:rPr>
                <w:b/>
                <w:bCs/>
                <w:sz w:val="13"/>
                <w:szCs w:val="13"/>
              </w:rPr>
              <w:t>12.044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6C9B746" w14:textId="69B9D1E3">
            <w:pPr>
              <w:pStyle w:val="p-table"/>
              <w:jc w:val="right"/>
              <w:rPr>
                <w:b/>
                <w:bCs/>
                <w:sz w:val="13"/>
                <w:szCs w:val="13"/>
              </w:rPr>
            </w:pPr>
            <w:r w:rsidRPr="003268EE">
              <w:rPr>
                <w:b/>
                <w:bCs/>
                <w:sz w:val="13"/>
                <w:szCs w:val="13"/>
              </w:rPr>
              <w:t>-1.954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388C2E8" w14:textId="129B519F">
            <w:pPr>
              <w:pStyle w:val="p-table"/>
              <w:jc w:val="right"/>
              <w:rPr>
                <w:b/>
                <w:bCs/>
                <w:sz w:val="13"/>
                <w:szCs w:val="13"/>
              </w:rPr>
            </w:pPr>
            <w:r w:rsidRPr="003268EE">
              <w:rPr>
                <w:b/>
                <w:bCs/>
                <w:sz w:val="13"/>
                <w:szCs w:val="13"/>
              </w:rPr>
              <w:t>2.266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0AA4440" w14:textId="1A526C41">
            <w:pPr>
              <w:pStyle w:val="p-table"/>
              <w:jc w:val="right"/>
              <w:rPr>
                <w:b/>
                <w:bCs/>
                <w:sz w:val="13"/>
                <w:szCs w:val="13"/>
              </w:rPr>
            </w:pPr>
            <w:r w:rsidRPr="003268EE">
              <w:rPr>
                <w:b/>
                <w:bCs/>
                <w:sz w:val="13"/>
                <w:szCs w:val="13"/>
              </w:rPr>
              <w:t>-1.391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7F0942C2" w14:textId="63866DF3">
            <w:pPr>
              <w:pStyle w:val="p-table"/>
              <w:jc w:val="right"/>
              <w:rPr>
                <w:b/>
                <w:bCs/>
                <w:sz w:val="13"/>
                <w:szCs w:val="13"/>
              </w:rPr>
            </w:pPr>
            <w:r w:rsidRPr="003268EE">
              <w:rPr>
                <w:b/>
                <w:bCs/>
                <w:sz w:val="13"/>
                <w:szCs w:val="13"/>
              </w:rPr>
              <w:t>55.508</w:t>
            </w:r>
          </w:p>
        </w:tc>
      </w:tr>
      <w:tr w:rsidR="0043364C" w:rsidTr="007433BE" w14:paraId="4A3AAA15"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087973CA" w14:textId="77777777">
            <w:pPr>
              <w:pStyle w:val="p-table"/>
              <w:rPr>
                <w:sz w:val="13"/>
                <w:szCs w:val="13"/>
              </w:rPr>
            </w:pPr>
            <w:r w:rsidRPr="003268EE">
              <w:rPr>
                <w:sz w:val="13"/>
                <w:szCs w:val="13"/>
              </w:rPr>
              <w:t>Uitgifte vaste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65BBD16" w14:textId="77777777">
            <w:pPr>
              <w:pStyle w:val="p-table"/>
              <w:jc w:val="right"/>
              <w:rPr>
                <w:sz w:val="13"/>
                <w:szCs w:val="13"/>
              </w:rPr>
            </w:pPr>
            <w:r w:rsidRPr="003268EE">
              <w:rPr>
                <w:sz w:val="13"/>
                <w:szCs w:val="13"/>
              </w:rPr>
              <w:t>85.334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871D160"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17A4EA7" w14:textId="77777777">
            <w:pPr>
              <w:pStyle w:val="p-table"/>
              <w:jc w:val="right"/>
              <w:rPr>
                <w:sz w:val="13"/>
                <w:szCs w:val="13"/>
              </w:rPr>
            </w:pPr>
            <w:r w:rsidRPr="003268EE">
              <w:rPr>
                <w:sz w:val="13"/>
                <w:szCs w:val="13"/>
              </w:rPr>
              <w:t>85.334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C284366" w14:textId="77777777">
            <w:pPr>
              <w:pStyle w:val="p-table"/>
              <w:jc w:val="right"/>
              <w:rPr>
                <w:sz w:val="13"/>
                <w:szCs w:val="13"/>
              </w:rPr>
            </w:pPr>
            <w:r w:rsidRPr="003268EE">
              <w:rPr>
                <w:sz w:val="13"/>
                <w:szCs w:val="13"/>
              </w:rPr>
              <w:t>‒ 35.334</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7FAE54A7" w14:textId="072C9EDC">
            <w:pPr>
              <w:pStyle w:val="p-table"/>
              <w:jc w:val="right"/>
              <w:rPr>
                <w:sz w:val="13"/>
                <w:szCs w:val="13"/>
              </w:rPr>
            </w:pPr>
            <w:r w:rsidRPr="003268EE">
              <w:rPr>
                <w:sz w:val="13"/>
                <w:szCs w:val="13"/>
              </w:rPr>
              <w:t>50.000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DF27823" w14:textId="3805393E">
            <w:pPr>
              <w:pStyle w:val="p-table"/>
              <w:jc w:val="right"/>
              <w:rPr>
                <w:sz w:val="13"/>
                <w:szCs w:val="13"/>
              </w:rPr>
            </w:pPr>
            <w:r w:rsidRPr="003268EE">
              <w:rPr>
                <w:sz w:val="13"/>
                <w:szCs w:val="13"/>
              </w:rPr>
              <w:t>12.044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9F7BF17" w14:textId="196D594E">
            <w:pPr>
              <w:pStyle w:val="p-table"/>
              <w:jc w:val="right"/>
              <w:rPr>
                <w:sz w:val="13"/>
                <w:szCs w:val="13"/>
              </w:rPr>
            </w:pPr>
            <w:r w:rsidRPr="003268EE">
              <w:rPr>
                <w:sz w:val="13"/>
                <w:szCs w:val="13"/>
              </w:rPr>
              <w:t>-1.954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06AB02A" w14:textId="2C4F3DF5">
            <w:pPr>
              <w:pStyle w:val="p-table"/>
              <w:jc w:val="right"/>
              <w:rPr>
                <w:sz w:val="13"/>
                <w:szCs w:val="13"/>
              </w:rPr>
            </w:pPr>
            <w:r w:rsidRPr="003268EE">
              <w:rPr>
                <w:sz w:val="13"/>
                <w:szCs w:val="13"/>
              </w:rPr>
              <w:t>2.266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F54128" w14:textId="22CEBC2A">
            <w:pPr>
              <w:pStyle w:val="p-table"/>
              <w:jc w:val="right"/>
              <w:rPr>
                <w:sz w:val="13"/>
                <w:szCs w:val="13"/>
              </w:rPr>
            </w:pPr>
            <w:r w:rsidRPr="003268EE">
              <w:rPr>
                <w:sz w:val="13"/>
                <w:szCs w:val="13"/>
              </w:rPr>
              <w:t>-1.391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26D165C9" w14:textId="7C81D8B9">
            <w:pPr>
              <w:pStyle w:val="p-table"/>
              <w:jc w:val="right"/>
              <w:rPr>
                <w:sz w:val="13"/>
                <w:szCs w:val="13"/>
              </w:rPr>
            </w:pPr>
            <w:r w:rsidRPr="003268EE">
              <w:rPr>
                <w:sz w:val="13"/>
                <w:szCs w:val="13"/>
              </w:rPr>
              <w:t>55.508</w:t>
            </w:r>
          </w:p>
        </w:tc>
      </w:tr>
      <w:tr w:rsidR="0043364C" w:rsidTr="007433BE" w14:paraId="42F40B7A"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479BCE35" w14:textId="77777777">
            <w:pPr>
              <w:pStyle w:val="p-table"/>
              <w:rPr>
                <w:sz w:val="13"/>
                <w:szCs w:val="13"/>
              </w:rPr>
            </w:pPr>
            <w:r w:rsidRPr="003268EE">
              <w:rPr>
                <w:sz w:val="13"/>
                <w:szCs w:val="13"/>
              </w:rPr>
              <w:t>Mutatie vlottende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F429448"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83F5D81"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1F3056A"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3238E8B" w14:textId="464B5C90">
            <w:pPr>
              <w:pStyle w:val="p-table"/>
              <w:jc w:val="right"/>
              <w:rPr>
                <w:sz w:val="13"/>
                <w:szCs w:val="13"/>
              </w:rPr>
            </w:pPr>
            <w:r w:rsidRPr="003268EE">
              <w:rPr>
                <w:sz w:val="13"/>
                <w:szCs w:val="13"/>
              </w:rPr>
              <w:t>28.496</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6205EF0" w14:textId="4AA5DC71">
            <w:pPr>
              <w:pStyle w:val="p-table"/>
              <w:jc w:val="right"/>
              <w:rPr>
                <w:sz w:val="13"/>
                <w:szCs w:val="13"/>
              </w:rPr>
            </w:pPr>
            <w:r w:rsidRPr="003268EE">
              <w:rPr>
                <w:sz w:val="13"/>
                <w:szCs w:val="13"/>
              </w:rPr>
              <w:t>28.496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2E6DB00" w14:textId="16F9E21C">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D6C8996" w14:textId="1A9A83B5">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7E6F943" w14:textId="15404719">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2F55AE8" w14:textId="01B31D0B">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39AD2869" w14:textId="445CBBBA">
            <w:pPr>
              <w:pStyle w:val="p-table"/>
              <w:jc w:val="right"/>
              <w:rPr>
                <w:sz w:val="13"/>
                <w:szCs w:val="13"/>
              </w:rPr>
            </w:pPr>
            <w:r w:rsidRPr="003268EE">
              <w:rPr>
                <w:sz w:val="13"/>
                <w:szCs w:val="13"/>
              </w:rPr>
              <w:t>0</w:t>
            </w:r>
          </w:p>
        </w:tc>
      </w:tr>
    </w:tbl>
    <w:p w:rsidR="0084290D" w:rsidRDefault="0084290D" w14:paraId="27691E2A"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34714F71" w14:textId="77777777">
        <w:trPr>
          <w:tblHeader/>
        </w:trPr>
        <w:tc>
          <w:tcPr>
            <w:tcW w:w="5508" w:type="dxa"/>
            <w:gridSpan w:val="2"/>
            <w:tcMar>
              <w:top w:w="22" w:type="dxa"/>
              <w:left w:w="113" w:type="dxa"/>
              <w:bottom w:w="22" w:type="dxa"/>
            </w:tcMar>
          </w:tcPr>
          <w:p w:rsidR="0084290D" w:rsidRDefault="00CF5B93" w14:paraId="06B6F8BE" w14:textId="77777777">
            <w:pPr>
              <w:pStyle w:val="kio2-table-title"/>
            </w:pPr>
            <w:r>
              <w:t>Tabel 29 Geschatte budgetflexibiliteit</w:t>
            </w:r>
          </w:p>
        </w:tc>
      </w:tr>
      <w:tr w:rsidRPr="003268EE" w:rsidR="0084290D" w14:paraId="30ED4FC8" w14:textId="77777777">
        <w:trPr>
          <w:tblHeader/>
        </w:trPr>
        <w:tc>
          <w:tcPr>
            <w:tcW w:w="2754" w:type="dxa"/>
            <w:tcBorders>
              <w:top w:val="single" w:color="000000" w:sz="2" w:space="0"/>
              <w:bottom w:val="single" w:color="009EE0" w:sz="2" w:space="0"/>
            </w:tcBorders>
            <w:tcMar>
              <w:top w:w="28" w:type="dxa"/>
              <w:bottom w:w="28" w:type="dxa"/>
              <w:right w:w="28" w:type="dxa"/>
            </w:tcMar>
          </w:tcPr>
          <w:p w:rsidRPr="003268EE" w:rsidR="0084290D" w:rsidRDefault="0084290D" w14:paraId="7A016149"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1FE396A" w14:textId="77777777">
            <w:pPr>
              <w:pStyle w:val="p-table"/>
              <w:jc w:val="right"/>
              <w:rPr>
                <w:color w:val="000000"/>
                <w:sz w:val="13"/>
                <w:szCs w:val="13"/>
              </w:rPr>
            </w:pPr>
            <w:r w:rsidRPr="003268EE">
              <w:rPr>
                <w:color w:val="000000"/>
                <w:sz w:val="13"/>
                <w:szCs w:val="13"/>
              </w:rPr>
              <w:t>2026</w:t>
            </w:r>
          </w:p>
        </w:tc>
      </w:tr>
      <w:tr w:rsidRPr="003268EE" w:rsidR="0084290D" w14:paraId="1E2C9F80" w14:textId="77777777">
        <w:tc>
          <w:tcPr>
            <w:tcW w:w="2754" w:type="dxa"/>
            <w:tcBorders>
              <w:bottom w:val="single" w:color="009EE0" w:sz="2" w:space="0"/>
            </w:tcBorders>
            <w:tcMar>
              <w:top w:w="22" w:type="dxa"/>
              <w:bottom w:w="22" w:type="dxa"/>
              <w:right w:w="28" w:type="dxa"/>
            </w:tcMar>
          </w:tcPr>
          <w:p w:rsidRPr="003268EE" w:rsidR="0084290D" w:rsidRDefault="00CF5B93" w14:paraId="1B1A6EF2" w14:textId="77777777">
            <w:pPr>
              <w:pStyle w:val="p-table"/>
              <w:rPr>
                <w:sz w:val="13"/>
                <w:szCs w:val="13"/>
              </w:rPr>
            </w:pPr>
            <w:r w:rsidRPr="003268EE">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3268EE" w:rsidR="0084290D" w:rsidRDefault="00CF5B93" w14:paraId="601EF1BC" w14:textId="77777777">
            <w:pPr>
              <w:pStyle w:val="p-table"/>
              <w:jc w:val="right"/>
              <w:rPr>
                <w:sz w:val="13"/>
                <w:szCs w:val="13"/>
              </w:rPr>
            </w:pPr>
            <w:r w:rsidRPr="003268EE">
              <w:rPr>
                <w:sz w:val="13"/>
                <w:szCs w:val="13"/>
              </w:rPr>
              <w:t>99,94%</w:t>
            </w:r>
          </w:p>
        </w:tc>
      </w:tr>
      <w:tr w:rsidRPr="003268EE" w:rsidR="0084290D" w14:paraId="4A0824BD" w14:textId="77777777">
        <w:tc>
          <w:tcPr>
            <w:tcW w:w="2754" w:type="dxa"/>
            <w:tcBorders>
              <w:bottom w:val="single" w:color="009EE0" w:sz="2" w:space="0"/>
            </w:tcBorders>
            <w:tcMar>
              <w:top w:w="22" w:type="dxa"/>
              <w:bottom w:w="22" w:type="dxa"/>
              <w:right w:w="28" w:type="dxa"/>
            </w:tcMar>
          </w:tcPr>
          <w:p w:rsidRPr="003268EE" w:rsidR="0084290D" w:rsidRDefault="00CF5B93" w14:paraId="30EFC20D" w14:textId="77777777">
            <w:pPr>
              <w:pStyle w:val="p-table"/>
              <w:rPr>
                <w:sz w:val="13"/>
                <w:szCs w:val="13"/>
              </w:rPr>
            </w:pPr>
            <w:r w:rsidRPr="003268EE">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78F42A50" w14:textId="77777777">
            <w:pPr>
              <w:pStyle w:val="p-table"/>
              <w:jc w:val="right"/>
              <w:rPr>
                <w:sz w:val="13"/>
                <w:szCs w:val="13"/>
              </w:rPr>
            </w:pPr>
            <w:r w:rsidRPr="003268EE">
              <w:rPr>
                <w:sz w:val="13"/>
                <w:szCs w:val="13"/>
              </w:rPr>
              <w:t>0%</w:t>
            </w:r>
          </w:p>
        </w:tc>
      </w:tr>
      <w:tr w:rsidRPr="003268EE" w:rsidR="0084290D" w14:paraId="6D8F1A0A" w14:textId="77777777">
        <w:tc>
          <w:tcPr>
            <w:tcW w:w="2754" w:type="dxa"/>
            <w:tcBorders>
              <w:bottom w:val="single" w:color="009EE0" w:sz="2" w:space="0"/>
            </w:tcBorders>
            <w:tcMar>
              <w:top w:w="22" w:type="dxa"/>
              <w:bottom w:w="22" w:type="dxa"/>
              <w:right w:w="28" w:type="dxa"/>
            </w:tcMar>
          </w:tcPr>
          <w:p w:rsidRPr="003268EE" w:rsidR="0084290D" w:rsidRDefault="00CF5B93" w14:paraId="3576533B" w14:textId="77777777">
            <w:pPr>
              <w:pStyle w:val="p-table"/>
              <w:rPr>
                <w:sz w:val="13"/>
                <w:szCs w:val="13"/>
              </w:rPr>
            </w:pPr>
            <w:r w:rsidRPr="003268EE">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3268EE" w:rsidR="0084290D" w:rsidRDefault="00CF5B93" w14:paraId="1763DFD8" w14:textId="77777777">
            <w:pPr>
              <w:pStyle w:val="p-table"/>
              <w:jc w:val="right"/>
              <w:rPr>
                <w:sz w:val="13"/>
                <w:szCs w:val="13"/>
              </w:rPr>
            </w:pPr>
            <w:r w:rsidRPr="003268EE">
              <w:rPr>
                <w:sz w:val="13"/>
                <w:szCs w:val="13"/>
              </w:rPr>
              <w:t>0,06%</w:t>
            </w:r>
          </w:p>
        </w:tc>
      </w:tr>
      <w:tr w:rsidRPr="003268EE" w:rsidR="0084290D" w14:paraId="3E16C1DB" w14:textId="77777777">
        <w:tc>
          <w:tcPr>
            <w:tcW w:w="2754" w:type="dxa"/>
            <w:tcBorders>
              <w:bottom w:val="single" w:color="009EE0" w:sz="2" w:space="0"/>
            </w:tcBorders>
            <w:tcMar>
              <w:top w:w="22" w:type="dxa"/>
              <w:bottom w:w="22" w:type="dxa"/>
              <w:right w:w="28" w:type="dxa"/>
            </w:tcMar>
          </w:tcPr>
          <w:p w:rsidRPr="003268EE" w:rsidR="0084290D" w:rsidRDefault="00CF5B93" w14:paraId="25E6D0CB"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22E4C999" w14:textId="77777777">
            <w:pPr>
              <w:pStyle w:val="p-table"/>
              <w:jc w:val="right"/>
              <w:rPr>
                <w:sz w:val="13"/>
                <w:szCs w:val="13"/>
              </w:rPr>
            </w:pPr>
            <w:r w:rsidRPr="003268EE">
              <w:rPr>
                <w:sz w:val="13"/>
                <w:szCs w:val="13"/>
              </w:rPr>
              <w:t>0%</w:t>
            </w:r>
          </w:p>
        </w:tc>
      </w:tr>
    </w:tbl>
    <w:p w:rsidRPr="003268EE" w:rsidR="0084290D" w:rsidRDefault="0084290D" w14:paraId="0A17CF25" w14:textId="77777777">
      <w:pPr>
        <w:pStyle w:val="p-marginbottom"/>
        <w:rPr>
          <w:sz w:val="13"/>
          <w:szCs w:val="13"/>
        </w:rPr>
      </w:pPr>
    </w:p>
    <w:p w:rsidR="0084290D" w:rsidRDefault="0084290D" w14:paraId="4E727716" w14:textId="77777777">
      <w:pPr>
        <w:pStyle w:val="page-break"/>
      </w:pPr>
    </w:p>
    <w:p w:rsidR="0084290D" w:rsidRDefault="00CF5B93" w14:paraId="184F6D1F" w14:textId="77777777">
      <w:pPr>
        <w:pStyle w:val="header-h1"/>
      </w:pPr>
      <w:r>
        <w:t>Toelichting</w:t>
      </w:r>
    </w:p>
    <w:p w:rsidR="0084290D" w:rsidRDefault="0084290D" w14:paraId="3A1A07D8" w14:textId="77777777">
      <w:pPr>
        <w:pStyle w:val="p-marginbottom"/>
      </w:pPr>
    </w:p>
    <w:p w:rsidR="0084290D" w:rsidRDefault="00CF5B93" w14:paraId="13ABAB2F" w14:textId="77777777">
      <w:pPr>
        <w:pStyle w:val="header-h1"/>
      </w:pPr>
      <w:r>
        <w:t>Budgetflexibiliteit</w:t>
      </w:r>
    </w:p>
    <w:p w:rsidR="0084290D" w:rsidRDefault="00CF5B93" w14:paraId="3BD2E904" w14:textId="77777777">
      <w:pPr>
        <w:pStyle w:val="p"/>
      </w:pPr>
      <w:r>
        <w:t>De beleidsmatige ontvangsten en uitgaven met betrekking tot de algemene doelstelling bestaan uit renteontvangsten en -betalingen als gevolg van transacties op de geld- en de kapitaalmarkt. Omdat de verplichtingen voornamelijk voortvloeien uit de in het verleden opgebouwde schuld is de budgetflexibiliteit voor dit artikel zeer gering. De uitgaven zijn voor 99,94% als juridisch verplicht aan te merken. Enkele overige kosten zoals advieskosten (circa € 22 mln. structureel) zijn niet juridisch verplicht.</w:t>
      </w:r>
    </w:p>
    <w:p w:rsidR="0084290D" w:rsidRDefault="00CF5B93" w14:paraId="2542081C" w14:textId="77777777">
      <w:pPr>
        <w:pStyle w:val="p"/>
      </w:pPr>
      <w:r>
        <w:t>Aangezien de (betalings)verplichtingen van de aangegane staatsschuld voortvloeien uit beleids- en bedrijfsvoeringsuitgaven die ten laste van andere begrotingen komen, heeft een verplichtingenbenadering (als begrotingsstelsel) voor de begroting van Nationale Schuld noch uit het oogpunt van budgettaire beheersing, noch uit het oogpunt van budgetrecht meerwaarde ten opzichte van het kasstelsel. Om die reden is in de Comptabiliteitswet 2016 bepaald dat voor de uitgaven ten laste van de begroting van Nationale Schuld de verplichtingen in een jaar gelijkgesteld mogen worden aan de uitgaven in dat jaar.</w:t>
      </w:r>
    </w:p>
    <w:p w:rsidR="0084290D" w:rsidRDefault="00CF5B93" w14:paraId="713DE2DA" w14:textId="77777777">
      <w:pPr>
        <w:pStyle w:val="header-h1"/>
      </w:pPr>
      <w:r>
        <w:t>Verplichtingen en uitgaven</w:t>
      </w:r>
    </w:p>
    <w:p w:rsidR="0084290D" w:rsidRDefault="0084290D" w14:paraId="6E34A660" w14:textId="77777777">
      <w:pPr>
        <w:pStyle w:val="p-marginbottom"/>
      </w:pPr>
    </w:p>
    <w:p w:rsidR="0084290D" w:rsidRDefault="00CF5B93" w14:paraId="74DFA157" w14:textId="77777777">
      <w:pPr>
        <w:pStyle w:val="header-h2"/>
      </w:pPr>
      <w:r>
        <w:t>Rente</w:t>
      </w:r>
    </w:p>
    <w:p w:rsidR="0084290D" w:rsidRDefault="0084290D" w14:paraId="423D792C" w14:textId="77777777">
      <w:pPr>
        <w:pStyle w:val="p-marginbottom"/>
      </w:pPr>
    </w:p>
    <w:p w:rsidR="0084290D" w:rsidRDefault="00CF5B93" w14:paraId="4B5E5C7C" w14:textId="77777777">
      <w:pPr>
        <w:pStyle w:val="header-h5"/>
      </w:pPr>
      <w:r>
        <w:t>Rente vaste schuld</w:t>
      </w:r>
    </w:p>
    <w:p w:rsidR="0022265E" w:rsidP="0022265E" w:rsidRDefault="0022265E" w14:paraId="21D70FC9" w14:textId="77777777">
      <w:pPr>
        <w:pStyle w:val="p"/>
      </w:pPr>
      <w:r w:rsidRPr="0022265E">
        <w:t>In het financieringsplan 2026 is opgenomen dat er in 2026 minder vaste schuld wordt uitgegeven dan waarmee rekening werd gehouden in de begroting. Als gevolg hiervan nemen de rentelasten op de vaste schuld in het lopende begrotingsjaar en in latere jaren af. Daarentegen nemen de rentelasten op de vaste schuld toe vanwege de hogere lange rekenrentes zoals geraamd in het CEP en de neerwaartse bijstelling van het geraamde kassaldo. Per saldo neemt de raming van de rentelasten op de vaste schuld in de jaren 2026 tot en met 2029 af en in het jaar 2030 licht toe. De mutatie in 2031 betreft voornamelijk de extrapolatie van de basisstand.</w:t>
      </w:r>
    </w:p>
    <w:p w:rsidR="0084290D" w:rsidRDefault="00CF5B93" w14:paraId="1954FAA2" w14:textId="77777777">
      <w:pPr>
        <w:pStyle w:val="header-h5"/>
      </w:pPr>
      <w:r>
        <w:t>Rente vlottende schuld</w:t>
      </w:r>
    </w:p>
    <w:p w:rsidR="0022265E" w:rsidP="0022265E" w:rsidRDefault="0022265E" w14:paraId="2A8A16E8" w14:textId="77777777">
      <w:pPr>
        <w:pStyle w:val="p"/>
      </w:pPr>
      <w:r w:rsidRPr="0022265E">
        <w:t>In het financieringsplan 2026 is opgenomen dat er in 2026 meer vlottende schuld wordt uitgegeven dan waarmee rekening werd gehouden in de begroting. Als gevolg hiervan neemt de omvang van de vlottende schuld in 2026 en in latere jaren toe. In combinatie met de naar boven bijgestelde raming van de korte rekenrente in het CEP leidt dit tot hogere rentelasten op de vlottende schuld. Dit effect wordt echter enigszins gedempt door de bijstelling van het kassaldo. In de mutatie in 2031 is ook de extrapolatie van de basisstand verwerkt.</w:t>
      </w:r>
    </w:p>
    <w:p w:rsidR="0084290D" w:rsidRDefault="00CF5B93" w14:paraId="1CF3ECE9" w14:textId="77777777">
      <w:pPr>
        <w:pStyle w:val="header-h2"/>
      </w:pPr>
      <w:r>
        <w:t>Leningen</w:t>
      </w:r>
    </w:p>
    <w:p w:rsidR="0084290D" w:rsidRDefault="0084290D" w14:paraId="54D4734C" w14:textId="77777777">
      <w:pPr>
        <w:pStyle w:val="p-marginbottom"/>
      </w:pPr>
    </w:p>
    <w:p w:rsidR="0084290D" w:rsidRDefault="00CF5B93" w14:paraId="7557FD7A" w14:textId="77777777">
      <w:pPr>
        <w:pStyle w:val="header-h5"/>
      </w:pPr>
      <w:r>
        <w:t>Aflossing vaste schuld</w:t>
      </w:r>
    </w:p>
    <w:p w:rsidR="0022265E" w:rsidP="0022265E" w:rsidRDefault="0022265E" w14:paraId="7DEE92CE" w14:textId="77777777">
      <w:pPr>
        <w:pStyle w:val="p"/>
      </w:pPr>
      <w:r w:rsidRPr="0022265E">
        <w:t>Vanwege de vervroegde aflossing van vaste schuld in 2025 en 2026 wordt er in 2026 meer vaste schuld afgelost en wordt er in 2027 minder vaste schuld afgelost. Vanwege de uitgifte van een nieuwe staatsobligatie in 2026 zal er in 2031 een additioneel bedrag van € 8,2 mld. moeten worden afgelost. In de mutatie in 2031 is ook de extrapolatie van de basisstand verwerkt.</w:t>
      </w:r>
    </w:p>
    <w:p w:rsidR="0084290D" w:rsidRDefault="0084290D" w14:paraId="74717A68" w14:textId="77777777">
      <w:pPr>
        <w:pStyle w:val="page-break"/>
      </w:pPr>
    </w:p>
    <w:p w:rsidR="0084290D" w:rsidRDefault="00CF5B93" w14:paraId="4071E6DC" w14:textId="77777777">
      <w:pPr>
        <w:pStyle w:val="header-h1"/>
      </w:pPr>
      <w:r>
        <w:t>Ontvangsten</w:t>
      </w:r>
    </w:p>
    <w:p w:rsidR="0084290D" w:rsidRDefault="0084290D" w14:paraId="6CB26228" w14:textId="77777777">
      <w:pPr>
        <w:pStyle w:val="p-marginbottom"/>
      </w:pPr>
    </w:p>
    <w:p w:rsidR="0084290D" w:rsidRDefault="00CF5B93" w14:paraId="126C8960" w14:textId="77777777">
      <w:pPr>
        <w:pStyle w:val="header-h2"/>
      </w:pPr>
      <w:r>
        <w:t>Leningen</w:t>
      </w:r>
    </w:p>
    <w:p w:rsidR="0084290D" w:rsidRDefault="0084290D" w14:paraId="68DEF0A1" w14:textId="77777777">
      <w:pPr>
        <w:pStyle w:val="p-marginbottom"/>
      </w:pPr>
    </w:p>
    <w:p w:rsidR="0084290D" w:rsidRDefault="00CF5B93" w14:paraId="4BC238A3" w14:textId="77777777">
      <w:pPr>
        <w:pStyle w:val="header-h5"/>
      </w:pPr>
      <w:r>
        <w:t>Uitgifte vaste schuld</w:t>
      </w:r>
    </w:p>
    <w:p w:rsidR="0022265E" w:rsidP="0022265E" w:rsidRDefault="0022265E" w14:paraId="06EB4097" w14:textId="15894A3A">
      <w:pPr>
        <w:pStyle w:val="p"/>
      </w:pPr>
      <w:r w:rsidRPr="0022265E">
        <w:t>In het financieringsplan 2026 is opgenomen dat er in 2026 minder vaste schuld wordt uitgegeven dan waarmee rekening werd gehouden in de begroting. Verder wordt het bijgestelde kassaldo vanaf 2027 opgevangen met een wijziging in de uitgifte van vaste schuld. Het bijgestelde kassaldo leidt tot een cumulatieve toename in de periode 2027 tot en met 2031. Ten behoeve van de aflossing van een nieuw uitgegeven staatsobligatie zal er in 2031 additionele vaste schuld worden uitgegeven. In de mutatie in 2031 is ook de extrapolatie van de basisstand verwerkt.</w:t>
      </w:r>
    </w:p>
    <w:p w:rsidR="0084290D" w:rsidRDefault="00CF5B93" w14:paraId="29BCCDF2" w14:textId="77777777">
      <w:pPr>
        <w:pStyle w:val="header-h5"/>
      </w:pPr>
      <w:r>
        <w:t>Mutatie vlottende schuld</w:t>
      </w:r>
    </w:p>
    <w:p w:rsidR="0022265E" w:rsidP="0022265E" w:rsidRDefault="0022265E" w14:paraId="4E97ABB0" w14:textId="77777777">
      <w:pPr>
        <w:pStyle w:val="p"/>
      </w:pPr>
      <w:r w:rsidRPr="0022265E">
        <w:t>In het financieringsplan 2026 is opgenomen dat er in 2026 meer vlottende schuld wordt uitgegeven dan waarmee rekening werd gehouden in de vastgestelde begroting. Verder wordt het bijgestelde kassaldo in het lopende begrotingsjaar opgevangen met een mutatie van de vlottende schuld. Per saldo leidt dit tot een toename van € 28,5 mld. in de mutatie van de vlottende schuld in 2026.</w:t>
      </w:r>
    </w:p>
    <w:p w:rsidR="0084290D" w:rsidRDefault="0084290D" w14:paraId="5F6158C1" w14:textId="77777777">
      <w:pPr>
        <w:pStyle w:val="page-break"/>
      </w:pPr>
    </w:p>
    <w:p w:rsidR="0084290D" w:rsidRDefault="00CF5B93" w14:paraId="3496BFE7" w14:textId="77777777">
      <w:pPr>
        <w:pStyle w:val="section-title-3"/>
      </w:pPr>
      <w:r>
        <w:t>Artikel 12 Kasbeheer</w:t>
      </w:r>
    </w:p>
    <w:p w:rsidR="0084290D" w:rsidRDefault="00CF5B93" w14:paraId="164CC7F4"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322"/>
        <w:gridCol w:w="696"/>
        <w:gridCol w:w="696"/>
        <w:gridCol w:w="889"/>
        <w:gridCol w:w="696"/>
        <w:gridCol w:w="889"/>
        <w:gridCol w:w="696"/>
        <w:gridCol w:w="696"/>
        <w:gridCol w:w="696"/>
        <w:gridCol w:w="696"/>
        <w:gridCol w:w="694"/>
      </w:tblGrid>
      <w:tr w:rsidR="0084290D" w:rsidTr="007433BE" w14:paraId="7761B6A2" w14:textId="77777777">
        <w:trPr>
          <w:tblHeader/>
        </w:trPr>
        <w:tc>
          <w:tcPr>
            <w:tcW w:w="5000" w:type="pct"/>
            <w:gridSpan w:val="11"/>
            <w:tcMar>
              <w:top w:w="22" w:type="dxa"/>
              <w:left w:w="113" w:type="dxa"/>
              <w:bottom w:w="22" w:type="dxa"/>
            </w:tcMar>
          </w:tcPr>
          <w:p w:rsidR="0084290D" w:rsidRDefault="00CF5B93" w14:paraId="1A9F969D" w14:textId="77777777">
            <w:pPr>
              <w:pStyle w:val="kio2-table-title"/>
            </w:pPr>
            <w:r>
              <w:t>Tabel 30 Budgettaire gevolgen van beleid artikel 12 Kasbeheer (bedragen x € 1 mln.)</w:t>
            </w:r>
          </w:p>
        </w:tc>
      </w:tr>
      <w:tr w:rsidR="0084290D" w:rsidTr="007433BE" w14:paraId="117A1B34" w14:textId="77777777">
        <w:trPr>
          <w:tblHeader/>
        </w:trPr>
        <w:tc>
          <w:tcPr>
            <w:tcW w:w="1201" w:type="pct"/>
            <w:tcBorders>
              <w:top w:val="single" w:color="000000" w:sz="2" w:space="0"/>
            </w:tcBorders>
            <w:tcMar>
              <w:top w:w="28" w:type="dxa"/>
              <w:bottom w:w="28" w:type="dxa"/>
              <w:right w:w="28" w:type="dxa"/>
            </w:tcMar>
          </w:tcPr>
          <w:p w:rsidRPr="003268EE" w:rsidR="0084290D" w:rsidRDefault="00CF5B93" w14:paraId="7AA86E7E" w14:textId="77777777">
            <w:pPr>
              <w:pStyle w:val="p-table"/>
              <w:rPr>
                <w:color w:val="000000"/>
                <w:sz w:val="13"/>
                <w:szCs w:val="13"/>
              </w:rPr>
            </w:pPr>
            <w:r w:rsidRPr="003268EE">
              <w:rPr>
                <w:color w:val="000000"/>
                <w:sz w:val="13"/>
                <w:szCs w:val="13"/>
              </w:rPr>
              <w:t>Omschrijving</w:t>
            </w:r>
          </w:p>
        </w:tc>
        <w:tc>
          <w:tcPr>
            <w:tcW w:w="360" w:type="pct"/>
            <w:tcBorders>
              <w:top w:val="single" w:color="000000" w:sz="2" w:space="0"/>
            </w:tcBorders>
            <w:tcMar>
              <w:top w:w="28" w:type="dxa"/>
              <w:left w:w="28" w:type="dxa"/>
              <w:bottom w:w="28" w:type="dxa"/>
              <w:right w:w="28" w:type="dxa"/>
            </w:tcMar>
          </w:tcPr>
          <w:p w:rsidRPr="003268EE" w:rsidR="0084290D" w:rsidRDefault="00CF5B93" w14:paraId="2AA3CB8A" w14:textId="77777777">
            <w:pPr>
              <w:pStyle w:val="p-table"/>
              <w:jc w:val="right"/>
              <w:rPr>
                <w:color w:val="000000"/>
                <w:sz w:val="13"/>
                <w:szCs w:val="13"/>
              </w:rPr>
            </w:pPr>
            <w:r w:rsidRPr="003268EE">
              <w:rPr>
                <w:color w:val="000000"/>
                <w:sz w:val="13"/>
                <w:szCs w:val="13"/>
              </w:rPr>
              <w:t>Ontwerpbegroting 2026 (1)</w:t>
            </w:r>
          </w:p>
        </w:tc>
        <w:tc>
          <w:tcPr>
            <w:tcW w:w="360" w:type="pct"/>
            <w:tcBorders>
              <w:top w:val="single" w:color="000000" w:sz="2" w:space="0"/>
            </w:tcBorders>
            <w:tcMar>
              <w:top w:w="28" w:type="dxa"/>
              <w:left w:w="28" w:type="dxa"/>
              <w:bottom w:w="28" w:type="dxa"/>
              <w:right w:w="28" w:type="dxa"/>
            </w:tcMar>
          </w:tcPr>
          <w:p w:rsidRPr="003268EE" w:rsidR="0084290D" w:rsidRDefault="00CF5B93" w14:paraId="68C43908" w14:textId="77777777">
            <w:pPr>
              <w:pStyle w:val="p-table"/>
              <w:jc w:val="right"/>
              <w:rPr>
                <w:color w:val="000000"/>
                <w:sz w:val="13"/>
                <w:szCs w:val="13"/>
              </w:rPr>
            </w:pPr>
            <w:r w:rsidRPr="003268EE">
              <w:rPr>
                <w:color w:val="000000"/>
                <w:sz w:val="13"/>
                <w:szCs w:val="13"/>
              </w:rPr>
              <w:t>Mutaties via NvW, moties, amendementen en ISB (2)</w:t>
            </w:r>
          </w:p>
        </w:tc>
        <w:tc>
          <w:tcPr>
            <w:tcW w:w="460" w:type="pct"/>
            <w:tcBorders>
              <w:top w:val="single" w:color="000000" w:sz="2" w:space="0"/>
            </w:tcBorders>
            <w:tcMar>
              <w:top w:w="28" w:type="dxa"/>
              <w:left w:w="28" w:type="dxa"/>
              <w:bottom w:w="28" w:type="dxa"/>
              <w:right w:w="28" w:type="dxa"/>
            </w:tcMar>
          </w:tcPr>
          <w:p w:rsidRPr="003268EE" w:rsidR="0084290D" w:rsidRDefault="00CF5B93" w14:paraId="4ACCE82F" w14:textId="77777777">
            <w:pPr>
              <w:pStyle w:val="p-table"/>
              <w:jc w:val="right"/>
              <w:rPr>
                <w:color w:val="000000"/>
                <w:sz w:val="13"/>
                <w:szCs w:val="13"/>
              </w:rPr>
            </w:pPr>
            <w:r w:rsidRPr="003268EE">
              <w:rPr>
                <w:color w:val="000000"/>
                <w:sz w:val="13"/>
                <w:szCs w:val="13"/>
              </w:rPr>
              <w:t>Vastgestelde begroting 2026 (3)=(1)+(2)</w:t>
            </w:r>
          </w:p>
        </w:tc>
        <w:tc>
          <w:tcPr>
            <w:tcW w:w="360" w:type="pct"/>
            <w:tcBorders>
              <w:top w:val="single" w:color="000000" w:sz="2" w:space="0"/>
            </w:tcBorders>
            <w:tcMar>
              <w:top w:w="28" w:type="dxa"/>
              <w:left w:w="28" w:type="dxa"/>
              <w:bottom w:w="28" w:type="dxa"/>
              <w:right w:w="28" w:type="dxa"/>
            </w:tcMar>
          </w:tcPr>
          <w:p w:rsidRPr="003268EE" w:rsidR="0084290D" w:rsidRDefault="00CF5B93" w14:paraId="31F42BB7"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460" w:type="pct"/>
            <w:tcBorders>
              <w:top w:val="single" w:color="000000" w:sz="2" w:space="0"/>
            </w:tcBorders>
            <w:tcMar>
              <w:top w:w="28" w:type="dxa"/>
              <w:left w:w="28" w:type="dxa"/>
              <w:bottom w:w="28" w:type="dxa"/>
              <w:right w:w="28" w:type="dxa"/>
            </w:tcMar>
          </w:tcPr>
          <w:p w:rsidRPr="003268EE" w:rsidR="0084290D" w:rsidRDefault="00CF5B93" w14:paraId="7F3DE0BF"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60" w:type="pct"/>
            <w:tcBorders>
              <w:top w:val="single" w:color="000000" w:sz="2" w:space="0"/>
            </w:tcBorders>
            <w:tcMar>
              <w:top w:w="28" w:type="dxa"/>
              <w:left w:w="28" w:type="dxa"/>
              <w:bottom w:w="28" w:type="dxa"/>
              <w:right w:w="28" w:type="dxa"/>
            </w:tcMar>
          </w:tcPr>
          <w:p w:rsidRPr="003268EE" w:rsidR="0084290D" w:rsidRDefault="00CF5B93" w14:paraId="03E3F45B" w14:textId="77777777">
            <w:pPr>
              <w:pStyle w:val="p-table"/>
              <w:jc w:val="right"/>
              <w:rPr>
                <w:color w:val="000000"/>
                <w:sz w:val="13"/>
                <w:szCs w:val="13"/>
              </w:rPr>
            </w:pPr>
            <w:r w:rsidRPr="003268EE">
              <w:rPr>
                <w:color w:val="000000"/>
                <w:sz w:val="13"/>
                <w:szCs w:val="13"/>
              </w:rPr>
              <w:t>Mutatie 2027</w:t>
            </w:r>
          </w:p>
        </w:tc>
        <w:tc>
          <w:tcPr>
            <w:tcW w:w="360" w:type="pct"/>
            <w:tcBorders>
              <w:top w:val="single" w:color="000000" w:sz="2" w:space="0"/>
            </w:tcBorders>
            <w:tcMar>
              <w:top w:w="28" w:type="dxa"/>
              <w:left w:w="28" w:type="dxa"/>
              <w:bottom w:w="28" w:type="dxa"/>
              <w:right w:w="28" w:type="dxa"/>
            </w:tcMar>
          </w:tcPr>
          <w:p w:rsidRPr="003268EE" w:rsidR="0084290D" w:rsidRDefault="00CF5B93" w14:paraId="5B21E900" w14:textId="77777777">
            <w:pPr>
              <w:pStyle w:val="p-table"/>
              <w:jc w:val="right"/>
              <w:rPr>
                <w:color w:val="000000"/>
                <w:sz w:val="13"/>
                <w:szCs w:val="13"/>
              </w:rPr>
            </w:pPr>
            <w:r w:rsidRPr="003268EE">
              <w:rPr>
                <w:color w:val="000000"/>
                <w:sz w:val="13"/>
                <w:szCs w:val="13"/>
              </w:rPr>
              <w:t>Mutatie 2028</w:t>
            </w:r>
          </w:p>
        </w:tc>
        <w:tc>
          <w:tcPr>
            <w:tcW w:w="360" w:type="pct"/>
            <w:tcBorders>
              <w:top w:val="single" w:color="000000" w:sz="2" w:space="0"/>
            </w:tcBorders>
            <w:tcMar>
              <w:top w:w="28" w:type="dxa"/>
              <w:left w:w="28" w:type="dxa"/>
              <w:bottom w:w="28" w:type="dxa"/>
              <w:right w:w="28" w:type="dxa"/>
            </w:tcMar>
          </w:tcPr>
          <w:p w:rsidRPr="003268EE" w:rsidR="0084290D" w:rsidRDefault="00CF5B93" w14:paraId="3EF489B4" w14:textId="77777777">
            <w:pPr>
              <w:pStyle w:val="p-table"/>
              <w:jc w:val="right"/>
              <w:rPr>
                <w:color w:val="000000"/>
                <w:sz w:val="13"/>
                <w:szCs w:val="13"/>
              </w:rPr>
            </w:pPr>
            <w:r w:rsidRPr="003268EE">
              <w:rPr>
                <w:color w:val="000000"/>
                <w:sz w:val="13"/>
                <w:szCs w:val="13"/>
              </w:rPr>
              <w:t>Mutatie 2029</w:t>
            </w:r>
          </w:p>
        </w:tc>
        <w:tc>
          <w:tcPr>
            <w:tcW w:w="360" w:type="pct"/>
            <w:tcBorders>
              <w:top w:val="single" w:color="000000" w:sz="2" w:space="0"/>
            </w:tcBorders>
            <w:tcMar>
              <w:top w:w="28" w:type="dxa"/>
              <w:left w:w="28" w:type="dxa"/>
              <w:bottom w:w="28" w:type="dxa"/>
              <w:right w:w="28" w:type="dxa"/>
            </w:tcMar>
          </w:tcPr>
          <w:p w:rsidRPr="003268EE" w:rsidR="0084290D" w:rsidRDefault="00CF5B93" w14:paraId="46539D06" w14:textId="77777777">
            <w:pPr>
              <w:pStyle w:val="p-table"/>
              <w:jc w:val="right"/>
              <w:rPr>
                <w:color w:val="000000"/>
                <w:sz w:val="13"/>
                <w:szCs w:val="13"/>
              </w:rPr>
            </w:pPr>
            <w:r w:rsidRPr="003268EE">
              <w:rPr>
                <w:color w:val="000000"/>
                <w:sz w:val="13"/>
                <w:szCs w:val="13"/>
              </w:rPr>
              <w:t>Mutatie 2030</w:t>
            </w:r>
          </w:p>
        </w:tc>
        <w:tc>
          <w:tcPr>
            <w:tcW w:w="360" w:type="pct"/>
            <w:tcBorders>
              <w:top w:val="single" w:color="000000" w:sz="2" w:space="0"/>
            </w:tcBorders>
            <w:tcMar>
              <w:top w:w="28" w:type="dxa"/>
              <w:left w:w="28" w:type="dxa"/>
              <w:bottom w:w="28" w:type="dxa"/>
              <w:right w:w="28" w:type="dxa"/>
            </w:tcMar>
          </w:tcPr>
          <w:p w:rsidRPr="003268EE" w:rsidR="0084290D" w:rsidRDefault="00CF5B93" w14:paraId="10BBD8D5" w14:textId="77777777">
            <w:pPr>
              <w:pStyle w:val="p-table"/>
              <w:jc w:val="right"/>
              <w:rPr>
                <w:color w:val="000000"/>
                <w:sz w:val="13"/>
                <w:szCs w:val="13"/>
              </w:rPr>
            </w:pPr>
            <w:r w:rsidRPr="003268EE">
              <w:rPr>
                <w:color w:val="000000"/>
                <w:sz w:val="13"/>
                <w:szCs w:val="13"/>
              </w:rPr>
              <w:t>Mutatie 2031</w:t>
            </w:r>
          </w:p>
        </w:tc>
      </w:tr>
      <w:tr w:rsidR="0084290D" w:rsidTr="007433BE" w14:paraId="6935F1A3" w14:textId="77777777">
        <w:trPr>
          <w:tblHeader/>
        </w:trPr>
        <w:tc>
          <w:tcPr>
            <w:tcW w:w="4640" w:type="pct"/>
            <w:gridSpan w:val="10"/>
            <w:tcBorders>
              <w:bottom w:val="single" w:color="009EE0" w:sz="2" w:space="0"/>
            </w:tcBorders>
            <w:tcMar>
              <w:top w:w="28" w:type="dxa"/>
              <w:bottom w:w="28" w:type="dxa"/>
              <w:right w:w="28" w:type="dxa"/>
            </w:tcMar>
          </w:tcPr>
          <w:p w:rsidRPr="003268EE" w:rsidR="0084290D" w:rsidRDefault="0084290D" w14:paraId="147259BC" w14:textId="77777777">
            <w:pPr>
              <w:pStyle w:val="p-table"/>
              <w:rPr>
                <w:color w:val="000000"/>
                <w:sz w:val="13"/>
                <w:szCs w:val="13"/>
              </w:rPr>
            </w:pPr>
          </w:p>
        </w:tc>
        <w:tc>
          <w:tcPr>
            <w:tcW w:w="360" w:type="pct"/>
            <w:tcBorders>
              <w:bottom w:val="single" w:color="009EE0" w:sz="2" w:space="0"/>
            </w:tcBorders>
            <w:tcMar>
              <w:top w:w="28" w:type="dxa"/>
              <w:left w:w="28" w:type="dxa"/>
              <w:bottom w:w="28" w:type="dxa"/>
              <w:right w:w="28" w:type="dxa"/>
            </w:tcMar>
          </w:tcPr>
          <w:p w:rsidRPr="003268EE" w:rsidR="0084290D" w:rsidRDefault="0084290D" w14:paraId="01E92B7C" w14:textId="77777777">
            <w:pPr>
              <w:pStyle w:val="p-table"/>
              <w:rPr>
                <w:color w:val="000000"/>
                <w:sz w:val="13"/>
                <w:szCs w:val="13"/>
              </w:rPr>
            </w:pPr>
          </w:p>
        </w:tc>
      </w:tr>
      <w:tr w:rsidR="0022265E" w:rsidTr="007433BE" w14:paraId="40141063" w14:textId="77777777">
        <w:trPr>
          <w:tblHeader/>
        </w:trPr>
        <w:tc>
          <w:tcPr>
            <w:tcW w:w="1201" w:type="pct"/>
            <w:tcBorders>
              <w:bottom w:val="single" w:color="009EE0" w:sz="2" w:space="0"/>
            </w:tcBorders>
            <w:tcMar>
              <w:top w:w="28" w:type="dxa"/>
              <w:bottom w:w="28" w:type="dxa"/>
              <w:right w:w="28" w:type="dxa"/>
            </w:tcMar>
          </w:tcPr>
          <w:p w:rsidRPr="003268EE" w:rsidR="0022265E" w:rsidP="0022265E" w:rsidRDefault="0022265E" w14:paraId="5583DFE5" w14:textId="77777777">
            <w:pPr>
              <w:pStyle w:val="p-table"/>
              <w:rPr>
                <w:b/>
                <w:bCs/>
                <w:color w:val="000000"/>
                <w:sz w:val="13"/>
                <w:szCs w:val="13"/>
              </w:rPr>
            </w:pPr>
            <w:r w:rsidRPr="003268EE">
              <w:rPr>
                <w:b/>
                <w:bCs/>
                <w:color w:val="000000"/>
                <w:sz w:val="13"/>
                <w:szCs w:val="13"/>
              </w:rPr>
              <w:t>Verplichtingen</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3F313154" w14:textId="77777777">
            <w:pPr>
              <w:pStyle w:val="p-table"/>
              <w:jc w:val="right"/>
              <w:rPr>
                <w:b/>
                <w:bCs/>
                <w:color w:val="000000"/>
                <w:sz w:val="13"/>
                <w:szCs w:val="13"/>
              </w:rPr>
            </w:pPr>
            <w:r w:rsidRPr="003268EE">
              <w:rPr>
                <w:b/>
                <w:bCs/>
                <w:color w:val="000000"/>
                <w:sz w:val="13"/>
                <w:szCs w:val="13"/>
              </w:rPr>
              <w:t>4.826</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5D3E34E3" w14:textId="77777777">
            <w:pPr>
              <w:pStyle w:val="p-table"/>
              <w:jc w:val="right"/>
              <w:rPr>
                <w:b/>
                <w:bCs/>
                <w:color w:val="000000"/>
                <w:sz w:val="13"/>
                <w:szCs w:val="13"/>
              </w:rPr>
            </w:pPr>
            <w:r w:rsidRPr="003268EE">
              <w:rPr>
                <w:b/>
                <w:bCs/>
                <w:color w:val="000000"/>
                <w:sz w:val="13"/>
                <w:szCs w:val="13"/>
              </w:rPr>
              <w:t>0</w:t>
            </w:r>
          </w:p>
        </w:tc>
        <w:tc>
          <w:tcPr>
            <w:tcW w:w="460" w:type="pct"/>
            <w:tcBorders>
              <w:bottom w:val="single" w:color="009EE0" w:sz="2" w:space="0"/>
            </w:tcBorders>
            <w:tcMar>
              <w:top w:w="28" w:type="dxa"/>
              <w:left w:w="28" w:type="dxa"/>
              <w:bottom w:w="28" w:type="dxa"/>
              <w:right w:w="28" w:type="dxa"/>
            </w:tcMar>
          </w:tcPr>
          <w:p w:rsidRPr="003268EE" w:rsidR="0022265E" w:rsidP="0022265E" w:rsidRDefault="0022265E" w14:paraId="367FCC58" w14:textId="77777777">
            <w:pPr>
              <w:pStyle w:val="p-table"/>
              <w:jc w:val="right"/>
              <w:rPr>
                <w:b/>
                <w:bCs/>
                <w:color w:val="000000"/>
                <w:sz w:val="13"/>
                <w:szCs w:val="13"/>
              </w:rPr>
            </w:pPr>
            <w:r w:rsidRPr="003268EE">
              <w:rPr>
                <w:b/>
                <w:bCs/>
                <w:color w:val="000000"/>
                <w:sz w:val="13"/>
                <w:szCs w:val="13"/>
              </w:rPr>
              <w:t>4.826</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5FCF2AAD" w14:textId="0AD8A4D2">
            <w:pPr>
              <w:pStyle w:val="p-table"/>
              <w:jc w:val="right"/>
              <w:rPr>
                <w:b/>
                <w:bCs/>
                <w:color w:val="000000"/>
                <w:sz w:val="13"/>
                <w:szCs w:val="13"/>
              </w:rPr>
            </w:pPr>
            <w:r w:rsidRPr="003268EE">
              <w:rPr>
                <w:b/>
                <w:bCs/>
                <w:color w:val="000000"/>
                <w:sz w:val="13"/>
                <w:szCs w:val="13"/>
              </w:rPr>
              <w:t>458</w:t>
            </w:r>
          </w:p>
        </w:tc>
        <w:tc>
          <w:tcPr>
            <w:tcW w:w="460" w:type="pct"/>
            <w:tcBorders>
              <w:bottom w:val="single" w:color="009EE0" w:sz="2" w:space="0"/>
            </w:tcBorders>
            <w:tcMar>
              <w:top w:w="28" w:type="dxa"/>
              <w:left w:w="28" w:type="dxa"/>
              <w:bottom w:w="28" w:type="dxa"/>
              <w:right w:w="28" w:type="dxa"/>
            </w:tcMar>
          </w:tcPr>
          <w:p w:rsidRPr="003268EE" w:rsidR="0022265E" w:rsidP="0022265E" w:rsidRDefault="0022265E" w14:paraId="29A51F77" w14:textId="57DEC9BB">
            <w:pPr>
              <w:pStyle w:val="p-table"/>
              <w:jc w:val="right"/>
              <w:rPr>
                <w:b/>
                <w:bCs/>
                <w:color w:val="000000"/>
                <w:sz w:val="13"/>
                <w:szCs w:val="13"/>
              </w:rPr>
            </w:pPr>
            <w:r w:rsidRPr="003268EE">
              <w:rPr>
                <w:b/>
                <w:bCs/>
                <w:color w:val="000000"/>
                <w:sz w:val="13"/>
                <w:szCs w:val="13"/>
              </w:rPr>
              <w:t>5.283</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3EB4F24B" w14:textId="7A402828">
            <w:pPr>
              <w:pStyle w:val="p-table"/>
              <w:jc w:val="right"/>
              <w:rPr>
                <w:b/>
                <w:bCs/>
                <w:color w:val="000000"/>
                <w:sz w:val="13"/>
                <w:szCs w:val="13"/>
              </w:rPr>
            </w:pPr>
            <w:r w:rsidRPr="003268EE">
              <w:rPr>
                <w:b/>
                <w:bCs/>
                <w:color w:val="000000"/>
                <w:sz w:val="13"/>
                <w:szCs w:val="13"/>
              </w:rPr>
              <w:t>442</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3EC00DD3" w14:textId="7582426B">
            <w:pPr>
              <w:pStyle w:val="p-table"/>
              <w:jc w:val="right"/>
              <w:rPr>
                <w:b/>
                <w:bCs/>
                <w:color w:val="000000"/>
                <w:sz w:val="13"/>
                <w:szCs w:val="13"/>
              </w:rPr>
            </w:pPr>
            <w:r w:rsidRPr="003268EE">
              <w:rPr>
                <w:b/>
                <w:bCs/>
                <w:color w:val="000000"/>
                <w:sz w:val="13"/>
                <w:szCs w:val="13"/>
              </w:rPr>
              <w:t>551</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68DF24AD" w14:textId="6BE41069">
            <w:pPr>
              <w:pStyle w:val="p-table"/>
              <w:jc w:val="right"/>
              <w:rPr>
                <w:b/>
                <w:bCs/>
                <w:color w:val="000000"/>
                <w:sz w:val="13"/>
                <w:szCs w:val="13"/>
              </w:rPr>
            </w:pPr>
            <w:r w:rsidRPr="003268EE">
              <w:rPr>
                <w:b/>
                <w:bCs/>
                <w:color w:val="000000"/>
                <w:sz w:val="13"/>
                <w:szCs w:val="13"/>
              </w:rPr>
              <w:t>733</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538EF68F" w14:textId="3953DDB4">
            <w:pPr>
              <w:pStyle w:val="p-table"/>
              <w:jc w:val="right"/>
              <w:rPr>
                <w:b/>
                <w:bCs/>
                <w:color w:val="000000"/>
                <w:sz w:val="13"/>
                <w:szCs w:val="13"/>
              </w:rPr>
            </w:pPr>
            <w:r w:rsidRPr="003268EE">
              <w:rPr>
                <w:b/>
                <w:bCs/>
                <w:color w:val="000000"/>
                <w:sz w:val="13"/>
                <w:szCs w:val="13"/>
              </w:rPr>
              <w:t>955</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2E95B380" w14:textId="32C3EAE4">
            <w:pPr>
              <w:pStyle w:val="p-table"/>
              <w:jc w:val="right"/>
              <w:rPr>
                <w:b/>
                <w:bCs/>
                <w:color w:val="000000"/>
                <w:sz w:val="13"/>
                <w:szCs w:val="13"/>
              </w:rPr>
            </w:pPr>
            <w:r w:rsidRPr="003268EE">
              <w:rPr>
                <w:b/>
                <w:bCs/>
                <w:color w:val="000000"/>
                <w:sz w:val="13"/>
                <w:szCs w:val="13"/>
              </w:rPr>
              <w:t>9.019</w:t>
            </w:r>
          </w:p>
        </w:tc>
      </w:tr>
      <w:tr w:rsidR="0022265E" w:rsidTr="007433BE" w14:paraId="3677A12D" w14:textId="77777777">
        <w:tc>
          <w:tcPr>
            <w:tcW w:w="1201" w:type="pct"/>
            <w:tcMar>
              <w:top w:w="22" w:type="dxa"/>
              <w:bottom w:w="22" w:type="dxa"/>
              <w:right w:w="28" w:type="dxa"/>
            </w:tcMar>
          </w:tcPr>
          <w:p w:rsidRPr="003268EE" w:rsidR="0022265E" w:rsidP="0022265E" w:rsidRDefault="0022265E" w14:paraId="5CC58C77"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1AA9DA7"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96EE324"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1E0C9CE5" w14:textId="77777777">
            <w:pPr>
              <w:pStyle w:val="p-table"/>
              <w:rPr>
                <w:sz w:val="13"/>
                <w:szCs w:val="13"/>
              </w:rPr>
            </w:pPr>
          </w:p>
        </w:tc>
        <w:tc>
          <w:tcPr>
            <w:tcW w:w="360" w:type="pct"/>
            <w:tcMar>
              <w:top w:w="22" w:type="dxa"/>
              <w:left w:w="28" w:type="dxa"/>
              <w:bottom w:w="22" w:type="dxa"/>
              <w:right w:w="28" w:type="dxa"/>
            </w:tcMar>
            <w:vAlign w:val="bottom"/>
          </w:tcPr>
          <w:p w:rsidRPr="003268EE" w:rsidR="0022265E" w:rsidP="0022265E" w:rsidRDefault="0022265E" w14:paraId="64EBB53C" w14:textId="77777777">
            <w:pPr>
              <w:pStyle w:val="p-table"/>
              <w:jc w:val="right"/>
              <w:rPr>
                <w:color w:val="000000"/>
                <w:sz w:val="13"/>
                <w:szCs w:val="13"/>
              </w:rPr>
            </w:pPr>
          </w:p>
        </w:tc>
        <w:tc>
          <w:tcPr>
            <w:tcW w:w="460" w:type="pct"/>
            <w:tcMar>
              <w:top w:w="22" w:type="dxa"/>
              <w:left w:w="28" w:type="dxa"/>
              <w:bottom w:w="22" w:type="dxa"/>
              <w:right w:w="28" w:type="dxa"/>
            </w:tcMar>
            <w:vAlign w:val="bottom"/>
          </w:tcPr>
          <w:p w:rsidRPr="003268EE" w:rsidR="0022265E" w:rsidP="0022265E" w:rsidRDefault="0022265E" w14:paraId="4194B9E7"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01ACBD78"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5AED634F"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6007A8D0"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20E41F9C"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6A9D7AA9" w14:textId="77777777">
            <w:pPr>
              <w:pStyle w:val="p-table"/>
              <w:jc w:val="right"/>
              <w:rPr>
                <w:color w:val="000000"/>
                <w:sz w:val="13"/>
                <w:szCs w:val="13"/>
              </w:rPr>
            </w:pPr>
          </w:p>
        </w:tc>
      </w:tr>
      <w:tr w:rsidR="0022265E" w:rsidTr="007433BE" w14:paraId="4556A287"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266F17E3" w14:textId="77777777">
            <w:pPr>
              <w:pStyle w:val="p-table"/>
              <w:rPr>
                <w:sz w:val="13"/>
                <w:szCs w:val="13"/>
              </w:rPr>
            </w:pPr>
            <w:r w:rsidRPr="003268EE">
              <w:rPr>
                <w:b/>
                <w:sz w:val="13"/>
                <w:szCs w:val="13"/>
              </w:rPr>
              <w:t>Uitgaven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EF41F75" w14:textId="77777777">
            <w:pPr>
              <w:pStyle w:val="p-table"/>
              <w:jc w:val="right"/>
              <w:rPr>
                <w:sz w:val="13"/>
                <w:szCs w:val="13"/>
              </w:rPr>
            </w:pPr>
            <w:r w:rsidRPr="003268EE">
              <w:rPr>
                <w:b/>
                <w:sz w:val="13"/>
                <w:szCs w:val="13"/>
              </w:rPr>
              <w:t>4.826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66783A0"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0C316CD7" w14:textId="77777777">
            <w:pPr>
              <w:pStyle w:val="p-table"/>
              <w:jc w:val="right"/>
              <w:rPr>
                <w:sz w:val="13"/>
                <w:szCs w:val="13"/>
              </w:rPr>
            </w:pPr>
            <w:r w:rsidRPr="003268EE">
              <w:rPr>
                <w:b/>
                <w:sz w:val="13"/>
                <w:szCs w:val="13"/>
              </w:rPr>
              <w:t>4.826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F29342B" w14:textId="088AA0C6">
            <w:pPr>
              <w:pStyle w:val="p-table"/>
              <w:jc w:val="right"/>
              <w:rPr>
                <w:b/>
                <w:bCs/>
                <w:color w:val="000000"/>
                <w:sz w:val="13"/>
                <w:szCs w:val="13"/>
              </w:rPr>
            </w:pPr>
            <w:r w:rsidRPr="003268EE">
              <w:rPr>
                <w:b/>
                <w:bCs/>
                <w:color w:val="000000"/>
                <w:sz w:val="13"/>
                <w:szCs w:val="13"/>
              </w:rPr>
              <w:t>458</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4AC33B13" w14:textId="32C3113C">
            <w:pPr>
              <w:pStyle w:val="p-table"/>
              <w:jc w:val="right"/>
              <w:rPr>
                <w:b/>
                <w:bCs/>
                <w:color w:val="000000"/>
                <w:sz w:val="13"/>
                <w:szCs w:val="13"/>
              </w:rPr>
            </w:pPr>
            <w:r w:rsidRPr="003268EE">
              <w:rPr>
                <w:b/>
                <w:bCs/>
                <w:color w:val="000000"/>
                <w:sz w:val="13"/>
                <w:szCs w:val="13"/>
              </w:rPr>
              <w:t>5.283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BE1F7E" w14:textId="3DF0102C">
            <w:pPr>
              <w:pStyle w:val="p-table"/>
              <w:jc w:val="right"/>
              <w:rPr>
                <w:b/>
                <w:bCs/>
                <w:color w:val="000000"/>
                <w:sz w:val="13"/>
                <w:szCs w:val="13"/>
              </w:rPr>
            </w:pPr>
            <w:r w:rsidRPr="003268EE">
              <w:rPr>
                <w:b/>
                <w:bCs/>
                <w:color w:val="000000"/>
                <w:sz w:val="13"/>
                <w:szCs w:val="13"/>
              </w:rPr>
              <w:t>442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ECB0B94" w14:textId="1FC54A82">
            <w:pPr>
              <w:pStyle w:val="p-table"/>
              <w:jc w:val="right"/>
              <w:rPr>
                <w:b/>
                <w:bCs/>
                <w:color w:val="000000"/>
                <w:sz w:val="13"/>
                <w:szCs w:val="13"/>
              </w:rPr>
            </w:pPr>
            <w:r w:rsidRPr="003268EE">
              <w:rPr>
                <w:b/>
                <w:bCs/>
                <w:color w:val="000000"/>
                <w:sz w:val="13"/>
                <w:szCs w:val="13"/>
              </w:rPr>
              <w:t>551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E87E855" w14:textId="0F0FBA38">
            <w:pPr>
              <w:pStyle w:val="p-table"/>
              <w:jc w:val="right"/>
              <w:rPr>
                <w:b/>
                <w:bCs/>
                <w:color w:val="000000"/>
                <w:sz w:val="13"/>
                <w:szCs w:val="13"/>
              </w:rPr>
            </w:pPr>
            <w:r w:rsidRPr="003268EE">
              <w:rPr>
                <w:b/>
                <w:bCs/>
                <w:color w:val="000000"/>
                <w:sz w:val="13"/>
                <w:szCs w:val="13"/>
              </w:rPr>
              <w:t>733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EE8EE3A" w14:textId="4735C29E">
            <w:pPr>
              <w:pStyle w:val="p-table"/>
              <w:jc w:val="right"/>
              <w:rPr>
                <w:b/>
                <w:bCs/>
                <w:color w:val="000000"/>
                <w:sz w:val="13"/>
                <w:szCs w:val="13"/>
              </w:rPr>
            </w:pPr>
            <w:r w:rsidRPr="003268EE">
              <w:rPr>
                <w:b/>
                <w:bCs/>
                <w:color w:val="000000"/>
                <w:sz w:val="13"/>
                <w:szCs w:val="13"/>
              </w:rPr>
              <w:t>955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080FE4" w14:textId="3CA5FDE2">
            <w:pPr>
              <w:pStyle w:val="p-table"/>
              <w:jc w:val="right"/>
              <w:rPr>
                <w:b/>
                <w:bCs/>
                <w:color w:val="000000"/>
                <w:sz w:val="13"/>
                <w:szCs w:val="13"/>
              </w:rPr>
            </w:pPr>
            <w:r w:rsidRPr="003268EE">
              <w:rPr>
                <w:b/>
                <w:bCs/>
                <w:color w:val="000000"/>
                <w:sz w:val="13"/>
                <w:szCs w:val="13"/>
              </w:rPr>
              <w:t>9.019</w:t>
            </w:r>
          </w:p>
        </w:tc>
      </w:tr>
      <w:tr w:rsidR="0022265E" w:rsidTr="007433BE" w14:paraId="4D8D049F" w14:textId="77777777">
        <w:tc>
          <w:tcPr>
            <w:tcW w:w="1201" w:type="pct"/>
            <w:tcMar>
              <w:top w:w="22" w:type="dxa"/>
              <w:bottom w:w="22" w:type="dxa"/>
              <w:right w:w="28" w:type="dxa"/>
            </w:tcMar>
          </w:tcPr>
          <w:p w:rsidRPr="003268EE" w:rsidR="0022265E" w:rsidP="0022265E" w:rsidRDefault="0022265E" w14:paraId="27A5E2E5"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1FE3A78"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3115C7D0"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2B9F5593" w14:textId="77777777">
            <w:pPr>
              <w:pStyle w:val="p-table"/>
              <w:rPr>
                <w:sz w:val="13"/>
                <w:szCs w:val="13"/>
              </w:rPr>
            </w:pPr>
          </w:p>
        </w:tc>
        <w:tc>
          <w:tcPr>
            <w:tcW w:w="360" w:type="pct"/>
            <w:tcMar>
              <w:top w:w="22" w:type="dxa"/>
              <w:left w:w="28" w:type="dxa"/>
              <w:bottom w:w="22" w:type="dxa"/>
              <w:right w:w="28" w:type="dxa"/>
            </w:tcMar>
            <w:vAlign w:val="bottom"/>
          </w:tcPr>
          <w:p w:rsidRPr="003268EE" w:rsidR="0022265E" w:rsidP="0022265E" w:rsidRDefault="0022265E" w14:paraId="1AA2A82B" w14:textId="77777777">
            <w:pPr>
              <w:pStyle w:val="p-table"/>
              <w:jc w:val="right"/>
              <w:rPr>
                <w:color w:val="000000"/>
                <w:sz w:val="13"/>
                <w:szCs w:val="13"/>
              </w:rPr>
            </w:pPr>
          </w:p>
        </w:tc>
        <w:tc>
          <w:tcPr>
            <w:tcW w:w="460" w:type="pct"/>
            <w:tcMar>
              <w:top w:w="22" w:type="dxa"/>
              <w:left w:w="28" w:type="dxa"/>
              <w:bottom w:w="22" w:type="dxa"/>
              <w:right w:w="28" w:type="dxa"/>
            </w:tcMar>
            <w:vAlign w:val="bottom"/>
          </w:tcPr>
          <w:p w:rsidRPr="003268EE" w:rsidR="0022265E" w:rsidP="0022265E" w:rsidRDefault="0022265E" w14:paraId="6D1A4333"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2390E39B"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08787054"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0F79F0C7"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5416C6DA"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08D77AC1" w14:textId="77777777">
            <w:pPr>
              <w:pStyle w:val="p-table"/>
              <w:jc w:val="right"/>
              <w:rPr>
                <w:color w:val="000000"/>
                <w:sz w:val="13"/>
                <w:szCs w:val="13"/>
              </w:rPr>
            </w:pPr>
          </w:p>
        </w:tc>
      </w:tr>
      <w:tr w:rsidR="0022265E" w:rsidTr="007433BE" w14:paraId="0FFA0629"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35F71EAE" w14:textId="77777777">
            <w:pPr>
              <w:pStyle w:val="p-table"/>
              <w:rPr>
                <w:sz w:val="13"/>
                <w:szCs w:val="13"/>
              </w:rPr>
            </w:pPr>
            <w:r w:rsidRPr="003268EE">
              <w:rPr>
                <w:b/>
                <w:sz w:val="13"/>
                <w:szCs w:val="13"/>
              </w:rPr>
              <w:t>Rente</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60C7A9" w14:textId="77777777">
            <w:pPr>
              <w:pStyle w:val="p-table"/>
              <w:jc w:val="right"/>
              <w:rPr>
                <w:sz w:val="13"/>
                <w:szCs w:val="13"/>
              </w:rPr>
            </w:pPr>
            <w:r w:rsidRPr="003268EE">
              <w:rPr>
                <w:b/>
                <w:sz w:val="13"/>
                <w:szCs w:val="13"/>
              </w:rPr>
              <w:t>2.126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FD87F0D"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F8EFBB3" w14:textId="77777777">
            <w:pPr>
              <w:pStyle w:val="p-table"/>
              <w:jc w:val="right"/>
              <w:rPr>
                <w:sz w:val="13"/>
                <w:szCs w:val="13"/>
              </w:rPr>
            </w:pPr>
            <w:r w:rsidRPr="003268EE">
              <w:rPr>
                <w:b/>
                <w:sz w:val="13"/>
                <w:szCs w:val="13"/>
              </w:rPr>
              <w:t>2.126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B5AE41D" w14:textId="550EAAA4">
            <w:pPr>
              <w:pStyle w:val="p-table"/>
              <w:jc w:val="right"/>
              <w:rPr>
                <w:b/>
                <w:bCs/>
                <w:color w:val="000000"/>
                <w:sz w:val="13"/>
                <w:szCs w:val="13"/>
              </w:rPr>
            </w:pPr>
            <w:r w:rsidRPr="003268EE">
              <w:rPr>
                <w:b/>
                <w:bCs/>
                <w:color w:val="000000"/>
                <w:sz w:val="13"/>
                <w:szCs w:val="13"/>
              </w:rPr>
              <w:t>458</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8EDD718" w14:textId="768A3D51">
            <w:pPr>
              <w:pStyle w:val="p-table"/>
              <w:jc w:val="right"/>
              <w:rPr>
                <w:b/>
                <w:bCs/>
                <w:color w:val="000000"/>
                <w:sz w:val="13"/>
                <w:szCs w:val="13"/>
              </w:rPr>
            </w:pPr>
            <w:r w:rsidRPr="003268EE">
              <w:rPr>
                <w:b/>
                <w:bCs/>
                <w:color w:val="000000"/>
                <w:sz w:val="13"/>
                <w:szCs w:val="13"/>
              </w:rPr>
              <w:t>2.583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7619427" w14:textId="53958807">
            <w:pPr>
              <w:pStyle w:val="p-table"/>
              <w:jc w:val="right"/>
              <w:rPr>
                <w:b/>
                <w:bCs/>
                <w:color w:val="000000"/>
                <w:sz w:val="13"/>
                <w:szCs w:val="13"/>
              </w:rPr>
            </w:pPr>
            <w:r w:rsidRPr="003268EE">
              <w:rPr>
                <w:b/>
                <w:bCs/>
                <w:color w:val="000000"/>
                <w:sz w:val="13"/>
                <w:szCs w:val="13"/>
              </w:rPr>
              <w:t>442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57D6D3E" w14:textId="7D2FF65D">
            <w:pPr>
              <w:pStyle w:val="p-table"/>
              <w:jc w:val="right"/>
              <w:rPr>
                <w:b/>
                <w:bCs/>
                <w:color w:val="000000"/>
                <w:sz w:val="13"/>
                <w:szCs w:val="13"/>
              </w:rPr>
            </w:pPr>
            <w:r w:rsidRPr="003268EE">
              <w:rPr>
                <w:b/>
                <w:bCs/>
                <w:color w:val="000000"/>
                <w:sz w:val="13"/>
                <w:szCs w:val="13"/>
              </w:rPr>
              <w:t>551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7D4AB89" w14:textId="321784EF">
            <w:pPr>
              <w:pStyle w:val="p-table"/>
              <w:jc w:val="right"/>
              <w:rPr>
                <w:b/>
                <w:bCs/>
                <w:color w:val="000000"/>
                <w:sz w:val="13"/>
                <w:szCs w:val="13"/>
              </w:rPr>
            </w:pPr>
            <w:r w:rsidRPr="003268EE">
              <w:rPr>
                <w:b/>
                <w:bCs/>
                <w:color w:val="000000"/>
                <w:sz w:val="13"/>
                <w:szCs w:val="13"/>
              </w:rPr>
              <w:t>733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4C5493E" w14:textId="61EC5213">
            <w:pPr>
              <w:pStyle w:val="p-table"/>
              <w:jc w:val="right"/>
              <w:rPr>
                <w:b/>
                <w:bCs/>
                <w:color w:val="000000"/>
                <w:sz w:val="13"/>
                <w:szCs w:val="13"/>
              </w:rPr>
            </w:pPr>
            <w:r w:rsidRPr="003268EE">
              <w:rPr>
                <w:b/>
                <w:bCs/>
                <w:color w:val="000000"/>
                <w:sz w:val="13"/>
                <w:szCs w:val="13"/>
              </w:rPr>
              <w:t>955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F9771EB" w14:textId="506493E8">
            <w:pPr>
              <w:pStyle w:val="p-table"/>
              <w:jc w:val="right"/>
              <w:rPr>
                <w:b/>
                <w:bCs/>
                <w:color w:val="000000"/>
                <w:sz w:val="13"/>
                <w:szCs w:val="13"/>
              </w:rPr>
            </w:pPr>
            <w:r w:rsidRPr="003268EE">
              <w:rPr>
                <w:b/>
                <w:bCs/>
                <w:color w:val="000000"/>
                <w:sz w:val="13"/>
                <w:szCs w:val="13"/>
              </w:rPr>
              <w:t>6.319</w:t>
            </w:r>
          </w:p>
        </w:tc>
      </w:tr>
      <w:tr w:rsidR="0022265E" w:rsidTr="007433BE" w14:paraId="2884FA61"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05CB18CE" w14:textId="77777777">
            <w:pPr>
              <w:pStyle w:val="p-table"/>
              <w:rPr>
                <w:sz w:val="13"/>
                <w:szCs w:val="13"/>
              </w:rPr>
            </w:pPr>
            <w:r w:rsidRPr="003268EE">
              <w:rPr>
                <w:sz w:val="13"/>
                <w:szCs w:val="13"/>
              </w:rPr>
              <w:t>Rente kasbeheer</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B835C5E" w14:textId="77777777">
            <w:pPr>
              <w:pStyle w:val="p-table"/>
              <w:jc w:val="right"/>
              <w:rPr>
                <w:sz w:val="13"/>
                <w:szCs w:val="13"/>
              </w:rPr>
            </w:pPr>
            <w:r w:rsidRPr="003268EE">
              <w:rPr>
                <w:sz w:val="13"/>
                <w:szCs w:val="13"/>
              </w:rPr>
              <w:t>2.126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97B7191"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FC0A555" w14:textId="77777777">
            <w:pPr>
              <w:pStyle w:val="p-table"/>
              <w:jc w:val="right"/>
              <w:rPr>
                <w:sz w:val="13"/>
                <w:szCs w:val="13"/>
              </w:rPr>
            </w:pPr>
            <w:r w:rsidRPr="003268EE">
              <w:rPr>
                <w:sz w:val="13"/>
                <w:szCs w:val="13"/>
              </w:rPr>
              <w:t>2.126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C93B007" w14:textId="19D761DC">
            <w:pPr>
              <w:pStyle w:val="p-table"/>
              <w:jc w:val="right"/>
              <w:rPr>
                <w:color w:val="000000"/>
                <w:sz w:val="13"/>
                <w:szCs w:val="13"/>
              </w:rPr>
            </w:pPr>
            <w:r w:rsidRPr="003268EE">
              <w:rPr>
                <w:color w:val="000000"/>
                <w:sz w:val="13"/>
                <w:szCs w:val="13"/>
              </w:rPr>
              <w:t>458</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8D4EA03" w14:textId="6D7446BC">
            <w:pPr>
              <w:pStyle w:val="p-table"/>
              <w:jc w:val="right"/>
              <w:rPr>
                <w:color w:val="000000"/>
                <w:sz w:val="13"/>
                <w:szCs w:val="13"/>
              </w:rPr>
            </w:pPr>
            <w:r w:rsidRPr="003268EE">
              <w:rPr>
                <w:color w:val="000000"/>
                <w:sz w:val="13"/>
                <w:szCs w:val="13"/>
              </w:rPr>
              <w:t>2.583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B225D63" w14:textId="13AD9F41">
            <w:pPr>
              <w:pStyle w:val="p-table"/>
              <w:jc w:val="right"/>
              <w:rPr>
                <w:color w:val="000000"/>
                <w:sz w:val="13"/>
                <w:szCs w:val="13"/>
              </w:rPr>
            </w:pPr>
            <w:r w:rsidRPr="003268EE">
              <w:rPr>
                <w:color w:val="000000"/>
                <w:sz w:val="13"/>
                <w:szCs w:val="13"/>
              </w:rPr>
              <w:t>442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065992C" w14:textId="0CDFA36E">
            <w:pPr>
              <w:pStyle w:val="p-table"/>
              <w:jc w:val="right"/>
              <w:rPr>
                <w:color w:val="000000"/>
                <w:sz w:val="13"/>
                <w:szCs w:val="13"/>
              </w:rPr>
            </w:pPr>
            <w:r w:rsidRPr="003268EE">
              <w:rPr>
                <w:color w:val="000000"/>
                <w:sz w:val="13"/>
                <w:szCs w:val="13"/>
              </w:rPr>
              <w:t>551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4B210B8" w14:textId="2100E16F">
            <w:pPr>
              <w:pStyle w:val="p-table"/>
              <w:jc w:val="right"/>
              <w:rPr>
                <w:color w:val="000000"/>
                <w:sz w:val="13"/>
                <w:szCs w:val="13"/>
              </w:rPr>
            </w:pPr>
            <w:r w:rsidRPr="003268EE">
              <w:rPr>
                <w:color w:val="000000"/>
                <w:sz w:val="13"/>
                <w:szCs w:val="13"/>
              </w:rPr>
              <w:t>733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380D54" w14:textId="4204E8B1">
            <w:pPr>
              <w:pStyle w:val="p-table"/>
              <w:jc w:val="right"/>
              <w:rPr>
                <w:color w:val="000000"/>
                <w:sz w:val="13"/>
                <w:szCs w:val="13"/>
              </w:rPr>
            </w:pPr>
            <w:r w:rsidRPr="003268EE">
              <w:rPr>
                <w:color w:val="000000"/>
                <w:sz w:val="13"/>
                <w:szCs w:val="13"/>
              </w:rPr>
              <w:t>955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76428FC" w14:textId="5D2705BB">
            <w:pPr>
              <w:pStyle w:val="p-table"/>
              <w:jc w:val="right"/>
              <w:rPr>
                <w:color w:val="000000"/>
                <w:sz w:val="13"/>
                <w:szCs w:val="13"/>
              </w:rPr>
            </w:pPr>
            <w:r w:rsidRPr="003268EE">
              <w:rPr>
                <w:color w:val="000000"/>
                <w:sz w:val="13"/>
                <w:szCs w:val="13"/>
              </w:rPr>
              <w:t>6.319</w:t>
            </w:r>
          </w:p>
        </w:tc>
      </w:tr>
      <w:tr w:rsidR="0022265E" w:rsidTr="007433BE" w14:paraId="6D87C7A7"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108622DF" w14:textId="77777777">
            <w:pPr>
              <w:pStyle w:val="p-table"/>
              <w:rPr>
                <w:sz w:val="13"/>
                <w:szCs w:val="13"/>
              </w:rPr>
            </w:pPr>
            <w:r w:rsidRPr="003268EE">
              <w:rPr>
                <w:sz w:val="13"/>
                <w:szCs w:val="13"/>
              </w:rPr>
              <w:t>Uitgaven bij voortijdige beëindiging (hoofdsom)</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4F4915E"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5797A26"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104FC3B9"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F14415C" w14:textId="3BFAB95B">
            <w:pPr>
              <w:pStyle w:val="p-table"/>
              <w:jc w:val="right"/>
              <w:rPr>
                <w:color w:val="000000"/>
                <w:sz w:val="13"/>
                <w:szCs w:val="13"/>
              </w:rPr>
            </w:pPr>
            <w:r w:rsidRPr="003268EE">
              <w:rPr>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271C4642" w14:textId="194AF163">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2C011AB" w14:textId="0C5D9A84">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D728FBC" w14:textId="7DDD6C52">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F00E522" w14:textId="123045A5">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0631EEB" w14:textId="6F669640">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5A607D9" w14:textId="6A3ABDFE">
            <w:pPr>
              <w:pStyle w:val="p-table"/>
              <w:jc w:val="right"/>
              <w:rPr>
                <w:color w:val="000000"/>
                <w:sz w:val="13"/>
                <w:szCs w:val="13"/>
              </w:rPr>
            </w:pPr>
            <w:r w:rsidRPr="003268EE">
              <w:rPr>
                <w:color w:val="000000"/>
                <w:sz w:val="13"/>
                <w:szCs w:val="13"/>
              </w:rPr>
              <w:t>0</w:t>
            </w:r>
          </w:p>
        </w:tc>
      </w:tr>
      <w:tr w:rsidR="0022265E" w:rsidTr="007433BE" w14:paraId="26A220FC"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0D0337E0"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F83368F"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7D0EFE7"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25905699"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D56F1CB" w14:textId="6A97AAB6">
            <w:pPr>
              <w:pStyle w:val="p-table"/>
              <w:jc w:val="right"/>
              <w:rPr>
                <w:color w:val="000000"/>
                <w:sz w:val="13"/>
                <w:szCs w:val="13"/>
              </w:rPr>
            </w:pPr>
            <w:r w:rsidRPr="003268EE">
              <w:rPr>
                <w:color w:val="000000"/>
                <w:sz w:val="13"/>
                <w:szCs w:val="13"/>
              </w:rPr>
              <w:t> </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7B86B3C9" w14:textId="577D0878">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AC2B50" w14:textId="72BAC333">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D06A1A8" w14:textId="01DF730B">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274A523" w14:textId="744D15AE">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FF01A44" w14:textId="4C45A641">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92C616B" w14:textId="2707E7B4">
            <w:pPr>
              <w:pStyle w:val="p-table"/>
              <w:jc w:val="right"/>
              <w:rPr>
                <w:color w:val="000000"/>
                <w:sz w:val="13"/>
                <w:szCs w:val="13"/>
              </w:rPr>
            </w:pPr>
            <w:r w:rsidRPr="003268EE">
              <w:rPr>
                <w:color w:val="000000"/>
                <w:sz w:val="13"/>
                <w:szCs w:val="13"/>
              </w:rPr>
              <w:t> </w:t>
            </w:r>
          </w:p>
        </w:tc>
      </w:tr>
      <w:tr w:rsidR="0022265E" w:rsidTr="007433BE" w14:paraId="14E5875B"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34D83897" w14:textId="77777777">
            <w:pPr>
              <w:pStyle w:val="p-table"/>
              <w:rPr>
                <w:sz w:val="13"/>
                <w:szCs w:val="13"/>
              </w:rPr>
            </w:pPr>
            <w:r w:rsidRPr="003268EE">
              <w:rPr>
                <w:b/>
                <w:sz w:val="13"/>
                <w:szCs w:val="13"/>
              </w:rPr>
              <w:t>Leningen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5FFD8E9" w14:textId="77777777">
            <w:pPr>
              <w:pStyle w:val="p-table"/>
              <w:jc w:val="right"/>
              <w:rPr>
                <w:sz w:val="13"/>
                <w:szCs w:val="13"/>
              </w:rPr>
            </w:pPr>
            <w:r w:rsidRPr="003268EE">
              <w:rPr>
                <w:b/>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3315D9B"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7E0B98F" w14:textId="77777777">
            <w:pPr>
              <w:pStyle w:val="p-table"/>
              <w:jc w:val="right"/>
              <w:rPr>
                <w:sz w:val="13"/>
                <w:szCs w:val="13"/>
              </w:rPr>
            </w:pPr>
            <w:r w:rsidRPr="003268EE">
              <w:rPr>
                <w:b/>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33B69E8" w14:textId="313AC1AC">
            <w:pPr>
              <w:pStyle w:val="p-table"/>
              <w:jc w:val="right"/>
              <w:rPr>
                <w:b/>
                <w:bCs/>
                <w:color w:val="000000"/>
                <w:sz w:val="13"/>
                <w:szCs w:val="13"/>
              </w:rPr>
            </w:pPr>
            <w:r w:rsidRPr="003268EE">
              <w:rPr>
                <w:b/>
                <w:bCs/>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95AC3A5" w14:textId="3A746B58">
            <w:pPr>
              <w:pStyle w:val="p-table"/>
              <w:jc w:val="right"/>
              <w:rPr>
                <w:b/>
                <w:bCs/>
                <w:color w:val="000000"/>
                <w:sz w:val="13"/>
                <w:szCs w:val="13"/>
              </w:rPr>
            </w:pPr>
            <w:r w:rsidRPr="003268EE">
              <w:rPr>
                <w:b/>
                <w:bCs/>
                <w:color w:val="000000"/>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A106D08" w14:textId="7B058568">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3338873" w14:textId="1839234C">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B0674A0" w14:textId="57E80869">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1B4F797" w14:textId="017AB3AD">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68B310D" w14:textId="7E59841A">
            <w:pPr>
              <w:pStyle w:val="p-table"/>
              <w:jc w:val="right"/>
              <w:rPr>
                <w:b/>
                <w:bCs/>
                <w:color w:val="000000"/>
                <w:sz w:val="13"/>
                <w:szCs w:val="13"/>
              </w:rPr>
            </w:pPr>
            <w:r w:rsidRPr="003268EE">
              <w:rPr>
                <w:b/>
                <w:bCs/>
                <w:color w:val="000000"/>
                <w:sz w:val="13"/>
                <w:szCs w:val="13"/>
              </w:rPr>
              <w:t>2.700</w:t>
            </w:r>
          </w:p>
        </w:tc>
      </w:tr>
      <w:tr w:rsidR="0022265E" w:rsidTr="007433BE" w14:paraId="6902E248"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4867A69" w14:textId="77777777">
            <w:pPr>
              <w:pStyle w:val="p-table"/>
              <w:rPr>
                <w:sz w:val="13"/>
                <w:szCs w:val="13"/>
              </w:rPr>
            </w:pPr>
            <w:r w:rsidRPr="003268EE">
              <w:rPr>
                <w:sz w:val="13"/>
                <w:szCs w:val="13"/>
              </w:rPr>
              <w:t>Verstrekte leningen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612EB81" w14:textId="77777777">
            <w:pPr>
              <w:pStyle w:val="p-table"/>
              <w:jc w:val="right"/>
              <w:rPr>
                <w:sz w:val="13"/>
                <w:szCs w:val="13"/>
              </w:rPr>
            </w:pPr>
            <w:r w:rsidRPr="003268EE">
              <w:rPr>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EE19A24"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FE32EAB" w14:textId="77777777">
            <w:pPr>
              <w:pStyle w:val="p-table"/>
              <w:jc w:val="right"/>
              <w:rPr>
                <w:sz w:val="13"/>
                <w:szCs w:val="13"/>
              </w:rPr>
            </w:pPr>
            <w:r w:rsidRPr="003268EE">
              <w:rPr>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9823CED" w14:textId="36D8C016">
            <w:pPr>
              <w:pStyle w:val="p-table"/>
              <w:jc w:val="right"/>
              <w:rPr>
                <w:color w:val="000000"/>
                <w:sz w:val="13"/>
                <w:szCs w:val="13"/>
              </w:rPr>
            </w:pPr>
            <w:r w:rsidRPr="003268EE">
              <w:rPr>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4680BAA" w14:textId="2BF2887E">
            <w:pPr>
              <w:pStyle w:val="p-table"/>
              <w:jc w:val="right"/>
              <w:rPr>
                <w:color w:val="000000"/>
                <w:sz w:val="13"/>
                <w:szCs w:val="13"/>
              </w:rPr>
            </w:pPr>
            <w:r w:rsidRPr="003268EE">
              <w:rPr>
                <w:color w:val="000000"/>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694621C" w14:textId="2FA1997B">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5848E7D" w14:textId="7335642C">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95AFB5F" w14:textId="5162CE92">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26A3A90" w14:textId="2B705E20">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05571FF" w14:textId="3DBFF2C7">
            <w:pPr>
              <w:pStyle w:val="p-table"/>
              <w:jc w:val="right"/>
              <w:rPr>
                <w:color w:val="000000"/>
                <w:sz w:val="13"/>
                <w:szCs w:val="13"/>
              </w:rPr>
            </w:pPr>
            <w:r w:rsidRPr="003268EE">
              <w:rPr>
                <w:color w:val="000000"/>
                <w:sz w:val="13"/>
                <w:szCs w:val="13"/>
              </w:rPr>
              <w:t>2.700</w:t>
            </w:r>
          </w:p>
        </w:tc>
      </w:tr>
      <w:tr w:rsidR="0022265E" w:rsidTr="007433BE" w14:paraId="3F47DEA4" w14:textId="77777777">
        <w:tc>
          <w:tcPr>
            <w:tcW w:w="1201" w:type="pct"/>
            <w:tcMar>
              <w:top w:w="22" w:type="dxa"/>
              <w:bottom w:w="22" w:type="dxa"/>
              <w:right w:w="28" w:type="dxa"/>
            </w:tcMar>
          </w:tcPr>
          <w:p w:rsidRPr="003268EE" w:rsidR="0022265E" w:rsidP="0022265E" w:rsidRDefault="0022265E" w14:paraId="2EAFC92A"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8C50C6D"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A7A85F8"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397242CD"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6F7985CA" w14:textId="77777777">
            <w:pPr>
              <w:pStyle w:val="p-table"/>
              <w:jc w:val="right"/>
              <w:rPr>
                <w:color w:val="000000"/>
                <w:sz w:val="13"/>
                <w:szCs w:val="13"/>
              </w:rPr>
            </w:pPr>
          </w:p>
        </w:tc>
        <w:tc>
          <w:tcPr>
            <w:tcW w:w="460" w:type="pct"/>
            <w:tcMar>
              <w:top w:w="22" w:type="dxa"/>
              <w:left w:w="28" w:type="dxa"/>
              <w:bottom w:w="22" w:type="dxa"/>
              <w:right w:w="28" w:type="dxa"/>
            </w:tcMar>
          </w:tcPr>
          <w:p w:rsidRPr="003268EE" w:rsidR="0022265E" w:rsidP="0022265E" w:rsidRDefault="0022265E" w14:paraId="240E95FD"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5E9CCB46"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402F1765"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69A144CC"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6AD92E68"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28D645FE" w14:textId="77777777">
            <w:pPr>
              <w:pStyle w:val="p-table"/>
              <w:jc w:val="right"/>
              <w:rPr>
                <w:color w:val="000000"/>
                <w:sz w:val="13"/>
                <w:szCs w:val="13"/>
              </w:rPr>
            </w:pPr>
          </w:p>
        </w:tc>
      </w:tr>
      <w:tr w:rsidR="0022265E" w:rsidTr="007433BE" w14:paraId="130D336E"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3350A5A" w14:textId="77777777">
            <w:pPr>
              <w:pStyle w:val="p-table"/>
              <w:rPr>
                <w:sz w:val="13"/>
                <w:szCs w:val="13"/>
              </w:rPr>
            </w:pPr>
            <w:r w:rsidRPr="003268EE">
              <w:rPr>
                <w:b/>
                <w:sz w:val="13"/>
                <w:szCs w:val="13"/>
              </w:rPr>
              <w:t>Mutaties in rekening-courant en deposito's</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DAF130" w14:textId="77777777">
            <w:pPr>
              <w:pStyle w:val="p-table"/>
              <w:jc w:val="right"/>
              <w:rPr>
                <w:sz w:val="13"/>
                <w:szCs w:val="13"/>
              </w:rPr>
            </w:pPr>
            <w:r w:rsidRPr="003268EE">
              <w:rPr>
                <w:b/>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63BE1E"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13814C29" w14:textId="77777777">
            <w:pPr>
              <w:pStyle w:val="p-table"/>
              <w:jc w:val="right"/>
              <w:rPr>
                <w:sz w:val="13"/>
                <w:szCs w:val="13"/>
              </w:rPr>
            </w:pPr>
            <w:r w:rsidRPr="003268EE">
              <w:rPr>
                <w:b/>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2536A67" w14:textId="0FFD7691">
            <w:pPr>
              <w:pStyle w:val="p-table"/>
              <w:jc w:val="right"/>
              <w:rPr>
                <w:b/>
                <w:bCs/>
                <w:color w:val="000000"/>
                <w:sz w:val="13"/>
                <w:szCs w:val="13"/>
              </w:rPr>
            </w:pPr>
            <w:r w:rsidRPr="003268EE">
              <w:rPr>
                <w:b/>
                <w:bCs/>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525E363" w14:textId="4DD405A3">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9910B02" w14:textId="5FAE32D9">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C600E7D" w14:textId="43BA2CD0">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C18A52E" w14:textId="7877A774">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885B266" w14:textId="7E038E18">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C19C0FB" w14:textId="66ECA223">
            <w:pPr>
              <w:pStyle w:val="p-table"/>
              <w:jc w:val="right"/>
              <w:rPr>
                <w:b/>
                <w:bCs/>
                <w:color w:val="000000"/>
                <w:sz w:val="13"/>
                <w:szCs w:val="13"/>
              </w:rPr>
            </w:pPr>
            <w:r w:rsidRPr="003268EE">
              <w:rPr>
                <w:b/>
                <w:bCs/>
                <w:color w:val="000000"/>
                <w:sz w:val="13"/>
                <w:szCs w:val="13"/>
              </w:rPr>
              <w:t>0</w:t>
            </w:r>
          </w:p>
        </w:tc>
      </w:tr>
      <w:tr w:rsidR="0022265E" w:rsidTr="007433BE" w14:paraId="4E2DB1EE"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7C7AB90E" w14:textId="77777777">
            <w:pPr>
              <w:pStyle w:val="p-table"/>
              <w:rPr>
                <w:sz w:val="13"/>
                <w:szCs w:val="13"/>
              </w:rPr>
            </w:pPr>
            <w:r w:rsidRPr="003268EE">
              <w:rPr>
                <w:sz w:val="13"/>
                <w:szCs w:val="13"/>
              </w:rPr>
              <w:t>Mutaties in rekening courant en deposito</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B1A53D6"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C0EF510"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4DC22C2"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C2E2BF0" w14:textId="02311D2F">
            <w:pPr>
              <w:pStyle w:val="p-table"/>
              <w:jc w:val="right"/>
              <w:rPr>
                <w:color w:val="000000"/>
                <w:sz w:val="13"/>
                <w:szCs w:val="13"/>
              </w:rPr>
            </w:pPr>
            <w:r w:rsidRPr="003268EE">
              <w:rPr>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125890A0" w14:textId="7D21A1E7">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AB0F61B" w14:textId="3E9D8B71">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1DE5B8D" w14:textId="0D2D3C95">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A6AFFB8" w14:textId="2E94B201">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5E12B55" w14:textId="02A45956">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A482E86" w14:textId="10C154A6">
            <w:pPr>
              <w:pStyle w:val="p-table"/>
              <w:jc w:val="right"/>
              <w:rPr>
                <w:color w:val="000000"/>
                <w:sz w:val="13"/>
                <w:szCs w:val="13"/>
              </w:rPr>
            </w:pPr>
            <w:r w:rsidRPr="003268EE">
              <w:rPr>
                <w:color w:val="000000"/>
                <w:sz w:val="13"/>
                <w:szCs w:val="13"/>
              </w:rPr>
              <w:t>0</w:t>
            </w:r>
          </w:p>
        </w:tc>
      </w:tr>
      <w:tr w:rsidR="0022265E" w:rsidTr="007433BE" w14:paraId="6451CF3A" w14:textId="77777777">
        <w:tc>
          <w:tcPr>
            <w:tcW w:w="1201" w:type="pct"/>
            <w:tcMar>
              <w:top w:w="22" w:type="dxa"/>
              <w:bottom w:w="22" w:type="dxa"/>
              <w:right w:w="28" w:type="dxa"/>
            </w:tcMar>
          </w:tcPr>
          <w:p w:rsidRPr="003268EE" w:rsidR="0022265E" w:rsidP="0022265E" w:rsidRDefault="0022265E" w14:paraId="4A0FDCD7"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5D97F4BA"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9946E7F"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3E5FB955" w14:textId="77777777">
            <w:pPr>
              <w:pStyle w:val="p-table"/>
              <w:rPr>
                <w:sz w:val="13"/>
                <w:szCs w:val="13"/>
              </w:rPr>
            </w:pPr>
          </w:p>
        </w:tc>
        <w:tc>
          <w:tcPr>
            <w:tcW w:w="360" w:type="pct"/>
            <w:tcMar>
              <w:top w:w="22" w:type="dxa"/>
              <w:left w:w="28" w:type="dxa"/>
              <w:bottom w:w="22" w:type="dxa"/>
              <w:right w:w="28" w:type="dxa"/>
            </w:tcMar>
            <w:vAlign w:val="bottom"/>
          </w:tcPr>
          <w:p w:rsidRPr="003268EE" w:rsidR="0022265E" w:rsidP="0022265E" w:rsidRDefault="0022265E" w14:paraId="7955B862" w14:textId="77777777">
            <w:pPr>
              <w:pStyle w:val="p-table"/>
              <w:jc w:val="right"/>
              <w:rPr>
                <w:color w:val="000000"/>
                <w:sz w:val="13"/>
                <w:szCs w:val="13"/>
              </w:rPr>
            </w:pPr>
          </w:p>
        </w:tc>
        <w:tc>
          <w:tcPr>
            <w:tcW w:w="460" w:type="pct"/>
            <w:tcMar>
              <w:top w:w="22" w:type="dxa"/>
              <w:left w:w="28" w:type="dxa"/>
              <w:bottom w:w="22" w:type="dxa"/>
              <w:right w:w="28" w:type="dxa"/>
            </w:tcMar>
            <w:vAlign w:val="bottom"/>
          </w:tcPr>
          <w:p w:rsidRPr="003268EE" w:rsidR="0022265E" w:rsidP="0022265E" w:rsidRDefault="0022265E" w14:paraId="688F84E1"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64E9A08D"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71C121E1"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193D9AB8"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6B65408F"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266AA53D" w14:textId="77777777">
            <w:pPr>
              <w:pStyle w:val="p-table"/>
              <w:jc w:val="right"/>
              <w:rPr>
                <w:color w:val="000000"/>
                <w:sz w:val="13"/>
                <w:szCs w:val="13"/>
              </w:rPr>
            </w:pPr>
          </w:p>
        </w:tc>
      </w:tr>
      <w:tr w:rsidR="0022265E" w:rsidTr="007433BE" w14:paraId="339A7C41"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3187DB82" w14:textId="77777777">
            <w:pPr>
              <w:pStyle w:val="p-table"/>
              <w:rPr>
                <w:sz w:val="13"/>
                <w:szCs w:val="13"/>
              </w:rPr>
            </w:pPr>
            <w:r w:rsidRPr="003268EE">
              <w:rPr>
                <w:b/>
                <w:sz w:val="13"/>
                <w:szCs w:val="13"/>
              </w:rPr>
              <w:t>Ontvangsten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3FCD23C" w14:textId="77777777">
            <w:pPr>
              <w:pStyle w:val="p-table"/>
              <w:jc w:val="right"/>
              <w:rPr>
                <w:sz w:val="13"/>
                <w:szCs w:val="13"/>
              </w:rPr>
            </w:pPr>
            <w:r w:rsidRPr="003268EE">
              <w:rPr>
                <w:b/>
                <w:sz w:val="13"/>
                <w:szCs w:val="13"/>
              </w:rPr>
              <w:t>12.430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51A10A0"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3FCB93E" w14:textId="77777777">
            <w:pPr>
              <w:pStyle w:val="p-table"/>
              <w:jc w:val="right"/>
              <w:rPr>
                <w:sz w:val="13"/>
                <w:szCs w:val="13"/>
              </w:rPr>
            </w:pPr>
            <w:r w:rsidRPr="003268EE">
              <w:rPr>
                <w:b/>
                <w:sz w:val="13"/>
                <w:szCs w:val="13"/>
              </w:rPr>
              <w:t>12.430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15B67AC" w14:textId="1BCB15D0">
            <w:pPr>
              <w:pStyle w:val="p-table"/>
              <w:jc w:val="right"/>
              <w:rPr>
                <w:b/>
                <w:bCs/>
                <w:color w:val="000000"/>
                <w:sz w:val="13"/>
                <w:szCs w:val="13"/>
              </w:rPr>
            </w:pPr>
            <w:r w:rsidRPr="003268EE">
              <w:rPr>
                <w:b/>
                <w:bCs/>
                <w:color w:val="000000"/>
                <w:sz w:val="13"/>
                <w:szCs w:val="13"/>
              </w:rPr>
              <w:t>3.406</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AA51DC1" w14:textId="699C8AD6">
            <w:pPr>
              <w:pStyle w:val="p-table"/>
              <w:jc w:val="right"/>
              <w:rPr>
                <w:b/>
                <w:bCs/>
                <w:color w:val="000000"/>
                <w:sz w:val="13"/>
                <w:szCs w:val="13"/>
              </w:rPr>
            </w:pPr>
            <w:r w:rsidRPr="003268EE">
              <w:rPr>
                <w:b/>
                <w:bCs/>
                <w:color w:val="000000"/>
                <w:sz w:val="13"/>
                <w:szCs w:val="13"/>
              </w:rPr>
              <w:t>15.836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B736117" w14:textId="1CAD35F0">
            <w:pPr>
              <w:pStyle w:val="p-table"/>
              <w:jc w:val="right"/>
              <w:rPr>
                <w:b/>
                <w:bCs/>
                <w:color w:val="000000"/>
                <w:sz w:val="13"/>
                <w:szCs w:val="13"/>
              </w:rPr>
            </w:pPr>
            <w:r w:rsidRPr="003268EE">
              <w:rPr>
                <w:b/>
                <w:bCs/>
                <w:color w:val="000000"/>
                <w:sz w:val="13"/>
                <w:szCs w:val="13"/>
              </w:rPr>
              <w:t>1.115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605904" w14:textId="246EE796">
            <w:pPr>
              <w:pStyle w:val="p-table"/>
              <w:jc w:val="right"/>
              <w:rPr>
                <w:b/>
                <w:bCs/>
                <w:color w:val="000000"/>
                <w:sz w:val="13"/>
                <w:szCs w:val="13"/>
              </w:rPr>
            </w:pPr>
            <w:r w:rsidRPr="003268EE">
              <w:rPr>
                <w:b/>
                <w:bCs/>
                <w:color w:val="000000"/>
                <w:sz w:val="13"/>
                <w:szCs w:val="13"/>
              </w:rPr>
              <w:t>2.528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F43C7FE" w14:textId="07DD8A63">
            <w:pPr>
              <w:pStyle w:val="p-table"/>
              <w:jc w:val="right"/>
              <w:rPr>
                <w:b/>
                <w:bCs/>
                <w:color w:val="000000"/>
                <w:sz w:val="13"/>
                <w:szCs w:val="13"/>
              </w:rPr>
            </w:pPr>
            <w:r w:rsidRPr="003268EE">
              <w:rPr>
                <w:b/>
                <w:bCs/>
                <w:color w:val="000000"/>
                <w:sz w:val="13"/>
                <w:szCs w:val="13"/>
              </w:rPr>
              <w:t>4.720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65C376F" w14:textId="3A0EB954">
            <w:pPr>
              <w:pStyle w:val="p-table"/>
              <w:jc w:val="right"/>
              <w:rPr>
                <w:b/>
                <w:bCs/>
                <w:color w:val="000000"/>
                <w:sz w:val="13"/>
                <w:szCs w:val="13"/>
              </w:rPr>
            </w:pPr>
            <w:r w:rsidRPr="003268EE">
              <w:rPr>
                <w:b/>
                <w:bCs/>
                <w:color w:val="000000"/>
                <w:sz w:val="13"/>
                <w:szCs w:val="13"/>
              </w:rPr>
              <w:t>6.319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AC78732" w14:textId="3697D4A9">
            <w:pPr>
              <w:pStyle w:val="p-table"/>
              <w:jc w:val="right"/>
              <w:rPr>
                <w:b/>
                <w:bCs/>
                <w:color w:val="000000"/>
                <w:sz w:val="13"/>
                <w:szCs w:val="13"/>
              </w:rPr>
            </w:pPr>
            <w:r w:rsidRPr="003268EE">
              <w:rPr>
                <w:b/>
                <w:bCs/>
                <w:color w:val="000000"/>
                <w:sz w:val="13"/>
                <w:szCs w:val="13"/>
              </w:rPr>
              <w:t>24.336</w:t>
            </w:r>
          </w:p>
        </w:tc>
      </w:tr>
      <w:tr w:rsidR="0022265E" w:rsidTr="007433BE" w14:paraId="35DB8EDC" w14:textId="77777777">
        <w:tc>
          <w:tcPr>
            <w:tcW w:w="1201" w:type="pct"/>
            <w:tcMar>
              <w:top w:w="22" w:type="dxa"/>
              <w:bottom w:w="22" w:type="dxa"/>
              <w:right w:w="28" w:type="dxa"/>
            </w:tcMar>
          </w:tcPr>
          <w:p w:rsidRPr="003268EE" w:rsidR="0022265E" w:rsidP="0022265E" w:rsidRDefault="0022265E" w14:paraId="489DA374"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62946AD0"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72D286F3"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11900CDE" w14:textId="77777777">
            <w:pPr>
              <w:pStyle w:val="p-table"/>
              <w:rPr>
                <w:sz w:val="13"/>
                <w:szCs w:val="13"/>
              </w:rPr>
            </w:pPr>
          </w:p>
        </w:tc>
        <w:tc>
          <w:tcPr>
            <w:tcW w:w="360" w:type="pct"/>
            <w:tcMar>
              <w:top w:w="22" w:type="dxa"/>
              <w:left w:w="28" w:type="dxa"/>
              <w:bottom w:w="22" w:type="dxa"/>
              <w:right w:w="28" w:type="dxa"/>
            </w:tcMar>
            <w:vAlign w:val="bottom"/>
          </w:tcPr>
          <w:p w:rsidRPr="003268EE" w:rsidR="0022265E" w:rsidP="0022265E" w:rsidRDefault="0022265E" w14:paraId="5E4A6C66" w14:textId="77777777">
            <w:pPr>
              <w:pStyle w:val="p-table"/>
              <w:jc w:val="right"/>
              <w:rPr>
                <w:color w:val="000000"/>
                <w:sz w:val="13"/>
                <w:szCs w:val="13"/>
              </w:rPr>
            </w:pPr>
          </w:p>
        </w:tc>
        <w:tc>
          <w:tcPr>
            <w:tcW w:w="460" w:type="pct"/>
            <w:tcMar>
              <w:top w:w="22" w:type="dxa"/>
              <w:left w:w="28" w:type="dxa"/>
              <w:bottom w:w="22" w:type="dxa"/>
              <w:right w:w="28" w:type="dxa"/>
            </w:tcMar>
            <w:vAlign w:val="bottom"/>
          </w:tcPr>
          <w:p w:rsidRPr="003268EE" w:rsidR="0022265E" w:rsidP="0022265E" w:rsidRDefault="0022265E" w14:paraId="682D7765"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334A3E93"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424F61EC"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7A6C7060"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2D200451"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40527191" w14:textId="77777777">
            <w:pPr>
              <w:pStyle w:val="p-table"/>
              <w:jc w:val="right"/>
              <w:rPr>
                <w:color w:val="000000"/>
                <w:sz w:val="13"/>
                <w:szCs w:val="13"/>
              </w:rPr>
            </w:pPr>
          </w:p>
        </w:tc>
      </w:tr>
      <w:tr w:rsidR="0022265E" w:rsidTr="007433BE" w14:paraId="1EEF31FB"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30456D4" w14:textId="77777777">
            <w:pPr>
              <w:pStyle w:val="p-table"/>
              <w:rPr>
                <w:sz w:val="13"/>
                <w:szCs w:val="13"/>
              </w:rPr>
            </w:pPr>
            <w:r w:rsidRPr="003268EE">
              <w:rPr>
                <w:b/>
                <w:sz w:val="13"/>
                <w:szCs w:val="13"/>
              </w:rPr>
              <w:t>Rente</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883D2BE" w14:textId="77777777">
            <w:pPr>
              <w:pStyle w:val="p-table"/>
              <w:jc w:val="right"/>
              <w:rPr>
                <w:sz w:val="13"/>
                <w:szCs w:val="13"/>
              </w:rPr>
            </w:pPr>
            <w:r w:rsidRPr="003268EE">
              <w:rPr>
                <w:b/>
                <w:sz w:val="13"/>
                <w:szCs w:val="13"/>
              </w:rPr>
              <w:t>218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43880B1"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6ADCC95" w14:textId="77777777">
            <w:pPr>
              <w:pStyle w:val="p-table"/>
              <w:jc w:val="right"/>
              <w:rPr>
                <w:sz w:val="13"/>
                <w:szCs w:val="13"/>
              </w:rPr>
            </w:pPr>
            <w:r w:rsidRPr="003268EE">
              <w:rPr>
                <w:b/>
                <w:sz w:val="13"/>
                <w:szCs w:val="13"/>
              </w:rPr>
              <w:t>218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8E5881" w14:textId="4241E925">
            <w:pPr>
              <w:pStyle w:val="p-table"/>
              <w:jc w:val="right"/>
              <w:rPr>
                <w:b/>
                <w:bCs/>
                <w:color w:val="000000"/>
                <w:sz w:val="13"/>
                <w:szCs w:val="13"/>
              </w:rPr>
            </w:pPr>
            <w:r w:rsidRPr="003268EE">
              <w:rPr>
                <w:b/>
                <w:bCs/>
                <w:color w:val="000000"/>
                <w:sz w:val="13"/>
                <w:szCs w:val="13"/>
              </w:rPr>
              <w:t>-15</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43E627AD" w14:textId="2EC05DE7">
            <w:pPr>
              <w:pStyle w:val="p-table"/>
              <w:jc w:val="right"/>
              <w:rPr>
                <w:b/>
                <w:bCs/>
                <w:color w:val="000000"/>
                <w:sz w:val="13"/>
                <w:szCs w:val="13"/>
              </w:rPr>
            </w:pPr>
            <w:r w:rsidRPr="003268EE">
              <w:rPr>
                <w:b/>
                <w:bCs/>
                <w:color w:val="000000"/>
                <w:sz w:val="13"/>
                <w:szCs w:val="13"/>
              </w:rPr>
              <w:t>203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F8CF761" w14:textId="21A7BC77">
            <w:pPr>
              <w:pStyle w:val="p-table"/>
              <w:jc w:val="right"/>
              <w:rPr>
                <w:b/>
                <w:bCs/>
                <w:color w:val="000000"/>
                <w:sz w:val="13"/>
                <w:szCs w:val="13"/>
              </w:rPr>
            </w:pPr>
            <w:r w:rsidRPr="003268EE">
              <w:rPr>
                <w:b/>
                <w:bCs/>
                <w:color w:val="000000"/>
                <w:sz w:val="13"/>
                <w:szCs w:val="13"/>
              </w:rPr>
              <w:t>-16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DFB34C9" w14:textId="04FC2946">
            <w:pPr>
              <w:pStyle w:val="p-table"/>
              <w:jc w:val="right"/>
              <w:rPr>
                <w:b/>
                <w:bCs/>
                <w:color w:val="000000"/>
                <w:sz w:val="13"/>
                <w:szCs w:val="13"/>
              </w:rPr>
            </w:pPr>
            <w:r w:rsidRPr="003268EE">
              <w:rPr>
                <w:b/>
                <w:bCs/>
                <w:color w:val="000000"/>
                <w:sz w:val="13"/>
                <w:szCs w:val="13"/>
              </w:rPr>
              <w:t>-10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24AFE6" w14:textId="0E5C3E33">
            <w:pPr>
              <w:pStyle w:val="p-table"/>
              <w:jc w:val="right"/>
              <w:rPr>
                <w:b/>
                <w:bCs/>
                <w:color w:val="000000"/>
                <w:sz w:val="13"/>
                <w:szCs w:val="13"/>
              </w:rPr>
            </w:pPr>
            <w:r w:rsidRPr="003268EE">
              <w:rPr>
                <w:b/>
                <w:bCs/>
                <w:color w:val="000000"/>
                <w:sz w:val="13"/>
                <w:szCs w:val="13"/>
              </w:rPr>
              <w:t>-4</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F7D0331" w14:textId="18B95DC7">
            <w:pPr>
              <w:pStyle w:val="p-table"/>
              <w:jc w:val="right"/>
              <w:rPr>
                <w:b/>
                <w:bCs/>
                <w:color w:val="000000"/>
                <w:sz w:val="13"/>
                <w:szCs w:val="13"/>
              </w:rPr>
            </w:pPr>
            <w:r w:rsidRPr="003268EE">
              <w:rPr>
                <w:b/>
                <w:bCs/>
                <w:color w:val="000000"/>
                <w:sz w:val="13"/>
                <w:szCs w:val="13"/>
              </w:rPr>
              <w:t>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9F0335C" w14:textId="73FFFA06">
            <w:pPr>
              <w:pStyle w:val="p-table"/>
              <w:jc w:val="right"/>
              <w:rPr>
                <w:b/>
                <w:bCs/>
                <w:color w:val="000000"/>
                <w:sz w:val="13"/>
                <w:szCs w:val="13"/>
              </w:rPr>
            </w:pPr>
            <w:r w:rsidRPr="003268EE">
              <w:rPr>
                <w:b/>
                <w:bCs/>
                <w:color w:val="000000"/>
                <w:sz w:val="13"/>
                <w:szCs w:val="13"/>
              </w:rPr>
              <w:t>444</w:t>
            </w:r>
          </w:p>
        </w:tc>
      </w:tr>
      <w:tr w:rsidR="0022265E" w:rsidTr="007433BE" w14:paraId="0BD6BDFA"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595D30B1" w14:textId="77777777">
            <w:pPr>
              <w:pStyle w:val="p-table"/>
              <w:rPr>
                <w:sz w:val="13"/>
                <w:szCs w:val="13"/>
              </w:rPr>
            </w:pPr>
            <w:r w:rsidRPr="003268EE">
              <w:rPr>
                <w:sz w:val="13"/>
                <w:szCs w:val="13"/>
              </w:rPr>
              <w:t>Rente kasbeheer</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721CD37" w14:textId="77777777">
            <w:pPr>
              <w:pStyle w:val="p-table"/>
              <w:jc w:val="right"/>
              <w:rPr>
                <w:sz w:val="13"/>
                <w:szCs w:val="13"/>
              </w:rPr>
            </w:pPr>
            <w:r w:rsidRPr="003268EE">
              <w:rPr>
                <w:sz w:val="13"/>
                <w:szCs w:val="13"/>
              </w:rPr>
              <w:t>218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6CAABCC"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782D6B67" w14:textId="77777777">
            <w:pPr>
              <w:pStyle w:val="p-table"/>
              <w:jc w:val="right"/>
              <w:rPr>
                <w:sz w:val="13"/>
                <w:szCs w:val="13"/>
              </w:rPr>
            </w:pPr>
            <w:r w:rsidRPr="003268EE">
              <w:rPr>
                <w:sz w:val="13"/>
                <w:szCs w:val="13"/>
              </w:rPr>
              <w:t>218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17E3466" w14:textId="11AEBDD2">
            <w:pPr>
              <w:pStyle w:val="p-table"/>
              <w:jc w:val="right"/>
              <w:rPr>
                <w:color w:val="000000"/>
                <w:sz w:val="13"/>
                <w:szCs w:val="13"/>
              </w:rPr>
            </w:pPr>
            <w:r w:rsidRPr="003268EE">
              <w:rPr>
                <w:color w:val="000000"/>
                <w:sz w:val="13"/>
                <w:szCs w:val="13"/>
              </w:rPr>
              <w:t>-15</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1ACE8C5" w14:textId="71FC7639">
            <w:pPr>
              <w:pStyle w:val="p-table"/>
              <w:jc w:val="right"/>
              <w:rPr>
                <w:color w:val="000000"/>
                <w:sz w:val="13"/>
                <w:szCs w:val="13"/>
              </w:rPr>
            </w:pPr>
            <w:r w:rsidRPr="003268EE">
              <w:rPr>
                <w:color w:val="000000"/>
                <w:sz w:val="13"/>
                <w:szCs w:val="13"/>
              </w:rPr>
              <w:t>203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16AC4DB" w14:textId="0E23A36F">
            <w:pPr>
              <w:pStyle w:val="p-table"/>
              <w:jc w:val="right"/>
              <w:rPr>
                <w:color w:val="000000"/>
                <w:sz w:val="13"/>
                <w:szCs w:val="13"/>
              </w:rPr>
            </w:pPr>
            <w:r w:rsidRPr="003268EE">
              <w:rPr>
                <w:color w:val="000000"/>
                <w:sz w:val="13"/>
                <w:szCs w:val="13"/>
              </w:rPr>
              <w:t>-16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80ECB18" w14:textId="557E693F">
            <w:pPr>
              <w:pStyle w:val="p-table"/>
              <w:jc w:val="right"/>
              <w:rPr>
                <w:color w:val="000000"/>
                <w:sz w:val="13"/>
                <w:szCs w:val="13"/>
              </w:rPr>
            </w:pPr>
            <w:r w:rsidRPr="003268EE">
              <w:rPr>
                <w:color w:val="000000"/>
                <w:sz w:val="13"/>
                <w:szCs w:val="13"/>
              </w:rPr>
              <w:t>-10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A9220C7" w14:textId="0F449EBE">
            <w:pPr>
              <w:pStyle w:val="p-table"/>
              <w:jc w:val="right"/>
              <w:rPr>
                <w:color w:val="000000"/>
                <w:sz w:val="13"/>
                <w:szCs w:val="13"/>
              </w:rPr>
            </w:pPr>
            <w:r w:rsidRPr="003268EE">
              <w:rPr>
                <w:color w:val="000000"/>
                <w:sz w:val="13"/>
                <w:szCs w:val="13"/>
              </w:rPr>
              <w:t>-4</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3002997" w14:textId="1C31950A">
            <w:pPr>
              <w:pStyle w:val="p-table"/>
              <w:jc w:val="right"/>
              <w:rPr>
                <w:color w:val="000000"/>
                <w:sz w:val="13"/>
                <w:szCs w:val="13"/>
              </w:rPr>
            </w:pPr>
            <w:r w:rsidRPr="003268EE">
              <w:rPr>
                <w:color w:val="000000"/>
                <w:sz w:val="13"/>
                <w:szCs w:val="13"/>
              </w:rPr>
              <w:t>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84861A4" w14:textId="73CBC711">
            <w:pPr>
              <w:pStyle w:val="p-table"/>
              <w:jc w:val="right"/>
              <w:rPr>
                <w:color w:val="000000"/>
                <w:sz w:val="13"/>
                <w:szCs w:val="13"/>
              </w:rPr>
            </w:pPr>
            <w:r w:rsidRPr="003268EE">
              <w:rPr>
                <w:color w:val="000000"/>
                <w:sz w:val="13"/>
                <w:szCs w:val="13"/>
              </w:rPr>
              <w:t>444</w:t>
            </w:r>
          </w:p>
        </w:tc>
      </w:tr>
      <w:tr w:rsidR="0022265E" w:rsidTr="007433BE" w14:paraId="1FAC5F2F"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842DACA" w14:textId="77777777">
            <w:pPr>
              <w:pStyle w:val="p-table"/>
              <w:rPr>
                <w:sz w:val="13"/>
                <w:szCs w:val="13"/>
              </w:rPr>
            </w:pPr>
            <w:r w:rsidRPr="003268EE">
              <w:rPr>
                <w:sz w:val="13"/>
                <w:szCs w:val="13"/>
              </w:rPr>
              <w:t>Voortijdige beëindiging binnen kasbeheer</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7D04F59"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D80EC9D"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7602105C"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83A84A5" w14:textId="10ADA171">
            <w:pPr>
              <w:pStyle w:val="p-table"/>
              <w:jc w:val="right"/>
              <w:rPr>
                <w:color w:val="000000"/>
                <w:sz w:val="13"/>
                <w:szCs w:val="13"/>
              </w:rPr>
            </w:pPr>
            <w:r w:rsidRPr="003268EE">
              <w:rPr>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07FF8516" w14:textId="43A83E20">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0A159FB" w14:textId="2817AC8E">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05ECD7" w14:textId="4F9974AA">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35BDB47" w14:textId="0230CFD7">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5F837A5" w14:textId="5611DC19">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7B6A5E" w14:textId="4EEE3B42">
            <w:pPr>
              <w:pStyle w:val="p-table"/>
              <w:jc w:val="right"/>
              <w:rPr>
                <w:color w:val="000000"/>
                <w:sz w:val="13"/>
                <w:szCs w:val="13"/>
              </w:rPr>
            </w:pPr>
            <w:r w:rsidRPr="003268EE">
              <w:rPr>
                <w:color w:val="000000"/>
                <w:sz w:val="13"/>
                <w:szCs w:val="13"/>
              </w:rPr>
              <w:t>0</w:t>
            </w:r>
          </w:p>
        </w:tc>
      </w:tr>
      <w:tr w:rsidR="0022265E" w:rsidTr="007433BE" w14:paraId="445BB775"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32CC490B"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21B02F6"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14D7AA6"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466FFA1"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E69AEB7" w14:textId="24643549">
            <w:pPr>
              <w:pStyle w:val="p-table"/>
              <w:jc w:val="right"/>
              <w:rPr>
                <w:color w:val="000000"/>
                <w:sz w:val="13"/>
                <w:szCs w:val="13"/>
              </w:rPr>
            </w:pPr>
            <w:r w:rsidRPr="003268EE">
              <w:rPr>
                <w:color w:val="000000"/>
                <w:sz w:val="13"/>
                <w:szCs w:val="13"/>
              </w:rPr>
              <w:t> </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07605330" w14:textId="335CF0FC">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5640E77" w14:textId="0F95C79F">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A8B9D49" w14:textId="0017CA99">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91DB9E3" w14:textId="2BC40D06">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470EE11" w14:textId="1B3476ED">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B69C949" w14:textId="46C317BF">
            <w:pPr>
              <w:pStyle w:val="p-table"/>
              <w:jc w:val="right"/>
              <w:rPr>
                <w:color w:val="000000"/>
                <w:sz w:val="13"/>
                <w:szCs w:val="13"/>
              </w:rPr>
            </w:pPr>
            <w:r w:rsidRPr="003268EE">
              <w:rPr>
                <w:color w:val="000000"/>
                <w:sz w:val="13"/>
                <w:szCs w:val="13"/>
              </w:rPr>
              <w:t> </w:t>
            </w:r>
          </w:p>
        </w:tc>
      </w:tr>
      <w:tr w:rsidR="0022265E" w:rsidTr="007433BE" w14:paraId="524CC646"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0D99D75A" w14:textId="77777777">
            <w:pPr>
              <w:pStyle w:val="p-table"/>
              <w:rPr>
                <w:sz w:val="13"/>
                <w:szCs w:val="13"/>
              </w:rPr>
            </w:pPr>
            <w:r w:rsidRPr="003268EE">
              <w:rPr>
                <w:b/>
                <w:sz w:val="13"/>
                <w:szCs w:val="13"/>
              </w:rPr>
              <w:t>Leningen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1E754FC" w14:textId="77777777">
            <w:pPr>
              <w:pStyle w:val="p-table"/>
              <w:jc w:val="right"/>
              <w:rPr>
                <w:sz w:val="13"/>
                <w:szCs w:val="13"/>
              </w:rPr>
            </w:pPr>
            <w:r w:rsidRPr="003268EE">
              <w:rPr>
                <w:b/>
                <w:sz w:val="13"/>
                <w:szCs w:val="13"/>
              </w:rPr>
              <w:t>1.420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2B437B8"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6CA3E19" w14:textId="77777777">
            <w:pPr>
              <w:pStyle w:val="p-table"/>
              <w:jc w:val="right"/>
              <w:rPr>
                <w:sz w:val="13"/>
                <w:szCs w:val="13"/>
              </w:rPr>
            </w:pPr>
            <w:r w:rsidRPr="003268EE">
              <w:rPr>
                <w:b/>
                <w:sz w:val="13"/>
                <w:szCs w:val="13"/>
              </w:rPr>
              <w:t>1.420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7BD1E07" w14:textId="6195031F">
            <w:pPr>
              <w:pStyle w:val="p-table"/>
              <w:jc w:val="right"/>
              <w:rPr>
                <w:b/>
                <w:bCs/>
                <w:color w:val="000000"/>
                <w:sz w:val="13"/>
                <w:szCs w:val="13"/>
              </w:rPr>
            </w:pPr>
            <w:r w:rsidRPr="003268EE">
              <w:rPr>
                <w:b/>
                <w:bCs/>
                <w:color w:val="000000"/>
                <w:sz w:val="13"/>
                <w:szCs w:val="13"/>
              </w:rPr>
              <w:t>4</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1D35ADF7" w14:textId="675F7669">
            <w:pPr>
              <w:pStyle w:val="p-table"/>
              <w:jc w:val="right"/>
              <w:rPr>
                <w:b/>
                <w:bCs/>
                <w:color w:val="000000"/>
                <w:sz w:val="13"/>
                <w:szCs w:val="13"/>
              </w:rPr>
            </w:pPr>
            <w:r w:rsidRPr="003268EE">
              <w:rPr>
                <w:b/>
                <w:bCs/>
                <w:color w:val="000000"/>
                <w:sz w:val="13"/>
                <w:szCs w:val="13"/>
              </w:rPr>
              <w:t>1.424</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F5F91C8" w14:textId="61205814">
            <w:pPr>
              <w:pStyle w:val="p-table"/>
              <w:jc w:val="right"/>
              <w:rPr>
                <w:b/>
                <w:bCs/>
                <w:color w:val="000000"/>
                <w:sz w:val="13"/>
                <w:szCs w:val="13"/>
              </w:rPr>
            </w:pPr>
            <w:r w:rsidRPr="003268EE">
              <w:rPr>
                <w:b/>
                <w:bCs/>
                <w:color w:val="000000"/>
                <w:sz w:val="13"/>
                <w:szCs w:val="13"/>
              </w:rPr>
              <w:t>19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0687037" w14:textId="18906603">
            <w:pPr>
              <w:pStyle w:val="p-table"/>
              <w:jc w:val="right"/>
              <w:rPr>
                <w:b/>
                <w:bCs/>
                <w:color w:val="000000"/>
                <w:sz w:val="13"/>
                <w:szCs w:val="13"/>
              </w:rPr>
            </w:pPr>
            <w:r w:rsidRPr="003268EE">
              <w:rPr>
                <w:b/>
                <w:bCs/>
                <w:color w:val="000000"/>
                <w:sz w:val="13"/>
                <w:szCs w:val="13"/>
              </w:rPr>
              <w:t>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1A59731" w14:textId="653AC24E">
            <w:pPr>
              <w:pStyle w:val="p-table"/>
              <w:jc w:val="right"/>
              <w:rPr>
                <w:b/>
                <w:bCs/>
                <w:color w:val="000000"/>
                <w:sz w:val="13"/>
                <w:szCs w:val="13"/>
              </w:rPr>
            </w:pPr>
            <w:r w:rsidRPr="003268EE">
              <w:rPr>
                <w:b/>
                <w:bCs/>
                <w:color w:val="000000"/>
                <w:sz w:val="13"/>
                <w:szCs w:val="13"/>
              </w:rPr>
              <w:t>-22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8A608E6" w14:textId="3625D25C">
            <w:pPr>
              <w:pStyle w:val="p-table"/>
              <w:jc w:val="right"/>
              <w:rPr>
                <w:b/>
                <w:bCs/>
                <w:color w:val="000000"/>
                <w:sz w:val="13"/>
                <w:szCs w:val="13"/>
              </w:rPr>
            </w:pPr>
            <w:r w:rsidRPr="003268EE">
              <w:rPr>
                <w:b/>
                <w:bCs/>
                <w:color w:val="000000"/>
                <w:sz w:val="13"/>
                <w:szCs w:val="13"/>
              </w:rPr>
              <w:t>-45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B0161A" w14:textId="0430C658">
            <w:pPr>
              <w:pStyle w:val="p-table"/>
              <w:jc w:val="right"/>
              <w:rPr>
                <w:b/>
                <w:bCs/>
                <w:color w:val="000000"/>
                <w:sz w:val="13"/>
                <w:szCs w:val="13"/>
              </w:rPr>
            </w:pPr>
            <w:r w:rsidRPr="003268EE">
              <w:rPr>
                <w:b/>
                <w:bCs/>
                <w:color w:val="000000"/>
                <w:sz w:val="13"/>
                <w:szCs w:val="13"/>
              </w:rPr>
              <w:t>1.778</w:t>
            </w:r>
          </w:p>
        </w:tc>
      </w:tr>
      <w:tr w:rsidR="0022265E" w:rsidTr="007433BE" w14:paraId="7DFBDFA4"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665F5BAC" w14:textId="77777777">
            <w:pPr>
              <w:pStyle w:val="p-table"/>
              <w:rPr>
                <w:sz w:val="13"/>
                <w:szCs w:val="13"/>
              </w:rPr>
            </w:pPr>
            <w:r w:rsidRPr="003268EE">
              <w:rPr>
                <w:sz w:val="13"/>
                <w:szCs w:val="13"/>
              </w:rPr>
              <w:t>Ontvangen aflossingen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34CB311" w14:textId="77777777">
            <w:pPr>
              <w:pStyle w:val="p-table"/>
              <w:jc w:val="right"/>
              <w:rPr>
                <w:sz w:val="13"/>
                <w:szCs w:val="13"/>
              </w:rPr>
            </w:pPr>
            <w:r w:rsidRPr="003268EE">
              <w:rPr>
                <w:sz w:val="13"/>
                <w:szCs w:val="13"/>
              </w:rPr>
              <w:t>1.420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07E8E5B"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72282A92" w14:textId="77777777">
            <w:pPr>
              <w:pStyle w:val="p-table"/>
              <w:jc w:val="right"/>
              <w:rPr>
                <w:sz w:val="13"/>
                <w:szCs w:val="13"/>
              </w:rPr>
            </w:pPr>
            <w:r w:rsidRPr="003268EE">
              <w:rPr>
                <w:sz w:val="13"/>
                <w:szCs w:val="13"/>
              </w:rPr>
              <w:t>1.420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9F62A5D" w14:textId="53E43ABD">
            <w:pPr>
              <w:pStyle w:val="p-table"/>
              <w:jc w:val="right"/>
              <w:rPr>
                <w:color w:val="000000"/>
                <w:sz w:val="13"/>
                <w:szCs w:val="13"/>
              </w:rPr>
            </w:pPr>
            <w:r w:rsidRPr="003268EE">
              <w:rPr>
                <w:color w:val="000000"/>
                <w:sz w:val="13"/>
                <w:szCs w:val="13"/>
              </w:rPr>
              <w:t>4</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43C3E70F" w14:textId="383ECA92">
            <w:pPr>
              <w:pStyle w:val="p-table"/>
              <w:jc w:val="right"/>
              <w:rPr>
                <w:color w:val="000000"/>
                <w:sz w:val="13"/>
                <w:szCs w:val="13"/>
              </w:rPr>
            </w:pPr>
            <w:r w:rsidRPr="003268EE">
              <w:rPr>
                <w:color w:val="000000"/>
                <w:sz w:val="13"/>
                <w:szCs w:val="13"/>
              </w:rPr>
              <w:t>1.424</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D8409E8" w14:textId="56C5CD34">
            <w:pPr>
              <w:pStyle w:val="p-table"/>
              <w:jc w:val="right"/>
              <w:rPr>
                <w:color w:val="000000"/>
                <w:sz w:val="13"/>
                <w:szCs w:val="13"/>
              </w:rPr>
            </w:pPr>
            <w:r w:rsidRPr="003268EE">
              <w:rPr>
                <w:color w:val="000000"/>
                <w:sz w:val="13"/>
                <w:szCs w:val="13"/>
              </w:rPr>
              <w:t>19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D7CF2DB" w14:textId="22FCEEB0">
            <w:pPr>
              <w:pStyle w:val="p-table"/>
              <w:jc w:val="right"/>
              <w:rPr>
                <w:color w:val="000000"/>
                <w:sz w:val="13"/>
                <w:szCs w:val="13"/>
              </w:rPr>
            </w:pPr>
            <w:r w:rsidRPr="003268EE">
              <w:rPr>
                <w:color w:val="000000"/>
                <w:sz w:val="13"/>
                <w:szCs w:val="13"/>
              </w:rPr>
              <w:t>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D7D92C7" w14:textId="0E6FD686">
            <w:pPr>
              <w:pStyle w:val="p-table"/>
              <w:jc w:val="right"/>
              <w:rPr>
                <w:color w:val="000000"/>
                <w:sz w:val="13"/>
                <w:szCs w:val="13"/>
              </w:rPr>
            </w:pPr>
            <w:r w:rsidRPr="003268EE">
              <w:rPr>
                <w:color w:val="000000"/>
                <w:sz w:val="13"/>
                <w:szCs w:val="13"/>
              </w:rPr>
              <w:t>-22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574A040" w14:textId="659DB103">
            <w:pPr>
              <w:pStyle w:val="p-table"/>
              <w:jc w:val="right"/>
              <w:rPr>
                <w:color w:val="000000"/>
                <w:sz w:val="13"/>
                <w:szCs w:val="13"/>
              </w:rPr>
            </w:pPr>
            <w:r w:rsidRPr="003268EE">
              <w:rPr>
                <w:color w:val="000000"/>
                <w:sz w:val="13"/>
                <w:szCs w:val="13"/>
              </w:rPr>
              <w:t>-45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634ADCA" w14:textId="2BF80F11">
            <w:pPr>
              <w:pStyle w:val="p-table"/>
              <w:jc w:val="right"/>
              <w:rPr>
                <w:color w:val="000000"/>
                <w:sz w:val="13"/>
                <w:szCs w:val="13"/>
              </w:rPr>
            </w:pPr>
            <w:r w:rsidRPr="003268EE">
              <w:rPr>
                <w:color w:val="000000"/>
                <w:sz w:val="13"/>
                <w:szCs w:val="13"/>
              </w:rPr>
              <w:t>1.778</w:t>
            </w:r>
          </w:p>
        </w:tc>
      </w:tr>
      <w:tr w:rsidR="0022265E" w:rsidTr="007433BE" w14:paraId="59097F7E"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2BF9ECC"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C3BDAA4"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F3F99F3"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601C6FC"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D3B84DD" w14:textId="6666BD24">
            <w:pPr>
              <w:pStyle w:val="p-table"/>
              <w:jc w:val="right"/>
              <w:rPr>
                <w:color w:val="000000"/>
                <w:sz w:val="13"/>
                <w:szCs w:val="13"/>
              </w:rPr>
            </w:pPr>
            <w:r w:rsidRPr="003268EE">
              <w:rPr>
                <w:color w:val="000000"/>
                <w:sz w:val="13"/>
                <w:szCs w:val="13"/>
              </w:rPr>
              <w:t> </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F6511E3" w14:textId="0E72F03D">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36C1832" w14:textId="6A7705AF">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4E8EAD7" w14:textId="73220D3F">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686082E" w14:textId="7C6321B2">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F4B0E4" w14:textId="02109497">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C32EF0C" w14:textId="5121201F">
            <w:pPr>
              <w:pStyle w:val="p-table"/>
              <w:jc w:val="right"/>
              <w:rPr>
                <w:color w:val="000000"/>
                <w:sz w:val="13"/>
                <w:szCs w:val="13"/>
              </w:rPr>
            </w:pPr>
            <w:r w:rsidRPr="003268EE">
              <w:rPr>
                <w:color w:val="000000"/>
                <w:sz w:val="13"/>
                <w:szCs w:val="13"/>
              </w:rPr>
              <w:t> </w:t>
            </w:r>
          </w:p>
        </w:tc>
      </w:tr>
      <w:tr w:rsidR="0022265E" w:rsidTr="007433BE" w14:paraId="54314C8B"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5C6CE056" w14:textId="77777777">
            <w:pPr>
              <w:pStyle w:val="p-table"/>
              <w:rPr>
                <w:sz w:val="13"/>
                <w:szCs w:val="13"/>
              </w:rPr>
            </w:pPr>
            <w:r w:rsidRPr="003268EE">
              <w:rPr>
                <w:b/>
                <w:sz w:val="13"/>
                <w:szCs w:val="13"/>
              </w:rPr>
              <w:t>Mutaties in rekening-courant en deposito's</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7E71BBB" w14:textId="77777777">
            <w:pPr>
              <w:pStyle w:val="p-table"/>
              <w:jc w:val="right"/>
              <w:rPr>
                <w:b/>
                <w:sz w:val="13"/>
                <w:szCs w:val="13"/>
              </w:rPr>
            </w:pPr>
            <w:r w:rsidRPr="003268EE">
              <w:rPr>
                <w:b/>
                <w:sz w:val="13"/>
                <w:szCs w:val="13"/>
              </w:rPr>
              <w:t>10.792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81FC2A1" w14:textId="77777777">
            <w:pPr>
              <w:pStyle w:val="p-table"/>
              <w:jc w:val="right"/>
              <w:rPr>
                <w:b/>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57A7154" w14:textId="77777777">
            <w:pPr>
              <w:pStyle w:val="p-table"/>
              <w:jc w:val="right"/>
              <w:rPr>
                <w:b/>
                <w:sz w:val="13"/>
                <w:szCs w:val="13"/>
              </w:rPr>
            </w:pPr>
            <w:r w:rsidRPr="003268EE">
              <w:rPr>
                <w:b/>
                <w:sz w:val="13"/>
                <w:szCs w:val="13"/>
              </w:rPr>
              <w:t>10.792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55A915C" w14:textId="14CD843F">
            <w:pPr>
              <w:pStyle w:val="p-table"/>
              <w:jc w:val="right"/>
              <w:rPr>
                <w:b/>
                <w:color w:val="000000"/>
                <w:sz w:val="13"/>
                <w:szCs w:val="13"/>
              </w:rPr>
            </w:pPr>
            <w:r w:rsidRPr="003268EE">
              <w:rPr>
                <w:b/>
                <w:color w:val="000000"/>
                <w:sz w:val="13"/>
                <w:szCs w:val="13"/>
              </w:rPr>
              <w:t>3.417</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0E875B34" w14:textId="4A0BD9E7">
            <w:pPr>
              <w:pStyle w:val="p-table"/>
              <w:jc w:val="right"/>
              <w:rPr>
                <w:b/>
                <w:color w:val="000000"/>
                <w:sz w:val="13"/>
                <w:szCs w:val="13"/>
              </w:rPr>
            </w:pPr>
            <w:r w:rsidRPr="003268EE">
              <w:rPr>
                <w:b/>
                <w:color w:val="000000"/>
                <w:sz w:val="13"/>
                <w:szCs w:val="13"/>
              </w:rPr>
              <w:t>14.209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C29920" w14:textId="4F4CCEE4">
            <w:pPr>
              <w:pStyle w:val="p-table"/>
              <w:jc w:val="right"/>
              <w:rPr>
                <w:b/>
                <w:color w:val="000000"/>
                <w:sz w:val="13"/>
                <w:szCs w:val="13"/>
              </w:rPr>
            </w:pPr>
            <w:r w:rsidRPr="003268EE">
              <w:rPr>
                <w:b/>
                <w:color w:val="000000"/>
                <w:sz w:val="13"/>
                <w:szCs w:val="13"/>
              </w:rPr>
              <w:t>1.112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9796C84" w14:textId="208F9447">
            <w:pPr>
              <w:pStyle w:val="p-table"/>
              <w:jc w:val="right"/>
              <w:rPr>
                <w:b/>
                <w:color w:val="000000"/>
                <w:sz w:val="13"/>
                <w:szCs w:val="13"/>
              </w:rPr>
            </w:pPr>
            <w:r w:rsidRPr="003268EE">
              <w:rPr>
                <w:b/>
                <w:color w:val="000000"/>
                <w:sz w:val="13"/>
                <w:szCs w:val="13"/>
              </w:rPr>
              <w:t>2.536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244E297" w14:textId="670AB145">
            <w:pPr>
              <w:pStyle w:val="p-table"/>
              <w:jc w:val="right"/>
              <w:rPr>
                <w:b/>
                <w:color w:val="000000"/>
                <w:sz w:val="13"/>
                <w:szCs w:val="13"/>
              </w:rPr>
            </w:pPr>
            <w:r w:rsidRPr="003268EE">
              <w:rPr>
                <w:b/>
                <w:color w:val="000000"/>
                <w:sz w:val="13"/>
                <w:szCs w:val="13"/>
              </w:rPr>
              <w:t>4.747</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7B57E25" w14:textId="425A5616">
            <w:pPr>
              <w:pStyle w:val="p-table"/>
              <w:jc w:val="right"/>
              <w:rPr>
                <w:b/>
                <w:color w:val="000000"/>
                <w:sz w:val="13"/>
                <w:szCs w:val="13"/>
              </w:rPr>
            </w:pPr>
            <w:r w:rsidRPr="003268EE">
              <w:rPr>
                <w:b/>
                <w:color w:val="000000"/>
                <w:sz w:val="13"/>
                <w:szCs w:val="13"/>
              </w:rPr>
              <w:t>6.363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8B50943" w14:textId="4A32F135">
            <w:pPr>
              <w:pStyle w:val="p-table"/>
              <w:jc w:val="right"/>
              <w:rPr>
                <w:b/>
                <w:color w:val="000000"/>
                <w:sz w:val="13"/>
                <w:szCs w:val="13"/>
              </w:rPr>
            </w:pPr>
            <w:r w:rsidRPr="003268EE">
              <w:rPr>
                <w:b/>
                <w:color w:val="000000"/>
                <w:sz w:val="13"/>
                <w:szCs w:val="13"/>
              </w:rPr>
              <w:t>22.114</w:t>
            </w:r>
          </w:p>
        </w:tc>
      </w:tr>
      <w:tr w:rsidR="0022265E" w:rsidTr="007433BE" w14:paraId="758D95B0"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02525E6C" w14:textId="77777777">
            <w:pPr>
              <w:pStyle w:val="p-table"/>
              <w:rPr>
                <w:sz w:val="13"/>
                <w:szCs w:val="13"/>
              </w:rPr>
            </w:pPr>
            <w:r w:rsidRPr="003268EE">
              <w:rPr>
                <w:sz w:val="13"/>
                <w:szCs w:val="13"/>
              </w:rPr>
              <w:t>Mutaties in rekening courant en deposito's</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CFCF442" w14:textId="77777777">
            <w:pPr>
              <w:pStyle w:val="p-table"/>
              <w:jc w:val="right"/>
              <w:rPr>
                <w:sz w:val="13"/>
                <w:szCs w:val="13"/>
              </w:rPr>
            </w:pPr>
            <w:r w:rsidRPr="003268EE">
              <w:rPr>
                <w:sz w:val="13"/>
                <w:szCs w:val="13"/>
              </w:rPr>
              <w:t>10.792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F334318"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CA1EC9F" w14:textId="77777777">
            <w:pPr>
              <w:pStyle w:val="p-table"/>
              <w:jc w:val="right"/>
              <w:rPr>
                <w:sz w:val="13"/>
                <w:szCs w:val="13"/>
              </w:rPr>
            </w:pPr>
            <w:r w:rsidRPr="003268EE">
              <w:rPr>
                <w:sz w:val="13"/>
                <w:szCs w:val="13"/>
              </w:rPr>
              <w:t>10.792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AFF882D" w14:textId="32847B39">
            <w:pPr>
              <w:pStyle w:val="p-table"/>
              <w:jc w:val="right"/>
              <w:rPr>
                <w:color w:val="000000"/>
                <w:sz w:val="13"/>
                <w:szCs w:val="13"/>
              </w:rPr>
            </w:pPr>
            <w:r w:rsidRPr="003268EE">
              <w:rPr>
                <w:color w:val="000000"/>
                <w:sz w:val="13"/>
                <w:szCs w:val="13"/>
              </w:rPr>
              <w:t>3.417</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817D5ED" w14:textId="5A598D23">
            <w:pPr>
              <w:pStyle w:val="p-table"/>
              <w:jc w:val="right"/>
              <w:rPr>
                <w:color w:val="000000"/>
                <w:sz w:val="13"/>
                <w:szCs w:val="13"/>
              </w:rPr>
            </w:pPr>
            <w:r w:rsidRPr="003268EE">
              <w:rPr>
                <w:color w:val="000000"/>
                <w:sz w:val="13"/>
                <w:szCs w:val="13"/>
              </w:rPr>
              <w:t>14.209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576CC0D" w14:textId="6228F52F">
            <w:pPr>
              <w:pStyle w:val="p-table"/>
              <w:jc w:val="right"/>
              <w:rPr>
                <w:color w:val="000000"/>
                <w:sz w:val="13"/>
                <w:szCs w:val="13"/>
              </w:rPr>
            </w:pPr>
            <w:r w:rsidRPr="003268EE">
              <w:rPr>
                <w:color w:val="000000"/>
                <w:sz w:val="13"/>
                <w:szCs w:val="13"/>
              </w:rPr>
              <w:t>1.112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97ED83A" w14:textId="03F11E25">
            <w:pPr>
              <w:pStyle w:val="p-table"/>
              <w:jc w:val="right"/>
              <w:rPr>
                <w:color w:val="000000"/>
                <w:sz w:val="13"/>
                <w:szCs w:val="13"/>
              </w:rPr>
            </w:pPr>
            <w:r w:rsidRPr="003268EE">
              <w:rPr>
                <w:color w:val="000000"/>
                <w:sz w:val="13"/>
                <w:szCs w:val="13"/>
              </w:rPr>
              <w:t>2.536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23A0A2D" w14:textId="20B23D1E">
            <w:pPr>
              <w:pStyle w:val="p-table"/>
              <w:jc w:val="right"/>
              <w:rPr>
                <w:color w:val="000000"/>
                <w:sz w:val="13"/>
                <w:szCs w:val="13"/>
              </w:rPr>
            </w:pPr>
            <w:r w:rsidRPr="003268EE">
              <w:rPr>
                <w:color w:val="000000"/>
                <w:sz w:val="13"/>
                <w:szCs w:val="13"/>
              </w:rPr>
              <w:t>4.747</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7A549C6" w14:textId="475ED9E7">
            <w:pPr>
              <w:pStyle w:val="p-table"/>
              <w:jc w:val="right"/>
              <w:rPr>
                <w:color w:val="000000"/>
                <w:sz w:val="13"/>
                <w:szCs w:val="13"/>
              </w:rPr>
            </w:pPr>
            <w:r w:rsidRPr="003268EE">
              <w:rPr>
                <w:color w:val="000000"/>
                <w:sz w:val="13"/>
                <w:szCs w:val="13"/>
              </w:rPr>
              <w:t>6.363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B0BFA48" w14:textId="0009E5C5">
            <w:pPr>
              <w:pStyle w:val="p-table"/>
              <w:jc w:val="right"/>
              <w:rPr>
                <w:color w:val="000000"/>
                <w:sz w:val="13"/>
                <w:szCs w:val="13"/>
              </w:rPr>
            </w:pPr>
            <w:r w:rsidRPr="003268EE">
              <w:rPr>
                <w:color w:val="000000"/>
                <w:sz w:val="13"/>
                <w:szCs w:val="13"/>
              </w:rPr>
              <w:t>22.114</w:t>
            </w:r>
          </w:p>
        </w:tc>
      </w:tr>
    </w:tbl>
    <w:p w:rsidR="0084290D" w:rsidRDefault="0084290D" w14:paraId="53B4729A"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4E682739" w14:textId="77777777">
        <w:trPr>
          <w:tblHeader/>
        </w:trPr>
        <w:tc>
          <w:tcPr>
            <w:tcW w:w="5508" w:type="dxa"/>
            <w:gridSpan w:val="2"/>
            <w:tcMar>
              <w:top w:w="22" w:type="dxa"/>
              <w:left w:w="113" w:type="dxa"/>
              <w:bottom w:w="22" w:type="dxa"/>
            </w:tcMar>
          </w:tcPr>
          <w:p w:rsidR="0084290D" w:rsidRDefault="00CF5B93" w14:paraId="4C9D6CEA" w14:textId="77777777">
            <w:pPr>
              <w:pStyle w:val="kio2-table-title"/>
            </w:pPr>
            <w:r>
              <w:t>Tabel 31 Geschatte budgetflexibiliteit</w:t>
            </w:r>
          </w:p>
        </w:tc>
      </w:tr>
      <w:tr w:rsidR="0084290D" w14:paraId="7DE816D9" w14:textId="77777777">
        <w:trPr>
          <w:tblHeader/>
        </w:trPr>
        <w:tc>
          <w:tcPr>
            <w:tcW w:w="2754" w:type="dxa"/>
            <w:tcBorders>
              <w:top w:val="single" w:color="000000" w:sz="2" w:space="0"/>
              <w:bottom w:val="single" w:color="009EE0" w:sz="2" w:space="0"/>
            </w:tcBorders>
            <w:tcMar>
              <w:top w:w="28" w:type="dxa"/>
              <w:bottom w:w="28" w:type="dxa"/>
              <w:right w:w="28" w:type="dxa"/>
            </w:tcMar>
          </w:tcPr>
          <w:p w:rsidRPr="003268EE" w:rsidR="0084290D" w:rsidRDefault="0084290D" w14:paraId="0CB583DC"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A9053B5" w14:textId="77777777">
            <w:pPr>
              <w:pStyle w:val="p-table"/>
              <w:jc w:val="right"/>
              <w:rPr>
                <w:color w:val="000000"/>
                <w:sz w:val="13"/>
                <w:szCs w:val="13"/>
              </w:rPr>
            </w:pPr>
            <w:r w:rsidRPr="003268EE">
              <w:rPr>
                <w:color w:val="000000"/>
                <w:sz w:val="13"/>
                <w:szCs w:val="13"/>
              </w:rPr>
              <w:t>2026</w:t>
            </w:r>
          </w:p>
        </w:tc>
      </w:tr>
      <w:tr w:rsidR="0084290D" w14:paraId="75B3E435" w14:textId="77777777">
        <w:tc>
          <w:tcPr>
            <w:tcW w:w="2754" w:type="dxa"/>
            <w:tcBorders>
              <w:bottom w:val="single" w:color="009EE0" w:sz="2" w:space="0"/>
            </w:tcBorders>
            <w:tcMar>
              <w:top w:w="22" w:type="dxa"/>
              <w:bottom w:w="22" w:type="dxa"/>
              <w:right w:w="28" w:type="dxa"/>
            </w:tcMar>
          </w:tcPr>
          <w:p w:rsidRPr="003268EE" w:rsidR="0084290D" w:rsidRDefault="00CF5B93" w14:paraId="4BC189B4" w14:textId="77777777">
            <w:pPr>
              <w:pStyle w:val="p-table"/>
              <w:rPr>
                <w:sz w:val="13"/>
                <w:szCs w:val="13"/>
              </w:rPr>
            </w:pPr>
            <w:r w:rsidRPr="003268EE">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3268EE" w:rsidR="0084290D" w:rsidRDefault="00CF5B93" w14:paraId="5ACC966E" w14:textId="77777777">
            <w:pPr>
              <w:pStyle w:val="p-table"/>
              <w:jc w:val="right"/>
              <w:rPr>
                <w:sz w:val="13"/>
                <w:szCs w:val="13"/>
              </w:rPr>
            </w:pPr>
            <w:r w:rsidRPr="003268EE">
              <w:rPr>
                <w:sz w:val="13"/>
                <w:szCs w:val="13"/>
              </w:rPr>
              <w:t>100%</w:t>
            </w:r>
          </w:p>
        </w:tc>
      </w:tr>
      <w:tr w:rsidR="0084290D" w14:paraId="206B02E2" w14:textId="77777777">
        <w:tc>
          <w:tcPr>
            <w:tcW w:w="2754" w:type="dxa"/>
            <w:tcBorders>
              <w:bottom w:val="single" w:color="009EE0" w:sz="2" w:space="0"/>
            </w:tcBorders>
            <w:tcMar>
              <w:top w:w="22" w:type="dxa"/>
              <w:bottom w:w="22" w:type="dxa"/>
              <w:right w:w="28" w:type="dxa"/>
            </w:tcMar>
          </w:tcPr>
          <w:p w:rsidRPr="003268EE" w:rsidR="0084290D" w:rsidRDefault="00CF5B93" w14:paraId="1146B4D3" w14:textId="77777777">
            <w:pPr>
              <w:pStyle w:val="p-table"/>
              <w:rPr>
                <w:sz w:val="13"/>
                <w:szCs w:val="13"/>
              </w:rPr>
            </w:pPr>
            <w:r w:rsidRPr="003268EE">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6093C7F6" w14:textId="77777777">
            <w:pPr>
              <w:pStyle w:val="p-table"/>
              <w:jc w:val="right"/>
              <w:rPr>
                <w:sz w:val="13"/>
                <w:szCs w:val="13"/>
              </w:rPr>
            </w:pPr>
            <w:r w:rsidRPr="003268EE">
              <w:rPr>
                <w:sz w:val="13"/>
                <w:szCs w:val="13"/>
              </w:rPr>
              <w:t>0%</w:t>
            </w:r>
          </w:p>
        </w:tc>
      </w:tr>
      <w:tr w:rsidR="0084290D" w14:paraId="7D5B8075" w14:textId="77777777">
        <w:tc>
          <w:tcPr>
            <w:tcW w:w="2754" w:type="dxa"/>
            <w:tcBorders>
              <w:bottom w:val="single" w:color="009EE0" w:sz="2" w:space="0"/>
            </w:tcBorders>
            <w:tcMar>
              <w:top w:w="22" w:type="dxa"/>
              <w:bottom w:w="22" w:type="dxa"/>
              <w:right w:w="28" w:type="dxa"/>
            </w:tcMar>
          </w:tcPr>
          <w:p w:rsidRPr="003268EE" w:rsidR="0084290D" w:rsidRDefault="00CF5B93" w14:paraId="445A5BC3" w14:textId="77777777">
            <w:pPr>
              <w:pStyle w:val="p-table"/>
              <w:rPr>
                <w:sz w:val="13"/>
                <w:szCs w:val="13"/>
              </w:rPr>
            </w:pPr>
            <w:r w:rsidRPr="003268EE">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3268EE" w:rsidR="0084290D" w:rsidRDefault="00CF5B93" w14:paraId="597F2280" w14:textId="77777777">
            <w:pPr>
              <w:pStyle w:val="p-table"/>
              <w:jc w:val="right"/>
              <w:rPr>
                <w:sz w:val="13"/>
                <w:szCs w:val="13"/>
              </w:rPr>
            </w:pPr>
            <w:r w:rsidRPr="003268EE">
              <w:rPr>
                <w:sz w:val="13"/>
                <w:szCs w:val="13"/>
              </w:rPr>
              <w:t>0%</w:t>
            </w:r>
          </w:p>
        </w:tc>
      </w:tr>
      <w:tr w:rsidR="0084290D" w14:paraId="7D5510CF" w14:textId="77777777">
        <w:tc>
          <w:tcPr>
            <w:tcW w:w="2754" w:type="dxa"/>
            <w:tcBorders>
              <w:bottom w:val="single" w:color="009EE0" w:sz="2" w:space="0"/>
            </w:tcBorders>
            <w:tcMar>
              <w:top w:w="22" w:type="dxa"/>
              <w:bottom w:w="22" w:type="dxa"/>
              <w:right w:w="28" w:type="dxa"/>
            </w:tcMar>
          </w:tcPr>
          <w:p w:rsidRPr="003268EE" w:rsidR="0084290D" w:rsidRDefault="00CF5B93" w14:paraId="3A5C014A"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76AA463A" w14:textId="77777777">
            <w:pPr>
              <w:pStyle w:val="p-table"/>
              <w:jc w:val="right"/>
              <w:rPr>
                <w:sz w:val="13"/>
                <w:szCs w:val="13"/>
              </w:rPr>
            </w:pPr>
            <w:r w:rsidRPr="003268EE">
              <w:rPr>
                <w:sz w:val="13"/>
                <w:szCs w:val="13"/>
              </w:rPr>
              <w:t>0%</w:t>
            </w:r>
          </w:p>
        </w:tc>
      </w:tr>
    </w:tbl>
    <w:p w:rsidR="0084290D" w:rsidRDefault="0084290D" w14:paraId="4372CB36" w14:textId="77777777">
      <w:pPr>
        <w:pStyle w:val="p-marginbottom"/>
      </w:pPr>
    </w:p>
    <w:p w:rsidR="0084290D" w:rsidRDefault="00CF5B93" w14:paraId="25EAB3C1" w14:textId="77777777">
      <w:pPr>
        <w:pStyle w:val="header-h1"/>
      </w:pPr>
      <w:r>
        <w:t>Toelichting</w:t>
      </w:r>
    </w:p>
    <w:p w:rsidR="0084290D" w:rsidRDefault="0084290D" w14:paraId="37FEC47C" w14:textId="77777777">
      <w:pPr>
        <w:pStyle w:val="p-marginbottom"/>
      </w:pPr>
    </w:p>
    <w:p w:rsidR="0084290D" w:rsidRDefault="00CF5B93" w14:paraId="43C4ACED" w14:textId="77777777">
      <w:pPr>
        <w:pStyle w:val="header-h1"/>
      </w:pPr>
      <w:r>
        <w:t>Budgetflexibiliteit</w:t>
      </w:r>
    </w:p>
    <w:p w:rsidR="0084290D" w:rsidRDefault="00CF5B93" w14:paraId="6B2ADECE" w14:textId="77777777">
      <w:pPr>
        <w:pStyle w:val="p"/>
      </w:pPr>
      <w:r>
        <w:t>De uitgaven en ontvangsten op dit artikel zijn voor 100% als juridisch verplicht aan te merken. Alle rentelasten en -baten zijn juridisch verplicht omdat deze volgen uit de leningen, deposito’s en rekening-courant-tegoeden die deelnemers in de schatkist aanhouden. De andere uitgaven en ontvangsten volgen ook uit de toename of afname van de middelen die door deelnemers in de schatkist worden aangehouden of uit de schatkist worden geleend.</w:t>
      </w:r>
    </w:p>
    <w:p w:rsidR="00EC1273" w:rsidRDefault="00EC1273" w14:paraId="0A31CBF0" w14:textId="77777777">
      <w:pPr>
        <w:rPr>
          <w:b/>
          <w:sz w:val="17"/>
        </w:rPr>
      </w:pPr>
      <w:r>
        <w:br w:type="page"/>
      </w:r>
    </w:p>
    <w:p w:rsidR="0084290D" w:rsidRDefault="00CF5B93" w14:paraId="66B27573" w14:textId="7B1FB363">
      <w:pPr>
        <w:pStyle w:val="header-h1"/>
      </w:pPr>
      <w:r>
        <w:lastRenderedPageBreak/>
        <w:t>Verplichtingen en uitgaven</w:t>
      </w:r>
    </w:p>
    <w:p w:rsidR="0084290D" w:rsidRDefault="0084290D" w14:paraId="6750BD47" w14:textId="77777777">
      <w:pPr>
        <w:pStyle w:val="p-marginbottom"/>
      </w:pPr>
    </w:p>
    <w:p w:rsidR="0084290D" w:rsidRDefault="00CF5B93" w14:paraId="1F7A3A57" w14:textId="77777777">
      <w:pPr>
        <w:pStyle w:val="header-h2"/>
      </w:pPr>
      <w:r>
        <w:t>Rente</w:t>
      </w:r>
    </w:p>
    <w:p w:rsidR="0084290D" w:rsidRDefault="0084290D" w14:paraId="2F1CE483" w14:textId="77777777">
      <w:pPr>
        <w:pStyle w:val="p-marginbottom"/>
      </w:pPr>
    </w:p>
    <w:p w:rsidR="0084290D" w:rsidRDefault="00CF5B93" w14:paraId="02774551" w14:textId="77777777">
      <w:pPr>
        <w:pStyle w:val="header-h5"/>
      </w:pPr>
      <w:r>
        <w:t>Rente kasbeheer</w:t>
      </w:r>
    </w:p>
    <w:p w:rsidR="0022265E" w:rsidP="0022265E" w:rsidRDefault="0022265E" w14:paraId="6FC1AE8B" w14:textId="107A72E9">
      <w:pPr>
        <w:pStyle w:val="p"/>
      </w:pPr>
      <w:r w:rsidRPr="0022265E">
        <w:t>De raming van de rentelasten uit hoofde van het kasbeheer is structureel naar boven bijgesteld. Deze bijstelling is gebaseerd op de verwachting dat met name de sociale fondsen meer middelen zullen aanhouden op hun rekeningen-courant.</w:t>
      </w:r>
      <w:r w:rsidR="00C83363">
        <w:t xml:space="preserve"> </w:t>
      </w:r>
      <w:r w:rsidRPr="00C83363" w:rsidR="00C83363">
        <w:t>Vanwege de naar boven bijgestelde raming van de korte rekenrente in het CEP nemen deze rentelasten verder toe</w:t>
      </w:r>
      <w:r w:rsidRPr="0022265E">
        <w:t>. In de mutatie in 2031 is ook de extrapolatie van de basisstand verwerkt.</w:t>
      </w:r>
    </w:p>
    <w:p w:rsidR="0084290D" w:rsidRDefault="00CF5B93" w14:paraId="1D164902" w14:textId="77777777">
      <w:pPr>
        <w:pStyle w:val="header-h1"/>
      </w:pPr>
      <w:r>
        <w:t>Ontvangsten</w:t>
      </w:r>
    </w:p>
    <w:p w:rsidR="0084290D" w:rsidRDefault="0084290D" w14:paraId="7AFB8460" w14:textId="77777777">
      <w:pPr>
        <w:pStyle w:val="p-marginbottom"/>
      </w:pPr>
    </w:p>
    <w:p w:rsidR="0084290D" w:rsidRDefault="00CF5B93" w14:paraId="1E124EFD" w14:textId="77777777">
      <w:pPr>
        <w:pStyle w:val="header-h2"/>
      </w:pPr>
      <w:r>
        <w:t>Rente</w:t>
      </w:r>
    </w:p>
    <w:p w:rsidR="0084290D" w:rsidRDefault="0084290D" w14:paraId="3F6CF9FB" w14:textId="77777777">
      <w:pPr>
        <w:pStyle w:val="p-marginbottom"/>
      </w:pPr>
    </w:p>
    <w:p w:rsidR="0084290D" w:rsidRDefault="00CF5B93" w14:paraId="52BEE341" w14:textId="77777777">
      <w:pPr>
        <w:pStyle w:val="header-h5"/>
      </w:pPr>
      <w:r>
        <w:t>Rente kasbeheer</w:t>
      </w:r>
    </w:p>
    <w:p w:rsidR="0084290D" w:rsidRDefault="00CF5B93" w14:paraId="002122FD" w14:textId="77777777">
      <w:pPr>
        <w:pStyle w:val="p"/>
      </w:pPr>
      <w:r>
        <w:t>Als gevolg van het bijwerken van de realisaties van verstrekte leningen en het bijwerken van de rekenrente zoals geraamd in het CEP is de raming van de rentebaten uit hoofde van het kasbeheer bijgesteld.</w:t>
      </w:r>
    </w:p>
    <w:p w:rsidR="0084290D" w:rsidRDefault="00CF5B93" w14:paraId="1247E661" w14:textId="77777777">
      <w:pPr>
        <w:pStyle w:val="header-h2"/>
      </w:pPr>
      <w:r>
        <w:t>Leningen</w:t>
      </w:r>
    </w:p>
    <w:p w:rsidR="0084290D" w:rsidRDefault="0084290D" w14:paraId="6B5DDFFE" w14:textId="77777777">
      <w:pPr>
        <w:pStyle w:val="p-marginbottom"/>
      </w:pPr>
    </w:p>
    <w:p w:rsidR="0084290D" w:rsidRDefault="00CF5B93" w14:paraId="0B6709CB" w14:textId="77777777">
      <w:pPr>
        <w:pStyle w:val="header-h5"/>
      </w:pPr>
      <w:r>
        <w:t>Ontvangen aflossingen</w:t>
      </w:r>
    </w:p>
    <w:p w:rsidR="0084290D" w:rsidRDefault="00CF5B93" w14:paraId="0AEF79CE" w14:textId="77777777">
      <w:pPr>
        <w:pStyle w:val="p"/>
      </w:pPr>
      <w:r>
        <w:t>Als gevolg van het bijwerken van de realisaties van verstrekte leningen is de raming van de te ontvangen aflossingen bijgesteld. Deze leningen worden binnen het schatkistbankieren verstrekt aan agentschappen en rechtspersonen met een wettelijke taak.</w:t>
      </w:r>
    </w:p>
    <w:p w:rsidR="0084290D" w:rsidRDefault="00CF5B93" w14:paraId="20208B23" w14:textId="77777777">
      <w:pPr>
        <w:pStyle w:val="header-h2"/>
      </w:pPr>
      <w:r>
        <w:t>Mutaties in rekening courant en deposito's</w:t>
      </w:r>
    </w:p>
    <w:p w:rsidR="0084290D" w:rsidRDefault="0084290D" w14:paraId="1B867324" w14:textId="77777777">
      <w:pPr>
        <w:pStyle w:val="p-marginbottom"/>
      </w:pPr>
    </w:p>
    <w:p w:rsidR="0084290D" w:rsidRDefault="00CF5B93" w14:paraId="0FFBF31D" w14:textId="77777777">
      <w:pPr>
        <w:pStyle w:val="header-h5"/>
      </w:pPr>
      <w:r>
        <w:t>Mutaties in rekening courant en deposito's</w:t>
      </w:r>
    </w:p>
    <w:p w:rsidR="0084290D" w:rsidRDefault="00CF5B93" w14:paraId="4FAA5A81" w14:textId="77777777">
      <w:pPr>
        <w:pStyle w:val="p"/>
      </w:pPr>
      <w:r>
        <w:t>Uit de actualisatie van de raming van uitgaven en ontvangsten van de sociale fondsen volgt dat deze fondsen naar verwachting structureel meer middelen zullen aanhouden in de schatkist dan waarmee rekening werd gehouden bij de begroting.</w:t>
      </w:r>
    </w:p>
    <w:p w:rsidR="0084290D" w:rsidRDefault="0084290D" w14:paraId="555EDED4" w14:textId="77777777">
      <w:pPr>
        <w:pStyle w:val="page-break"/>
      </w:pPr>
    </w:p>
    <w:p w:rsidR="0084290D" w:rsidRDefault="00CF5B93" w14:paraId="33974E4C" w14:textId="77777777">
      <w:pPr>
        <w:pStyle w:val="section-title-2"/>
      </w:pPr>
      <w:bookmarkStart w:name="1295249810730502" w:id="6"/>
      <w:r>
        <w:t>5 Niet-beleidsartikelen</w:t>
      </w:r>
      <w:bookmarkEnd w:id="6"/>
    </w:p>
    <w:p w:rsidR="0084290D" w:rsidRDefault="00CF5B93" w14:paraId="4EA386EF" w14:textId="77777777">
      <w:pPr>
        <w:pStyle w:val="section-title-3"/>
      </w:pPr>
      <w:r>
        <w:t>Artikel 8 Apparaat</w:t>
      </w: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29FD256E" w14:textId="77777777">
        <w:trPr>
          <w:tblHeader/>
        </w:trPr>
        <w:tc>
          <w:tcPr>
            <w:tcW w:w="5000" w:type="pct"/>
            <w:gridSpan w:val="11"/>
            <w:tcMar>
              <w:top w:w="22" w:type="dxa"/>
              <w:left w:w="113" w:type="dxa"/>
              <w:bottom w:w="22" w:type="dxa"/>
            </w:tcMar>
          </w:tcPr>
          <w:p w:rsidR="0084290D" w:rsidRDefault="00CF5B93" w14:paraId="727C6A0B" w14:textId="77777777">
            <w:pPr>
              <w:pStyle w:val="kio2-table-title"/>
            </w:pPr>
            <w:r>
              <w:t>Tabel 32 Apparaatsuitgaven (bedragen x € 1.000)</w:t>
            </w:r>
          </w:p>
        </w:tc>
      </w:tr>
      <w:tr w:rsidR="0084290D" w:rsidTr="007433BE" w14:paraId="59285BE9" w14:textId="77777777">
        <w:trPr>
          <w:tblHeader/>
        </w:trPr>
        <w:tc>
          <w:tcPr>
            <w:tcW w:w="1250" w:type="pct"/>
            <w:tcBorders>
              <w:top w:val="single" w:color="000000" w:sz="2" w:space="0"/>
              <w:bottom w:val="single" w:color="009EE0" w:sz="2" w:space="0"/>
            </w:tcBorders>
            <w:tcMar>
              <w:top w:w="28" w:type="dxa"/>
              <w:bottom w:w="28" w:type="dxa"/>
              <w:right w:w="28" w:type="dxa"/>
            </w:tcMar>
          </w:tcPr>
          <w:p w:rsidRPr="003268EE" w:rsidR="0084290D" w:rsidRDefault="00CF5B93" w14:paraId="6F91A322" w14:textId="77777777">
            <w:pPr>
              <w:pStyle w:val="p-table"/>
              <w:rPr>
                <w:color w:val="000000"/>
                <w:sz w:val="13"/>
                <w:szCs w:val="13"/>
              </w:rPr>
            </w:pPr>
            <w:r w:rsidRPr="003268EE">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12C35B4" w14:textId="77777777">
            <w:pPr>
              <w:pStyle w:val="p-table"/>
              <w:jc w:val="right"/>
              <w:rPr>
                <w:color w:val="000000"/>
                <w:sz w:val="13"/>
                <w:szCs w:val="13"/>
              </w:rPr>
            </w:pPr>
            <w:r w:rsidRPr="003268EE">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58151906" w14:textId="77777777">
            <w:pPr>
              <w:pStyle w:val="p-table"/>
              <w:jc w:val="right"/>
              <w:rPr>
                <w:color w:val="000000"/>
                <w:sz w:val="13"/>
                <w:szCs w:val="13"/>
              </w:rPr>
            </w:pPr>
            <w:r w:rsidRPr="003268EE">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C6DE4D4" w14:textId="77777777">
            <w:pPr>
              <w:pStyle w:val="p-table"/>
              <w:jc w:val="right"/>
              <w:rPr>
                <w:color w:val="000000"/>
                <w:sz w:val="13"/>
                <w:szCs w:val="13"/>
              </w:rPr>
            </w:pPr>
            <w:r w:rsidRPr="003268EE">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5EF07733"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A19C5BB"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59C3677B" w14:textId="77777777">
            <w:pPr>
              <w:pStyle w:val="p-table"/>
              <w:jc w:val="right"/>
              <w:rPr>
                <w:color w:val="000000"/>
                <w:sz w:val="13"/>
                <w:szCs w:val="13"/>
              </w:rPr>
            </w:pPr>
            <w:r w:rsidRPr="003268EE">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865BDA4" w14:textId="77777777">
            <w:pPr>
              <w:pStyle w:val="p-table"/>
              <w:jc w:val="right"/>
              <w:rPr>
                <w:color w:val="000000"/>
                <w:sz w:val="13"/>
                <w:szCs w:val="13"/>
              </w:rPr>
            </w:pPr>
            <w:r w:rsidRPr="003268EE">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228FBE5" w14:textId="77777777">
            <w:pPr>
              <w:pStyle w:val="p-table"/>
              <w:jc w:val="right"/>
              <w:rPr>
                <w:color w:val="000000"/>
                <w:sz w:val="13"/>
                <w:szCs w:val="13"/>
              </w:rPr>
            </w:pPr>
            <w:r w:rsidRPr="003268EE">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69544652" w14:textId="77777777">
            <w:pPr>
              <w:pStyle w:val="p-table"/>
              <w:jc w:val="right"/>
              <w:rPr>
                <w:color w:val="000000"/>
                <w:sz w:val="13"/>
                <w:szCs w:val="13"/>
              </w:rPr>
            </w:pPr>
            <w:r w:rsidRPr="003268EE">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611AB897" w14:textId="77777777">
            <w:pPr>
              <w:pStyle w:val="p-table"/>
              <w:jc w:val="right"/>
              <w:rPr>
                <w:color w:val="000000"/>
                <w:sz w:val="13"/>
                <w:szCs w:val="13"/>
              </w:rPr>
            </w:pPr>
            <w:r w:rsidRPr="003268EE">
              <w:rPr>
                <w:color w:val="000000"/>
                <w:sz w:val="13"/>
                <w:szCs w:val="13"/>
              </w:rPr>
              <w:t>Mutatie 2031</w:t>
            </w:r>
          </w:p>
        </w:tc>
      </w:tr>
      <w:tr w:rsidR="0084290D" w:rsidTr="007433BE" w14:paraId="2AF27205" w14:textId="77777777">
        <w:tc>
          <w:tcPr>
            <w:tcW w:w="4625" w:type="pct"/>
            <w:gridSpan w:val="10"/>
            <w:tcBorders>
              <w:bottom w:val="single" w:color="009EE0" w:sz="2" w:space="0"/>
            </w:tcBorders>
            <w:tcMar>
              <w:top w:w="22" w:type="dxa"/>
              <w:bottom w:w="22" w:type="dxa"/>
              <w:right w:w="28" w:type="dxa"/>
            </w:tcMar>
          </w:tcPr>
          <w:p w:rsidRPr="003268EE" w:rsidR="0084290D" w:rsidRDefault="0084290D" w14:paraId="7C5AD86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42DC52F" w14:textId="77777777">
            <w:pPr>
              <w:pStyle w:val="p-table"/>
              <w:rPr>
                <w:sz w:val="13"/>
                <w:szCs w:val="13"/>
              </w:rPr>
            </w:pPr>
          </w:p>
        </w:tc>
      </w:tr>
      <w:tr w:rsidR="0084290D" w:rsidTr="007433BE" w14:paraId="1D8DE6A9" w14:textId="77777777">
        <w:tc>
          <w:tcPr>
            <w:tcW w:w="1250" w:type="pct"/>
            <w:tcBorders>
              <w:bottom w:val="single" w:color="009EE0" w:sz="2" w:space="0"/>
            </w:tcBorders>
            <w:tcMar>
              <w:top w:w="22" w:type="dxa"/>
              <w:bottom w:w="22" w:type="dxa"/>
              <w:right w:w="28" w:type="dxa"/>
            </w:tcMar>
          </w:tcPr>
          <w:p w:rsidRPr="003268EE" w:rsidR="0084290D" w:rsidRDefault="00CF5B93" w14:paraId="320CEA68" w14:textId="77777777">
            <w:pPr>
              <w:pStyle w:val="p-table"/>
              <w:rPr>
                <w:sz w:val="13"/>
                <w:szCs w:val="13"/>
              </w:rPr>
            </w:pPr>
            <w:r w:rsidRPr="003268EE">
              <w:rPr>
                <w:b/>
                <w:sz w:val="13"/>
                <w:szCs w:val="13"/>
              </w:rPr>
              <w:t>Verplichtingen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4896149" w14:textId="77777777">
            <w:pPr>
              <w:pStyle w:val="p-table"/>
              <w:jc w:val="right"/>
              <w:rPr>
                <w:sz w:val="13"/>
                <w:szCs w:val="13"/>
              </w:rPr>
            </w:pPr>
            <w:r w:rsidRPr="003268EE">
              <w:rPr>
                <w:b/>
                <w:sz w:val="13"/>
                <w:szCs w:val="13"/>
              </w:rPr>
              <w:t>427.233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5660EA1"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4BF98E" w14:textId="77777777">
            <w:pPr>
              <w:pStyle w:val="p-table"/>
              <w:jc w:val="right"/>
              <w:rPr>
                <w:sz w:val="13"/>
                <w:szCs w:val="13"/>
              </w:rPr>
            </w:pPr>
            <w:r w:rsidRPr="003268EE">
              <w:rPr>
                <w:b/>
                <w:sz w:val="13"/>
                <w:szCs w:val="13"/>
              </w:rPr>
              <w:t>427.233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B15F82" w14:textId="77777777">
            <w:pPr>
              <w:pStyle w:val="p-table"/>
              <w:jc w:val="right"/>
              <w:rPr>
                <w:sz w:val="13"/>
                <w:szCs w:val="13"/>
              </w:rPr>
            </w:pPr>
            <w:r w:rsidRPr="003268EE">
              <w:rPr>
                <w:b/>
                <w:sz w:val="13"/>
                <w:szCs w:val="13"/>
              </w:rPr>
              <w:t>36.433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7A9A411" w14:textId="77777777">
            <w:pPr>
              <w:pStyle w:val="p-table"/>
              <w:jc w:val="right"/>
              <w:rPr>
                <w:sz w:val="13"/>
                <w:szCs w:val="13"/>
              </w:rPr>
            </w:pPr>
            <w:r w:rsidRPr="003268EE">
              <w:rPr>
                <w:b/>
                <w:sz w:val="13"/>
                <w:szCs w:val="13"/>
              </w:rPr>
              <w:t>463.666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07EF99" w14:textId="77777777">
            <w:pPr>
              <w:pStyle w:val="p-table"/>
              <w:jc w:val="right"/>
              <w:rPr>
                <w:sz w:val="13"/>
                <w:szCs w:val="13"/>
              </w:rPr>
            </w:pPr>
            <w:r w:rsidRPr="003268EE">
              <w:rPr>
                <w:b/>
                <w:sz w:val="13"/>
                <w:szCs w:val="13"/>
              </w:rPr>
              <w:t>23.605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57FAF19" w14:textId="77777777">
            <w:pPr>
              <w:pStyle w:val="p-table"/>
              <w:jc w:val="right"/>
              <w:rPr>
                <w:sz w:val="13"/>
                <w:szCs w:val="13"/>
              </w:rPr>
            </w:pPr>
            <w:r w:rsidRPr="003268EE">
              <w:rPr>
                <w:b/>
                <w:sz w:val="13"/>
                <w:szCs w:val="13"/>
              </w:rPr>
              <w:t>19.991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6D4F36" w14:textId="77777777">
            <w:pPr>
              <w:pStyle w:val="p-table"/>
              <w:jc w:val="right"/>
              <w:rPr>
                <w:sz w:val="13"/>
                <w:szCs w:val="13"/>
              </w:rPr>
            </w:pPr>
            <w:r w:rsidRPr="003268EE">
              <w:rPr>
                <w:b/>
                <w:sz w:val="13"/>
                <w:szCs w:val="13"/>
              </w:rPr>
              <w:t>7.984</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84B17E" w14:textId="77777777">
            <w:pPr>
              <w:pStyle w:val="p-table"/>
              <w:jc w:val="right"/>
              <w:rPr>
                <w:sz w:val="13"/>
                <w:szCs w:val="13"/>
              </w:rPr>
            </w:pPr>
            <w:r w:rsidRPr="003268EE">
              <w:rPr>
                <w:b/>
                <w:sz w:val="13"/>
                <w:szCs w:val="13"/>
              </w:rPr>
              <w:t>‒ 7.127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9A17BF" w14:textId="77777777">
            <w:pPr>
              <w:pStyle w:val="p-table"/>
              <w:jc w:val="right"/>
              <w:rPr>
                <w:sz w:val="13"/>
                <w:szCs w:val="13"/>
              </w:rPr>
            </w:pPr>
            <w:r w:rsidRPr="003268EE">
              <w:rPr>
                <w:b/>
                <w:sz w:val="13"/>
                <w:szCs w:val="13"/>
              </w:rPr>
              <w:t>388.378</w:t>
            </w:r>
          </w:p>
        </w:tc>
      </w:tr>
      <w:tr w:rsidR="0084290D" w:rsidTr="007433BE" w14:paraId="174704F4" w14:textId="77777777">
        <w:tc>
          <w:tcPr>
            <w:tcW w:w="1250" w:type="pct"/>
            <w:tcMar>
              <w:top w:w="22" w:type="dxa"/>
              <w:bottom w:w="22" w:type="dxa"/>
              <w:right w:w="28" w:type="dxa"/>
            </w:tcMar>
          </w:tcPr>
          <w:p w:rsidRPr="003268EE" w:rsidR="0084290D" w:rsidRDefault="0084290D" w14:paraId="67D6A6E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0CEC18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6E2C29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450DCD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D3451A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B2E87E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320A75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6BFDF0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9DC4BD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3563C5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E55A926" w14:textId="77777777">
            <w:pPr>
              <w:pStyle w:val="p-table"/>
              <w:rPr>
                <w:sz w:val="13"/>
                <w:szCs w:val="13"/>
              </w:rPr>
            </w:pPr>
          </w:p>
        </w:tc>
      </w:tr>
      <w:tr w:rsidR="0084290D" w:rsidTr="007433BE" w14:paraId="56B3F742" w14:textId="77777777">
        <w:tc>
          <w:tcPr>
            <w:tcW w:w="1250" w:type="pct"/>
            <w:tcBorders>
              <w:bottom w:val="single" w:color="009EE0" w:sz="2" w:space="0"/>
            </w:tcBorders>
            <w:tcMar>
              <w:top w:w="22" w:type="dxa"/>
              <w:bottom w:w="22" w:type="dxa"/>
              <w:right w:w="28" w:type="dxa"/>
            </w:tcMar>
          </w:tcPr>
          <w:p w:rsidRPr="003268EE" w:rsidR="0084290D" w:rsidRDefault="00CF5B93" w14:paraId="1A95B892" w14:textId="77777777">
            <w:pPr>
              <w:pStyle w:val="p-table"/>
              <w:rPr>
                <w:sz w:val="13"/>
                <w:szCs w:val="13"/>
              </w:rPr>
            </w:pPr>
            <w:r w:rsidRPr="003268EE">
              <w:rPr>
                <w:b/>
                <w:sz w:val="13"/>
                <w:szCs w:val="13"/>
              </w:rPr>
              <w:t>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CD667CA" w14:textId="77777777">
            <w:pPr>
              <w:pStyle w:val="p-table"/>
              <w:jc w:val="right"/>
              <w:rPr>
                <w:sz w:val="13"/>
                <w:szCs w:val="13"/>
              </w:rPr>
            </w:pPr>
            <w:r w:rsidRPr="003268EE">
              <w:rPr>
                <w:b/>
                <w:sz w:val="13"/>
                <w:szCs w:val="13"/>
              </w:rPr>
              <w:t>427.233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58BDC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75257B" w14:textId="77777777">
            <w:pPr>
              <w:pStyle w:val="p-table"/>
              <w:jc w:val="right"/>
              <w:rPr>
                <w:sz w:val="13"/>
                <w:szCs w:val="13"/>
              </w:rPr>
            </w:pPr>
            <w:r w:rsidRPr="003268EE">
              <w:rPr>
                <w:b/>
                <w:sz w:val="13"/>
                <w:szCs w:val="13"/>
              </w:rPr>
              <w:t>427.233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2B9D47" w14:textId="77777777">
            <w:pPr>
              <w:pStyle w:val="p-table"/>
              <w:jc w:val="right"/>
              <w:rPr>
                <w:sz w:val="13"/>
                <w:szCs w:val="13"/>
              </w:rPr>
            </w:pPr>
            <w:r w:rsidRPr="003268EE">
              <w:rPr>
                <w:b/>
                <w:sz w:val="13"/>
                <w:szCs w:val="13"/>
              </w:rPr>
              <w:t>36.433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503D6C1B" w14:textId="77777777">
            <w:pPr>
              <w:pStyle w:val="p-table"/>
              <w:jc w:val="right"/>
              <w:rPr>
                <w:sz w:val="13"/>
                <w:szCs w:val="13"/>
              </w:rPr>
            </w:pPr>
            <w:r w:rsidRPr="003268EE">
              <w:rPr>
                <w:b/>
                <w:sz w:val="13"/>
                <w:szCs w:val="13"/>
              </w:rPr>
              <w:t>463.666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69344E" w14:textId="77777777">
            <w:pPr>
              <w:pStyle w:val="p-table"/>
              <w:jc w:val="right"/>
              <w:rPr>
                <w:sz w:val="13"/>
                <w:szCs w:val="13"/>
              </w:rPr>
            </w:pPr>
            <w:r w:rsidRPr="003268EE">
              <w:rPr>
                <w:b/>
                <w:sz w:val="13"/>
                <w:szCs w:val="13"/>
              </w:rPr>
              <w:t>23.605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086EC6" w14:textId="77777777">
            <w:pPr>
              <w:pStyle w:val="p-table"/>
              <w:jc w:val="right"/>
              <w:rPr>
                <w:sz w:val="13"/>
                <w:szCs w:val="13"/>
              </w:rPr>
            </w:pPr>
            <w:r w:rsidRPr="003268EE">
              <w:rPr>
                <w:b/>
                <w:sz w:val="13"/>
                <w:szCs w:val="13"/>
              </w:rPr>
              <w:t>19.991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8E84FB" w14:textId="77777777">
            <w:pPr>
              <w:pStyle w:val="p-table"/>
              <w:jc w:val="right"/>
              <w:rPr>
                <w:sz w:val="13"/>
                <w:szCs w:val="13"/>
              </w:rPr>
            </w:pPr>
            <w:r w:rsidRPr="003268EE">
              <w:rPr>
                <w:b/>
                <w:sz w:val="13"/>
                <w:szCs w:val="13"/>
              </w:rPr>
              <w:t>7.984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E909656" w14:textId="77777777">
            <w:pPr>
              <w:pStyle w:val="p-table"/>
              <w:jc w:val="right"/>
              <w:rPr>
                <w:sz w:val="13"/>
                <w:szCs w:val="13"/>
              </w:rPr>
            </w:pPr>
            <w:r w:rsidRPr="003268EE">
              <w:rPr>
                <w:b/>
                <w:sz w:val="13"/>
                <w:szCs w:val="13"/>
              </w:rPr>
              <w:t>‒ 7.127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E40C2D" w14:textId="77777777">
            <w:pPr>
              <w:pStyle w:val="p-table"/>
              <w:jc w:val="right"/>
              <w:rPr>
                <w:sz w:val="13"/>
                <w:szCs w:val="13"/>
              </w:rPr>
            </w:pPr>
            <w:r w:rsidRPr="003268EE">
              <w:rPr>
                <w:b/>
                <w:sz w:val="13"/>
                <w:szCs w:val="13"/>
              </w:rPr>
              <w:t>388.378</w:t>
            </w:r>
          </w:p>
        </w:tc>
      </w:tr>
      <w:tr w:rsidR="0084290D" w:rsidTr="007433BE" w14:paraId="68017AA7" w14:textId="77777777">
        <w:tc>
          <w:tcPr>
            <w:tcW w:w="1250" w:type="pct"/>
            <w:tcMar>
              <w:top w:w="22" w:type="dxa"/>
              <w:bottom w:w="22" w:type="dxa"/>
              <w:right w:w="28" w:type="dxa"/>
            </w:tcMar>
          </w:tcPr>
          <w:p w:rsidRPr="003268EE" w:rsidR="0084290D" w:rsidRDefault="0084290D" w14:paraId="512181C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D7DAC1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93F58D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E40780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A48FC9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D0FA758"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C939710"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5170E3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0891FC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7961B2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49C3747" w14:textId="77777777">
            <w:pPr>
              <w:pStyle w:val="p-table"/>
              <w:rPr>
                <w:sz w:val="13"/>
                <w:szCs w:val="13"/>
              </w:rPr>
            </w:pPr>
          </w:p>
        </w:tc>
      </w:tr>
      <w:tr w:rsidR="0084290D" w:rsidTr="007433BE" w14:paraId="3A379887" w14:textId="77777777">
        <w:tc>
          <w:tcPr>
            <w:tcW w:w="1250" w:type="pct"/>
            <w:tcBorders>
              <w:bottom w:val="single" w:color="009EE0" w:sz="2" w:space="0"/>
            </w:tcBorders>
            <w:tcMar>
              <w:top w:w="22" w:type="dxa"/>
              <w:bottom w:w="22" w:type="dxa"/>
              <w:right w:w="28" w:type="dxa"/>
            </w:tcMar>
          </w:tcPr>
          <w:p w:rsidRPr="003268EE" w:rsidR="0084290D" w:rsidRDefault="00CF5B93" w14:paraId="1BCB4D09" w14:textId="77777777">
            <w:pPr>
              <w:pStyle w:val="p-table"/>
              <w:rPr>
                <w:sz w:val="13"/>
                <w:szCs w:val="13"/>
              </w:rPr>
            </w:pPr>
            <w:r w:rsidRPr="003268EE">
              <w:rPr>
                <w:b/>
                <w:sz w:val="13"/>
                <w:szCs w:val="13"/>
              </w:rPr>
              <w:t>Personele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6157091E" w14:textId="77777777">
            <w:pPr>
              <w:pStyle w:val="p-table"/>
              <w:jc w:val="right"/>
              <w:rPr>
                <w:sz w:val="13"/>
                <w:szCs w:val="13"/>
              </w:rPr>
            </w:pPr>
            <w:r w:rsidRPr="003268EE">
              <w:rPr>
                <w:b/>
                <w:sz w:val="13"/>
                <w:szCs w:val="13"/>
              </w:rPr>
              <w:t>290.993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3059C3D"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947AFEB" w14:textId="77777777">
            <w:pPr>
              <w:pStyle w:val="p-table"/>
              <w:jc w:val="right"/>
              <w:rPr>
                <w:sz w:val="13"/>
                <w:szCs w:val="13"/>
              </w:rPr>
            </w:pPr>
            <w:r w:rsidRPr="003268EE">
              <w:rPr>
                <w:b/>
                <w:sz w:val="13"/>
                <w:szCs w:val="13"/>
              </w:rPr>
              <w:t>290.993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7E34A974" w14:textId="77777777">
            <w:pPr>
              <w:pStyle w:val="p-table"/>
              <w:jc w:val="right"/>
              <w:rPr>
                <w:sz w:val="13"/>
                <w:szCs w:val="13"/>
              </w:rPr>
            </w:pPr>
            <w:r w:rsidRPr="003268EE">
              <w:rPr>
                <w:b/>
                <w:sz w:val="13"/>
                <w:szCs w:val="13"/>
              </w:rPr>
              <w:t>5.047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555B43C" w14:textId="77777777">
            <w:pPr>
              <w:pStyle w:val="p-table"/>
              <w:jc w:val="right"/>
              <w:rPr>
                <w:sz w:val="13"/>
                <w:szCs w:val="13"/>
              </w:rPr>
            </w:pPr>
            <w:r w:rsidRPr="003268EE">
              <w:rPr>
                <w:b/>
                <w:sz w:val="13"/>
                <w:szCs w:val="13"/>
              </w:rPr>
              <w:t>296.040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F04D9F" w14:textId="77777777">
            <w:pPr>
              <w:pStyle w:val="p-table"/>
              <w:jc w:val="right"/>
              <w:rPr>
                <w:sz w:val="13"/>
                <w:szCs w:val="13"/>
              </w:rPr>
            </w:pPr>
            <w:r w:rsidRPr="003268EE">
              <w:rPr>
                <w:b/>
                <w:sz w:val="13"/>
                <w:szCs w:val="13"/>
              </w:rPr>
              <w:t>4.632</w:t>
            </w:r>
          </w:p>
        </w:tc>
        <w:tc>
          <w:tcPr>
            <w:tcW w:w="375" w:type="pct"/>
            <w:tcBorders>
              <w:bottom w:val="single" w:color="009EE0" w:sz="2" w:space="0"/>
            </w:tcBorders>
            <w:tcMar>
              <w:top w:w="22" w:type="dxa"/>
              <w:left w:w="28" w:type="dxa"/>
              <w:bottom w:w="22" w:type="dxa"/>
              <w:right w:w="28" w:type="dxa"/>
            </w:tcMar>
          </w:tcPr>
          <w:p w:rsidRPr="003268EE" w:rsidR="0084290D" w:rsidRDefault="00CF5B93" w14:paraId="34DE8ED9" w14:textId="77777777">
            <w:pPr>
              <w:pStyle w:val="p-table"/>
              <w:jc w:val="right"/>
              <w:rPr>
                <w:sz w:val="13"/>
                <w:szCs w:val="13"/>
              </w:rPr>
            </w:pPr>
            <w:r w:rsidRPr="003268EE">
              <w:rPr>
                <w:b/>
                <w:sz w:val="13"/>
                <w:szCs w:val="13"/>
              </w:rPr>
              <w:t>3.290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1AFC9D" w14:textId="77777777">
            <w:pPr>
              <w:pStyle w:val="p-table"/>
              <w:jc w:val="right"/>
              <w:rPr>
                <w:sz w:val="13"/>
                <w:szCs w:val="13"/>
              </w:rPr>
            </w:pPr>
            <w:r w:rsidRPr="003268EE">
              <w:rPr>
                <w:b/>
                <w:sz w:val="13"/>
                <w:szCs w:val="13"/>
              </w:rPr>
              <w:t>‒ 3.196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59EE72" w14:textId="77777777">
            <w:pPr>
              <w:pStyle w:val="p-table"/>
              <w:jc w:val="right"/>
              <w:rPr>
                <w:sz w:val="13"/>
                <w:szCs w:val="13"/>
              </w:rPr>
            </w:pPr>
            <w:r w:rsidRPr="003268EE">
              <w:rPr>
                <w:b/>
                <w:sz w:val="13"/>
                <w:szCs w:val="13"/>
              </w:rPr>
              <w:t>‒ 13.883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1D7C55" w14:textId="77777777">
            <w:pPr>
              <w:pStyle w:val="p-table"/>
              <w:jc w:val="right"/>
              <w:rPr>
                <w:sz w:val="13"/>
                <w:szCs w:val="13"/>
              </w:rPr>
            </w:pPr>
            <w:r w:rsidRPr="003268EE">
              <w:rPr>
                <w:b/>
                <w:sz w:val="13"/>
                <w:szCs w:val="13"/>
              </w:rPr>
              <w:t>260.807</w:t>
            </w:r>
          </w:p>
        </w:tc>
      </w:tr>
      <w:tr w:rsidR="0084290D" w:rsidTr="007433BE" w14:paraId="79ADDBD0" w14:textId="77777777">
        <w:tc>
          <w:tcPr>
            <w:tcW w:w="1250" w:type="pct"/>
            <w:tcBorders>
              <w:bottom w:val="single" w:color="009EE0" w:sz="2" w:space="0"/>
            </w:tcBorders>
            <w:tcMar>
              <w:top w:w="22" w:type="dxa"/>
              <w:bottom w:w="22" w:type="dxa"/>
              <w:right w:w="28" w:type="dxa"/>
            </w:tcMar>
          </w:tcPr>
          <w:p w:rsidRPr="003268EE" w:rsidR="0084290D" w:rsidRDefault="00CF5B93" w14:paraId="01E3501C" w14:textId="77777777">
            <w:pPr>
              <w:pStyle w:val="p-table"/>
              <w:rPr>
                <w:sz w:val="13"/>
                <w:szCs w:val="13"/>
              </w:rPr>
            </w:pPr>
            <w:r w:rsidRPr="003268EE">
              <w:rPr>
                <w:sz w:val="13"/>
                <w:szCs w:val="13"/>
              </w:rPr>
              <w:t>Eigen personeel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84E637" w14:textId="77777777">
            <w:pPr>
              <w:pStyle w:val="p-table"/>
              <w:jc w:val="right"/>
              <w:rPr>
                <w:sz w:val="13"/>
                <w:szCs w:val="13"/>
              </w:rPr>
            </w:pPr>
            <w:r w:rsidRPr="003268EE">
              <w:rPr>
                <w:sz w:val="13"/>
                <w:szCs w:val="13"/>
              </w:rPr>
              <w:t>276.366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808D9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7C5DBB9" w14:textId="77777777">
            <w:pPr>
              <w:pStyle w:val="p-table"/>
              <w:jc w:val="right"/>
              <w:rPr>
                <w:sz w:val="13"/>
                <w:szCs w:val="13"/>
              </w:rPr>
            </w:pPr>
            <w:r w:rsidRPr="003268EE">
              <w:rPr>
                <w:sz w:val="13"/>
                <w:szCs w:val="13"/>
              </w:rPr>
              <w:t>276.366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C8B4A81" w14:textId="77777777">
            <w:pPr>
              <w:pStyle w:val="p-table"/>
              <w:jc w:val="right"/>
              <w:rPr>
                <w:sz w:val="13"/>
                <w:szCs w:val="13"/>
              </w:rPr>
            </w:pPr>
            <w:r w:rsidRPr="003268EE">
              <w:rPr>
                <w:sz w:val="13"/>
                <w:szCs w:val="13"/>
              </w:rPr>
              <w:t>‒ 1.192</w:t>
            </w:r>
          </w:p>
        </w:tc>
        <w:tc>
          <w:tcPr>
            <w:tcW w:w="375" w:type="pct"/>
            <w:tcBorders>
              <w:bottom w:val="single" w:color="009EE0" w:sz="2" w:space="0"/>
            </w:tcBorders>
            <w:tcMar>
              <w:top w:w="22" w:type="dxa"/>
              <w:left w:w="28" w:type="dxa"/>
              <w:bottom w:w="22" w:type="dxa"/>
              <w:right w:w="28" w:type="dxa"/>
            </w:tcMar>
          </w:tcPr>
          <w:p w:rsidRPr="003268EE" w:rsidR="0084290D" w:rsidRDefault="00CF5B93" w14:paraId="06B63246" w14:textId="77777777">
            <w:pPr>
              <w:pStyle w:val="p-table"/>
              <w:jc w:val="right"/>
              <w:rPr>
                <w:sz w:val="13"/>
                <w:szCs w:val="13"/>
              </w:rPr>
            </w:pPr>
            <w:r w:rsidRPr="003268EE">
              <w:rPr>
                <w:sz w:val="13"/>
                <w:szCs w:val="13"/>
              </w:rPr>
              <w:t>275.174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B36134" w14:textId="77777777">
            <w:pPr>
              <w:pStyle w:val="p-table"/>
              <w:jc w:val="right"/>
              <w:rPr>
                <w:sz w:val="13"/>
                <w:szCs w:val="13"/>
              </w:rPr>
            </w:pPr>
            <w:r w:rsidRPr="003268EE">
              <w:rPr>
                <w:sz w:val="13"/>
                <w:szCs w:val="13"/>
              </w:rPr>
              <w:t>5.511</w:t>
            </w:r>
          </w:p>
        </w:tc>
        <w:tc>
          <w:tcPr>
            <w:tcW w:w="375" w:type="pct"/>
            <w:tcBorders>
              <w:bottom w:val="single" w:color="009EE0" w:sz="2" w:space="0"/>
            </w:tcBorders>
            <w:tcMar>
              <w:top w:w="22" w:type="dxa"/>
              <w:left w:w="28" w:type="dxa"/>
              <w:bottom w:w="22" w:type="dxa"/>
              <w:right w:w="28" w:type="dxa"/>
            </w:tcMar>
          </w:tcPr>
          <w:p w:rsidRPr="003268EE" w:rsidR="0084290D" w:rsidRDefault="00CF5B93" w14:paraId="7AA4BD16" w14:textId="77777777">
            <w:pPr>
              <w:pStyle w:val="p-table"/>
              <w:jc w:val="right"/>
              <w:rPr>
                <w:sz w:val="13"/>
                <w:szCs w:val="13"/>
              </w:rPr>
            </w:pPr>
            <w:r w:rsidRPr="003268EE">
              <w:rPr>
                <w:sz w:val="13"/>
                <w:szCs w:val="13"/>
              </w:rPr>
              <w:t>4.169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F6F3D9" w14:textId="77777777">
            <w:pPr>
              <w:pStyle w:val="p-table"/>
              <w:jc w:val="right"/>
              <w:rPr>
                <w:sz w:val="13"/>
                <w:szCs w:val="13"/>
              </w:rPr>
            </w:pPr>
            <w:r w:rsidRPr="003268EE">
              <w:rPr>
                <w:sz w:val="13"/>
                <w:szCs w:val="13"/>
              </w:rPr>
              <w:t>‒ 2.073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F5933D" w14:textId="77777777">
            <w:pPr>
              <w:pStyle w:val="p-table"/>
              <w:jc w:val="right"/>
              <w:rPr>
                <w:sz w:val="13"/>
                <w:szCs w:val="13"/>
              </w:rPr>
            </w:pPr>
            <w:r w:rsidRPr="003268EE">
              <w:rPr>
                <w:sz w:val="13"/>
                <w:szCs w:val="13"/>
              </w:rPr>
              <w:t>‒ 12.353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1E68F9" w14:textId="77777777">
            <w:pPr>
              <w:pStyle w:val="p-table"/>
              <w:jc w:val="right"/>
              <w:rPr>
                <w:sz w:val="13"/>
                <w:szCs w:val="13"/>
              </w:rPr>
            </w:pPr>
            <w:r w:rsidRPr="003268EE">
              <w:rPr>
                <w:sz w:val="13"/>
                <w:szCs w:val="13"/>
              </w:rPr>
              <w:t>251.223</w:t>
            </w:r>
          </w:p>
        </w:tc>
      </w:tr>
      <w:tr w:rsidR="0084290D" w:rsidTr="007433BE" w14:paraId="0E5B1C3D" w14:textId="77777777">
        <w:tc>
          <w:tcPr>
            <w:tcW w:w="1250" w:type="pct"/>
            <w:tcBorders>
              <w:bottom w:val="single" w:color="009EE0" w:sz="2" w:space="0"/>
            </w:tcBorders>
            <w:tcMar>
              <w:top w:w="22" w:type="dxa"/>
              <w:bottom w:w="22" w:type="dxa"/>
              <w:right w:w="28" w:type="dxa"/>
            </w:tcMar>
          </w:tcPr>
          <w:p w:rsidRPr="003268EE" w:rsidR="0084290D" w:rsidRDefault="00CF5B93" w14:paraId="1DD6C615" w14:textId="77777777">
            <w:pPr>
              <w:pStyle w:val="p-table"/>
              <w:rPr>
                <w:sz w:val="13"/>
                <w:szCs w:val="13"/>
              </w:rPr>
            </w:pPr>
            <w:r w:rsidRPr="003268EE">
              <w:rPr>
                <w:sz w:val="13"/>
                <w:szCs w:val="13"/>
              </w:rPr>
              <w:t>Inhuur externen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5379CF7F" w14:textId="77777777">
            <w:pPr>
              <w:pStyle w:val="p-table"/>
              <w:jc w:val="right"/>
              <w:rPr>
                <w:sz w:val="13"/>
                <w:szCs w:val="13"/>
              </w:rPr>
            </w:pPr>
            <w:r w:rsidRPr="003268EE">
              <w:rPr>
                <w:sz w:val="13"/>
                <w:szCs w:val="13"/>
              </w:rPr>
              <w:t>13.425</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1A1A0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B6423D4" w14:textId="77777777">
            <w:pPr>
              <w:pStyle w:val="p-table"/>
              <w:jc w:val="right"/>
              <w:rPr>
                <w:sz w:val="13"/>
                <w:szCs w:val="13"/>
              </w:rPr>
            </w:pPr>
            <w:r w:rsidRPr="003268EE">
              <w:rPr>
                <w:sz w:val="13"/>
                <w:szCs w:val="13"/>
              </w:rPr>
              <w:t>13.425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BBF4DD6" w14:textId="77777777">
            <w:pPr>
              <w:pStyle w:val="p-table"/>
              <w:jc w:val="right"/>
              <w:rPr>
                <w:sz w:val="13"/>
                <w:szCs w:val="13"/>
              </w:rPr>
            </w:pPr>
            <w:r w:rsidRPr="003268EE">
              <w:rPr>
                <w:sz w:val="13"/>
                <w:szCs w:val="13"/>
              </w:rPr>
              <w:t>6.241</w:t>
            </w:r>
          </w:p>
        </w:tc>
        <w:tc>
          <w:tcPr>
            <w:tcW w:w="375" w:type="pct"/>
            <w:tcBorders>
              <w:bottom w:val="single" w:color="009EE0" w:sz="2" w:space="0"/>
            </w:tcBorders>
            <w:tcMar>
              <w:top w:w="22" w:type="dxa"/>
              <w:left w:w="28" w:type="dxa"/>
              <w:bottom w:w="22" w:type="dxa"/>
              <w:right w:w="28" w:type="dxa"/>
            </w:tcMar>
          </w:tcPr>
          <w:p w:rsidRPr="003268EE" w:rsidR="0084290D" w:rsidRDefault="00CF5B93" w14:paraId="251A0913" w14:textId="77777777">
            <w:pPr>
              <w:pStyle w:val="p-table"/>
              <w:jc w:val="right"/>
              <w:rPr>
                <w:sz w:val="13"/>
                <w:szCs w:val="13"/>
              </w:rPr>
            </w:pPr>
            <w:r w:rsidRPr="003268EE">
              <w:rPr>
                <w:sz w:val="13"/>
                <w:szCs w:val="13"/>
              </w:rPr>
              <w:t>19.666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DADAF7" w14:textId="77777777">
            <w:pPr>
              <w:pStyle w:val="p-table"/>
              <w:jc w:val="right"/>
              <w:rPr>
                <w:sz w:val="13"/>
                <w:szCs w:val="13"/>
              </w:rPr>
            </w:pPr>
            <w:r w:rsidRPr="003268EE">
              <w:rPr>
                <w:sz w:val="13"/>
                <w:szCs w:val="13"/>
              </w:rPr>
              <w:t>‒ 878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0F375B" w14:textId="77777777">
            <w:pPr>
              <w:pStyle w:val="p-table"/>
              <w:jc w:val="right"/>
              <w:rPr>
                <w:sz w:val="13"/>
                <w:szCs w:val="13"/>
              </w:rPr>
            </w:pPr>
            <w:r w:rsidRPr="003268EE">
              <w:rPr>
                <w:sz w:val="13"/>
                <w:szCs w:val="13"/>
              </w:rPr>
              <w:t>‒ 878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CB8130" w14:textId="77777777">
            <w:pPr>
              <w:pStyle w:val="p-table"/>
              <w:jc w:val="right"/>
              <w:rPr>
                <w:sz w:val="13"/>
                <w:szCs w:val="13"/>
              </w:rPr>
            </w:pPr>
            <w:r w:rsidRPr="003268EE">
              <w:rPr>
                <w:sz w:val="13"/>
                <w:szCs w:val="13"/>
              </w:rPr>
              <w:t>‒ 1.090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D27F431" w14:textId="77777777">
            <w:pPr>
              <w:pStyle w:val="p-table"/>
              <w:jc w:val="right"/>
              <w:rPr>
                <w:sz w:val="13"/>
                <w:szCs w:val="13"/>
              </w:rPr>
            </w:pPr>
            <w:r w:rsidRPr="003268EE">
              <w:rPr>
                <w:sz w:val="13"/>
                <w:szCs w:val="13"/>
              </w:rPr>
              <w:t>‒ 1.453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CFC8E8" w14:textId="77777777">
            <w:pPr>
              <w:pStyle w:val="p-table"/>
              <w:jc w:val="right"/>
              <w:rPr>
                <w:sz w:val="13"/>
                <w:szCs w:val="13"/>
              </w:rPr>
            </w:pPr>
            <w:r w:rsidRPr="003268EE">
              <w:rPr>
                <w:sz w:val="13"/>
                <w:szCs w:val="13"/>
              </w:rPr>
              <w:t>8.457</w:t>
            </w:r>
          </w:p>
        </w:tc>
      </w:tr>
      <w:tr w:rsidR="0084290D" w:rsidTr="007433BE" w14:paraId="3137EB85" w14:textId="77777777">
        <w:tc>
          <w:tcPr>
            <w:tcW w:w="1250" w:type="pct"/>
            <w:tcBorders>
              <w:bottom w:val="single" w:color="009EE0" w:sz="2" w:space="0"/>
            </w:tcBorders>
            <w:tcMar>
              <w:top w:w="22" w:type="dxa"/>
              <w:bottom w:w="22" w:type="dxa"/>
              <w:right w:w="28" w:type="dxa"/>
            </w:tcMar>
          </w:tcPr>
          <w:p w:rsidRPr="003268EE" w:rsidR="0084290D" w:rsidRDefault="00CF5B93" w14:paraId="58570D3A" w14:textId="77777777">
            <w:pPr>
              <w:pStyle w:val="p-table"/>
              <w:rPr>
                <w:sz w:val="13"/>
                <w:szCs w:val="13"/>
              </w:rPr>
            </w:pPr>
            <w:r w:rsidRPr="003268EE">
              <w:rPr>
                <w:sz w:val="13"/>
                <w:szCs w:val="13"/>
              </w:rPr>
              <w:t>Overig personeel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1EA34556" w14:textId="77777777">
            <w:pPr>
              <w:pStyle w:val="p-table"/>
              <w:jc w:val="right"/>
              <w:rPr>
                <w:sz w:val="13"/>
                <w:szCs w:val="13"/>
              </w:rPr>
            </w:pPr>
            <w:r w:rsidRPr="003268EE">
              <w:rPr>
                <w:sz w:val="13"/>
                <w:szCs w:val="13"/>
              </w:rPr>
              <w:t>1.202</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A7B0D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38BFBD" w14:textId="77777777">
            <w:pPr>
              <w:pStyle w:val="p-table"/>
              <w:jc w:val="right"/>
              <w:rPr>
                <w:sz w:val="13"/>
                <w:szCs w:val="13"/>
              </w:rPr>
            </w:pPr>
            <w:r w:rsidRPr="003268EE">
              <w:rPr>
                <w:sz w:val="13"/>
                <w:szCs w:val="13"/>
              </w:rPr>
              <w:t>1.202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0208B01" w14:textId="77777777">
            <w:pPr>
              <w:pStyle w:val="p-table"/>
              <w:jc w:val="right"/>
              <w:rPr>
                <w:sz w:val="13"/>
                <w:szCs w:val="13"/>
              </w:rPr>
            </w:pPr>
            <w:r w:rsidRPr="003268EE">
              <w:rPr>
                <w:sz w:val="13"/>
                <w:szCs w:val="13"/>
              </w:rPr>
              <w:t>‒ 2</w:t>
            </w:r>
          </w:p>
        </w:tc>
        <w:tc>
          <w:tcPr>
            <w:tcW w:w="375" w:type="pct"/>
            <w:tcBorders>
              <w:bottom w:val="single" w:color="009EE0" w:sz="2" w:space="0"/>
            </w:tcBorders>
            <w:tcMar>
              <w:top w:w="22" w:type="dxa"/>
              <w:left w:w="28" w:type="dxa"/>
              <w:bottom w:w="22" w:type="dxa"/>
              <w:right w:w="28" w:type="dxa"/>
            </w:tcMar>
          </w:tcPr>
          <w:p w:rsidRPr="003268EE" w:rsidR="0084290D" w:rsidRDefault="00CF5B93" w14:paraId="1B817AEF" w14:textId="77777777">
            <w:pPr>
              <w:pStyle w:val="p-table"/>
              <w:jc w:val="right"/>
              <w:rPr>
                <w:sz w:val="13"/>
                <w:szCs w:val="13"/>
              </w:rPr>
            </w:pPr>
            <w:r w:rsidRPr="003268EE">
              <w:rPr>
                <w:sz w:val="13"/>
                <w:szCs w:val="13"/>
              </w:rPr>
              <w:t>1.200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55E6EF" w14:textId="77777777">
            <w:pPr>
              <w:pStyle w:val="p-table"/>
              <w:jc w:val="right"/>
              <w:rPr>
                <w:sz w:val="13"/>
                <w:szCs w:val="13"/>
              </w:rPr>
            </w:pPr>
            <w:r w:rsidRPr="003268EE">
              <w:rPr>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893CEF" w14:textId="77777777">
            <w:pPr>
              <w:pStyle w:val="p-table"/>
              <w:jc w:val="right"/>
              <w:rPr>
                <w:sz w:val="13"/>
                <w:szCs w:val="13"/>
              </w:rPr>
            </w:pPr>
            <w:r w:rsidRPr="003268EE">
              <w:rPr>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F37C10" w14:textId="77777777">
            <w:pPr>
              <w:pStyle w:val="p-table"/>
              <w:jc w:val="right"/>
              <w:rPr>
                <w:sz w:val="13"/>
                <w:szCs w:val="13"/>
              </w:rPr>
            </w:pPr>
            <w:r w:rsidRPr="003268EE">
              <w:rPr>
                <w:sz w:val="13"/>
                <w:szCs w:val="13"/>
              </w:rPr>
              <w:t>‒ 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5EB201F" w14:textId="77777777">
            <w:pPr>
              <w:pStyle w:val="p-table"/>
              <w:jc w:val="right"/>
              <w:rPr>
                <w:sz w:val="13"/>
                <w:szCs w:val="13"/>
              </w:rPr>
            </w:pPr>
            <w:r w:rsidRPr="003268EE">
              <w:rPr>
                <w:sz w:val="13"/>
                <w:szCs w:val="13"/>
              </w:rPr>
              <w:t>‒ 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3C027A" w14:textId="77777777">
            <w:pPr>
              <w:pStyle w:val="p-table"/>
              <w:jc w:val="right"/>
              <w:rPr>
                <w:sz w:val="13"/>
                <w:szCs w:val="13"/>
              </w:rPr>
            </w:pPr>
            <w:r w:rsidRPr="003268EE">
              <w:rPr>
                <w:sz w:val="13"/>
                <w:szCs w:val="13"/>
              </w:rPr>
              <w:t>1.127</w:t>
            </w:r>
          </w:p>
        </w:tc>
      </w:tr>
      <w:tr w:rsidR="0084290D" w:rsidTr="007433BE" w14:paraId="2D95211F" w14:textId="77777777">
        <w:tc>
          <w:tcPr>
            <w:tcW w:w="1250" w:type="pct"/>
            <w:tcBorders>
              <w:bottom w:val="single" w:color="009EE0" w:sz="2" w:space="0"/>
            </w:tcBorders>
            <w:tcMar>
              <w:top w:w="22" w:type="dxa"/>
              <w:bottom w:w="22" w:type="dxa"/>
              <w:right w:w="28" w:type="dxa"/>
            </w:tcMar>
          </w:tcPr>
          <w:p w:rsidRPr="003268EE" w:rsidR="0084290D" w:rsidRDefault="0084290D" w14:paraId="4953280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63479A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62BC9F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8F001D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A8276C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A13B7E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1835D2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799969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A329DC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2DCD33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C9F7D42" w14:textId="77777777">
            <w:pPr>
              <w:pStyle w:val="p-table"/>
              <w:rPr>
                <w:sz w:val="13"/>
                <w:szCs w:val="13"/>
              </w:rPr>
            </w:pPr>
          </w:p>
        </w:tc>
      </w:tr>
      <w:tr w:rsidR="0084290D" w:rsidTr="007433BE" w14:paraId="757EF540" w14:textId="77777777">
        <w:tc>
          <w:tcPr>
            <w:tcW w:w="1250" w:type="pct"/>
            <w:tcBorders>
              <w:bottom w:val="single" w:color="009EE0" w:sz="2" w:space="0"/>
            </w:tcBorders>
            <w:tcMar>
              <w:top w:w="22" w:type="dxa"/>
              <w:bottom w:w="22" w:type="dxa"/>
              <w:right w:w="28" w:type="dxa"/>
            </w:tcMar>
          </w:tcPr>
          <w:p w:rsidRPr="003268EE" w:rsidR="0084290D" w:rsidRDefault="00CF5B93" w14:paraId="4D247B6D" w14:textId="77777777">
            <w:pPr>
              <w:pStyle w:val="p-table"/>
              <w:rPr>
                <w:sz w:val="13"/>
                <w:szCs w:val="13"/>
              </w:rPr>
            </w:pPr>
            <w:r w:rsidRPr="003268EE">
              <w:rPr>
                <w:b/>
                <w:sz w:val="13"/>
                <w:szCs w:val="13"/>
              </w:rPr>
              <w:t>Materiële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9FE449" w14:textId="77777777">
            <w:pPr>
              <w:pStyle w:val="p-table"/>
              <w:jc w:val="right"/>
              <w:rPr>
                <w:sz w:val="13"/>
                <w:szCs w:val="13"/>
              </w:rPr>
            </w:pPr>
            <w:r w:rsidRPr="003268EE">
              <w:rPr>
                <w:b/>
                <w:sz w:val="13"/>
                <w:szCs w:val="13"/>
              </w:rPr>
              <w:t>136.240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05764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972649" w14:textId="77777777">
            <w:pPr>
              <w:pStyle w:val="p-table"/>
              <w:jc w:val="right"/>
              <w:rPr>
                <w:sz w:val="13"/>
                <w:szCs w:val="13"/>
              </w:rPr>
            </w:pPr>
            <w:r w:rsidRPr="003268EE">
              <w:rPr>
                <w:b/>
                <w:sz w:val="13"/>
                <w:szCs w:val="13"/>
              </w:rPr>
              <w:t>136.240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A4839B" w14:textId="77777777">
            <w:pPr>
              <w:pStyle w:val="p-table"/>
              <w:jc w:val="right"/>
              <w:rPr>
                <w:sz w:val="13"/>
                <w:szCs w:val="13"/>
              </w:rPr>
            </w:pPr>
            <w:r w:rsidRPr="003268EE">
              <w:rPr>
                <w:b/>
                <w:sz w:val="13"/>
                <w:szCs w:val="13"/>
              </w:rPr>
              <w:t>31.386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5996EA" w14:textId="77777777">
            <w:pPr>
              <w:pStyle w:val="p-table"/>
              <w:jc w:val="right"/>
              <w:rPr>
                <w:sz w:val="13"/>
                <w:szCs w:val="13"/>
              </w:rPr>
            </w:pPr>
            <w:r w:rsidRPr="003268EE">
              <w:rPr>
                <w:b/>
                <w:sz w:val="13"/>
                <w:szCs w:val="13"/>
              </w:rPr>
              <w:t>167.626</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FF8565" w14:textId="77777777">
            <w:pPr>
              <w:pStyle w:val="p-table"/>
              <w:jc w:val="right"/>
              <w:rPr>
                <w:sz w:val="13"/>
                <w:szCs w:val="13"/>
              </w:rPr>
            </w:pPr>
            <w:r w:rsidRPr="003268EE">
              <w:rPr>
                <w:b/>
                <w:sz w:val="13"/>
                <w:szCs w:val="13"/>
              </w:rPr>
              <w:t>18.973</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AD4D3C" w14:textId="77777777">
            <w:pPr>
              <w:pStyle w:val="p-table"/>
              <w:jc w:val="right"/>
              <w:rPr>
                <w:sz w:val="13"/>
                <w:szCs w:val="13"/>
              </w:rPr>
            </w:pPr>
            <w:r w:rsidRPr="003268EE">
              <w:rPr>
                <w:b/>
                <w:sz w:val="13"/>
                <w:szCs w:val="13"/>
              </w:rPr>
              <w:t>16.701</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78AC99" w14:textId="77777777">
            <w:pPr>
              <w:pStyle w:val="p-table"/>
              <w:jc w:val="right"/>
              <w:rPr>
                <w:sz w:val="13"/>
                <w:szCs w:val="13"/>
              </w:rPr>
            </w:pPr>
            <w:r w:rsidRPr="003268EE">
              <w:rPr>
                <w:b/>
                <w:sz w:val="13"/>
                <w:szCs w:val="13"/>
              </w:rPr>
              <w:t>11.180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822D17" w14:textId="77777777">
            <w:pPr>
              <w:pStyle w:val="p-table"/>
              <w:jc w:val="right"/>
              <w:rPr>
                <w:sz w:val="13"/>
                <w:szCs w:val="13"/>
              </w:rPr>
            </w:pPr>
            <w:r w:rsidRPr="003268EE">
              <w:rPr>
                <w:b/>
                <w:sz w:val="13"/>
                <w:szCs w:val="13"/>
              </w:rPr>
              <w:t>6.756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08BE73" w14:textId="77777777">
            <w:pPr>
              <w:pStyle w:val="p-table"/>
              <w:jc w:val="right"/>
              <w:rPr>
                <w:sz w:val="13"/>
                <w:szCs w:val="13"/>
              </w:rPr>
            </w:pPr>
            <w:r w:rsidRPr="003268EE">
              <w:rPr>
                <w:b/>
                <w:sz w:val="13"/>
                <w:szCs w:val="13"/>
              </w:rPr>
              <w:t>127.571</w:t>
            </w:r>
          </w:p>
        </w:tc>
      </w:tr>
      <w:tr w:rsidR="0084290D" w:rsidTr="007433BE" w14:paraId="503939B5" w14:textId="77777777">
        <w:tc>
          <w:tcPr>
            <w:tcW w:w="1250" w:type="pct"/>
            <w:tcBorders>
              <w:bottom w:val="single" w:color="009EE0" w:sz="2" w:space="0"/>
            </w:tcBorders>
            <w:tcMar>
              <w:top w:w="22" w:type="dxa"/>
              <w:bottom w:w="22" w:type="dxa"/>
              <w:right w:w="28" w:type="dxa"/>
            </w:tcMar>
          </w:tcPr>
          <w:p w:rsidRPr="003268EE" w:rsidR="0084290D" w:rsidRDefault="00CF5B93" w14:paraId="2293904A" w14:textId="77777777">
            <w:pPr>
              <w:pStyle w:val="p-table"/>
              <w:rPr>
                <w:sz w:val="13"/>
                <w:szCs w:val="13"/>
              </w:rPr>
            </w:pPr>
            <w:r w:rsidRPr="003268EE">
              <w:rPr>
                <w:sz w:val="13"/>
                <w:szCs w:val="13"/>
              </w:rPr>
              <w:t>ICT</w:t>
            </w:r>
          </w:p>
        </w:tc>
        <w:tc>
          <w:tcPr>
            <w:tcW w:w="375" w:type="pct"/>
            <w:tcBorders>
              <w:bottom w:val="single" w:color="009EE0" w:sz="2" w:space="0"/>
            </w:tcBorders>
            <w:tcMar>
              <w:top w:w="22" w:type="dxa"/>
              <w:left w:w="28" w:type="dxa"/>
              <w:bottom w:w="22" w:type="dxa"/>
              <w:right w:w="28" w:type="dxa"/>
            </w:tcMar>
          </w:tcPr>
          <w:p w:rsidRPr="003268EE" w:rsidR="0084290D" w:rsidRDefault="00CF5B93" w14:paraId="12131A10" w14:textId="77777777">
            <w:pPr>
              <w:pStyle w:val="p-table"/>
              <w:jc w:val="right"/>
              <w:rPr>
                <w:sz w:val="13"/>
                <w:szCs w:val="13"/>
              </w:rPr>
            </w:pPr>
            <w:r w:rsidRPr="003268EE">
              <w:rPr>
                <w:sz w:val="13"/>
                <w:szCs w:val="13"/>
              </w:rPr>
              <w:t>22.641</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DB8D9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D4838B" w14:textId="77777777">
            <w:pPr>
              <w:pStyle w:val="p-table"/>
              <w:jc w:val="right"/>
              <w:rPr>
                <w:sz w:val="13"/>
                <w:szCs w:val="13"/>
              </w:rPr>
            </w:pPr>
            <w:r w:rsidRPr="003268EE">
              <w:rPr>
                <w:sz w:val="13"/>
                <w:szCs w:val="13"/>
              </w:rPr>
              <w:t>22.641</w:t>
            </w:r>
          </w:p>
        </w:tc>
        <w:tc>
          <w:tcPr>
            <w:tcW w:w="375" w:type="pct"/>
            <w:tcBorders>
              <w:bottom w:val="single" w:color="009EE0" w:sz="2" w:space="0"/>
            </w:tcBorders>
            <w:tcMar>
              <w:top w:w="22" w:type="dxa"/>
              <w:left w:w="28" w:type="dxa"/>
              <w:bottom w:w="22" w:type="dxa"/>
              <w:right w:w="28" w:type="dxa"/>
            </w:tcMar>
          </w:tcPr>
          <w:p w:rsidRPr="003268EE" w:rsidR="0084290D" w:rsidRDefault="00CF5B93" w14:paraId="19C75E97" w14:textId="77777777">
            <w:pPr>
              <w:pStyle w:val="p-table"/>
              <w:jc w:val="right"/>
              <w:rPr>
                <w:sz w:val="13"/>
                <w:szCs w:val="13"/>
              </w:rPr>
            </w:pPr>
            <w:r w:rsidRPr="003268EE">
              <w:rPr>
                <w:sz w:val="13"/>
                <w:szCs w:val="13"/>
              </w:rPr>
              <w:t>4.505</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849156" w14:textId="77777777">
            <w:pPr>
              <w:pStyle w:val="p-table"/>
              <w:jc w:val="right"/>
              <w:rPr>
                <w:sz w:val="13"/>
                <w:szCs w:val="13"/>
              </w:rPr>
            </w:pPr>
            <w:r w:rsidRPr="003268EE">
              <w:rPr>
                <w:sz w:val="13"/>
                <w:szCs w:val="13"/>
              </w:rPr>
              <w:t>27.146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C858D9" w14:textId="77777777">
            <w:pPr>
              <w:pStyle w:val="p-table"/>
              <w:jc w:val="right"/>
              <w:rPr>
                <w:sz w:val="13"/>
                <w:szCs w:val="13"/>
              </w:rPr>
            </w:pPr>
            <w:r w:rsidRPr="003268EE">
              <w:rPr>
                <w:sz w:val="13"/>
                <w:szCs w:val="13"/>
              </w:rPr>
              <w:t>1.840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05570C" w14:textId="77777777">
            <w:pPr>
              <w:pStyle w:val="p-table"/>
              <w:jc w:val="right"/>
              <w:rPr>
                <w:sz w:val="13"/>
                <w:szCs w:val="13"/>
              </w:rPr>
            </w:pPr>
            <w:r w:rsidRPr="003268EE">
              <w:rPr>
                <w:sz w:val="13"/>
                <w:szCs w:val="13"/>
              </w:rPr>
              <w:t>1.840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CE93582" w14:textId="77777777">
            <w:pPr>
              <w:pStyle w:val="p-table"/>
              <w:jc w:val="right"/>
              <w:rPr>
                <w:sz w:val="13"/>
                <w:szCs w:val="13"/>
              </w:rPr>
            </w:pPr>
            <w:r w:rsidRPr="003268EE">
              <w:rPr>
                <w:sz w:val="13"/>
                <w:szCs w:val="13"/>
              </w:rPr>
              <w:t>1.283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B6A760" w14:textId="77777777">
            <w:pPr>
              <w:pStyle w:val="p-table"/>
              <w:jc w:val="right"/>
              <w:rPr>
                <w:sz w:val="13"/>
                <w:szCs w:val="13"/>
              </w:rPr>
            </w:pPr>
            <w:r w:rsidRPr="003268EE">
              <w:rPr>
                <w:sz w:val="13"/>
                <w:szCs w:val="13"/>
              </w:rPr>
              <w:t>504</w:t>
            </w:r>
          </w:p>
        </w:tc>
        <w:tc>
          <w:tcPr>
            <w:tcW w:w="375" w:type="pct"/>
            <w:tcBorders>
              <w:bottom w:val="single" w:color="009EE0" w:sz="2" w:space="0"/>
            </w:tcBorders>
            <w:tcMar>
              <w:top w:w="22" w:type="dxa"/>
              <w:left w:w="28" w:type="dxa"/>
              <w:bottom w:w="22" w:type="dxa"/>
              <w:right w:w="28" w:type="dxa"/>
            </w:tcMar>
          </w:tcPr>
          <w:p w:rsidRPr="003268EE" w:rsidR="0084290D" w:rsidRDefault="00CF5B93" w14:paraId="7F3FDE1F" w14:textId="77777777">
            <w:pPr>
              <w:pStyle w:val="p-table"/>
              <w:jc w:val="right"/>
              <w:rPr>
                <w:sz w:val="13"/>
                <w:szCs w:val="13"/>
              </w:rPr>
            </w:pPr>
            <w:r w:rsidRPr="003268EE">
              <w:rPr>
                <w:sz w:val="13"/>
                <w:szCs w:val="13"/>
              </w:rPr>
              <w:t>21.712</w:t>
            </w:r>
          </w:p>
        </w:tc>
      </w:tr>
      <w:tr w:rsidR="0084290D" w:rsidTr="007433BE" w14:paraId="4EF3E970" w14:textId="77777777">
        <w:tc>
          <w:tcPr>
            <w:tcW w:w="1250" w:type="pct"/>
            <w:tcBorders>
              <w:bottom w:val="single" w:color="009EE0" w:sz="2" w:space="0"/>
            </w:tcBorders>
            <w:tcMar>
              <w:top w:w="22" w:type="dxa"/>
              <w:bottom w:w="22" w:type="dxa"/>
              <w:right w:w="28" w:type="dxa"/>
            </w:tcMar>
          </w:tcPr>
          <w:p w:rsidRPr="003268EE" w:rsidR="0084290D" w:rsidRDefault="00CF5B93" w14:paraId="3E67A4B4" w14:textId="77777777">
            <w:pPr>
              <w:pStyle w:val="p-table"/>
              <w:rPr>
                <w:sz w:val="13"/>
                <w:szCs w:val="13"/>
              </w:rPr>
            </w:pPr>
            <w:r w:rsidRPr="003268EE">
              <w:rPr>
                <w:sz w:val="13"/>
                <w:szCs w:val="13"/>
              </w:rPr>
              <w:t>Bijdrage aan SSO's</w:t>
            </w:r>
          </w:p>
        </w:tc>
        <w:tc>
          <w:tcPr>
            <w:tcW w:w="375" w:type="pct"/>
            <w:tcBorders>
              <w:bottom w:val="single" w:color="009EE0" w:sz="2" w:space="0"/>
            </w:tcBorders>
            <w:tcMar>
              <w:top w:w="22" w:type="dxa"/>
              <w:left w:w="28" w:type="dxa"/>
              <w:bottom w:w="22" w:type="dxa"/>
              <w:right w:w="28" w:type="dxa"/>
            </w:tcMar>
          </w:tcPr>
          <w:p w:rsidRPr="003268EE" w:rsidR="0084290D" w:rsidRDefault="00CF5B93" w14:paraId="29265FF7" w14:textId="77777777">
            <w:pPr>
              <w:pStyle w:val="p-table"/>
              <w:jc w:val="right"/>
              <w:rPr>
                <w:sz w:val="13"/>
                <w:szCs w:val="13"/>
              </w:rPr>
            </w:pPr>
            <w:r w:rsidRPr="003268EE">
              <w:rPr>
                <w:sz w:val="13"/>
                <w:szCs w:val="13"/>
              </w:rPr>
              <w:t>46.017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03C40A6"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8909CD" w14:textId="77777777">
            <w:pPr>
              <w:pStyle w:val="p-table"/>
              <w:jc w:val="right"/>
              <w:rPr>
                <w:sz w:val="13"/>
                <w:szCs w:val="13"/>
              </w:rPr>
            </w:pPr>
            <w:r w:rsidRPr="003268EE">
              <w:rPr>
                <w:sz w:val="13"/>
                <w:szCs w:val="13"/>
              </w:rPr>
              <w:t>46.017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49F416" w14:textId="77777777">
            <w:pPr>
              <w:pStyle w:val="p-table"/>
              <w:jc w:val="right"/>
              <w:rPr>
                <w:sz w:val="13"/>
                <w:szCs w:val="13"/>
              </w:rPr>
            </w:pPr>
            <w:r w:rsidRPr="003268EE">
              <w:rPr>
                <w:sz w:val="13"/>
                <w:szCs w:val="13"/>
              </w:rPr>
              <w:t>15.446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25B813" w14:textId="77777777">
            <w:pPr>
              <w:pStyle w:val="p-table"/>
              <w:jc w:val="right"/>
              <w:rPr>
                <w:sz w:val="13"/>
                <w:szCs w:val="13"/>
              </w:rPr>
            </w:pPr>
            <w:r w:rsidRPr="003268EE">
              <w:rPr>
                <w:sz w:val="13"/>
                <w:szCs w:val="13"/>
              </w:rPr>
              <w:t>61.463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1380B3" w14:textId="77777777">
            <w:pPr>
              <w:pStyle w:val="p-table"/>
              <w:jc w:val="right"/>
              <w:rPr>
                <w:sz w:val="13"/>
                <w:szCs w:val="13"/>
              </w:rPr>
            </w:pPr>
            <w:r w:rsidRPr="003268EE">
              <w:rPr>
                <w:sz w:val="13"/>
                <w:szCs w:val="13"/>
              </w:rPr>
              <w:t>13.294</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3D3E06" w14:textId="77777777">
            <w:pPr>
              <w:pStyle w:val="p-table"/>
              <w:jc w:val="right"/>
              <w:rPr>
                <w:sz w:val="13"/>
                <w:szCs w:val="13"/>
              </w:rPr>
            </w:pPr>
            <w:r w:rsidRPr="003268EE">
              <w:rPr>
                <w:sz w:val="13"/>
                <w:szCs w:val="13"/>
              </w:rPr>
              <w:t>12.083</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8154B5" w14:textId="77777777">
            <w:pPr>
              <w:pStyle w:val="p-table"/>
              <w:jc w:val="right"/>
              <w:rPr>
                <w:sz w:val="13"/>
                <w:szCs w:val="13"/>
              </w:rPr>
            </w:pPr>
            <w:r w:rsidRPr="003268EE">
              <w:rPr>
                <w:sz w:val="13"/>
                <w:szCs w:val="13"/>
              </w:rPr>
              <w:t>10.888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9B6625" w14:textId="77777777">
            <w:pPr>
              <w:pStyle w:val="p-table"/>
              <w:jc w:val="right"/>
              <w:rPr>
                <w:sz w:val="13"/>
                <w:szCs w:val="13"/>
              </w:rPr>
            </w:pPr>
            <w:r w:rsidRPr="003268EE">
              <w:rPr>
                <w:sz w:val="13"/>
                <w:szCs w:val="13"/>
              </w:rPr>
              <w:t>9.225</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AA4A5E" w14:textId="77777777">
            <w:pPr>
              <w:pStyle w:val="p-table"/>
              <w:jc w:val="right"/>
              <w:rPr>
                <w:sz w:val="13"/>
                <w:szCs w:val="13"/>
              </w:rPr>
            </w:pPr>
            <w:r w:rsidRPr="003268EE">
              <w:rPr>
                <w:sz w:val="13"/>
                <w:szCs w:val="13"/>
              </w:rPr>
              <w:t>54.582</w:t>
            </w:r>
          </w:p>
        </w:tc>
      </w:tr>
      <w:tr w:rsidR="0084290D" w:rsidTr="007433BE" w14:paraId="783E87E0" w14:textId="77777777">
        <w:tc>
          <w:tcPr>
            <w:tcW w:w="1250" w:type="pct"/>
            <w:tcBorders>
              <w:bottom w:val="single" w:color="009EE0" w:sz="2" w:space="0"/>
            </w:tcBorders>
            <w:tcMar>
              <w:top w:w="22" w:type="dxa"/>
              <w:bottom w:w="22" w:type="dxa"/>
              <w:right w:w="28" w:type="dxa"/>
            </w:tcMar>
          </w:tcPr>
          <w:p w:rsidRPr="003268EE" w:rsidR="0084290D" w:rsidRDefault="00CF5B93" w14:paraId="7E4F6019" w14:textId="77777777">
            <w:pPr>
              <w:pStyle w:val="p-table"/>
              <w:rPr>
                <w:sz w:val="13"/>
                <w:szCs w:val="13"/>
              </w:rPr>
            </w:pPr>
            <w:r w:rsidRPr="003268EE">
              <w:rPr>
                <w:sz w:val="13"/>
                <w:szCs w:val="13"/>
              </w:rPr>
              <w:t>Overig materieel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4626AD4C" w14:textId="77777777">
            <w:pPr>
              <w:pStyle w:val="p-table"/>
              <w:jc w:val="right"/>
              <w:rPr>
                <w:sz w:val="13"/>
                <w:szCs w:val="13"/>
              </w:rPr>
            </w:pPr>
            <w:r w:rsidRPr="003268EE">
              <w:rPr>
                <w:sz w:val="13"/>
                <w:szCs w:val="13"/>
              </w:rPr>
              <w:t>67.582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D30D2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AC9B7C" w14:textId="77777777">
            <w:pPr>
              <w:pStyle w:val="p-table"/>
              <w:jc w:val="right"/>
              <w:rPr>
                <w:sz w:val="13"/>
                <w:szCs w:val="13"/>
              </w:rPr>
            </w:pPr>
            <w:r w:rsidRPr="003268EE">
              <w:rPr>
                <w:sz w:val="13"/>
                <w:szCs w:val="13"/>
              </w:rPr>
              <w:t>67.582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D5C9B9" w14:textId="77777777">
            <w:pPr>
              <w:pStyle w:val="p-table"/>
              <w:jc w:val="right"/>
              <w:rPr>
                <w:sz w:val="13"/>
                <w:szCs w:val="13"/>
              </w:rPr>
            </w:pPr>
            <w:r w:rsidRPr="003268EE">
              <w:rPr>
                <w:sz w:val="13"/>
                <w:szCs w:val="13"/>
              </w:rPr>
              <w:t>11.435</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A8AAB4" w14:textId="77777777">
            <w:pPr>
              <w:pStyle w:val="p-table"/>
              <w:jc w:val="right"/>
              <w:rPr>
                <w:sz w:val="13"/>
                <w:szCs w:val="13"/>
              </w:rPr>
            </w:pPr>
            <w:r w:rsidRPr="003268EE">
              <w:rPr>
                <w:sz w:val="13"/>
                <w:szCs w:val="13"/>
              </w:rPr>
              <w:t>79.017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8A995D4" w14:textId="77777777">
            <w:pPr>
              <w:pStyle w:val="p-table"/>
              <w:jc w:val="right"/>
              <w:rPr>
                <w:sz w:val="13"/>
                <w:szCs w:val="13"/>
              </w:rPr>
            </w:pPr>
            <w:r w:rsidRPr="003268EE">
              <w:rPr>
                <w:sz w:val="13"/>
                <w:szCs w:val="13"/>
              </w:rPr>
              <w:t>3.839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CE5C912" w14:textId="77777777">
            <w:pPr>
              <w:pStyle w:val="p-table"/>
              <w:jc w:val="right"/>
              <w:rPr>
                <w:sz w:val="13"/>
                <w:szCs w:val="13"/>
              </w:rPr>
            </w:pPr>
            <w:r w:rsidRPr="003268EE">
              <w:rPr>
                <w:sz w:val="13"/>
                <w:szCs w:val="13"/>
              </w:rPr>
              <w:t>2.778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5F9653" w14:textId="77777777">
            <w:pPr>
              <w:pStyle w:val="p-table"/>
              <w:jc w:val="right"/>
              <w:rPr>
                <w:sz w:val="13"/>
                <w:szCs w:val="13"/>
              </w:rPr>
            </w:pPr>
            <w:r w:rsidRPr="003268EE">
              <w:rPr>
                <w:sz w:val="13"/>
                <w:szCs w:val="13"/>
              </w:rPr>
              <w:t>‒ 991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16BF60" w14:textId="77777777">
            <w:pPr>
              <w:pStyle w:val="p-table"/>
              <w:jc w:val="right"/>
              <w:rPr>
                <w:sz w:val="13"/>
                <w:szCs w:val="13"/>
              </w:rPr>
            </w:pPr>
            <w:r w:rsidRPr="003268EE">
              <w:rPr>
                <w:sz w:val="13"/>
                <w:szCs w:val="13"/>
              </w:rPr>
              <w:t>‒ 2.973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B89BD1" w14:textId="77777777">
            <w:pPr>
              <w:pStyle w:val="p-table"/>
              <w:jc w:val="right"/>
              <w:rPr>
                <w:sz w:val="13"/>
                <w:szCs w:val="13"/>
              </w:rPr>
            </w:pPr>
            <w:r w:rsidRPr="003268EE">
              <w:rPr>
                <w:sz w:val="13"/>
                <w:szCs w:val="13"/>
              </w:rPr>
              <w:t>51.277</w:t>
            </w:r>
          </w:p>
        </w:tc>
      </w:tr>
      <w:tr w:rsidR="0084290D" w:rsidTr="007433BE" w14:paraId="45894B0B" w14:textId="77777777">
        <w:tc>
          <w:tcPr>
            <w:tcW w:w="1250" w:type="pct"/>
            <w:tcMar>
              <w:top w:w="22" w:type="dxa"/>
              <w:bottom w:w="22" w:type="dxa"/>
              <w:right w:w="28" w:type="dxa"/>
            </w:tcMar>
          </w:tcPr>
          <w:p w:rsidRPr="003268EE" w:rsidR="0084290D" w:rsidRDefault="0084290D" w14:paraId="11EF8C3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DE407B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00874C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F75082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7C7994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5077E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D15F3A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E32043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D9BAE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EE41DD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059867D" w14:textId="77777777">
            <w:pPr>
              <w:pStyle w:val="p-table"/>
              <w:rPr>
                <w:sz w:val="13"/>
                <w:szCs w:val="13"/>
              </w:rPr>
            </w:pPr>
          </w:p>
        </w:tc>
      </w:tr>
      <w:tr w:rsidR="0084290D" w:rsidTr="007433BE" w14:paraId="6AD80D24" w14:textId="77777777">
        <w:tc>
          <w:tcPr>
            <w:tcW w:w="1250" w:type="pct"/>
            <w:tcBorders>
              <w:bottom w:val="single" w:color="009EE0" w:sz="2" w:space="0"/>
            </w:tcBorders>
            <w:tcMar>
              <w:top w:w="22" w:type="dxa"/>
              <w:bottom w:w="22" w:type="dxa"/>
              <w:right w:w="28" w:type="dxa"/>
            </w:tcMar>
          </w:tcPr>
          <w:p w:rsidRPr="003268EE" w:rsidR="0084290D" w:rsidRDefault="00CF5B93" w14:paraId="3F10B279" w14:textId="77777777">
            <w:pPr>
              <w:pStyle w:val="p-table"/>
              <w:rPr>
                <w:sz w:val="13"/>
                <w:szCs w:val="13"/>
              </w:rPr>
            </w:pPr>
            <w:r w:rsidRPr="003268EE">
              <w:rPr>
                <w:b/>
                <w:sz w:val="13"/>
                <w:szCs w:val="13"/>
              </w:rPr>
              <w:t>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E9B9EC0" w14:textId="77777777">
            <w:pPr>
              <w:pStyle w:val="p-table"/>
              <w:jc w:val="right"/>
              <w:rPr>
                <w:sz w:val="13"/>
                <w:szCs w:val="13"/>
              </w:rPr>
            </w:pPr>
            <w:r w:rsidRPr="003268EE">
              <w:rPr>
                <w:b/>
                <w:sz w:val="13"/>
                <w:szCs w:val="13"/>
              </w:rPr>
              <w:t>60.120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2620F0"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8CA7452" w14:textId="77777777">
            <w:pPr>
              <w:pStyle w:val="p-table"/>
              <w:jc w:val="right"/>
              <w:rPr>
                <w:sz w:val="13"/>
                <w:szCs w:val="13"/>
              </w:rPr>
            </w:pPr>
            <w:r w:rsidRPr="003268EE">
              <w:rPr>
                <w:b/>
                <w:sz w:val="13"/>
                <w:szCs w:val="13"/>
              </w:rPr>
              <w:t>60.120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9DD6586" w14:textId="77777777">
            <w:pPr>
              <w:pStyle w:val="p-table"/>
              <w:jc w:val="right"/>
              <w:rPr>
                <w:sz w:val="13"/>
                <w:szCs w:val="13"/>
              </w:rPr>
            </w:pPr>
            <w:r w:rsidRPr="003268EE">
              <w:rPr>
                <w:b/>
                <w:sz w:val="13"/>
                <w:szCs w:val="13"/>
              </w:rPr>
              <w:t>3.256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8CA98F" w14:textId="77777777">
            <w:pPr>
              <w:pStyle w:val="p-table"/>
              <w:jc w:val="right"/>
              <w:rPr>
                <w:sz w:val="13"/>
                <w:szCs w:val="13"/>
              </w:rPr>
            </w:pPr>
            <w:r w:rsidRPr="003268EE">
              <w:rPr>
                <w:b/>
                <w:sz w:val="13"/>
                <w:szCs w:val="13"/>
              </w:rPr>
              <w:t>63.376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51B1A9" w14:textId="77777777">
            <w:pPr>
              <w:pStyle w:val="p-table"/>
              <w:jc w:val="right"/>
              <w:rPr>
                <w:sz w:val="13"/>
                <w:szCs w:val="13"/>
              </w:rPr>
            </w:pPr>
            <w:r w:rsidRPr="003268EE">
              <w:rPr>
                <w:b/>
                <w:sz w:val="13"/>
                <w:szCs w:val="13"/>
              </w:rPr>
              <w:t>3.000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196AA7" w14:textId="77777777">
            <w:pPr>
              <w:pStyle w:val="p-table"/>
              <w:jc w:val="right"/>
              <w:rPr>
                <w:sz w:val="13"/>
                <w:szCs w:val="13"/>
              </w:rPr>
            </w:pPr>
            <w:r w:rsidRPr="003268EE">
              <w:rPr>
                <w:b/>
                <w:sz w:val="13"/>
                <w:szCs w:val="13"/>
              </w:rPr>
              <w:t>3.000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71D3C5E" w14:textId="77777777">
            <w:pPr>
              <w:pStyle w:val="p-table"/>
              <w:jc w:val="right"/>
              <w:rPr>
                <w:sz w:val="13"/>
                <w:szCs w:val="13"/>
              </w:rPr>
            </w:pPr>
            <w:r w:rsidRPr="003268EE">
              <w:rPr>
                <w:b/>
                <w:sz w:val="13"/>
                <w:szCs w:val="13"/>
              </w:rPr>
              <w:t>2.334</w:t>
            </w:r>
          </w:p>
        </w:tc>
        <w:tc>
          <w:tcPr>
            <w:tcW w:w="375" w:type="pct"/>
            <w:tcBorders>
              <w:bottom w:val="single" w:color="009EE0" w:sz="2" w:space="0"/>
            </w:tcBorders>
            <w:tcMar>
              <w:top w:w="22" w:type="dxa"/>
              <w:left w:w="28" w:type="dxa"/>
              <w:bottom w:w="22" w:type="dxa"/>
              <w:right w:w="28" w:type="dxa"/>
            </w:tcMar>
          </w:tcPr>
          <w:p w:rsidRPr="003268EE" w:rsidR="0084290D" w:rsidRDefault="00CF5B93" w14:paraId="47A1C8BA" w14:textId="77777777">
            <w:pPr>
              <w:pStyle w:val="p-table"/>
              <w:jc w:val="right"/>
              <w:rPr>
                <w:sz w:val="13"/>
                <w:szCs w:val="13"/>
              </w:rPr>
            </w:pPr>
            <w:r w:rsidRPr="003268EE">
              <w:rPr>
                <w:b/>
                <w:sz w:val="13"/>
                <w:szCs w:val="13"/>
              </w:rPr>
              <w:t>‒ 745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49E6010" w14:textId="77777777">
            <w:pPr>
              <w:pStyle w:val="p-table"/>
              <w:jc w:val="right"/>
              <w:rPr>
                <w:sz w:val="13"/>
                <w:szCs w:val="13"/>
              </w:rPr>
            </w:pPr>
            <w:r w:rsidRPr="003268EE">
              <w:rPr>
                <w:b/>
                <w:sz w:val="13"/>
                <w:szCs w:val="13"/>
              </w:rPr>
              <w:t>58.681</w:t>
            </w:r>
          </w:p>
        </w:tc>
      </w:tr>
      <w:tr w:rsidR="0084290D" w:rsidTr="007433BE" w14:paraId="61DEF3C7" w14:textId="77777777">
        <w:tc>
          <w:tcPr>
            <w:tcW w:w="1250" w:type="pct"/>
            <w:tcBorders>
              <w:bottom w:val="single" w:color="009EE0" w:sz="2" w:space="0"/>
            </w:tcBorders>
            <w:tcMar>
              <w:top w:w="22" w:type="dxa"/>
              <w:bottom w:w="22" w:type="dxa"/>
              <w:right w:w="28" w:type="dxa"/>
            </w:tcMar>
          </w:tcPr>
          <w:p w:rsidRPr="003268EE" w:rsidR="0084290D" w:rsidRDefault="00CF5B93" w14:paraId="7D7D1B48" w14:textId="77777777">
            <w:pPr>
              <w:pStyle w:val="p-table"/>
              <w:rPr>
                <w:sz w:val="13"/>
                <w:szCs w:val="13"/>
              </w:rPr>
            </w:pPr>
            <w:r w:rsidRPr="003268EE">
              <w:rPr>
                <w:sz w:val="13"/>
                <w:szCs w:val="13"/>
              </w:rPr>
              <w:t>Apparaatontvangsten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8C8713" w14:textId="77777777">
            <w:pPr>
              <w:pStyle w:val="p-table"/>
              <w:jc w:val="right"/>
              <w:rPr>
                <w:sz w:val="13"/>
                <w:szCs w:val="13"/>
              </w:rPr>
            </w:pPr>
            <w:r w:rsidRPr="003268EE">
              <w:rPr>
                <w:sz w:val="13"/>
                <w:szCs w:val="13"/>
              </w:rPr>
              <w:t>60.120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26CFB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FBD4A8" w14:textId="77777777">
            <w:pPr>
              <w:pStyle w:val="p-table"/>
              <w:jc w:val="right"/>
              <w:rPr>
                <w:sz w:val="13"/>
                <w:szCs w:val="13"/>
              </w:rPr>
            </w:pPr>
            <w:r w:rsidRPr="003268EE">
              <w:rPr>
                <w:sz w:val="13"/>
                <w:szCs w:val="13"/>
              </w:rPr>
              <w:t>60.120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1A12D1" w14:textId="77777777">
            <w:pPr>
              <w:pStyle w:val="p-table"/>
              <w:jc w:val="right"/>
              <w:rPr>
                <w:sz w:val="13"/>
                <w:szCs w:val="13"/>
              </w:rPr>
            </w:pPr>
            <w:r w:rsidRPr="003268EE">
              <w:rPr>
                <w:sz w:val="13"/>
                <w:szCs w:val="13"/>
              </w:rPr>
              <w:t>3.256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509C71" w14:textId="77777777">
            <w:pPr>
              <w:pStyle w:val="p-table"/>
              <w:jc w:val="right"/>
              <w:rPr>
                <w:sz w:val="13"/>
                <w:szCs w:val="13"/>
              </w:rPr>
            </w:pPr>
            <w:r w:rsidRPr="003268EE">
              <w:rPr>
                <w:sz w:val="13"/>
                <w:szCs w:val="13"/>
              </w:rPr>
              <w:t>63.376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68E5D97" w14:textId="77777777">
            <w:pPr>
              <w:pStyle w:val="p-table"/>
              <w:jc w:val="right"/>
              <w:rPr>
                <w:sz w:val="13"/>
                <w:szCs w:val="13"/>
              </w:rPr>
            </w:pPr>
            <w:r w:rsidRPr="003268EE">
              <w:rPr>
                <w:sz w:val="13"/>
                <w:szCs w:val="13"/>
              </w:rPr>
              <w:t>3.000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A93718" w14:textId="77777777">
            <w:pPr>
              <w:pStyle w:val="p-table"/>
              <w:jc w:val="right"/>
              <w:rPr>
                <w:sz w:val="13"/>
                <w:szCs w:val="13"/>
              </w:rPr>
            </w:pPr>
            <w:r w:rsidRPr="003268EE">
              <w:rPr>
                <w:sz w:val="13"/>
                <w:szCs w:val="13"/>
              </w:rPr>
              <w:t>3.000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B3780D" w14:textId="77777777">
            <w:pPr>
              <w:pStyle w:val="p-table"/>
              <w:jc w:val="right"/>
              <w:rPr>
                <w:sz w:val="13"/>
                <w:szCs w:val="13"/>
              </w:rPr>
            </w:pPr>
            <w:r w:rsidRPr="003268EE">
              <w:rPr>
                <w:sz w:val="13"/>
                <w:szCs w:val="13"/>
              </w:rPr>
              <w:t>2.334</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114684" w14:textId="77777777">
            <w:pPr>
              <w:pStyle w:val="p-table"/>
              <w:jc w:val="right"/>
              <w:rPr>
                <w:sz w:val="13"/>
                <w:szCs w:val="13"/>
              </w:rPr>
            </w:pPr>
            <w:r w:rsidRPr="003268EE">
              <w:rPr>
                <w:sz w:val="13"/>
                <w:szCs w:val="13"/>
              </w:rPr>
              <w:t>‒ 745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DCB0DD8" w14:textId="77777777">
            <w:pPr>
              <w:pStyle w:val="p-table"/>
              <w:jc w:val="right"/>
              <w:rPr>
                <w:sz w:val="13"/>
                <w:szCs w:val="13"/>
              </w:rPr>
            </w:pPr>
            <w:r w:rsidRPr="003268EE">
              <w:rPr>
                <w:sz w:val="13"/>
                <w:szCs w:val="13"/>
              </w:rPr>
              <w:t>58.681</w:t>
            </w:r>
          </w:p>
        </w:tc>
      </w:tr>
    </w:tbl>
    <w:p w:rsidR="0084290D" w:rsidRDefault="0084290D" w14:paraId="413B111B" w14:textId="77777777">
      <w:pPr>
        <w:pStyle w:val="p-marginbottom"/>
      </w:pPr>
    </w:p>
    <w:p w:rsidR="0084290D" w:rsidRDefault="00CF5B93" w14:paraId="120BFD4C" w14:textId="77777777">
      <w:pPr>
        <w:pStyle w:val="header-h1"/>
      </w:pPr>
      <w:r>
        <w:t>Toelichting</w:t>
      </w:r>
    </w:p>
    <w:p w:rsidR="0084290D" w:rsidRDefault="0084290D" w14:paraId="710100D5" w14:textId="77777777">
      <w:pPr>
        <w:pStyle w:val="p-marginbottom"/>
      </w:pPr>
    </w:p>
    <w:p w:rsidR="0084290D" w:rsidRDefault="00CF5B93" w14:paraId="4E89DC5F" w14:textId="77777777">
      <w:pPr>
        <w:pStyle w:val="header-h1"/>
      </w:pPr>
      <w:r>
        <w:t>Verplichtingen en uitgaven</w:t>
      </w:r>
    </w:p>
    <w:p w:rsidR="0084290D" w:rsidRDefault="0084290D" w14:paraId="19D7FF0E" w14:textId="77777777">
      <w:pPr>
        <w:pStyle w:val="p-marginbottom"/>
      </w:pPr>
    </w:p>
    <w:p w:rsidR="0084290D" w:rsidRDefault="00CF5B93" w14:paraId="0E608E10" w14:textId="77777777">
      <w:pPr>
        <w:pStyle w:val="p"/>
      </w:pPr>
      <w:r>
        <w:t>Het coalitieakkoord «Aan de Slag» bevat een taakstelling op de apparaatsuitgaven van de Rijksoverheid, zowel kerndepartement als uitvoeringsorganisaties. De korting bestaat uit een efficiencytaakstelling (maatregel 61 uit het CA) en een korting gericht op de vernieuwing van de rijksdienst en het versterken van een slagvaardige overheid (maatregel 62 uit het CA). De korting is rijksbreed naar rato van de apparaatsuitgaven. In deze suppletoire begroting wordt de korting naar rato doorverdeeld. Voor Artikel 8 'Apparaat' komt dit neer op € 8,7 mln. in 2029 en € 21,2 mln. voor 2030 en verder. De korting is verdeeld over de verschillende uitgaven-en ontvangstenposten.</w:t>
      </w:r>
    </w:p>
    <w:p w:rsidR="0084290D" w:rsidRDefault="00CF5B93" w14:paraId="2936A45A" w14:textId="77777777">
      <w:pPr>
        <w:pStyle w:val="header-h2"/>
      </w:pPr>
      <w:r>
        <w:t>Materiële uitgaven</w:t>
      </w:r>
    </w:p>
    <w:p w:rsidRPr="003268EE" w:rsidR="0084290D" w:rsidRDefault="00CF5B93" w14:paraId="304BCE70" w14:textId="210F9CEA">
      <w:pPr>
        <w:pStyle w:val="ol-p-l1"/>
        <w:numPr>
          <w:ilvl w:val="0"/>
          <w:numId w:val="13"/>
        </w:numPr>
        <w:rPr>
          <w:sz w:val="17"/>
          <w:szCs w:val="17"/>
        </w:rPr>
      </w:pPr>
      <w:r w:rsidRPr="003268EE">
        <w:rPr>
          <w:rStyle w:val="ol-text"/>
          <w:sz w:val="17"/>
          <w:szCs w:val="17"/>
        </w:rPr>
        <w:t>In 2026 zijn er circa € 4,5 mln</w:t>
      </w:r>
      <w:r w:rsidRPr="003268EE" w:rsidR="00D52ED7">
        <w:rPr>
          <w:rStyle w:val="ol-text"/>
          <w:sz w:val="17"/>
          <w:szCs w:val="17"/>
        </w:rPr>
        <w:t>.</w:t>
      </w:r>
      <w:r w:rsidRPr="003268EE">
        <w:rPr>
          <w:rStyle w:val="ol-text"/>
          <w:sz w:val="17"/>
          <w:szCs w:val="17"/>
        </w:rPr>
        <w:t xml:space="preserve"> aan hogere uitgaven voor diverse platforms voor ICT beheer en innovatie.</w:t>
      </w:r>
    </w:p>
    <w:p w:rsidRPr="003268EE" w:rsidR="0084290D" w:rsidRDefault="00CF5B93" w14:paraId="673B6BF0" w14:textId="77777777">
      <w:pPr>
        <w:pStyle w:val="ol-p-l1"/>
        <w:numPr>
          <w:ilvl w:val="0"/>
          <w:numId w:val="5"/>
        </w:numPr>
        <w:rPr>
          <w:sz w:val="17"/>
          <w:szCs w:val="17"/>
        </w:rPr>
      </w:pPr>
      <w:r w:rsidRPr="003268EE">
        <w:rPr>
          <w:rStyle w:val="ol-text"/>
          <w:sz w:val="17"/>
          <w:szCs w:val="17"/>
        </w:rPr>
        <w:t>In 2026 is € 10,8 mln. beschikbaar voor tariefstijgingen bij het Rijksvastgoedbedrijf en SSO’s voor zover die uitgaan boven de loonprijscompensatie, en ter dekking van een hogere afname van producten en diensten van het Shared Service Centre ICT en de Rijkorganisatie voor Informatiehuishouding (</w:t>
      </w:r>
      <w:proofErr w:type="spellStart"/>
      <w:r w:rsidRPr="003268EE">
        <w:rPr>
          <w:rStyle w:val="ol-text"/>
          <w:sz w:val="17"/>
          <w:szCs w:val="17"/>
        </w:rPr>
        <w:t>RvIHH</w:t>
      </w:r>
      <w:proofErr w:type="spellEnd"/>
      <w:r w:rsidRPr="003268EE">
        <w:rPr>
          <w:rStyle w:val="ol-text"/>
          <w:sz w:val="17"/>
          <w:szCs w:val="17"/>
        </w:rPr>
        <w:t>).</w:t>
      </w:r>
    </w:p>
    <w:p w:rsidRPr="003268EE" w:rsidR="0084290D" w:rsidRDefault="00CF5B93" w14:paraId="6DA8BA70" w14:textId="77777777">
      <w:pPr>
        <w:pStyle w:val="ol-p-l1"/>
        <w:numPr>
          <w:ilvl w:val="0"/>
          <w:numId w:val="5"/>
        </w:numPr>
        <w:rPr>
          <w:sz w:val="17"/>
          <w:szCs w:val="17"/>
        </w:rPr>
      </w:pPr>
      <w:r w:rsidRPr="003268EE">
        <w:rPr>
          <w:rStyle w:val="ol-text"/>
          <w:sz w:val="17"/>
          <w:szCs w:val="17"/>
        </w:rPr>
        <w:t>Er zijn middelen beschikbaar in 2026 en 2027 voor tekorten bij inkoopcategorie Vakliteratuur (€ 8,6 mln.).</w:t>
      </w:r>
    </w:p>
    <w:p w:rsidR="0084290D" w:rsidRDefault="0084290D" w14:paraId="7D055C3C" w14:textId="77777777"/>
    <w:p w:rsidR="0084290D" w:rsidRDefault="0084290D" w14:paraId="51B06C3F" w14:textId="77777777">
      <w:pPr>
        <w:pStyle w:val="page-break"/>
      </w:pPr>
    </w:p>
    <w:p w:rsidR="0084290D" w:rsidRDefault="00CF5B93" w14:paraId="78358FDD" w14:textId="77777777">
      <w:pPr>
        <w:pStyle w:val="section-title-3"/>
      </w:pPr>
      <w:r>
        <w:t>Artikel 10 Nog onverdeeld</w:t>
      </w: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70A71D92" w14:textId="77777777">
        <w:trPr>
          <w:tblHeader/>
        </w:trPr>
        <w:tc>
          <w:tcPr>
            <w:tcW w:w="5000" w:type="pct"/>
            <w:gridSpan w:val="11"/>
            <w:tcMar>
              <w:top w:w="22" w:type="dxa"/>
              <w:left w:w="113" w:type="dxa"/>
              <w:bottom w:w="22" w:type="dxa"/>
            </w:tcMar>
          </w:tcPr>
          <w:p w:rsidR="0084290D" w:rsidRDefault="00CF5B93" w14:paraId="39DD0F77" w14:textId="77777777">
            <w:pPr>
              <w:pStyle w:val="kio2-table-title"/>
            </w:pPr>
            <w:r>
              <w:t>Tabel 33 Nog onverdeeld (bedragen x € 1.000)</w:t>
            </w:r>
          </w:p>
        </w:tc>
      </w:tr>
      <w:tr w:rsidR="0084290D" w:rsidTr="007433BE" w14:paraId="1A743F3E" w14:textId="77777777">
        <w:trPr>
          <w:tblHeader/>
        </w:trPr>
        <w:tc>
          <w:tcPr>
            <w:tcW w:w="1250" w:type="pct"/>
            <w:tcBorders>
              <w:top w:val="single" w:color="000000" w:sz="2" w:space="0"/>
              <w:bottom w:val="single" w:color="009EE0" w:sz="2" w:space="0"/>
            </w:tcBorders>
            <w:tcMar>
              <w:top w:w="28" w:type="dxa"/>
              <w:bottom w:w="28" w:type="dxa"/>
              <w:right w:w="28" w:type="dxa"/>
            </w:tcMar>
          </w:tcPr>
          <w:p w:rsidRPr="003268EE" w:rsidR="0084290D" w:rsidRDefault="00CF5B93" w14:paraId="562665F8" w14:textId="77777777">
            <w:pPr>
              <w:pStyle w:val="p-table"/>
              <w:rPr>
                <w:color w:val="000000"/>
                <w:sz w:val="13"/>
                <w:szCs w:val="13"/>
              </w:rPr>
            </w:pPr>
            <w:r w:rsidRPr="003268EE">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A22C5B8" w14:textId="77777777">
            <w:pPr>
              <w:pStyle w:val="p-table"/>
              <w:jc w:val="right"/>
              <w:rPr>
                <w:color w:val="000000"/>
                <w:sz w:val="13"/>
                <w:szCs w:val="13"/>
              </w:rPr>
            </w:pPr>
            <w:r w:rsidRPr="003268EE">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307E987" w14:textId="77777777">
            <w:pPr>
              <w:pStyle w:val="p-table"/>
              <w:jc w:val="right"/>
              <w:rPr>
                <w:color w:val="000000"/>
                <w:sz w:val="13"/>
                <w:szCs w:val="13"/>
              </w:rPr>
            </w:pPr>
            <w:r w:rsidRPr="003268EE">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196B709" w14:textId="77777777">
            <w:pPr>
              <w:pStyle w:val="p-table"/>
              <w:jc w:val="right"/>
              <w:rPr>
                <w:color w:val="000000"/>
                <w:sz w:val="13"/>
                <w:szCs w:val="13"/>
              </w:rPr>
            </w:pPr>
            <w:r w:rsidRPr="003268EE">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DF8A9B0"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792A17A"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0F498550" w14:textId="77777777">
            <w:pPr>
              <w:pStyle w:val="p-table"/>
              <w:jc w:val="right"/>
              <w:rPr>
                <w:color w:val="000000"/>
                <w:sz w:val="13"/>
                <w:szCs w:val="13"/>
              </w:rPr>
            </w:pPr>
            <w:r w:rsidRPr="003268EE">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28C0630" w14:textId="77777777">
            <w:pPr>
              <w:pStyle w:val="p-table"/>
              <w:jc w:val="right"/>
              <w:rPr>
                <w:color w:val="000000"/>
                <w:sz w:val="13"/>
                <w:szCs w:val="13"/>
              </w:rPr>
            </w:pPr>
            <w:r w:rsidRPr="003268EE">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0D614CA" w14:textId="77777777">
            <w:pPr>
              <w:pStyle w:val="p-table"/>
              <w:jc w:val="right"/>
              <w:rPr>
                <w:color w:val="000000"/>
                <w:sz w:val="13"/>
                <w:szCs w:val="13"/>
              </w:rPr>
            </w:pPr>
            <w:r w:rsidRPr="003268EE">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FE84972" w14:textId="77777777">
            <w:pPr>
              <w:pStyle w:val="p-table"/>
              <w:jc w:val="right"/>
              <w:rPr>
                <w:color w:val="000000"/>
                <w:sz w:val="13"/>
                <w:szCs w:val="13"/>
              </w:rPr>
            </w:pPr>
            <w:r w:rsidRPr="003268EE">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D567FDF" w14:textId="77777777">
            <w:pPr>
              <w:pStyle w:val="p-table"/>
              <w:jc w:val="right"/>
              <w:rPr>
                <w:color w:val="000000"/>
                <w:sz w:val="13"/>
                <w:szCs w:val="13"/>
              </w:rPr>
            </w:pPr>
            <w:r w:rsidRPr="003268EE">
              <w:rPr>
                <w:color w:val="000000"/>
                <w:sz w:val="13"/>
                <w:szCs w:val="13"/>
              </w:rPr>
              <w:t>Mutatie 2031</w:t>
            </w:r>
          </w:p>
        </w:tc>
      </w:tr>
      <w:tr w:rsidR="0084290D" w:rsidTr="007433BE" w14:paraId="20B1C509" w14:textId="77777777">
        <w:tc>
          <w:tcPr>
            <w:tcW w:w="4625" w:type="pct"/>
            <w:gridSpan w:val="10"/>
            <w:tcBorders>
              <w:bottom w:val="single" w:color="009EE0" w:sz="2" w:space="0"/>
            </w:tcBorders>
            <w:tcMar>
              <w:top w:w="22" w:type="dxa"/>
              <w:bottom w:w="22" w:type="dxa"/>
              <w:right w:w="28" w:type="dxa"/>
            </w:tcMar>
          </w:tcPr>
          <w:p w:rsidRPr="003268EE" w:rsidR="0084290D" w:rsidRDefault="0084290D" w14:paraId="78AAEDF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077D84C" w14:textId="77777777">
            <w:pPr>
              <w:pStyle w:val="p-table"/>
              <w:rPr>
                <w:sz w:val="13"/>
                <w:szCs w:val="13"/>
              </w:rPr>
            </w:pPr>
          </w:p>
        </w:tc>
      </w:tr>
      <w:tr w:rsidR="0084290D" w:rsidTr="007433BE" w14:paraId="12E9DF6D" w14:textId="77777777">
        <w:tc>
          <w:tcPr>
            <w:tcW w:w="1250" w:type="pct"/>
            <w:tcBorders>
              <w:bottom w:val="single" w:color="009EE0" w:sz="2" w:space="0"/>
            </w:tcBorders>
            <w:tcMar>
              <w:top w:w="22" w:type="dxa"/>
              <w:bottom w:w="22" w:type="dxa"/>
              <w:right w:w="28" w:type="dxa"/>
            </w:tcMar>
          </w:tcPr>
          <w:p w:rsidRPr="003268EE" w:rsidR="0084290D" w:rsidRDefault="00CF5B93" w14:paraId="5EE0B38C" w14:textId="77777777">
            <w:pPr>
              <w:pStyle w:val="p-table"/>
              <w:rPr>
                <w:sz w:val="13"/>
                <w:szCs w:val="13"/>
              </w:rPr>
            </w:pPr>
            <w:r w:rsidRPr="003268EE">
              <w:rPr>
                <w:b/>
                <w:sz w:val="13"/>
                <w:szCs w:val="13"/>
              </w:rPr>
              <w:t>Verplichtingen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54F46C"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31C90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3F9B355"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61C115" w14:textId="77777777">
            <w:pPr>
              <w:pStyle w:val="p-table"/>
              <w:jc w:val="right"/>
              <w:rPr>
                <w:sz w:val="13"/>
                <w:szCs w:val="13"/>
              </w:rPr>
            </w:pPr>
            <w:r w:rsidRPr="003268EE">
              <w:rPr>
                <w:b/>
                <w:sz w:val="13"/>
                <w:szCs w:val="13"/>
              </w:rPr>
              <w:t>74.149</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39307A" w14:textId="77777777">
            <w:pPr>
              <w:pStyle w:val="p-table"/>
              <w:jc w:val="right"/>
              <w:rPr>
                <w:sz w:val="13"/>
                <w:szCs w:val="13"/>
              </w:rPr>
            </w:pPr>
            <w:r w:rsidRPr="003268EE">
              <w:rPr>
                <w:b/>
                <w:sz w:val="13"/>
                <w:szCs w:val="13"/>
              </w:rPr>
              <w:t>105.577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0576E2" w14:textId="77777777">
            <w:pPr>
              <w:pStyle w:val="p-table"/>
              <w:jc w:val="right"/>
              <w:rPr>
                <w:sz w:val="13"/>
                <w:szCs w:val="13"/>
              </w:rPr>
            </w:pPr>
            <w:r w:rsidRPr="003268EE">
              <w:rPr>
                <w:b/>
                <w:sz w:val="13"/>
                <w:szCs w:val="13"/>
              </w:rPr>
              <w:t>52.245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AEAFA4" w14:textId="77777777">
            <w:pPr>
              <w:pStyle w:val="p-table"/>
              <w:jc w:val="right"/>
              <w:rPr>
                <w:sz w:val="13"/>
                <w:szCs w:val="13"/>
              </w:rPr>
            </w:pPr>
            <w:r w:rsidRPr="003268EE">
              <w:rPr>
                <w:b/>
                <w:sz w:val="13"/>
                <w:szCs w:val="13"/>
              </w:rPr>
              <w:t>34.235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950404" w14:textId="77777777">
            <w:pPr>
              <w:pStyle w:val="p-table"/>
              <w:jc w:val="right"/>
              <w:rPr>
                <w:sz w:val="13"/>
                <w:szCs w:val="13"/>
              </w:rPr>
            </w:pPr>
            <w:r w:rsidRPr="003268EE">
              <w:rPr>
                <w:b/>
                <w:sz w:val="13"/>
                <w:szCs w:val="13"/>
              </w:rPr>
              <w:t>32.203</w:t>
            </w:r>
          </w:p>
        </w:tc>
        <w:tc>
          <w:tcPr>
            <w:tcW w:w="375" w:type="pct"/>
            <w:tcBorders>
              <w:bottom w:val="single" w:color="009EE0" w:sz="2" w:space="0"/>
            </w:tcBorders>
            <w:tcMar>
              <w:top w:w="22" w:type="dxa"/>
              <w:left w:w="28" w:type="dxa"/>
              <w:bottom w:w="22" w:type="dxa"/>
              <w:right w:w="28" w:type="dxa"/>
            </w:tcMar>
          </w:tcPr>
          <w:p w:rsidRPr="003268EE" w:rsidR="0084290D" w:rsidRDefault="00CF5B93" w14:paraId="0EC7D457" w14:textId="77777777">
            <w:pPr>
              <w:pStyle w:val="p-table"/>
              <w:jc w:val="right"/>
              <w:rPr>
                <w:sz w:val="13"/>
                <w:szCs w:val="13"/>
              </w:rPr>
            </w:pPr>
            <w:r w:rsidRPr="003268EE">
              <w:rPr>
                <w:b/>
                <w:sz w:val="13"/>
                <w:szCs w:val="13"/>
              </w:rPr>
              <w:t>33.546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2329BAA4" w14:textId="77777777">
            <w:pPr>
              <w:pStyle w:val="p-table"/>
              <w:jc w:val="right"/>
              <w:rPr>
                <w:sz w:val="13"/>
                <w:szCs w:val="13"/>
              </w:rPr>
            </w:pPr>
            <w:r w:rsidRPr="003268EE">
              <w:rPr>
                <w:b/>
                <w:sz w:val="13"/>
                <w:szCs w:val="13"/>
              </w:rPr>
              <w:t>90.769</w:t>
            </w:r>
          </w:p>
        </w:tc>
      </w:tr>
      <w:tr w:rsidR="0084290D" w:rsidTr="007433BE" w14:paraId="2DBDA3FA" w14:textId="77777777">
        <w:tc>
          <w:tcPr>
            <w:tcW w:w="1250" w:type="pct"/>
            <w:tcMar>
              <w:top w:w="22" w:type="dxa"/>
              <w:bottom w:w="22" w:type="dxa"/>
              <w:right w:w="28" w:type="dxa"/>
            </w:tcMar>
          </w:tcPr>
          <w:p w:rsidRPr="003268EE" w:rsidR="0084290D" w:rsidRDefault="0084290D" w14:paraId="312D14C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982779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D320A1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3BAA77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AB8660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2E67B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24EB80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0F6630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74284E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DF2291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E1F9C57" w14:textId="77777777">
            <w:pPr>
              <w:pStyle w:val="p-table"/>
              <w:rPr>
                <w:sz w:val="13"/>
                <w:szCs w:val="13"/>
              </w:rPr>
            </w:pPr>
          </w:p>
        </w:tc>
      </w:tr>
      <w:tr w:rsidR="0084290D" w:rsidTr="007433BE" w14:paraId="59A77151" w14:textId="77777777">
        <w:tc>
          <w:tcPr>
            <w:tcW w:w="1250" w:type="pct"/>
            <w:tcBorders>
              <w:bottom w:val="single" w:color="009EE0" w:sz="2" w:space="0"/>
            </w:tcBorders>
            <w:tcMar>
              <w:top w:w="22" w:type="dxa"/>
              <w:bottom w:w="22" w:type="dxa"/>
              <w:right w:w="28" w:type="dxa"/>
            </w:tcMar>
          </w:tcPr>
          <w:p w:rsidRPr="003268EE" w:rsidR="0084290D" w:rsidRDefault="00CF5B93" w14:paraId="5F4876A6" w14:textId="77777777">
            <w:pPr>
              <w:pStyle w:val="p-table"/>
              <w:rPr>
                <w:sz w:val="13"/>
                <w:szCs w:val="13"/>
              </w:rPr>
            </w:pPr>
            <w:r w:rsidRPr="003268EE">
              <w:rPr>
                <w:b/>
                <w:sz w:val="13"/>
                <w:szCs w:val="13"/>
              </w:rPr>
              <w:t>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9FCAD6C"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95F06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33CC06"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5A26D5B9" w14:textId="77777777">
            <w:pPr>
              <w:pStyle w:val="p-table"/>
              <w:jc w:val="right"/>
              <w:rPr>
                <w:sz w:val="13"/>
                <w:szCs w:val="13"/>
              </w:rPr>
            </w:pPr>
            <w:r w:rsidRPr="003268EE">
              <w:rPr>
                <w:b/>
                <w:sz w:val="13"/>
                <w:szCs w:val="13"/>
              </w:rPr>
              <w:t>74.149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EE2085B" w14:textId="77777777">
            <w:pPr>
              <w:pStyle w:val="p-table"/>
              <w:jc w:val="right"/>
              <w:rPr>
                <w:sz w:val="13"/>
                <w:szCs w:val="13"/>
              </w:rPr>
            </w:pPr>
            <w:r w:rsidRPr="003268EE">
              <w:rPr>
                <w:b/>
                <w:sz w:val="13"/>
                <w:szCs w:val="13"/>
              </w:rPr>
              <w:t>105.577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673EFB" w14:textId="77777777">
            <w:pPr>
              <w:pStyle w:val="p-table"/>
              <w:jc w:val="right"/>
              <w:rPr>
                <w:sz w:val="13"/>
                <w:szCs w:val="13"/>
              </w:rPr>
            </w:pPr>
            <w:r w:rsidRPr="003268EE">
              <w:rPr>
                <w:b/>
                <w:sz w:val="13"/>
                <w:szCs w:val="13"/>
              </w:rPr>
              <w:t>52.245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73E81EAA" w14:textId="77777777">
            <w:pPr>
              <w:pStyle w:val="p-table"/>
              <w:jc w:val="right"/>
              <w:rPr>
                <w:sz w:val="13"/>
                <w:szCs w:val="13"/>
              </w:rPr>
            </w:pPr>
            <w:r w:rsidRPr="003268EE">
              <w:rPr>
                <w:b/>
                <w:sz w:val="13"/>
                <w:szCs w:val="13"/>
              </w:rPr>
              <w:t>34.235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ED46C9" w14:textId="77777777">
            <w:pPr>
              <w:pStyle w:val="p-table"/>
              <w:jc w:val="right"/>
              <w:rPr>
                <w:sz w:val="13"/>
                <w:szCs w:val="13"/>
              </w:rPr>
            </w:pPr>
            <w:r w:rsidRPr="003268EE">
              <w:rPr>
                <w:b/>
                <w:sz w:val="13"/>
                <w:szCs w:val="13"/>
              </w:rPr>
              <w:t>32.203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BC15D91" w14:textId="77777777">
            <w:pPr>
              <w:pStyle w:val="p-table"/>
              <w:jc w:val="right"/>
              <w:rPr>
                <w:sz w:val="13"/>
                <w:szCs w:val="13"/>
              </w:rPr>
            </w:pPr>
            <w:r w:rsidRPr="003268EE">
              <w:rPr>
                <w:b/>
                <w:sz w:val="13"/>
                <w:szCs w:val="13"/>
              </w:rPr>
              <w:t>33.546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42F67A1" w14:textId="77777777">
            <w:pPr>
              <w:pStyle w:val="p-table"/>
              <w:jc w:val="right"/>
              <w:rPr>
                <w:sz w:val="13"/>
                <w:szCs w:val="13"/>
              </w:rPr>
            </w:pPr>
            <w:r w:rsidRPr="003268EE">
              <w:rPr>
                <w:b/>
                <w:sz w:val="13"/>
                <w:szCs w:val="13"/>
              </w:rPr>
              <w:t>90.769</w:t>
            </w:r>
          </w:p>
        </w:tc>
      </w:tr>
      <w:tr w:rsidR="0084290D" w:rsidTr="007433BE" w14:paraId="7757DCDC" w14:textId="77777777">
        <w:tc>
          <w:tcPr>
            <w:tcW w:w="1250" w:type="pct"/>
            <w:tcMar>
              <w:top w:w="22" w:type="dxa"/>
              <w:bottom w:w="22" w:type="dxa"/>
              <w:right w:w="28" w:type="dxa"/>
            </w:tcMar>
          </w:tcPr>
          <w:p w:rsidRPr="003268EE" w:rsidR="0084290D" w:rsidRDefault="0084290D" w14:paraId="07B3049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9C32E3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D0609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815BF9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563FC0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7C8F2F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31D8D5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FC48232"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0C3A37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C62C3E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4024D2F" w14:textId="77777777">
            <w:pPr>
              <w:pStyle w:val="p-table"/>
              <w:rPr>
                <w:sz w:val="13"/>
                <w:szCs w:val="13"/>
              </w:rPr>
            </w:pPr>
          </w:p>
        </w:tc>
      </w:tr>
      <w:tr w:rsidR="0084290D" w:rsidTr="007433BE" w14:paraId="238627DF" w14:textId="77777777">
        <w:tc>
          <w:tcPr>
            <w:tcW w:w="1250" w:type="pct"/>
            <w:tcBorders>
              <w:bottom w:val="single" w:color="009EE0" w:sz="2" w:space="0"/>
            </w:tcBorders>
            <w:tcMar>
              <w:top w:w="22" w:type="dxa"/>
              <w:bottom w:w="22" w:type="dxa"/>
              <w:right w:w="28" w:type="dxa"/>
            </w:tcMar>
          </w:tcPr>
          <w:p w:rsidRPr="003268EE" w:rsidR="0084290D" w:rsidRDefault="00CF5B93" w14:paraId="00C0ED7F" w14:textId="77777777">
            <w:pPr>
              <w:pStyle w:val="p-table"/>
              <w:rPr>
                <w:sz w:val="13"/>
                <w:szCs w:val="13"/>
              </w:rPr>
            </w:pPr>
            <w:r w:rsidRPr="003268EE">
              <w:rPr>
                <w:b/>
                <w:sz w:val="13"/>
                <w:szCs w:val="13"/>
              </w:rPr>
              <w:t>Nog te verdelen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463C123"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F4FE5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ECDE512"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D9A41C" w14:textId="77777777">
            <w:pPr>
              <w:pStyle w:val="p-table"/>
              <w:jc w:val="right"/>
              <w:rPr>
                <w:sz w:val="13"/>
                <w:szCs w:val="13"/>
              </w:rPr>
            </w:pPr>
            <w:r w:rsidRPr="003268EE">
              <w:rPr>
                <w:b/>
                <w:sz w:val="13"/>
                <w:szCs w:val="13"/>
              </w:rPr>
              <w:t>74.149</w:t>
            </w:r>
          </w:p>
        </w:tc>
        <w:tc>
          <w:tcPr>
            <w:tcW w:w="375" w:type="pct"/>
            <w:tcBorders>
              <w:bottom w:val="single" w:color="009EE0" w:sz="2" w:space="0"/>
            </w:tcBorders>
            <w:tcMar>
              <w:top w:w="22" w:type="dxa"/>
              <w:left w:w="28" w:type="dxa"/>
              <w:bottom w:w="22" w:type="dxa"/>
              <w:right w:w="28" w:type="dxa"/>
            </w:tcMar>
          </w:tcPr>
          <w:p w:rsidRPr="003268EE" w:rsidR="0084290D" w:rsidRDefault="00CF5B93" w14:paraId="5779808A" w14:textId="77777777">
            <w:pPr>
              <w:pStyle w:val="p-table"/>
              <w:jc w:val="right"/>
              <w:rPr>
                <w:sz w:val="13"/>
                <w:szCs w:val="13"/>
              </w:rPr>
            </w:pPr>
            <w:r w:rsidRPr="003268EE">
              <w:rPr>
                <w:b/>
                <w:sz w:val="13"/>
                <w:szCs w:val="13"/>
              </w:rPr>
              <w:t>105.577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B451B14" w14:textId="77777777">
            <w:pPr>
              <w:pStyle w:val="p-table"/>
              <w:jc w:val="right"/>
              <w:rPr>
                <w:sz w:val="13"/>
                <w:szCs w:val="13"/>
              </w:rPr>
            </w:pPr>
            <w:r w:rsidRPr="003268EE">
              <w:rPr>
                <w:b/>
                <w:sz w:val="13"/>
                <w:szCs w:val="13"/>
              </w:rPr>
              <w:t>52.245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552CAC26" w14:textId="77777777">
            <w:pPr>
              <w:pStyle w:val="p-table"/>
              <w:jc w:val="right"/>
              <w:rPr>
                <w:sz w:val="13"/>
                <w:szCs w:val="13"/>
              </w:rPr>
            </w:pPr>
            <w:r w:rsidRPr="003268EE">
              <w:rPr>
                <w:b/>
                <w:sz w:val="13"/>
                <w:szCs w:val="13"/>
              </w:rPr>
              <w:t>34.235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DD51E93" w14:textId="77777777">
            <w:pPr>
              <w:pStyle w:val="p-table"/>
              <w:jc w:val="right"/>
              <w:rPr>
                <w:sz w:val="13"/>
                <w:szCs w:val="13"/>
              </w:rPr>
            </w:pPr>
            <w:r w:rsidRPr="003268EE">
              <w:rPr>
                <w:b/>
                <w:sz w:val="13"/>
                <w:szCs w:val="13"/>
              </w:rPr>
              <w:t>32.203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02AF0A" w14:textId="77777777">
            <w:pPr>
              <w:pStyle w:val="p-table"/>
              <w:jc w:val="right"/>
              <w:rPr>
                <w:sz w:val="13"/>
                <w:szCs w:val="13"/>
              </w:rPr>
            </w:pPr>
            <w:r w:rsidRPr="003268EE">
              <w:rPr>
                <w:b/>
                <w:sz w:val="13"/>
                <w:szCs w:val="13"/>
              </w:rPr>
              <w:t>33.546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01F0F7" w14:textId="77777777">
            <w:pPr>
              <w:pStyle w:val="p-table"/>
              <w:jc w:val="right"/>
              <w:rPr>
                <w:sz w:val="13"/>
                <w:szCs w:val="13"/>
              </w:rPr>
            </w:pPr>
            <w:r w:rsidRPr="003268EE">
              <w:rPr>
                <w:b/>
                <w:sz w:val="13"/>
                <w:szCs w:val="13"/>
              </w:rPr>
              <w:t>90.769</w:t>
            </w:r>
          </w:p>
        </w:tc>
      </w:tr>
      <w:tr w:rsidR="0084290D" w:rsidTr="007433BE" w14:paraId="11EBB79F" w14:textId="77777777">
        <w:tc>
          <w:tcPr>
            <w:tcW w:w="1250" w:type="pct"/>
            <w:tcBorders>
              <w:bottom w:val="single" w:color="009EE0" w:sz="2" w:space="0"/>
            </w:tcBorders>
            <w:tcMar>
              <w:top w:w="22" w:type="dxa"/>
              <w:bottom w:w="22" w:type="dxa"/>
              <w:right w:w="28" w:type="dxa"/>
            </w:tcMar>
          </w:tcPr>
          <w:p w:rsidRPr="003268EE" w:rsidR="0084290D" w:rsidRDefault="00CF5B93" w14:paraId="6CB45E51" w14:textId="77777777">
            <w:pPr>
              <w:pStyle w:val="p-table"/>
              <w:rPr>
                <w:sz w:val="13"/>
                <w:szCs w:val="13"/>
              </w:rPr>
            </w:pPr>
            <w:r w:rsidRPr="003268EE">
              <w:rPr>
                <w:sz w:val="13"/>
                <w:szCs w:val="13"/>
              </w:rPr>
              <w:t>Loonbijstelling</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932E2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5D869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026B6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DF7954" w14:textId="77777777">
            <w:pPr>
              <w:pStyle w:val="p-table"/>
              <w:jc w:val="right"/>
              <w:rPr>
                <w:sz w:val="13"/>
                <w:szCs w:val="13"/>
              </w:rPr>
            </w:pPr>
            <w:r w:rsidRPr="003268EE">
              <w:rPr>
                <w:sz w:val="13"/>
                <w:szCs w:val="13"/>
              </w:rPr>
              <w:t>25.787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53E71B8" w14:textId="77777777">
            <w:pPr>
              <w:pStyle w:val="p-table"/>
              <w:jc w:val="right"/>
              <w:rPr>
                <w:sz w:val="13"/>
                <w:szCs w:val="13"/>
              </w:rPr>
            </w:pPr>
            <w:r w:rsidRPr="003268EE">
              <w:rPr>
                <w:sz w:val="13"/>
                <w:szCs w:val="13"/>
              </w:rPr>
              <w:t>25.787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79D7064" w14:textId="77777777">
            <w:pPr>
              <w:pStyle w:val="p-table"/>
              <w:jc w:val="right"/>
              <w:rPr>
                <w:sz w:val="13"/>
                <w:szCs w:val="13"/>
              </w:rPr>
            </w:pPr>
            <w:r w:rsidRPr="003268EE">
              <w:rPr>
                <w:sz w:val="13"/>
                <w:szCs w:val="13"/>
              </w:rPr>
              <w:t>25.050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DED9049" w14:textId="77777777">
            <w:pPr>
              <w:pStyle w:val="p-table"/>
              <w:jc w:val="right"/>
              <w:rPr>
                <w:sz w:val="13"/>
                <w:szCs w:val="13"/>
              </w:rPr>
            </w:pPr>
            <w:r w:rsidRPr="003268EE">
              <w:rPr>
                <w:sz w:val="13"/>
                <w:szCs w:val="13"/>
              </w:rPr>
              <w:t>24.159</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C4FFD6" w14:textId="77777777">
            <w:pPr>
              <w:pStyle w:val="p-table"/>
              <w:jc w:val="right"/>
              <w:rPr>
                <w:sz w:val="13"/>
                <w:szCs w:val="13"/>
              </w:rPr>
            </w:pPr>
            <w:r w:rsidRPr="003268EE">
              <w:rPr>
                <w:sz w:val="13"/>
                <w:szCs w:val="13"/>
              </w:rPr>
              <w:t>24.050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977AE0" w14:textId="77777777">
            <w:pPr>
              <w:pStyle w:val="p-table"/>
              <w:jc w:val="right"/>
              <w:rPr>
                <w:sz w:val="13"/>
                <w:szCs w:val="13"/>
              </w:rPr>
            </w:pPr>
            <w:r w:rsidRPr="003268EE">
              <w:rPr>
                <w:sz w:val="13"/>
                <w:szCs w:val="13"/>
              </w:rPr>
              <w:t>23.956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2351BDD1" w14:textId="77777777">
            <w:pPr>
              <w:pStyle w:val="p-table"/>
              <w:jc w:val="right"/>
              <w:rPr>
                <w:sz w:val="13"/>
                <w:szCs w:val="13"/>
              </w:rPr>
            </w:pPr>
            <w:r w:rsidRPr="003268EE">
              <w:rPr>
                <w:sz w:val="13"/>
                <w:szCs w:val="13"/>
              </w:rPr>
              <w:t>23.970</w:t>
            </w:r>
          </w:p>
        </w:tc>
      </w:tr>
      <w:tr w:rsidR="0084290D" w:rsidTr="007433BE" w14:paraId="05D1B465" w14:textId="77777777">
        <w:tc>
          <w:tcPr>
            <w:tcW w:w="1250" w:type="pct"/>
            <w:tcBorders>
              <w:bottom w:val="single" w:color="009EE0" w:sz="2" w:space="0"/>
            </w:tcBorders>
            <w:tcMar>
              <w:top w:w="22" w:type="dxa"/>
              <w:bottom w:w="22" w:type="dxa"/>
              <w:right w:w="28" w:type="dxa"/>
            </w:tcMar>
          </w:tcPr>
          <w:p w:rsidRPr="003268EE" w:rsidR="0084290D" w:rsidRDefault="00CF5B93" w14:paraId="1AF0072F" w14:textId="77777777">
            <w:pPr>
              <w:pStyle w:val="p-table"/>
              <w:rPr>
                <w:sz w:val="13"/>
                <w:szCs w:val="13"/>
              </w:rPr>
            </w:pPr>
            <w:r w:rsidRPr="003268EE">
              <w:rPr>
                <w:sz w:val="13"/>
                <w:szCs w:val="13"/>
              </w:rPr>
              <w:t>Prijsbijstelling</w:t>
            </w:r>
          </w:p>
        </w:tc>
        <w:tc>
          <w:tcPr>
            <w:tcW w:w="375" w:type="pct"/>
            <w:tcBorders>
              <w:bottom w:val="single" w:color="009EE0" w:sz="2" w:space="0"/>
            </w:tcBorders>
            <w:tcMar>
              <w:top w:w="22" w:type="dxa"/>
              <w:left w:w="28" w:type="dxa"/>
              <w:bottom w:w="22" w:type="dxa"/>
              <w:right w:w="28" w:type="dxa"/>
            </w:tcMar>
          </w:tcPr>
          <w:p w:rsidRPr="003268EE" w:rsidR="0084290D" w:rsidRDefault="00CF5B93" w14:paraId="0550674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97A48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C909C2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C43402" w14:textId="77777777">
            <w:pPr>
              <w:pStyle w:val="p-table"/>
              <w:jc w:val="right"/>
              <w:rPr>
                <w:sz w:val="13"/>
                <w:szCs w:val="13"/>
              </w:rPr>
            </w:pPr>
            <w:r w:rsidRPr="003268EE">
              <w:rPr>
                <w:sz w:val="13"/>
                <w:szCs w:val="13"/>
              </w:rPr>
              <w:t>58.407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0BD31F" w14:textId="77777777">
            <w:pPr>
              <w:pStyle w:val="p-table"/>
              <w:jc w:val="right"/>
              <w:rPr>
                <w:sz w:val="13"/>
                <w:szCs w:val="13"/>
              </w:rPr>
            </w:pPr>
            <w:r w:rsidRPr="003268EE">
              <w:rPr>
                <w:sz w:val="13"/>
                <w:szCs w:val="13"/>
              </w:rPr>
              <w:t>58.407</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AF0E0D" w14:textId="77777777">
            <w:pPr>
              <w:pStyle w:val="p-table"/>
              <w:jc w:val="right"/>
              <w:rPr>
                <w:sz w:val="13"/>
                <w:szCs w:val="13"/>
              </w:rPr>
            </w:pPr>
            <w:r w:rsidRPr="003268EE">
              <w:rPr>
                <w:sz w:val="13"/>
                <w:szCs w:val="13"/>
              </w:rPr>
              <w:t>56.646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BAE5A2" w14:textId="77777777">
            <w:pPr>
              <w:pStyle w:val="p-table"/>
              <w:jc w:val="right"/>
              <w:rPr>
                <w:sz w:val="13"/>
                <w:szCs w:val="13"/>
              </w:rPr>
            </w:pPr>
            <w:r w:rsidRPr="003268EE">
              <w:rPr>
                <w:sz w:val="13"/>
                <w:szCs w:val="13"/>
              </w:rPr>
              <w:t>28.275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085AAE" w14:textId="77777777">
            <w:pPr>
              <w:pStyle w:val="p-table"/>
              <w:jc w:val="right"/>
              <w:rPr>
                <w:sz w:val="13"/>
                <w:szCs w:val="13"/>
              </w:rPr>
            </w:pPr>
            <w:r w:rsidRPr="003268EE">
              <w:rPr>
                <w:sz w:val="13"/>
                <w:szCs w:val="13"/>
              </w:rPr>
              <w:t>22.993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68BB574" w14:textId="77777777">
            <w:pPr>
              <w:pStyle w:val="p-table"/>
              <w:jc w:val="right"/>
              <w:rPr>
                <w:sz w:val="13"/>
                <w:szCs w:val="13"/>
              </w:rPr>
            </w:pPr>
            <w:r w:rsidRPr="003268EE">
              <w:rPr>
                <w:sz w:val="13"/>
                <w:szCs w:val="13"/>
              </w:rPr>
              <w:t>22.920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BD00B9" w14:textId="77777777">
            <w:pPr>
              <w:pStyle w:val="p-table"/>
              <w:jc w:val="right"/>
              <w:rPr>
                <w:sz w:val="13"/>
                <w:szCs w:val="13"/>
              </w:rPr>
            </w:pPr>
            <w:r w:rsidRPr="003268EE">
              <w:rPr>
                <w:sz w:val="13"/>
                <w:szCs w:val="13"/>
              </w:rPr>
              <w:t>21.178</w:t>
            </w:r>
          </w:p>
        </w:tc>
      </w:tr>
      <w:tr w:rsidR="0084290D" w:rsidTr="007433BE" w14:paraId="604D28CC" w14:textId="77777777">
        <w:tc>
          <w:tcPr>
            <w:tcW w:w="1250" w:type="pct"/>
            <w:tcBorders>
              <w:bottom w:val="single" w:color="009EE0" w:sz="2" w:space="0"/>
            </w:tcBorders>
            <w:tcMar>
              <w:top w:w="22" w:type="dxa"/>
              <w:bottom w:w="22" w:type="dxa"/>
              <w:right w:w="28" w:type="dxa"/>
            </w:tcMar>
          </w:tcPr>
          <w:p w:rsidRPr="003268EE" w:rsidR="0084290D" w:rsidRDefault="00CF5B93" w14:paraId="59022B7B" w14:textId="77777777">
            <w:pPr>
              <w:pStyle w:val="p-table"/>
              <w:rPr>
                <w:sz w:val="13"/>
                <w:szCs w:val="13"/>
              </w:rPr>
            </w:pPr>
            <w:r w:rsidRPr="003268EE">
              <w:rPr>
                <w:sz w:val="13"/>
                <w:szCs w:val="13"/>
              </w:rPr>
              <w:t>Nog te verdelen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4AEEA4" w14:textId="77777777">
            <w:pPr>
              <w:pStyle w:val="p-table"/>
              <w:jc w:val="right"/>
              <w:rPr>
                <w:sz w:val="13"/>
                <w:szCs w:val="13"/>
              </w:rPr>
            </w:pPr>
            <w:r w:rsidRPr="003268EE">
              <w:rPr>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B1E51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AD8EB3" w14:textId="77777777">
            <w:pPr>
              <w:pStyle w:val="p-table"/>
              <w:jc w:val="right"/>
              <w:rPr>
                <w:sz w:val="13"/>
                <w:szCs w:val="13"/>
              </w:rPr>
            </w:pPr>
            <w:r w:rsidRPr="003268EE">
              <w:rPr>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48347C" w14:textId="77777777">
            <w:pPr>
              <w:pStyle w:val="p-table"/>
              <w:jc w:val="right"/>
              <w:rPr>
                <w:sz w:val="13"/>
                <w:szCs w:val="13"/>
              </w:rPr>
            </w:pPr>
            <w:r w:rsidRPr="003268EE">
              <w:rPr>
                <w:sz w:val="13"/>
                <w:szCs w:val="13"/>
              </w:rPr>
              <w:t>‒ 10.045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122926" w14:textId="77777777">
            <w:pPr>
              <w:pStyle w:val="p-table"/>
              <w:jc w:val="right"/>
              <w:rPr>
                <w:sz w:val="13"/>
                <w:szCs w:val="13"/>
              </w:rPr>
            </w:pPr>
            <w:r w:rsidRPr="003268EE">
              <w:rPr>
                <w:sz w:val="13"/>
                <w:szCs w:val="13"/>
              </w:rPr>
              <w:t>21.383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CC1882C" w14:textId="77777777">
            <w:pPr>
              <w:pStyle w:val="p-table"/>
              <w:jc w:val="right"/>
              <w:rPr>
                <w:sz w:val="13"/>
                <w:szCs w:val="13"/>
              </w:rPr>
            </w:pPr>
            <w:r w:rsidRPr="003268EE">
              <w:rPr>
                <w:sz w:val="13"/>
                <w:szCs w:val="13"/>
              </w:rPr>
              <w:t>‒ 29.451</w:t>
            </w:r>
          </w:p>
        </w:tc>
        <w:tc>
          <w:tcPr>
            <w:tcW w:w="375" w:type="pct"/>
            <w:tcBorders>
              <w:bottom w:val="single" w:color="009EE0" w:sz="2" w:space="0"/>
            </w:tcBorders>
            <w:tcMar>
              <w:top w:w="22" w:type="dxa"/>
              <w:left w:w="28" w:type="dxa"/>
              <w:bottom w:w="22" w:type="dxa"/>
              <w:right w:w="28" w:type="dxa"/>
            </w:tcMar>
          </w:tcPr>
          <w:p w:rsidRPr="003268EE" w:rsidR="0084290D" w:rsidRDefault="00CF5B93" w14:paraId="5791E177" w14:textId="77777777">
            <w:pPr>
              <w:pStyle w:val="p-table"/>
              <w:jc w:val="right"/>
              <w:rPr>
                <w:sz w:val="13"/>
                <w:szCs w:val="13"/>
              </w:rPr>
            </w:pPr>
            <w:r w:rsidRPr="003268EE">
              <w:rPr>
                <w:sz w:val="13"/>
                <w:szCs w:val="13"/>
              </w:rPr>
              <w:t>‒ 18.199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2837836" w14:textId="77777777">
            <w:pPr>
              <w:pStyle w:val="p-table"/>
              <w:jc w:val="right"/>
              <w:rPr>
                <w:sz w:val="13"/>
                <w:szCs w:val="13"/>
              </w:rPr>
            </w:pPr>
            <w:r w:rsidRPr="003268EE">
              <w:rPr>
                <w:sz w:val="13"/>
                <w:szCs w:val="13"/>
              </w:rPr>
              <w:t>‒ 14.840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8A76B42" w14:textId="77777777">
            <w:pPr>
              <w:pStyle w:val="p-table"/>
              <w:jc w:val="right"/>
              <w:rPr>
                <w:sz w:val="13"/>
                <w:szCs w:val="13"/>
              </w:rPr>
            </w:pPr>
            <w:r w:rsidRPr="003268EE">
              <w:rPr>
                <w:sz w:val="13"/>
                <w:szCs w:val="13"/>
              </w:rPr>
              <w:t>‒ 13.330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9CAB34C" w14:textId="77777777">
            <w:pPr>
              <w:pStyle w:val="p-table"/>
              <w:jc w:val="right"/>
              <w:rPr>
                <w:sz w:val="13"/>
                <w:szCs w:val="13"/>
              </w:rPr>
            </w:pPr>
            <w:r w:rsidRPr="003268EE">
              <w:rPr>
                <w:sz w:val="13"/>
                <w:szCs w:val="13"/>
              </w:rPr>
              <w:t>45.621</w:t>
            </w:r>
          </w:p>
        </w:tc>
      </w:tr>
      <w:tr w:rsidR="0084290D" w:rsidTr="007433BE" w14:paraId="6EE55034" w14:textId="77777777">
        <w:tc>
          <w:tcPr>
            <w:tcW w:w="1250" w:type="pct"/>
            <w:tcMar>
              <w:top w:w="22" w:type="dxa"/>
              <w:bottom w:w="22" w:type="dxa"/>
              <w:right w:w="28" w:type="dxa"/>
            </w:tcMar>
          </w:tcPr>
          <w:p w:rsidRPr="003268EE" w:rsidR="0084290D" w:rsidRDefault="0084290D" w14:paraId="0B23112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B56908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2F2CF0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7FD066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0EC56F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5D22E7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B4E0738"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B779D5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6DC4D6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C923BB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10A9AE6" w14:textId="77777777">
            <w:pPr>
              <w:pStyle w:val="p-table"/>
              <w:rPr>
                <w:sz w:val="13"/>
                <w:szCs w:val="13"/>
              </w:rPr>
            </w:pPr>
          </w:p>
        </w:tc>
      </w:tr>
      <w:tr w:rsidR="0084290D" w:rsidTr="007433BE" w14:paraId="1DF2A48E" w14:textId="77777777">
        <w:tc>
          <w:tcPr>
            <w:tcW w:w="1250" w:type="pct"/>
            <w:tcBorders>
              <w:bottom w:val="single" w:color="009EE0" w:sz="2" w:space="0"/>
            </w:tcBorders>
            <w:tcMar>
              <w:top w:w="22" w:type="dxa"/>
              <w:bottom w:w="22" w:type="dxa"/>
              <w:right w:w="28" w:type="dxa"/>
            </w:tcMar>
          </w:tcPr>
          <w:p w:rsidRPr="003268EE" w:rsidR="0084290D" w:rsidRDefault="00CF5B93" w14:paraId="6E42D53F" w14:textId="77777777">
            <w:pPr>
              <w:pStyle w:val="p-table"/>
              <w:rPr>
                <w:sz w:val="13"/>
                <w:szCs w:val="13"/>
              </w:rPr>
            </w:pPr>
            <w:r w:rsidRPr="003268EE">
              <w:rPr>
                <w:b/>
                <w:sz w:val="13"/>
                <w:szCs w:val="13"/>
              </w:rPr>
              <w:t>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FBC38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989E73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A771D03"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A0F09B"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3B2F19"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48A7BD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BCE16F"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21375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55D509"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DA837A" w14:textId="77777777">
            <w:pPr>
              <w:pStyle w:val="p-table"/>
              <w:jc w:val="right"/>
              <w:rPr>
                <w:sz w:val="13"/>
                <w:szCs w:val="13"/>
              </w:rPr>
            </w:pPr>
            <w:r w:rsidRPr="003268EE">
              <w:rPr>
                <w:b/>
                <w:sz w:val="13"/>
                <w:szCs w:val="13"/>
              </w:rPr>
              <w:t>0</w:t>
            </w:r>
          </w:p>
        </w:tc>
      </w:tr>
    </w:tbl>
    <w:p w:rsidR="0084290D" w:rsidRDefault="0084290D" w14:paraId="009FAF23" w14:textId="77777777">
      <w:pPr>
        <w:pStyle w:val="p-marginbottom"/>
      </w:pPr>
    </w:p>
    <w:p w:rsidR="0084290D" w:rsidRDefault="00CF5B93" w14:paraId="090E7323" w14:textId="77777777">
      <w:pPr>
        <w:pStyle w:val="header-h1"/>
      </w:pPr>
      <w:r>
        <w:t>Toelichting</w:t>
      </w:r>
    </w:p>
    <w:p w:rsidR="0084290D" w:rsidRDefault="0084290D" w14:paraId="0A63B9A5" w14:textId="77777777">
      <w:pPr>
        <w:pStyle w:val="p-marginbottom"/>
      </w:pPr>
    </w:p>
    <w:p w:rsidR="0084290D" w:rsidRDefault="00CF5B93" w14:paraId="2ED5A933" w14:textId="77777777">
      <w:pPr>
        <w:pStyle w:val="header-h1"/>
      </w:pPr>
      <w:r>
        <w:t>Verplichtingen en uitgaven</w:t>
      </w:r>
    </w:p>
    <w:p w:rsidR="0084290D" w:rsidRDefault="0084290D" w14:paraId="55C8D8D7" w14:textId="77777777">
      <w:pPr>
        <w:pStyle w:val="p-marginbottom"/>
      </w:pPr>
    </w:p>
    <w:p w:rsidR="0084290D" w:rsidRDefault="00CF5B93" w14:paraId="153380FE" w14:textId="77777777">
      <w:pPr>
        <w:pStyle w:val="header-h2"/>
      </w:pPr>
      <w:r>
        <w:t>Nog te verdelen</w:t>
      </w:r>
    </w:p>
    <w:p w:rsidR="0084290D" w:rsidRDefault="0084290D" w14:paraId="73E85A00" w14:textId="77777777">
      <w:pPr>
        <w:pStyle w:val="p-marginbottom"/>
      </w:pPr>
    </w:p>
    <w:p w:rsidRPr="00A70C56" w:rsidR="0084290D" w:rsidRDefault="00CF5B93" w14:paraId="33D1A803" w14:textId="77777777">
      <w:pPr>
        <w:pStyle w:val="header-h5"/>
      </w:pPr>
      <w:r w:rsidRPr="00A70C56">
        <w:t>Loonbijstelling</w:t>
      </w:r>
    </w:p>
    <w:p w:rsidRPr="00A70C56" w:rsidR="0084290D" w:rsidRDefault="00CF5B93" w14:paraId="0D27583B" w14:textId="14FFFC21">
      <w:pPr>
        <w:pStyle w:val="p"/>
      </w:pPr>
      <w:r w:rsidRPr="00A70C56">
        <w:t>De loonbijstelling 2026 voor de Financiënbegroting wordt ontvangen (€ 25,</w:t>
      </w:r>
      <w:r w:rsidRPr="00A70C56" w:rsidR="00A70C56">
        <w:t>8</w:t>
      </w:r>
      <w:r w:rsidRPr="00A70C56">
        <w:t xml:space="preserve"> mln. in 2026 en € 24,0 mln. structureel). De loonbijstelling wordt in het volgende begrotingsstuk naar rato doorverdeeld over de artikelen waar loonbijstelling van toepassing is.</w:t>
      </w:r>
    </w:p>
    <w:p w:rsidRPr="00A70C56" w:rsidR="0084290D" w:rsidRDefault="00CF5B93" w14:paraId="39707A71" w14:textId="77777777">
      <w:pPr>
        <w:pStyle w:val="header-h5"/>
      </w:pPr>
      <w:r w:rsidRPr="00A70C56">
        <w:t>Prijsbijstelling</w:t>
      </w:r>
    </w:p>
    <w:p w:rsidR="0084290D" w:rsidRDefault="00CF5B93" w14:paraId="2B1624EF" w14:textId="55A91595">
      <w:pPr>
        <w:pStyle w:val="p"/>
      </w:pPr>
      <w:r w:rsidRPr="00A70C56">
        <w:t>De prijsbijstelling 2026 wordt toegevoegd aan de Financiënbegroting (€ 58</w:t>
      </w:r>
      <w:r w:rsidRPr="00A70C56" w:rsidR="00A70C56">
        <w:t>,4</w:t>
      </w:r>
      <w:r w:rsidRPr="00A70C56">
        <w:t xml:space="preserve"> mln. in 2026 en € 2</w:t>
      </w:r>
      <w:r w:rsidRPr="00A70C56" w:rsidR="00A70C56">
        <w:t>1,2</w:t>
      </w:r>
      <w:r w:rsidRPr="00A70C56">
        <w:t xml:space="preserve"> mln. structureel). De prijsbijstelling wordt in het volgende begrotingsstuk doorverdeeld naar de artikelen waar prijsbijstelling van toepassing is.</w:t>
      </w:r>
    </w:p>
    <w:p w:rsidR="0084290D" w:rsidRDefault="00CF5B93" w14:paraId="0B939D2C" w14:textId="77777777">
      <w:pPr>
        <w:pStyle w:val="header-h5"/>
      </w:pPr>
      <w:r>
        <w:t>Nog te verdelen</w:t>
      </w:r>
    </w:p>
    <w:p w:rsidR="0084290D" w:rsidP="00D52ED7" w:rsidRDefault="00D52ED7" w14:paraId="39016B3D" w14:textId="5CFDBF78">
      <w:pPr>
        <w:pStyle w:val="p"/>
      </w:pPr>
      <w:r w:rsidRPr="00D52ED7">
        <w:t>Voor diverse problematiek worden nog onverdeelde middelen op artikel 10 (per saldo circa € 10 mln. in 2026 en € 13 mln. structureel) ingezet. Het gaat hierbij met name om tariefstijgingen van Shared Service Organisaties en het Rijksvastgoedbedrijf en prijsstijgingen van ICT. Ook wordt de eindejaarsmarge toegevoegd en vervolgens verdeeld over het apparaatsartikel en beleidsartikelen.</w:t>
      </w:r>
    </w:p>
    <w:sectPr w:rsidR="0084290D" w:rsidSect="007433BE">
      <w:pgSz w:w="11906" w:h="16838"/>
      <w:pgMar w:top="1831" w:right="1106" w:bottom="859" w:left="1134"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A0D" w14:textId="77777777" w:rsidR="00F73228" w:rsidRDefault="00F73228">
      <w:r>
        <w:separator/>
      </w:r>
    </w:p>
  </w:endnote>
  <w:endnote w:type="continuationSeparator" w:id="0">
    <w:p w14:paraId="34196D0A" w14:textId="77777777" w:rsidR="00F73228" w:rsidRDefault="00F7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B6CC" w14:textId="77777777" w:rsidR="00F73228" w:rsidRDefault="00F73228">
      <w:r>
        <w:rPr>
          <w:color w:val="000000"/>
        </w:rPr>
        <w:separator/>
      </w:r>
    </w:p>
  </w:footnote>
  <w:footnote w:type="continuationSeparator" w:id="0">
    <w:p w14:paraId="6AB9498A" w14:textId="77777777" w:rsidR="00F73228" w:rsidRDefault="00F73228">
      <w:r>
        <w:continuationSeparator/>
      </w:r>
    </w:p>
  </w:footnote>
  <w:footnote w:id="1">
    <w:p w14:paraId="54DD8F8D" w14:textId="77777777" w:rsidR="0084290D" w:rsidRDefault="00CF5B93">
      <w:pPr>
        <w:pStyle w:val="footnote-p"/>
      </w:pPr>
      <w:r>
        <w:rPr>
          <w:rStyle w:val="Voetnootmarkering"/>
        </w:rPr>
        <w:footnoteRef/>
      </w:r>
      <w:r>
        <w:rPr>
          <w:rStyle w:val="footnote-text"/>
        </w:rPr>
        <w:t>__</w:t>
      </w:r>
      <w:r>
        <w:t xml:space="preserve">22e Voortgangsrapportage (VGR) Hersteloperatie Toeslagen, Kamerstukken II 2025-2026, </w:t>
      </w:r>
      <w:hyperlink r:id="rId1" w:history="1">
        <w:r>
          <w:rPr>
            <w:color w:val="548DD4"/>
            <w:u w:val="single"/>
          </w:rPr>
          <w:t>36 708, nr. 64</w:t>
        </w:r>
      </w:hyperlink>
    </w:p>
    <w:p w14:paraId="52D90271" w14:textId="77777777" w:rsidR="00CF5B93" w:rsidRDefault="00CF5B93"/>
  </w:footnote>
  <w:footnote w:id="2">
    <w:p w14:paraId="6A3F8A4E" w14:textId="77777777" w:rsidR="0084290D" w:rsidRDefault="00CF5B93">
      <w:pPr>
        <w:pStyle w:val="footnote-p"/>
      </w:pPr>
      <w:r>
        <w:rPr>
          <w:rStyle w:val="Voetnootmarkering"/>
        </w:rPr>
        <w:footnoteRef/>
      </w:r>
      <w:r>
        <w:rPr>
          <w:rStyle w:val="footnote-text"/>
        </w:rPr>
        <w:t>__</w:t>
      </w:r>
      <w:r>
        <w:t xml:space="preserve">Conform afspraken in het financieel akkoord uit 2013 tussen het Rijk en decentrale overheden, zie ook Kamerstukken II 2012-2013, </w:t>
      </w:r>
      <w:hyperlink r:id="rId2" w:history="1">
        <w:r>
          <w:rPr>
            <w:color w:val="548DD4"/>
            <w:u w:val="single"/>
          </w:rPr>
          <w:t>33 400 B, nr. 7</w:t>
        </w:r>
      </w:hyperlink>
      <w:r>
        <w:t>.</w:t>
      </w:r>
    </w:p>
    <w:p w14:paraId="22A9C9B3" w14:textId="77777777" w:rsidR="00CF5B93" w:rsidRDefault="00CF5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80FF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4673"/>
    <w:multiLevelType w:val="multilevel"/>
    <w:tmpl w:val="CA56F92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8BC32F1"/>
    <w:multiLevelType w:val="multilevel"/>
    <w:tmpl w:val="29AE4FD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1F483CB5"/>
    <w:multiLevelType w:val="multilevel"/>
    <w:tmpl w:val="6AE41BC6"/>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2ABD3D12"/>
    <w:multiLevelType w:val="hybridMultilevel"/>
    <w:tmpl w:val="E9B8D0F0"/>
    <w:lvl w:ilvl="0" w:tplc="860275CE">
      <w:start w:val="77"/>
      <w:numFmt w:val="bullet"/>
      <w:lvlText w:val="-"/>
      <w:lvlJc w:val="left"/>
      <w:pPr>
        <w:ind w:left="360" w:hanging="360"/>
      </w:pPr>
      <w:rPr>
        <w:rFonts w:ascii="DejaVu Sans" w:eastAsia="Arial Unicode MS" w:hAnsi="DejaVu Sans"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5E34BD"/>
    <w:multiLevelType w:val="multilevel"/>
    <w:tmpl w:val="DB0045B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4CF2952"/>
    <w:multiLevelType w:val="multilevel"/>
    <w:tmpl w:val="B2A60ADE"/>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7" w15:restartNumberingAfterBreak="0">
    <w:nsid w:val="4B9B50DA"/>
    <w:multiLevelType w:val="hybridMultilevel"/>
    <w:tmpl w:val="F9C6AC40"/>
    <w:lvl w:ilvl="0" w:tplc="84D0984C">
      <w:start w:val="1"/>
      <w:numFmt w:val="decimal"/>
      <w:lvlText w:val="%1."/>
      <w:lvlJc w:val="left"/>
      <w:pPr>
        <w:ind w:left="3613" w:hanging="184"/>
      </w:pPr>
      <w:rPr>
        <w:rFonts w:hint="default"/>
        <w:spacing w:val="-19"/>
        <w:w w:val="110"/>
        <w:lang w:val="nl-NL" w:eastAsia="en-US" w:bidi="ar-SA"/>
      </w:rPr>
    </w:lvl>
    <w:lvl w:ilvl="1" w:tplc="1020D712">
      <w:numFmt w:val="bullet"/>
      <w:lvlText w:val="•"/>
      <w:lvlJc w:val="left"/>
      <w:pPr>
        <w:ind w:left="4250" w:hanging="184"/>
      </w:pPr>
      <w:rPr>
        <w:rFonts w:hint="default"/>
        <w:lang w:val="nl-NL" w:eastAsia="en-US" w:bidi="ar-SA"/>
      </w:rPr>
    </w:lvl>
    <w:lvl w:ilvl="2" w:tplc="77F0B822">
      <w:numFmt w:val="bullet"/>
      <w:lvlText w:val="•"/>
      <w:lvlJc w:val="left"/>
      <w:pPr>
        <w:ind w:left="4880" w:hanging="184"/>
      </w:pPr>
      <w:rPr>
        <w:rFonts w:hint="default"/>
        <w:lang w:val="nl-NL" w:eastAsia="en-US" w:bidi="ar-SA"/>
      </w:rPr>
    </w:lvl>
    <w:lvl w:ilvl="3" w:tplc="91E8E2B6">
      <w:numFmt w:val="bullet"/>
      <w:lvlText w:val="•"/>
      <w:lvlJc w:val="left"/>
      <w:pPr>
        <w:ind w:left="5510" w:hanging="184"/>
      </w:pPr>
      <w:rPr>
        <w:rFonts w:hint="default"/>
        <w:lang w:val="nl-NL" w:eastAsia="en-US" w:bidi="ar-SA"/>
      </w:rPr>
    </w:lvl>
    <w:lvl w:ilvl="4" w:tplc="215AC4DA">
      <w:numFmt w:val="bullet"/>
      <w:lvlText w:val="•"/>
      <w:lvlJc w:val="left"/>
      <w:pPr>
        <w:ind w:left="6140" w:hanging="184"/>
      </w:pPr>
      <w:rPr>
        <w:rFonts w:hint="default"/>
        <w:lang w:val="nl-NL" w:eastAsia="en-US" w:bidi="ar-SA"/>
      </w:rPr>
    </w:lvl>
    <w:lvl w:ilvl="5" w:tplc="8974A58A">
      <w:numFmt w:val="bullet"/>
      <w:lvlText w:val="•"/>
      <w:lvlJc w:val="left"/>
      <w:pPr>
        <w:ind w:left="6770" w:hanging="184"/>
      </w:pPr>
      <w:rPr>
        <w:rFonts w:hint="default"/>
        <w:lang w:val="nl-NL" w:eastAsia="en-US" w:bidi="ar-SA"/>
      </w:rPr>
    </w:lvl>
    <w:lvl w:ilvl="6" w:tplc="22F45A92">
      <w:numFmt w:val="bullet"/>
      <w:lvlText w:val="•"/>
      <w:lvlJc w:val="left"/>
      <w:pPr>
        <w:ind w:left="7400" w:hanging="184"/>
      </w:pPr>
      <w:rPr>
        <w:rFonts w:hint="default"/>
        <w:lang w:val="nl-NL" w:eastAsia="en-US" w:bidi="ar-SA"/>
      </w:rPr>
    </w:lvl>
    <w:lvl w:ilvl="7" w:tplc="14C0471C">
      <w:numFmt w:val="bullet"/>
      <w:lvlText w:val="•"/>
      <w:lvlJc w:val="left"/>
      <w:pPr>
        <w:ind w:left="8031" w:hanging="184"/>
      </w:pPr>
      <w:rPr>
        <w:rFonts w:hint="default"/>
        <w:lang w:val="nl-NL" w:eastAsia="en-US" w:bidi="ar-SA"/>
      </w:rPr>
    </w:lvl>
    <w:lvl w:ilvl="8" w:tplc="77B03A74">
      <w:numFmt w:val="bullet"/>
      <w:lvlText w:val="•"/>
      <w:lvlJc w:val="left"/>
      <w:pPr>
        <w:ind w:left="8661" w:hanging="184"/>
      </w:pPr>
      <w:rPr>
        <w:rFonts w:hint="default"/>
        <w:lang w:val="nl-NL" w:eastAsia="en-US" w:bidi="ar-SA"/>
      </w:rPr>
    </w:lvl>
  </w:abstractNum>
  <w:abstractNum w:abstractNumId="8" w15:restartNumberingAfterBreak="0">
    <w:nsid w:val="57326E8F"/>
    <w:multiLevelType w:val="multilevel"/>
    <w:tmpl w:val="5A78225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01127D2"/>
    <w:multiLevelType w:val="hybridMultilevel"/>
    <w:tmpl w:val="6A603B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36251269">
    <w:abstractNumId w:val="5"/>
  </w:num>
  <w:num w:numId="2" w16cid:durableId="1434133861">
    <w:abstractNumId w:val="1"/>
  </w:num>
  <w:num w:numId="3" w16cid:durableId="2060351506">
    <w:abstractNumId w:val="8"/>
  </w:num>
  <w:num w:numId="4" w16cid:durableId="2015918192">
    <w:abstractNumId w:val="3"/>
  </w:num>
  <w:num w:numId="5" w16cid:durableId="541943150">
    <w:abstractNumId w:val="6"/>
  </w:num>
  <w:num w:numId="6" w16cid:durableId="1755393000">
    <w:abstractNumId w:val="2"/>
  </w:num>
  <w:num w:numId="7" w16cid:durableId="1732315011">
    <w:abstractNumId w:val="8"/>
    <w:lvlOverride w:ilvl="0">
      <w:startOverride w:val="1"/>
    </w:lvlOverride>
  </w:num>
  <w:num w:numId="8" w16cid:durableId="877205866">
    <w:abstractNumId w:val="8"/>
    <w:lvlOverride w:ilvl="0">
      <w:startOverride w:val="1"/>
    </w:lvlOverride>
  </w:num>
  <w:num w:numId="9" w16cid:durableId="2111197579">
    <w:abstractNumId w:val="6"/>
  </w:num>
  <w:num w:numId="10" w16cid:durableId="1576083302">
    <w:abstractNumId w:val="6"/>
  </w:num>
  <w:num w:numId="11" w16cid:durableId="1949042241">
    <w:abstractNumId w:val="6"/>
  </w:num>
  <w:num w:numId="12" w16cid:durableId="98139195">
    <w:abstractNumId w:val="6"/>
  </w:num>
  <w:num w:numId="13" w16cid:durableId="1671836437">
    <w:abstractNumId w:val="6"/>
  </w:num>
  <w:num w:numId="14" w16cid:durableId="441388369">
    <w:abstractNumId w:val="7"/>
  </w:num>
  <w:num w:numId="15" w16cid:durableId="1697999176">
    <w:abstractNumId w:val="9"/>
  </w:num>
  <w:num w:numId="16" w16cid:durableId="1967008485">
    <w:abstractNumId w:val="0"/>
  </w:num>
  <w:num w:numId="17" w16cid:durableId="101069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0D"/>
    <w:rsid w:val="0000781C"/>
    <w:rsid w:val="000702C4"/>
    <w:rsid w:val="001546E4"/>
    <w:rsid w:val="00196272"/>
    <w:rsid w:val="00196594"/>
    <w:rsid w:val="001A41B9"/>
    <w:rsid w:val="001F3AF4"/>
    <w:rsid w:val="0022265E"/>
    <w:rsid w:val="002448E9"/>
    <w:rsid w:val="002862CE"/>
    <w:rsid w:val="003268EE"/>
    <w:rsid w:val="00330E88"/>
    <w:rsid w:val="003566DD"/>
    <w:rsid w:val="003A4A5C"/>
    <w:rsid w:val="003B0A61"/>
    <w:rsid w:val="003B28DC"/>
    <w:rsid w:val="003C11D7"/>
    <w:rsid w:val="00421F44"/>
    <w:rsid w:val="004330C5"/>
    <w:rsid w:val="0043364C"/>
    <w:rsid w:val="00446A23"/>
    <w:rsid w:val="00477BB2"/>
    <w:rsid w:val="004B20E1"/>
    <w:rsid w:val="00510775"/>
    <w:rsid w:val="00545451"/>
    <w:rsid w:val="005B7C30"/>
    <w:rsid w:val="00671AAB"/>
    <w:rsid w:val="006D2CF7"/>
    <w:rsid w:val="006F2FC4"/>
    <w:rsid w:val="006F377F"/>
    <w:rsid w:val="00710232"/>
    <w:rsid w:val="007433BE"/>
    <w:rsid w:val="007B7D02"/>
    <w:rsid w:val="008252CB"/>
    <w:rsid w:val="0084290D"/>
    <w:rsid w:val="00855FFC"/>
    <w:rsid w:val="008F1CDA"/>
    <w:rsid w:val="00957E16"/>
    <w:rsid w:val="009665F5"/>
    <w:rsid w:val="0099151B"/>
    <w:rsid w:val="009B45CA"/>
    <w:rsid w:val="00A70C56"/>
    <w:rsid w:val="00A92017"/>
    <w:rsid w:val="00AE23F5"/>
    <w:rsid w:val="00AE6DE7"/>
    <w:rsid w:val="00B03103"/>
    <w:rsid w:val="00B41CAF"/>
    <w:rsid w:val="00B63400"/>
    <w:rsid w:val="00B9159F"/>
    <w:rsid w:val="00BD5046"/>
    <w:rsid w:val="00BE2B8D"/>
    <w:rsid w:val="00C25839"/>
    <w:rsid w:val="00C30ADC"/>
    <w:rsid w:val="00C41B10"/>
    <w:rsid w:val="00C83363"/>
    <w:rsid w:val="00CA2275"/>
    <w:rsid w:val="00CE25AA"/>
    <w:rsid w:val="00CF211A"/>
    <w:rsid w:val="00CF5B93"/>
    <w:rsid w:val="00D212CD"/>
    <w:rsid w:val="00D52ED7"/>
    <w:rsid w:val="00D97FAD"/>
    <w:rsid w:val="00DF0474"/>
    <w:rsid w:val="00E62126"/>
    <w:rsid w:val="00E93C64"/>
    <w:rsid w:val="00EB084F"/>
    <w:rsid w:val="00EC027E"/>
    <w:rsid w:val="00EC1273"/>
    <w:rsid w:val="00F264F5"/>
    <w:rsid w:val="00F73228"/>
    <w:rsid w:val="00F77519"/>
    <w:rsid w:val="00FB7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5FCD"/>
  <w15:docId w15:val="{BF4BE97C-67B7-4440-B124-CCBC2C7C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Revisie">
    <w:name w:val="Revision"/>
    <w:hidden/>
    <w:uiPriority w:val="99"/>
    <w:semiHidden/>
    <w:rsid w:val="00330E88"/>
    <w:pPr>
      <w:widowControl/>
      <w:autoSpaceDN/>
      <w:textAlignment w:val="auto"/>
    </w:pPr>
  </w:style>
  <w:style w:type="paragraph" w:styleId="Plattetekst">
    <w:name w:val="Body Text"/>
    <w:basedOn w:val="Standaard"/>
    <w:link w:val="PlattetekstChar"/>
    <w:uiPriority w:val="1"/>
    <w:qFormat/>
    <w:rsid w:val="001546E4"/>
    <w:pPr>
      <w:autoSpaceDE w:val="0"/>
      <w:textAlignment w:val="auto"/>
    </w:pPr>
    <w:rPr>
      <w:rFonts w:ascii="Tahoma" w:eastAsia="Tahoma" w:hAnsi="Tahoma"/>
      <w:kern w:val="0"/>
      <w:szCs w:val="18"/>
      <w:lang w:eastAsia="en-US"/>
    </w:rPr>
  </w:style>
  <w:style w:type="character" w:customStyle="1" w:styleId="PlattetekstChar">
    <w:name w:val="Platte tekst Char"/>
    <w:basedOn w:val="Standaardalinea-lettertype"/>
    <w:link w:val="Plattetekst"/>
    <w:uiPriority w:val="1"/>
    <w:rsid w:val="001546E4"/>
    <w:rPr>
      <w:rFonts w:ascii="Tahoma" w:eastAsia="Tahoma" w:hAnsi="Tahoma"/>
      <w:kern w:val="0"/>
      <w:szCs w:val="18"/>
      <w:lang w:eastAsia="en-US"/>
    </w:rPr>
  </w:style>
  <w:style w:type="paragraph" w:styleId="Lijstalinea">
    <w:name w:val="List Paragraph"/>
    <w:basedOn w:val="Standaard"/>
    <w:uiPriority w:val="1"/>
    <w:qFormat/>
    <w:rsid w:val="0043364C"/>
    <w:pPr>
      <w:autoSpaceDE w:val="0"/>
      <w:spacing w:line="219" w:lineRule="exact"/>
      <w:ind w:left="3631" w:hanging="201"/>
      <w:textAlignment w:val="auto"/>
    </w:pPr>
    <w:rPr>
      <w:rFonts w:ascii="Tahoma" w:eastAsia="Tahoma" w:hAnsi="Tahoma"/>
      <w:kern w:val="0"/>
      <w:sz w:val="22"/>
      <w:szCs w:val="22"/>
      <w:lang w:eastAsia="en-US"/>
    </w:rPr>
  </w:style>
  <w:style w:type="table" w:customStyle="1" w:styleId="TableNormal">
    <w:name w:val="Table Normal"/>
    <w:uiPriority w:val="2"/>
    <w:semiHidden/>
    <w:unhideWhenUsed/>
    <w:qFormat/>
    <w:rsid w:val="00A92017"/>
    <w:pPr>
      <w:autoSpaceDE w:val="0"/>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92017"/>
    <w:pPr>
      <w:autoSpaceDE w:val="0"/>
      <w:spacing w:before="19"/>
      <w:jc w:val="right"/>
      <w:textAlignment w:val="auto"/>
    </w:pPr>
    <w:rPr>
      <w:rFonts w:ascii="Tahoma" w:eastAsia="Tahoma" w:hAnsi="Tahoma"/>
      <w:kern w:val="0"/>
      <w:sz w:val="22"/>
      <w:szCs w:val="22"/>
      <w:lang w:eastAsia="en-US"/>
    </w:rPr>
  </w:style>
  <w:style w:type="paragraph" w:customStyle="1" w:styleId="Amendement">
    <w:name w:val="Amendement"/>
    <w:rsid w:val="007433BE"/>
    <w:pPr>
      <w:tabs>
        <w:tab w:val="left" w:pos="3310"/>
        <w:tab w:val="left" w:pos="3600"/>
      </w:tabs>
      <w:suppressAutoHyphens/>
      <w:autoSpaceDN/>
      <w:textAlignment w:val="auto"/>
    </w:pPr>
    <w:rPr>
      <w:rFonts w:ascii="Courier New" w:eastAsia="Times New Roman" w:hAnsi="Courier New" w:cs="Courier New"/>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7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yperlink" Target="https://www.tweedekamer.nl/kamerstukken/brieven_regering/detail?id=2026Z03209&amp;did=2026D07128" TargetMode="External" Id="rId12" /><Relationship Type="http://schemas.openxmlformats.org/officeDocument/2006/relationships/settings" Target="settings.xml" Id="rId6" /><Relationship Type="http://schemas.openxmlformats.org/officeDocument/2006/relationships/hyperlink" Target="https://www.tweedekamer.nl/kamerstukken/wetsvoorstellen/detail?cfg=wetsvoorsteldetails&amp;qry=wetsvoorstel%3A36706" TargetMode="External" Id="rId11" /><Relationship Type="http://schemas.openxmlformats.org/officeDocument/2006/relationships/styles" Target="styles.xml" Id="rId5" /><Relationship Type="http://schemas.openxmlformats.org/officeDocument/2006/relationships/hyperlink" Target="https://wetten.overheid.nl/jci1.3:c:BWBR0039429&amp;hoofdstuk=2&amp;paragraaf=2&amp;artikel=2.3&amp;z=2020-01-01&amp;g=2020-01-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3400-B-7.html" TargetMode="External"/><Relationship Id="rId1" Type="http://schemas.openxmlformats.org/officeDocument/2006/relationships/hyperlink" Target="https://zoek.officielebekendmakingen.nl/kst-36708-6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43</ap:Pages>
  <ap:Words>15934</ap:Words>
  <ap:Characters>87637</ap:Characters>
  <ap:DocSecurity>0</ap:DocSecurity>
  <ap:Lines>730</ap:Lines>
  <ap:Paragraphs>206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2026-04-07T14:21:00.0000000Z</dcterms:created>
  <dcterms:modified xsi:type="dcterms:W3CDTF">2026-04-07T14:21:00.0000000Z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2026-03-27T09:23:27Z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6ebcc37d-d854-4419-a8b2-ac70ecbbcbf4</vt:lpwstr>
  </property>
  <property fmtid="{D5CDD505-2E9C-101B-9397-08002B2CF9AE}" pid="8" name="MSIP_Label_0b3866f6-513b-41e9-9aa1-311b4823e2dc_ContentBits">
    <vt:lpwstr>0</vt:lpwstr>
  </property>
  <property fmtid="{D5CDD505-2E9C-101B-9397-08002B2CF9AE}" pid="9" name="MSIP_Label_0b3866f6-513b-41e9-9aa1-311b4823e2dc_Tag">
    <vt:lpwstr>10, 3, 0, 1</vt:lpwstr>
  </property>
  <property fmtid="{D5CDD505-2E9C-101B-9397-08002B2CF9AE}" pid="10" name="ContentTypeId">
    <vt:lpwstr>0x01010038E60350FC170647B310166F2EB204D8</vt:lpwstr>
  </property>
  <property fmtid="{D5CDD505-2E9C-101B-9397-08002B2CF9AE}" pid="11" name="MediaServiceImageTags">
    <vt:lpwstr/>
  </property>
</Properties>
</file>