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60E2" w:rsidP="004C60E2" w:rsidRDefault="004C60E2" w14:paraId="54567B9E" w14:textId="77777777">
      <w:pPr>
        <w:rPr>
          <w:b/>
          <w:bCs/>
          <w:highlight w:val="yellow"/>
        </w:rPr>
      </w:pPr>
      <w:r w:rsidRPr="320BC4F7">
        <w:rPr>
          <w:b/>
          <w:bCs/>
          <w:sz w:val="22"/>
        </w:rPr>
        <w:t>Lijst van nieuwe EU-voorstellen</w:t>
      </w:r>
      <w:r>
        <w:tab/>
      </w:r>
      <w:r>
        <w:tab/>
      </w:r>
      <w:r>
        <w:tab/>
      </w:r>
    </w:p>
    <w:p w:rsidR="004C60E2" w:rsidP="004C60E2" w:rsidRDefault="004C60E2" w14:paraId="14D145E7" w14:textId="77777777">
      <w:pPr>
        <w:pStyle w:val="PlatteTekst"/>
      </w:pPr>
    </w:p>
    <w:p w:rsidR="004C60E2" w:rsidP="004C60E2" w:rsidRDefault="004C60E2" w14:paraId="3B7358CE" w14:textId="7DCE8F7A">
      <w:pPr>
        <w:rPr>
          <w:szCs w:val="18"/>
        </w:rPr>
      </w:pPr>
      <w:r w:rsidRPr="769B3972">
        <w:rPr>
          <w:szCs w:val="18"/>
        </w:rPr>
        <w:t>De</w:t>
      </w:r>
      <w:r w:rsidRPr="769B3972">
        <w:rPr>
          <w:b/>
          <w:bCs/>
          <w:szCs w:val="18"/>
        </w:rPr>
        <w:t xml:space="preserve"> </w:t>
      </w:r>
      <w:r w:rsidRPr="769B3972">
        <w:rPr>
          <w:szCs w:val="18"/>
        </w:rPr>
        <w:t xml:space="preserve">Europese Commissie heeft in de periode tussen </w:t>
      </w:r>
      <w:r>
        <w:rPr>
          <w:b/>
          <w:bCs/>
          <w:szCs w:val="18"/>
        </w:rPr>
        <w:t xml:space="preserve">6 februari </w:t>
      </w:r>
      <w:r w:rsidRPr="769B3972">
        <w:rPr>
          <w:b/>
          <w:bCs/>
          <w:szCs w:val="18"/>
        </w:rPr>
        <w:t>202</w:t>
      </w:r>
      <w:r>
        <w:rPr>
          <w:b/>
          <w:bCs/>
          <w:szCs w:val="18"/>
        </w:rPr>
        <w:t>6</w:t>
      </w:r>
      <w:r w:rsidRPr="769B3972">
        <w:rPr>
          <w:szCs w:val="18"/>
        </w:rPr>
        <w:t xml:space="preserve"> </w:t>
      </w:r>
      <w:r w:rsidR="00C6437B">
        <w:rPr>
          <w:szCs w:val="18"/>
        </w:rPr>
        <w:t xml:space="preserve">en </w:t>
      </w:r>
      <w:r w:rsidRPr="00A20CA9" w:rsidR="00A20CA9">
        <w:rPr>
          <w:b/>
          <w:bCs/>
          <w:szCs w:val="18"/>
        </w:rPr>
        <w:t>9 maart 2026</w:t>
      </w:r>
      <w:r w:rsidR="00A20CA9">
        <w:rPr>
          <w:szCs w:val="18"/>
        </w:rPr>
        <w:t xml:space="preserve"> </w:t>
      </w:r>
      <w:r w:rsidRPr="769B3972">
        <w:rPr>
          <w:szCs w:val="18"/>
        </w:rPr>
        <w:t>de volgende voor deze vaste commissie</w:t>
      </w:r>
      <w:r w:rsidRPr="769B3972">
        <w:rPr>
          <w:b/>
          <w:bCs/>
          <w:szCs w:val="18"/>
        </w:rPr>
        <w:t xml:space="preserve"> </w:t>
      </w:r>
      <w:r w:rsidRPr="769B3972">
        <w:rPr>
          <w:szCs w:val="18"/>
        </w:rPr>
        <w:t>relevante voorstellen voor Europese wetgeving, besluiten en andere beleidsvormende documenten aan de Tweede Kamer gestuurd</w:t>
      </w:r>
      <w:r w:rsidRPr="769B3972">
        <w:rPr>
          <w:rStyle w:val="Voetnootmarkering"/>
          <w:szCs w:val="18"/>
        </w:rPr>
        <w:footnoteReference w:id="1"/>
      </w:r>
      <w:r w:rsidRPr="769B3972">
        <w:rPr>
          <w:szCs w:val="18"/>
        </w:rPr>
        <w:t xml:space="preserve">: </w:t>
      </w:r>
    </w:p>
    <w:p w:rsidR="004C60E2" w:rsidP="004C60E2" w:rsidRDefault="004C60E2" w14:paraId="53229EEB" w14:textId="77777777">
      <w:pPr>
        <w:rPr>
          <w:szCs w:val="18"/>
        </w:rPr>
      </w:pPr>
    </w:p>
    <w:p w:rsidRPr="00901460" w:rsidR="004C60E2" w:rsidP="004C60E2" w:rsidRDefault="004C60E2" w14:paraId="72376D2B" w14:textId="77777777">
      <w:pPr>
        <w:pStyle w:val="Lijstalinea"/>
        <w:numPr>
          <w:ilvl w:val="0"/>
          <w:numId w:val="1"/>
        </w:numPr>
        <w:rPr>
          <w:b/>
          <w:szCs w:val="18"/>
        </w:rPr>
      </w:pPr>
      <w:r>
        <w:rPr>
          <w:b/>
          <w:szCs w:val="18"/>
        </w:rPr>
        <w:t>Nieuw voorgestelde EU-w</w:t>
      </w:r>
      <w:r w:rsidRPr="00820149">
        <w:rPr>
          <w:b/>
          <w:szCs w:val="18"/>
        </w:rPr>
        <w:t>etgeving</w:t>
      </w:r>
      <w:r>
        <w:rPr>
          <w:rStyle w:val="Voetnootmarkering"/>
          <w:b/>
          <w:szCs w:val="18"/>
        </w:rPr>
        <w:br/>
      </w:r>
      <w:r>
        <w:rPr>
          <w:szCs w:val="18"/>
        </w:rPr>
        <w:t>(Verordeningen, richtlijnen en wetgevende besluiten)</w:t>
      </w:r>
    </w:p>
    <w:p w:rsidRPr="00901460" w:rsidR="004C60E2" w:rsidP="004C60E2" w:rsidRDefault="004C60E2" w14:paraId="5363F59E" w14:textId="77777777">
      <w:pPr>
        <w:rPr>
          <w:b/>
          <w:szCs w:val="18"/>
        </w:rPr>
      </w:pPr>
    </w:p>
    <w:tbl>
      <w:tblPr>
        <w:tblW w:w="421" w:type="dxa"/>
        <w:tblInd w:w="10" w:type="dxa"/>
        <w:tblCellMar>
          <w:left w:w="0" w:type="dxa"/>
          <w:right w:w="0" w:type="dxa"/>
        </w:tblCellMar>
        <w:tblLook w:val="04A0" w:firstRow="1" w:lastRow="0" w:firstColumn="1" w:lastColumn="0" w:noHBand="0" w:noVBand="1"/>
      </w:tblPr>
      <w:tblGrid>
        <w:gridCol w:w="421"/>
      </w:tblGrid>
      <w:tr w:rsidR="004C60E2" w:rsidTr="003D121A" w14:paraId="75F4C47B" w14:textId="77777777">
        <w:trPr>
          <w:trHeight w:val="413"/>
        </w:trPr>
        <w:tc>
          <w:tcPr>
            <w:tcW w:w="421" w:type="dxa"/>
            <w:vMerge w:val="restart"/>
            <w:vAlign w:val="center"/>
            <w:hideMark/>
          </w:tcPr>
          <w:p w:rsidRPr="006B0017" w:rsidR="004C60E2" w:rsidP="003D121A" w:rsidRDefault="004C60E2" w14:paraId="3CD296ED" w14:textId="77777777">
            <w:pPr>
              <w:rPr>
                <w:rFonts w:eastAsiaTheme="minorHAnsi"/>
                <w:szCs w:val="18"/>
              </w:rPr>
            </w:pPr>
          </w:p>
        </w:tc>
      </w:tr>
      <w:tr w:rsidRPr="00872D5A" w:rsidR="004C60E2" w:rsidTr="003D121A" w14:paraId="2D6DF49C" w14:textId="77777777">
        <w:trPr>
          <w:trHeight w:val="413"/>
        </w:trPr>
        <w:tc>
          <w:tcPr>
            <w:tcW w:w="421" w:type="dxa"/>
            <w:vMerge/>
            <w:vAlign w:val="center"/>
            <w:hideMark/>
          </w:tcPr>
          <w:p w:rsidR="004C60E2" w:rsidP="003D121A" w:rsidRDefault="004C60E2" w14:paraId="4A22A057" w14:textId="77777777">
            <w:pPr>
              <w:rPr>
                <w:rFonts w:eastAsiaTheme="minorHAnsi"/>
                <w:szCs w:val="18"/>
              </w:rPr>
            </w:pPr>
          </w:p>
        </w:tc>
      </w:tr>
    </w:tbl>
    <w:p w:rsidRPr="00E02D08" w:rsidR="004C60E2" w:rsidP="004C60E2" w:rsidRDefault="004C60E2" w14:paraId="6E4DD7B1" w14:textId="77777777">
      <w:pPr>
        <w:rPr>
          <w:szCs w:val="18"/>
        </w:rPr>
      </w:pPr>
    </w:p>
    <w:p w:rsidRPr="006A56CA" w:rsidR="004C60E2" w:rsidP="004C60E2" w:rsidRDefault="004C60E2" w14:paraId="3B588508" w14:textId="77777777">
      <w:pPr>
        <w:pStyle w:val="Lijstalinea"/>
        <w:numPr>
          <w:ilvl w:val="0"/>
          <w:numId w:val="1"/>
        </w:numPr>
        <w:rPr>
          <w:b/>
          <w:szCs w:val="18"/>
        </w:rPr>
      </w:pPr>
      <w:r w:rsidRPr="597C7B67">
        <w:rPr>
          <w:b/>
          <w:bCs/>
        </w:rPr>
        <w:t xml:space="preserve">Nieuwe EU-documenten van niet-wetgevende aard </w:t>
      </w:r>
      <w:r>
        <w:br/>
      </w:r>
      <w:r>
        <w:t>(Mededelingen, aanbevelingen, actieplannen, consultaties, etc.)</w:t>
      </w:r>
    </w:p>
    <w:p w:rsidR="004C60E2" w:rsidP="004C60E2" w:rsidRDefault="004C60E2" w14:paraId="4DF454C1" w14:textId="77777777">
      <w:pPr>
        <w:rPr>
          <w:b/>
          <w:szCs w:val="18"/>
        </w:rPr>
      </w:pPr>
    </w:p>
    <w:p w:rsidR="004C60E2" w:rsidP="004C60E2" w:rsidRDefault="004C60E2" w14:paraId="31644994" w14:textId="77777777">
      <w:pPr>
        <w:rPr>
          <w:b/>
          <w:bCs/>
          <w:szCs w:val="18"/>
        </w:rPr>
      </w:pPr>
    </w:p>
    <w:tbl>
      <w:tblPr>
        <w:tblW w:w="0" w:type="auto"/>
        <w:tblLook w:val="04A0" w:firstRow="1" w:lastRow="0" w:firstColumn="1" w:lastColumn="0" w:noHBand="0" w:noVBand="1"/>
      </w:tblPr>
      <w:tblGrid>
        <w:gridCol w:w="421"/>
        <w:gridCol w:w="1125"/>
        <w:gridCol w:w="6387"/>
      </w:tblGrid>
      <w:tr w:rsidRPr="00E303D0" w:rsidR="004C60E2" w:rsidTr="003D121A" w14:paraId="0B5F2D50" w14:textId="77777777">
        <w:trPr>
          <w:trHeight w:val="300"/>
        </w:trPr>
        <w:tc>
          <w:tcPr>
            <w:tcW w:w="421" w:type="dxa"/>
            <w:vMerge w:val="restart"/>
            <w:tcBorders>
              <w:top w:val="single" w:color="D9D9D9" w:themeColor="background1" w:themeShade="D9" w:sz="8" w:space="0"/>
              <w:left w:val="single" w:color="D9D9D9" w:themeColor="background1" w:themeShade="D9" w:sz="8" w:space="0"/>
              <w:bottom w:val="single" w:color="D9D9D9" w:themeColor="background1" w:themeShade="D9" w:sz="8" w:space="0"/>
              <w:right w:val="nil"/>
            </w:tcBorders>
            <w:shd w:val="clear" w:color="auto" w:fill="F2F2F2" w:themeFill="background1" w:themeFillShade="F2"/>
            <w:tcMar>
              <w:top w:w="0" w:type="dxa"/>
              <w:left w:w="108" w:type="dxa"/>
              <w:bottom w:w="0" w:type="dxa"/>
              <w:right w:w="108" w:type="dxa"/>
            </w:tcMar>
          </w:tcPr>
          <w:p w:rsidR="004C60E2" w:rsidP="003D121A" w:rsidRDefault="004C60E2" w14:paraId="6F6787F5" w14:textId="77777777">
            <w:pPr>
              <w:pStyle w:val="Lijstalinea"/>
              <w:numPr>
                <w:ilvl w:val="0"/>
                <w:numId w:val="2"/>
              </w:numPr>
              <w:spacing w:after="240"/>
              <w:ind w:left="312"/>
              <w:rPr>
                <w:rFonts w:eastAsiaTheme="minorEastAsia"/>
              </w:rPr>
            </w:pPr>
          </w:p>
        </w:tc>
        <w:tc>
          <w:tcPr>
            <w:tcW w:w="1125" w:type="dxa"/>
            <w:tcBorders>
              <w:top w:val="single" w:color="D9D9D9" w:themeColor="background1" w:themeShade="D9" w:sz="8" w:space="0"/>
              <w:left w:val="nil"/>
              <w:bottom w:val="nil"/>
              <w:right w:val="nil"/>
            </w:tcBorders>
            <w:tcMar>
              <w:top w:w="0" w:type="dxa"/>
              <w:left w:w="108" w:type="dxa"/>
              <w:bottom w:w="0" w:type="dxa"/>
              <w:right w:w="108" w:type="dxa"/>
            </w:tcMar>
          </w:tcPr>
          <w:p w:rsidR="004C60E2" w:rsidP="003D121A" w:rsidRDefault="004C60E2" w14:paraId="71D7AFFF" w14:textId="77777777">
            <w:pPr>
              <w:spacing w:after="240"/>
            </w:pPr>
            <w:r w:rsidRPr="00D83E71">
              <w:t>Titel</w:t>
            </w:r>
          </w:p>
        </w:tc>
        <w:tc>
          <w:tcPr>
            <w:tcW w:w="6387" w:type="dxa"/>
            <w:tcBorders>
              <w:top w:val="single" w:color="D9D9D9" w:themeColor="background1" w:themeShade="D9" w:sz="8" w:space="0"/>
              <w:left w:val="nil"/>
              <w:bottom w:val="nil"/>
              <w:right w:val="single" w:color="D9D9D9" w:themeColor="background1" w:themeShade="D9" w:sz="8" w:space="0"/>
            </w:tcBorders>
            <w:tcMar>
              <w:top w:w="0" w:type="dxa"/>
              <w:left w:w="108" w:type="dxa"/>
              <w:bottom w:w="0" w:type="dxa"/>
              <w:right w:w="108" w:type="dxa"/>
            </w:tcMar>
          </w:tcPr>
          <w:p w:rsidRPr="00D54DCD" w:rsidR="00D54DCD" w:rsidP="00D54DCD" w:rsidRDefault="00D54DCD" w14:paraId="2B963569" w14:textId="77777777">
            <w:r w:rsidRPr="00D54DCD">
              <w:t xml:space="preserve">Voorstel voor een BESLUIT VAN DE RAAD betreffende het standpunt dat namens de Europese Unie moet worden ingenomen in het Gespecialiseerd Handelscomité voor een gelijk speelveld voor open en eerlijke mededinging en duurzame ontwikkeling, dat is opgericht bij de handels- en samenwerkingsovereenkomst tussen de Europese Unie en de Europese Gemeenschap voor Atoomenergie, enerzijds, en het Verenigd Koninkrijk van Groot-Brittannië en Noord-Ierland, anderzijds, met betrekking tot de vaststelling van een besluit tot vaststelling van een lijst van personen die bereid en in staat zijn om als lid van het bij artikel 409 van de handels- en samenwerkingsovereenkomst ingestelde deskundigenpanel te fungeren </w:t>
            </w:r>
            <w:hyperlink w:history="1" r:id="rId12">
              <w:r w:rsidRPr="00D54DCD">
                <w:rPr>
                  <w:rStyle w:val="Hyperlink"/>
                </w:rPr>
                <w:t>COM(2026)89</w:t>
              </w:r>
            </w:hyperlink>
          </w:p>
          <w:p w:rsidRPr="00E303D0" w:rsidR="004C60E2" w:rsidP="00D54DCD" w:rsidRDefault="004C60E2" w14:paraId="4451A622" w14:textId="77777777"/>
        </w:tc>
      </w:tr>
      <w:tr w:rsidR="004C60E2" w:rsidTr="003D121A" w14:paraId="6C376CB6" w14:textId="77777777">
        <w:trPr>
          <w:trHeight w:val="300"/>
        </w:trPr>
        <w:tc>
          <w:tcPr>
            <w:tcW w:w="421" w:type="dxa"/>
            <w:vMerge/>
          </w:tcPr>
          <w:p w:rsidRPr="00E303D0" w:rsidR="004C60E2" w:rsidP="003D121A" w:rsidRDefault="004C60E2" w14:paraId="5D5A0A10" w14:textId="77777777"/>
        </w:tc>
        <w:tc>
          <w:tcPr>
            <w:tcW w:w="1125" w:type="dxa"/>
            <w:tcMar>
              <w:top w:w="0" w:type="dxa"/>
              <w:left w:w="108" w:type="dxa"/>
              <w:bottom w:w="0" w:type="dxa"/>
              <w:right w:w="108" w:type="dxa"/>
            </w:tcMar>
          </w:tcPr>
          <w:p w:rsidR="004C60E2" w:rsidP="003D121A" w:rsidRDefault="004C60E2" w14:paraId="6240E3E6" w14:textId="77777777">
            <w:pPr>
              <w:spacing w:after="240"/>
            </w:pPr>
            <w:r>
              <w:t>Voorstel</w:t>
            </w:r>
          </w:p>
        </w:tc>
        <w:tc>
          <w:tcPr>
            <w:tcW w:w="6387" w:type="dxa"/>
            <w:tcBorders>
              <w:top w:val="nil"/>
              <w:left w:val="nil"/>
              <w:bottom w:val="nil"/>
              <w:right w:val="single" w:color="D9D9D9" w:themeColor="background1" w:themeShade="D9" w:sz="8" w:space="0"/>
            </w:tcBorders>
            <w:tcMar>
              <w:top w:w="0" w:type="dxa"/>
              <w:left w:w="108" w:type="dxa"/>
              <w:bottom w:w="0" w:type="dxa"/>
              <w:right w:w="108" w:type="dxa"/>
            </w:tcMar>
          </w:tcPr>
          <w:p w:rsidR="004C60E2" w:rsidP="003D121A" w:rsidRDefault="00C8386A" w14:paraId="6E73D175" w14:textId="1EA9ED5F">
            <w:pPr>
              <w:spacing w:after="240"/>
              <w:rPr>
                <w:rFonts w:eastAsia="Verdana" w:cs="Verdana"/>
              </w:rPr>
            </w:pPr>
            <w:r>
              <w:rPr>
                <w:rFonts w:eastAsia="Verdana" w:cs="Verdana"/>
              </w:rPr>
              <w:t xml:space="preserve">Ter informatie </w:t>
            </w:r>
          </w:p>
        </w:tc>
      </w:tr>
      <w:tr w:rsidR="004C60E2" w:rsidTr="00C8386A" w14:paraId="29450048" w14:textId="77777777">
        <w:trPr>
          <w:trHeight w:val="2488"/>
        </w:trPr>
        <w:tc>
          <w:tcPr>
            <w:tcW w:w="421" w:type="dxa"/>
            <w:vMerge/>
          </w:tcPr>
          <w:p w:rsidR="004C60E2" w:rsidP="003D121A" w:rsidRDefault="004C60E2" w14:paraId="25528206" w14:textId="77777777"/>
        </w:tc>
        <w:tc>
          <w:tcPr>
            <w:tcW w:w="1125" w:type="dxa"/>
            <w:tcBorders>
              <w:top w:val="nil"/>
              <w:left w:val="nil"/>
              <w:bottom w:val="single" w:color="D9D9D9" w:themeColor="background1" w:themeShade="D9" w:sz="8" w:space="0"/>
              <w:right w:val="nil"/>
            </w:tcBorders>
            <w:tcMar>
              <w:top w:w="0" w:type="dxa"/>
              <w:left w:w="108" w:type="dxa"/>
              <w:bottom w:w="0" w:type="dxa"/>
              <w:right w:w="108" w:type="dxa"/>
            </w:tcMar>
          </w:tcPr>
          <w:p w:rsidR="004C60E2" w:rsidP="003D121A" w:rsidRDefault="004C60E2" w14:paraId="6952D60D" w14:textId="77777777">
            <w:pPr>
              <w:spacing w:after="240"/>
            </w:pPr>
            <w:r>
              <w:t>Noot</w:t>
            </w:r>
          </w:p>
        </w:tc>
        <w:tc>
          <w:tcPr>
            <w:tcW w:w="6387" w:type="dxa"/>
            <w:tcBorders>
              <w:top w:val="nil"/>
              <w:left w:val="nil"/>
              <w:bottom w:val="single" w:color="D9D9D9" w:themeColor="background1" w:themeShade="D9" w:sz="8" w:space="0"/>
              <w:right w:val="single" w:color="D9D9D9" w:themeColor="background1" w:themeShade="D9" w:sz="8" w:space="0"/>
            </w:tcBorders>
            <w:tcMar>
              <w:top w:w="0" w:type="dxa"/>
              <w:left w:w="108" w:type="dxa"/>
              <w:bottom w:w="0" w:type="dxa"/>
              <w:right w:w="108" w:type="dxa"/>
            </w:tcMar>
          </w:tcPr>
          <w:p w:rsidRPr="004C60E2" w:rsidR="004C60E2" w:rsidP="003D121A" w:rsidRDefault="00A94636" w14:paraId="29EAA191" w14:textId="6EC3483D">
            <w:pPr>
              <w:shd w:val="clear" w:color="auto" w:fill="FFFFFF" w:themeFill="background1"/>
              <w:rPr>
                <w:rFonts w:eastAsia="Verdana" w:cs="Verdana"/>
              </w:rPr>
            </w:pPr>
            <w:r w:rsidRPr="00A94636">
              <w:rPr>
                <w:rFonts w:eastAsia="Verdana" w:cs="Verdana"/>
              </w:rPr>
              <w:t>De Europese Unie moet in het Gespecialiseerd Handelscomité voor een gelijk speelveld voor open en eerlijke mededinging en duurzame ontwikkeling het standpunt innemen om de vaststelling te steunen van een besluit tot oprichting van een gezamenlijke lijst van ten minste 15 onafhankelijke deskundigen die kunnen optreden als leden (en voorzitters) van een panel van deskundigen onder de handels- en samenwerkingsovereenkomst tussen de EU en het Verenigd Koninkrijk. Deze lijst, samengesteld op basis van voorstellen van beide partijen, moet het mogelijk maken om geschillen over onder meer arbeids-, milieu- en duurzaamheidsnormen onder de overeenkomst effectief te laten onderzoeken door gekwalificeerde en onafhankelijke experts.</w:t>
            </w:r>
          </w:p>
        </w:tc>
      </w:tr>
    </w:tbl>
    <w:p w:rsidRPr="00193A2B" w:rsidR="004C60E2" w:rsidP="004C60E2" w:rsidRDefault="004C60E2" w14:paraId="5728A45E" w14:textId="77777777">
      <w:pPr>
        <w:rPr>
          <w:bCs/>
          <w:szCs w:val="18"/>
        </w:rPr>
      </w:pPr>
    </w:p>
    <w:p w:rsidR="004C60E2" w:rsidP="004C60E2" w:rsidRDefault="004C60E2" w14:paraId="4D369EA9" w14:textId="77777777">
      <w:pPr>
        <w:rPr>
          <w:b/>
          <w:bCs/>
          <w:szCs w:val="18"/>
        </w:rPr>
      </w:pPr>
    </w:p>
    <w:tbl>
      <w:tblPr>
        <w:tblW w:w="0" w:type="auto"/>
        <w:tblLook w:val="04A0" w:firstRow="1" w:lastRow="0" w:firstColumn="1" w:lastColumn="0" w:noHBand="0" w:noVBand="1"/>
      </w:tblPr>
      <w:tblGrid>
        <w:gridCol w:w="421"/>
        <w:gridCol w:w="1125"/>
        <w:gridCol w:w="6387"/>
      </w:tblGrid>
      <w:tr w:rsidRPr="00E303D0" w:rsidR="003177CE" w:rsidTr="6FDE80B5" w14:paraId="6E73FF25" w14:textId="77777777">
        <w:trPr>
          <w:trHeight w:val="300"/>
        </w:trPr>
        <w:tc>
          <w:tcPr>
            <w:tcW w:w="421" w:type="dxa"/>
            <w:vMerge w:val="restart"/>
            <w:tcBorders>
              <w:top w:val="single" w:color="D9D9D9" w:themeColor="background1" w:themeShade="D9" w:sz="8" w:space="0"/>
              <w:left w:val="single" w:color="D9D9D9" w:themeColor="background1" w:themeShade="D9" w:sz="8" w:space="0"/>
              <w:bottom w:val="single" w:color="D9D9D9" w:themeColor="background1" w:themeShade="D9" w:sz="8" w:space="0"/>
              <w:right w:val="nil"/>
            </w:tcBorders>
            <w:shd w:val="clear" w:color="auto" w:fill="F2F2F2" w:themeFill="background1" w:themeFillShade="F2"/>
            <w:tcMar>
              <w:top w:w="0" w:type="dxa"/>
              <w:left w:w="108" w:type="dxa"/>
              <w:bottom w:w="0" w:type="dxa"/>
              <w:right w:w="108" w:type="dxa"/>
            </w:tcMar>
          </w:tcPr>
          <w:p w:rsidR="003177CE" w:rsidP="00F51A8F" w:rsidRDefault="003177CE" w14:paraId="4917AAF5" w14:textId="77777777">
            <w:pPr>
              <w:pStyle w:val="Lijstalinea"/>
              <w:numPr>
                <w:ilvl w:val="0"/>
                <w:numId w:val="2"/>
              </w:numPr>
              <w:spacing w:after="240"/>
              <w:ind w:left="312"/>
              <w:rPr>
                <w:rFonts w:eastAsiaTheme="minorEastAsia"/>
              </w:rPr>
            </w:pPr>
          </w:p>
        </w:tc>
        <w:tc>
          <w:tcPr>
            <w:tcW w:w="1125" w:type="dxa"/>
            <w:tcBorders>
              <w:top w:val="single" w:color="D9D9D9" w:themeColor="background1" w:themeShade="D9" w:sz="8" w:space="0"/>
              <w:left w:val="nil"/>
              <w:bottom w:val="nil"/>
              <w:right w:val="nil"/>
            </w:tcBorders>
            <w:tcMar>
              <w:top w:w="0" w:type="dxa"/>
              <w:left w:w="108" w:type="dxa"/>
              <w:bottom w:w="0" w:type="dxa"/>
              <w:right w:w="108" w:type="dxa"/>
            </w:tcMar>
          </w:tcPr>
          <w:p w:rsidR="003177CE" w:rsidP="00F51A8F" w:rsidRDefault="003177CE" w14:paraId="2C06668D" w14:textId="77777777">
            <w:pPr>
              <w:spacing w:after="240"/>
            </w:pPr>
            <w:r w:rsidRPr="00D83E71">
              <w:t>Titel</w:t>
            </w:r>
          </w:p>
        </w:tc>
        <w:tc>
          <w:tcPr>
            <w:tcW w:w="6387" w:type="dxa"/>
            <w:tcBorders>
              <w:top w:val="single" w:color="D9D9D9" w:themeColor="background1" w:themeShade="D9" w:sz="8" w:space="0"/>
              <w:left w:val="nil"/>
              <w:bottom w:val="nil"/>
              <w:right w:val="single" w:color="D9D9D9" w:themeColor="background1" w:themeShade="D9" w:sz="8" w:space="0"/>
            </w:tcBorders>
            <w:tcMar>
              <w:top w:w="0" w:type="dxa"/>
              <w:left w:w="108" w:type="dxa"/>
              <w:bottom w:w="0" w:type="dxa"/>
              <w:right w:w="108" w:type="dxa"/>
            </w:tcMar>
          </w:tcPr>
          <w:p w:rsidR="003177CE" w:rsidP="003177CE" w:rsidRDefault="003177CE" w14:paraId="75F0708E" w14:textId="77777777">
            <w:r w:rsidRPr="003177CE">
              <w:t xml:space="preserve">Voorstel voor een BESLUIT VAN DE RAAD tot vaststelling van het namens de Europese Unie op de 14e Ministeriële Conferentie van de Wereldhandelsorganisatie in te nemen standpunt betreffende de toetreding van de Republiek Oezbekistan tot de WTO </w:t>
            </w:r>
            <w:hyperlink w:history="1" r:id="rId13">
              <w:r w:rsidRPr="003177CE">
                <w:rPr>
                  <w:rStyle w:val="Hyperlink"/>
                </w:rPr>
                <w:t>COM(2026</w:t>
              </w:r>
              <w:r w:rsidRPr="003177CE">
                <w:rPr>
                  <w:rStyle w:val="Hyperlink"/>
                </w:rPr>
                <w:t>)</w:t>
              </w:r>
              <w:r w:rsidRPr="003177CE">
                <w:rPr>
                  <w:rStyle w:val="Hyperlink"/>
                </w:rPr>
                <w:t>83</w:t>
              </w:r>
            </w:hyperlink>
          </w:p>
          <w:p w:rsidRPr="00E303D0" w:rsidR="003177CE" w:rsidP="003177CE" w:rsidRDefault="003177CE" w14:paraId="6373D9B6" w14:textId="7ADA1E98"/>
        </w:tc>
      </w:tr>
      <w:tr w:rsidR="003177CE" w:rsidTr="6FDE80B5" w14:paraId="67AFFB8D" w14:textId="77777777">
        <w:trPr>
          <w:trHeight w:val="300"/>
        </w:trPr>
        <w:tc>
          <w:tcPr>
            <w:tcW w:w="421" w:type="dxa"/>
            <w:vMerge/>
            <w:tcMar/>
          </w:tcPr>
          <w:p w:rsidRPr="00E303D0" w:rsidR="003177CE" w:rsidP="00F51A8F" w:rsidRDefault="003177CE" w14:paraId="73101B16" w14:textId="77777777"/>
        </w:tc>
        <w:tc>
          <w:tcPr>
            <w:tcW w:w="1125" w:type="dxa"/>
            <w:tcMar>
              <w:top w:w="0" w:type="dxa"/>
              <w:left w:w="108" w:type="dxa"/>
              <w:bottom w:w="0" w:type="dxa"/>
              <w:right w:w="108" w:type="dxa"/>
            </w:tcMar>
          </w:tcPr>
          <w:p w:rsidR="003177CE" w:rsidP="00F51A8F" w:rsidRDefault="003177CE" w14:paraId="4BEC0384" w14:textId="77777777">
            <w:pPr>
              <w:spacing w:after="240"/>
            </w:pPr>
            <w:r>
              <w:t>Voorstel</w:t>
            </w:r>
          </w:p>
        </w:tc>
        <w:tc>
          <w:tcPr>
            <w:tcW w:w="6387" w:type="dxa"/>
            <w:tcBorders>
              <w:top w:val="nil"/>
              <w:left w:val="nil"/>
              <w:bottom w:val="nil"/>
              <w:right w:val="single" w:color="D9D9D9" w:themeColor="background1" w:themeShade="D9" w:sz="8" w:space="0"/>
            </w:tcBorders>
            <w:tcMar>
              <w:top w:w="0" w:type="dxa"/>
              <w:left w:w="108" w:type="dxa"/>
              <w:bottom w:w="0" w:type="dxa"/>
              <w:right w:w="108" w:type="dxa"/>
            </w:tcMar>
          </w:tcPr>
          <w:p w:rsidR="003177CE" w:rsidP="00F51A8F" w:rsidRDefault="00351D14" w14:paraId="384FC7C7" w14:textId="0ECFC94C" w14:noSpellErr="1">
            <w:pPr>
              <w:spacing w:after="240"/>
              <w:rPr>
                <w:rFonts w:eastAsia="Verdana" w:cs="Verdana"/>
              </w:rPr>
            </w:pPr>
            <w:r w:rsidRPr="6FDE80B5" w:rsidR="4E3454D9">
              <w:rPr>
                <w:rFonts w:eastAsia="Verdana" w:cs="Verdana"/>
              </w:rPr>
              <w:t>Betrekken</w:t>
            </w:r>
            <w:r w:rsidRPr="6FDE80B5" w:rsidR="003177CE">
              <w:rPr>
                <w:rFonts w:eastAsia="Verdana" w:cs="Verdana"/>
              </w:rPr>
              <w:t xml:space="preserve"> </w:t>
            </w:r>
            <w:r w:rsidRPr="6FDE80B5" w:rsidR="4E3454D9">
              <w:rPr>
                <w:rFonts w:eastAsia="Verdana" w:cs="Verdana"/>
              </w:rPr>
              <w:t>bij</w:t>
            </w:r>
            <w:r w:rsidRPr="6FDE80B5" w:rsidR="003177CE">
              <w:rPr>
                <w:rFonts w:eastAsia="Verdana" w:cs="Verdana"/>
              </w:rPr>
              <w:t xml:space="preserve"> </w:t>
            </w:r>
            <w:r w:rsidRPr="6FDE80B5" w:rsidR="003177CE">
              <w:rPr>
                <w:rFonts w:eastAsia="Verdana" w:cs="Verdana"/>
              </w:rPr>
              <w:t xml:space="preserve">het commissiedebat </w:t>
            </w:r>
            <w:r w:rsidRPr="6FDE80B5" w:rsidR="00C743B8">
              <w:rPr>
                <w:rFonts w:eastAsia="Verdana" w:cs="Verdana"/>
              </w:rPr>
              <w:t>R</w:t>
            </w:r>
            <w:r w:rsidRPr="6FDE80B5" w:rsidR="6EC8662E">
              <w:rPr>
                <w:rFonts w:eastAsia="Verdana" w:cs="Verdana"/>
              </w:rPr>
              <w:t>aad Buitenlandse Zaken Handel</w:t>
            </w:r>
            <w:r w:rsidRPr="6FDE80B5" w:rsidR="00C743B8">
              <w:rPr>
                <w:rFonts w:eastAsia="Verdana" w:cs="Verdana"/>
              </w:rPr>
              <w:t xml:space="preserve"> van 19 maart.</w:t>
            </w:r>
          </w:p>
        </w:tc>
      </w:tr>
      <w:tr w:rsidR="003177CE" w:rsidTr="6FDE80B5" w14:paraId="3FBD623A" w14:textId="77777777">
        <w:trPr>
          <w:trHeight w:val="2488"/>
        </w:trPr>
        <w:tc>
          <w:tcPr>
            <w:tcW w:w="421" w:type="dxa"/>
            <w:vMerge/>
            <w:tcMar/>
          </w:tcPr>
          <w:p w:rsidR="003177CE" w:rsidP="00F51A8F" w:rsidRDefault="003177CE" w14:paraId="65523D64" w14:textId="77777777"/>
        </w:tc>
        <w:tc>
          <w:tcPr>
            <w:tcW w:w="1125" w:type="dxa"/>
            <w:tcBorders>
              <w:top w:val="nil"/>
              <w:left w:val="nil"/>
              <w:bottom w:val="single" w:color="D9D9D9" w:themeColor="background1" w:themeShade="D9" w:sz="8" w:space="0"/>
              <w:right w:val="nil"/>
            </w:tcBorders>
            <w:tcMar>
              <w:top w:w="0" w:type="dxa"/>
              <w:left w:w="108" w:type="dxa"/>
              <w:bottom w:w="0" w:type="dxa"/>
              <w:right w:w="108" w:type="dxa"/>
            </w:tcMar>
          </w:tcPr>
          <w:p w:rsidR="003177CE" w:rsidP="00F51A8F" w:rsidRDefault="003177CE" w14:paraId="1F0A181F" w14:textId="77777777">
            <w:pPr>
              <w:spacing w:after="240"/>
            </w:pPr>
            <w:r>
              <w:t>Noot</w:t>
            </w:r>
          </w:p>
        </w:tc>
        <w:tc>
          <w:tcPr>
            <w:tcW w:w="6387" w:type="dxa"/>
            <w:tcBorders>
              <w:top w:val="nil"/>
              <w:left w:val="nil"/>
              <w:bottom w:val="single" w:color="D9D9D9" w:themeColor="background1" w:themeShade="D9" w:sz="8" w:space="0"/>
              <w:right w:val="single" w:color="D9D9D9" w:themeColor="background1" w:themeShade="D9" w:sz="8" w:space="0"/>
            </w:tcBorders>
            <w:tcMar>
              <w:top w:w="0" w:type="dxa"/>
              <w:left w:w="108" w:type="dxa"/>
              <w:bottom w:w="0" w:type="dxa"/>
              <w:right w:w="108" w:type="dxa"/>
            </w:tcMar>
          </w:tcPr>
          <w:p w:rsidRPr="004C60E2" w:rsidR="003177CE" w:rsidP="00F51A8F" w:rsidRDefault="00F0728A" w14:paraId="614C1B3A" w14:textId="0E399FE3">
            <w:pPr>
              <w:shd w:val="clear" w:color="auto" w:fill="FFFFFF" w:themeFill="background1"/>
              <w:rPr>
                <w:rFonts w:eastAsia="Verdana" w:cs="Verdana"/>
              </w:rPr>
            </w:pPr>
            <w:r>
              <w:rPr>
                <w:rFonts w:eastAsia="Verdana" w:cs="Verdana"/>
              </w:rPr>
              <w:t xml:space="preserve">Het betreft het voorstel dat de EU op </w:t>
            </w:r>
            <w:r w:rsidRPr="00F0728A">
              <w:rPr>
                <w:rFonts w:eastAsia="Verdana" w:cs="Verdana"/>
              </w:rPr>
              <w:t>de 14e Ministeriële Conferentie van de Wereldhandelsorganisatie het standpunt inne</w:t>
            </w:r>
            <w:r>
              <w:rPr>
                <w:rFonts w:eastAsia="Verdana" w:cs="Verdana"/>
              </w:rPr>
              <w:t>emt</w:t>
            </w:r>
            <w:r w:rsidRPr="00F0728A">
              <w:rPr>
                <w:rFonts w:eastAsia="Verdana" w:cs="Verdana"/>
              </w:rPr>
              <w:t xml:space="preserve"> om zich aan te sluiten bij de consensus onder de WTO-leden over een besluit tot toetreding van de Republiek Oezbekistan tot de WTO. De EU ondersteunt deze toetreding omdat de onderhandelingen hebben geleid tot verbintenissen van Oezbekistan </w:t>
            </w:r>
            <w:proofErr w:type="gramStart"/>
            <w:r w:rsidRPr="00F0728A">
              <w:rPr>
                <w:rFonts w:eastAsia="Verdana" w:cs="Verdana"/>
              </w:rPr>
              <w:t>inzake</w:t>
            </w:r>
            <w:proofErr w:type="gramEnd"/>
            <w:r w:rsidRPr="00F0728A">
              <w:rPr>
                <w:rFonts w:eastAsia="Verdana" w:cs="Verdana"/>
              </w:rPr>
              <w:t xml:space="preserve"> marktopening voor goederen en diensten en omdat toetreding naar verwachting economische hervormingen en duurzame ontwikkeling in het land zal bevorderen en het op regels gebaseerde multilaterale handelssysteem, met de WTO als kern, zal versterken.</w:t>
            </w:r>
          </w:p>
        </w:tc>
      </w:tr>
    </w:tbl>
    <w:p w:rsidRPr="00193A2B" w:rsidR="003177CE" w:rsidP="003177CE" w:rsidRDefault="003177CE" w14:paraId="5F6E22F6" w14:textId="77777777">
      <w:pPr>
        <w:rPr>
          <w:bCs/>
          <w:szCs w:val="18"/>
        </w:rPr>
      </w:pPr>
    </w:p>
    <w:p w:rsidR="006C1878" w:rsidRDefault="006C1878" w14:paraId="7F52826A" w14:textId="77777777"/>
    <w:sectPr w:rsidR="006C1878" w:rsidSect="004C60E2">
      <w:headerReference w:type="default" r:id="rId14"/>
      <w:pgSz w:w="11906" w:h="16838" w:orient="portrait"/>
      <w:pgMar w:top="1417" w:right="1417" w:bottom="1417" w:left="1417" w:header="2370"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60E2" w:rsidP="004C60E2" w:rsidRDefault="004C60E2" w14:paraId="506C6ADD" w14:textId="77777777">
      <w:r>
        <w:separator/>
      </w:r>
    </w:p>
  </w:endnote>
  <w:endnote w:type="continuationSeparator" w:id="0">
    <w:p w:rsidR="004C60E2" w:rsidP="004C60E2" w:rsidRDefault="004C60E2" w14:paraId="325A23E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60E2" w:rsidP="004C60E2" w:rsidRDefault="004C60E2" w14:paraId="7D755444" w14:textId="77777777">
      <w:r>
        <w:separator/>
      </w:r>
    </w:p>
  </w:footnote>
  <w:footnote w:type="continuationSeparator" w:id="0">
    <w:p w:rsidR="004C60E2" w:rsidP="004C60E2" w:rsidRDefault="004C60E2" w14:paraId="18AA7176" w14:textId="77777777">
      <w:r>
        <w:continuationSeparator/>
      </w:r>
    </w:p>
  </w:footnote>
  <w:footnote w:id="1">
    <w:p w:rsidRPr="002B21B2" w:rsidR="004C60E2" w:rsidP="004C60E2" w:rsidRDefault="004C60E2" w14:paraId="4371A48B" w14:textId="77777777">
      <w:pPr>
        <w:pStyle w:val="Voetnoottekst"/>
        <w:rPr>
          <w:rFonts w:ascii="Verdana" w:hAnsi="Verdana"/>
        </w:rPr>
      </w:pPr>
      <w:r w:rsidRPr="4FDDB90E">
        <w:rPr>
          <w:rStyle w:val="Voetnootmarkering"/>
          <w:rFonts w:ascii="Verdana" w:hAnsi="Verdana" w:eastAsia="Verdana" w:cs="Verdana"/>
          <w:sz w:val="14"/>
          <w:szCs w:val="14"/>
        </w:rPr>
        <w:footnoteRef/>
      </w:r>
      <w:r w:rsidRPr="4FDDB90E">
        <w:rPr>
          <w:rFonts w:ascii="Verdana" w:hAnsi="Verdana" w:eastAsia="Verdana" w:cs="Verdana"/>
          <w:sz w:val="14"/>
          <w:szCs w:val="14"/>
        </w:rPr>
        <w:t xml:space="preserve">Voor een overzicht van behandelopties per type EU-voorstel, zie </w:t>
      </w:r>
      <w:hyperlink w:history="1" r:id="rId1">
        <w:r w:rsidRPr="4FDDB90E">
          <w:rPr>
            <w:rStyle w:val="Hyperlink"/>
            <w:rFonts w:ascii="Verdana" w:hAnsi="Verdana" w:eastAsia="Verdana" w:cs="Verdana"/>
            <w:sz w:val="14"/>
            <w:szCs w:val="14"/>
          </w:rPr>
          <w:t>dit overzicht op Plein2</w:t>
        </w:r>
      </w:hyperlink>
      <w:r w:rsidRPr="4FDDB90E">
        <w:rPr>
          <w:rFonts w:ascii="Verdana" w:hAnsi="Verdana" w:eastAsia="Verdana" w:cs="Verdana"/>
          <w:sz w:val="14"/>
          <w:szCs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C60E2" w:rsidRDefault="004C60E2" w14:paraId="02ECFCED" w14:textId="77777777">
    <w:pPr>
      <w:pStyle w:val="Koptekst"/>
    </w:pPr>
    <w:r>
      <w:rPr>
        <w:noProof/>
      </w:rPr>
      <mc:AlternateContent>
        <mc:Choice Requires="wps">
          <w:drawing>
            <wp:anchor distT="45720" distB="45720" distL="114300" distR="114300" simplePos="0" relativeHeight="251661312" behindDoc="0" locked="0" layoutInCell="1" allowOverlap="1" wp14:anchorId="67708CC9" wp14:editId="63D5E591">
              <wp:simplePos x="0" y="0"/>
              <wp:positionH relativeFrom="column">
                <wp:posOffset>4542155</wp:posOffset>
              </wp:positionH>
              <wp:positionV relativeFrom="paragraph">
                <wp:posOffset>-755650</wp:posOffset>
              </wp:positionV>
              <wp:extent cx="1854200" cy="744855"/>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744855"/>
                      </a:xfrm>
                      <a:prstGeom prst="rect">
                        <a:avLst/>
                      </a:prstGeom>
                      <a:solidFill>
                        <a:srgbClr val="FFFFFF"/>
                      </a:solidFill>
                      <a:ln w="9525">
                        <a:noFill/>
                        <a:miter lim="800000"/>
                        <a:headEnd/>
                        <a:tailEnd/>
                      </a:ln>
                    </wps:spPr>
                    <wps:txbx>
                      <w:txbxContent>
                        <w:p w:rsidR="004C60E2" w:rsidRDefault="004C60E2" w14:paraId="79C23897" w14:textId="77777777">
                          <w:r>
                            <w:t>Commissie BHO</w:t>
                          </w:r>
                        </w:p>
                        <w:p w:rsidR="004C60E2" w:rsidRDefault="004C60E2" w14:paraId="2B01FFBA" w14:textId="77777777">
                          <w:r>
                            <w:t>15-12-2025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F5457CB">
            <v:shapetype id="_x0000_t202" coordsize="21600,21600" o:spt="202" path="m,l,21600r21600,l21600,xe" w14:anchorId="67708CC9">
              <v:stroke joinstyle="miter"/>
              <v:path gradientshapeok="t" o:connecttype="rect"/>
            </v:shapetype>
            <v:shape id="Tekstvak 2" style="position:absolute;margin-left:357.65pt;margin-top:-59.5pt;width:146pt;height:58.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">
              <v:textbox>
                <w:txbxContent>
                  <w:p w:rsidR="004C60E2" w:rsidRDefault="004C60E2" w14:paraId="5FCAB5A3" w14:textId="77777777">
                    <w:r>
                      <w:t>Commissie BHO</w:t>
                    </w:r>
                  </w:p>
                  <w:p w:rsidR="004C60E2" w:rsidRDefault="004C60E2" w14:paraId="70C99573" w14:textId="77777777">
                    <w:r>
                      <w:t>15-12-2025</w:t>
                    </w:r>
                  </w:p>
                </w:txbxContent>
              </v:textbox>
              <w10:wrap type="square"/>
            </v:shape>
          </w:pict>
        </mc:Fallback>
      </mc:AlternateContent>
    </w:r>
    <w:r w:rsidRPr="00024610">
      <w:rPr>
        <w:noProof/>
      </w:rPr>
      <w:drawing>
        <wp:anchor distT="0" distB="0" distL="114300" distR="114300" simplePos="0" relativeHeight="251659264" behindDoc="1" locked="0" layoutInCell="1" allowOverlap="1" wp14:anchorId="1FD4D0C2" wp14:editId="4259573A">
          <wp:simplePos x="0" y="0"/>
          <wp:positionH relativeFrom="column">
            <wp:posOffset>73025</wp:posOffset>
          </wp:positionH>
          <wp:positionV relativeFrom="paragraph">
            <wp:posOffset>-1196975</wp:posOffset>
          </wp:positionV>
          <wp:extent cx="1624965" cy="655955"/>
          <wp:effectExtent l="0" t="0" r="0" b="0"/>
          <wp:wrapTight wrapText="bothSides">
            <wp:wrapPolygon edited="0">
              <wp:start x="0" y="0"/>
              <wp:lineTo x="0" y="20701"/>
              <wp:lineTo x="21271" y="20701"/>
              <wp:lineTo x="21271" y="0"/>
              <wp:lineTo x="0" y="0"/>
            </wp:wrapPolygon>
          </wp:wrapTight>
          <wp:docPr id="389614617"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965" cy="655955"/>
                  </a:xfrm>
                  <a:prstGeom prst="rect">
                    <a:avLst/>
                  </a:prstGeom>
                  <a:noFill/>
                  <a:ln>
                    <a:noFill/>
                  </a:ln>
                </pic:spPr>
              </pic:pic>
            </a:graphicData>
          </a:graphic>
        </wp:anchor>
      </w:drawing>
    </w:r>
    <w:r w:rsidRPr="00024610">
      <w:rPr>
        <w:noProof/>
      </w:rPr>
      <w:drawing>
        <wp:anchor distT="0" distB="0" distL="114300" distR="114300" simplePos="0" relativeHeight="251660288" behindDoc="1" locked="0" layoutInCell="1" allowOverlap="1" wp14:anchorId="7874211C" wp14:editId="1A273599">
          <wp:simplePos x="0" y="0"/>
          <wp:positionH relativeFrom="column">
            <wp:posOffset>-457200</wp:posOffset>
          </wp:positionH>
          <wp:positionV relativeFrom="paragraph">
            <wp:posOffset>-1257935</wp:posOffset>
          </wp:positionV>
          <wp:extent cx="387985" cy="1097280"/>
          <wp:effectExtent l="0" t="0" r="0" b="7620"/>
          <wp:wrapTight wrapText="bothSides">
            <wp:wrapPolygon edited="0">
              <wp:start x="0" y="0"/>
              <wp:lineTo x="0" y="21375"/>
              <wp:lineTo x="20151" y="21375"/>
              <wp:lineTo x="20151" y="0"/>
              <wp:lineTo x="0" y="0"/>
            </wp:wrapPolygon>
          </wp:wrapTight>
          <wp:docPr id="121234551"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7985" cy="10972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D1585"/>
    <w:multiLevelType w:val="hybridMultilevel"/>
    <w:tmpl w:val="865258CC"/>
    <w:lvl w:ilvl="0" w:tplc="3D1EFF72">
      <w:start w:val="1"/>
      <w:numFmt w:val="decimal"/>
      <w:lvlText w:val="%1."/>
      <w:lvlJc w:val="left"/>
      <w:pPr>
        <w:ind w:left="501" w:hanging="360"/>
      </w:pPr>
    </w:lvl>
    <w:lvl w:ilvl="1" w:tplc="877AC7A0" w:tentative="1">
      <w:start w:val="1"/>
      <w:numFmt w:val="lowerLetter"/>
      <w:lvlText w:val="%2."/>
      <w:lvlJc w:val="left"/>
      <w:pPr>
        <w:ind w:left="1440" w:hanging="360"/>
      </w:pPr>
    </w:lvl>
    <w:lvl w:ilvl="2" w:tplc="FDC05BE8" w:tentative="1">
      <w:start w:val="1"/>
      <w:numFmt w:val="lowerRoman"/>
      <w:lvlText w:val="%3."/>
      <w:lvlJc w:val="right"/>
      <w:pPr>
        <w:ind w:left="2160" w:hanging="180"/>
      </w:pPr>
    </w:lvl>
    <w:lvl w:ilvl="3" w:tplc="37DC7F52" w:tentative="1">
      <w:start w:val="1"/>
      <w:numFmt w:val="decimal"/>
      <w:lvlText w:val="%4."/>
      <w:lvlJc w:val="left"/>
      <w:pPr>
        <w:ind w:left="2880" w:hanging="360"/>
      </w:pPr>
    </w:lvl>
    <w:lvl w:ilvl="4" w:tplc="00E6C30A" w:tentative="1">
      <w:start w:val="1"/>
      <w:numFmt w:val="lowerLetter"/>
      <w:lvlText w:val="%5."/>
      <w:lvlJc w:val="left"/>
      <w:pPr>
        <w:ind w:left="3600" w:hanging="360"/>
      </w:pPr>
    </w:lvl>
    <w:lvl w:ilvl="5" w:tplc="FE468A18" w:tentative="1">
      <w:start w:val="1"/>
      <w:numFmt w:val="lowerRoman"/>
      <w:lvlText w:val="%6."/>
      <w:lvlJc w:val="right"/>
      <w:pPr>
        <w:ind w:left="4320" w:hanging="180"/>
      </w:pPr>
    </w:lvl>
    <w:lvl w:ilvl="6" w:tplc="6518B3FE" w:tentative="1">
      <w:start w:val="1"/>
      <w:numFmt w:val="decimal"/>
      <w:lvlText w:val="%7."/>
      <w:lvlJc w:val="left"/>
      <w:pPr>
        <w:ind w:left="5040" w:hanging="360"/>
      </w:pPr>
    </w:lvl>
    <w:lvl w:ilvl="7" w:tplc="BCACBE86" w:tentative="1">
      <w:start w:val="1"/>
      <w:numFmt w:val="lowerLetter"/>
      <w:lvlText w:val="%8."/>
      <w:lvlJc w:val="left"/>
      <w:pPr>
        <w:ind w:left="5760" w:hanging="360"/>
      </w:pPr>
    </w:lvl>
    <w:lvl w:ilvl="8" w:tplc="AB569E06" w:tentative="1">
      <w:start w:val="1"/>
      <w:numFmt w:val="lowerRoman"/>
      <w:lvlText w:val="%9."/>
      <w:lvlJc w:val="right"/>
      <w:pPr>
        <w:ind w:left="6480" w:hanging="180"/>
      </w:pPr>
    </w:lvl>
  </w:abstractNum>
  <w:abstractNum w:abstractNumId="1" w15:restartNumberingAfterBreak="0">
    <w:nsid w:val="32313F87"/>
    <w:multiLevelType w:val="hybridMultilevel"/>
    <w:tmpl w:val="BAFE3CF4"/>
    <w:lvl w:ilvl="0" w:tplc="33408AB8">
      <w:start w:val="1"/>
      <w:numFmt w:val="upperRoman"/>
      <w:lvlText w:val="%1."/>
      <w:lvlJc w:val="right"/>
      <w:pPr>
        <w:ind w:left="720" w:hanging="360"/>
      </w:pPr>
    </w:lvl>
    <w:lvl w:ilvl="1" w:tplc="517A103E" w:tentative="1">
      <w:start w:val="1"/>
      <w:numFmt w:val="lowerLetter"/>
      <w:lvlText w:val="%2."/>
      <w:lvlJc w:val="left"/>
      <w:pPr>
        <w:ind w:left="1440" w:hanging="360"/>
      </w:pPr>
    </w:lvl>
    <w:lvl w:ilvl="2" w:tplc="69541D0E" w:tentative="1">
      <w:start w:val="1"/>
      <w:numFmt w:val="lowerRoman"/>
      <w:lvlText w:val="%3."/>
      <w:lvlJc w:val="right"/>
      <w:pPr>
        <w:ind w:left="2160" w:hanging="180"/>
      </w:pPr>
    </w:lvl>
    <w:lvl w:ilvl="3" w:tplc="EE5018DE" w:tentative="1">
      <w:start w:val="1"/>
      <w:numFmt w:val="decimal"/>
      <w:lvlText w:val="%4."/>
      <w:lvlJc w:val="left"/>
      <w:pPr>
        <w:ind w:left="2880" w:hanging="360"/>
      </w:pPr>
    </w:lvl>
    <w:lvl w:ilvl="4" w:tplc="85B2877E" w:tentative="1">
      <w:start w:val="1"/>
      <w:numFmt w:val="lowerLetter"/>
      <w:lvlText w:val="%5."/>
      <w:lvlJc w:val="left"/>
      <w:pPr>
        <w:ind w:left="3600" w:hanging="360"/>
      </w:pPr>
    </w:lvl>
    <w:lvl w:ilvl="5" w:tplc="89725886" w:tentative="1">
      <w:start w:val="1"/>
      <w:numFmt w:val="lowerRoman"/>
      <w:lvlText w:val="%6."/>
      <w:lvlJc w:val="right"/>
      <w:pPr>
        <w:ind w:left="4320" w:hanging="180"/>
      </w:pPr>
    </w:lvl>
    <w:lvl w:ilvl="6" w:tplc="74AEAFC8" w:tentative="1">
      <w:start w:val="1"/>
      <w:numFmt w:val="decimal"/>
      <w:lvlText w:val="%7."/>
      <w:lvlJc w:val="left"/>
      <w:pPr>
        <w:ind w:left="5040" w:hanging="360"/>
      </w:pPr>
    </w:lvl>
    <w:lvl w:ilvl="7" w:tplc="1CB47C00" w:tentative="1">
      <w:start w:val="1"/>
      <w:numFmt w:val="lowerLetter"/>
      <w:lvlText w:val="%8."/>
      <w:lvlJc w:val="left"/>
      <w:pPr>
        <w:ind w:left="5760" w:hanging="360"/>
      </w:pPr>
    </w:lvl>
    <w:lvl w:ilvl="8" w:tplc="A75E37F2" w:tentative="1">
      <w:start w:val="1"/>
      <w:numFmt w:val="lowerRoman"/>
      <w:lvlText w:val="%9."/>
      <w:lvlJc w:val="right"/>
      <w:pPr>
        <w:ind w:left="6480" w:hanging="180"/>
      </w:pPr>
    </w:lvl>
  </w:abstractNum>
  <w:num w:numId="1" w16cid:durableId="669794195">
    <w:abstractNumId w:val="1"/>
  </w:num>
  <w:num w:numId="2" w16cid:durableId="105574306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0E2"/>
    <w:rsid w:val="00316FC7"/>
    <w:rsid w:val="003177CE"/>
    <w:rsid w:val="00351D14"/>
    <w:rsid w:val="004C60E2"/>
    <w:rsid w:val="00561B6E"/>
    <w:rsid w:val="006C1878"/>
    <w:rsid w:val="006C3C36"/>
    <w:rsid w:val="00836DE2"/>
    <w:rsid w:val="00896EAA"/>
    <w:rsid w:val="00A20CA9"/>
    <w:rsid w:val="00A94636"/>
    <w:rsid w:val="00C6437B"/>
    <w:rsid w:val="00C743B8"/>
    <w:rsid w:val="00C8386A"/>
    <w:rsid w:val="00D10B07"/>
    <w:rsid w:val="00D54DCD"/>
    <w:rsid w:val="00DE56E9"/>
    <w:rsid w:val="00F0728A"/>
    <w:rsid w:val="00F85B1A"/>
    <w:rsid w:val="19148290"/>
    <w:rsid w:val="4E3454D9"/>
    <w:rsid w:val="6EC8662E"/>
    <w:rsid w:val="6FDE80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00399"/>
  <w15:chartTrackingRefBased/>
  <w15:docId w15:val="{9A85AA7E-2960-4B72-BC40-6C6128382F7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4C60E2"/>
    <w:pPr>
      <w:spacing w:after="0" w:line="240" w:lineRule="auto"/>
    </w:pPr>
    <w:rPr>
      <w:rFonts w:ascii="Verdana" w:hAnsi="Verdana" w:eastAsia="Calibri" w:cs="Times New Roman"/>
      <w:kern w:val="0"/>
      <w:sz w:val="18"/>
      <w:szCs w:val="22"/>
      <w14:ligatures w14:val="none"/>
    </w:rPr>
  </w:style>
  <w:style w:type="paragraph" w:styleId="Kop1">
    <w:name w:val="heading 1"/>
    <w:basedOn w:val="Standaard"/>
    <w:next w:val="Standaard"/>
    <w:link w:val="Kop1Char"/>
    <w:uiPriority w:val="9"/>
    <w:qFormat/>
    <w:rsid w:val="004C60E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60E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60E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60E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60E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60E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60E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60E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60E2"/>
    <w:pPr>
      <w:keepNext/>
      <w:keepLines/>
      <w:outlineLvl w:val="8"/>
    </w:pPr>
    <w:rPr>
      <w:rFonts w:eastAsiaTheme="majorEastAsia" w:cstheme="majorBidi"/>
      <w:color w:val="272727" w:themeColor="text1" w:themeTint="D8"/>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4C60E2"/>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4C60E2"/>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4C60E2"/>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4C60E2"/>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4C60E2"/>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4C60E2"/>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4C60E2"/>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4C60E2"/>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4C60E2"/>
    <w:rPr>
      <w:rFonts w:eastAsiaTheme="majorEastAsia" w:cstheme="majorBidi"/>
      <w:color w:val="272727" w:themeColor="text1" w:themeTint="D8"/>
    </w:rPr>
  </w:style>
  <w:style w:type="paragraph" w:styleId="Titel">
    <w:name w:val="Title"/>
    <w:basedOn w:val="Standaard"/>
    <w:next w:val="Standaard"/>
    <w:link w:val="TitelChar"/>
    <w:uiPriority w:val="10"/>
    <w:qFormat/>
    <w:rsid w:val="004C60E2"/>
    <w:pPr>
      <w:spacing w:after="80"/>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4C60E2"/>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4C60E2"/>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4C60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60E2"/>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4C60E2"/>
    <w:rPr>
      <w:i/>
      <w:iCs/>
      <w:color w:val="404040" w:themeColor="text1" w:themeTint="BF"/>
    </w:rPr>
  </w:style>
  <w:style w:type="paragraph" w:styleId="Lijstalinea">
    <w:name w:val="List Paragraph"/>
    <w:basedOn w:val="Standaard"/>
    <w:uiPriority w:val="34"/>
    <w:qFormat/>
    <w:rsid w:val="004C60E2"/>
    <w:pPr>
      <w:ind w:left="720"/>
      <w:contextualSpacing/>
    </w:pPr>
  </w:style>
  <w:style w:type="character" w:styleId="Intensievebenadrukking">
    <w:name w:val="Intense Emphasis"/>
    <w:basedOn w:val="Standaardalinea-lettertype"/>
    <w:uiPriority w:val="21"/>
    <w:qFormat/>
    <w:rsid w:val="004C60E2"/>
    <w:rPr>
      <w:i/>
      <w:iCs/>
      <w:color w:val="0F4761" w:themeColor="accent1" w:themeShade="BF"/>
    </w:rPr>
  </w:style>
  <w:style w:type="paragraph" w:styleId="Duidelijkcitaat">
    <w:name w:val="Intense Quote"/>
    <w:basedOn w:val="Standaard"/>
    <w:next w:val="Standaard"/>
    <w:link w:val="DuidelijkcitaatChar"/>
    <w:uiPriority w:val="30"/>
    <w:qFormat/>
    <w:rsid w:val="004C60E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4C60E2"/>
    <w:rPr>
      <w:i/>
      <w:iCs/>
      <w:color w:val="0F4761" w:themeColor="accent1" w:themeShade="BF"/>
    </w:rPr>
  </w:style>
  <w:style w:type="character" w:styleId="Intensieveverwijzing">
    <w:name w:val="Intense Reference"/>
    <w:basedOn w:val="Standaardalinea-lettertype"/>
    <w:uiPriority w:val="32"/>
    <w:qFormat/>
    <w:rsid w:val="004C60E2"/>
    <w:rPr>
      <w:b/>
      <w:bCs/>
      <w:smallCaps/>
      <w:color w:val="0F4761" w:themeColor="accent1" w:themeShade="BF"/>
      <w:spacing w:val="5"/>
    </w:rPr>
  </w:style>
  <w:style w:type="paragraph" w:styleId="Koptekst">
    <w:name w:val="header"/>
    <w:basedOn w:val="Standaard"/>
    <w:link w:val="KoptekstChar"/>
    <w:uiPriority w:val="99"/>
    <w:unhideWhenUsed/>
    <w:rsid w:val="004C60E2"/>
    <w:pPr>
      <w:tabs>
        <w:tab w:val="center" w:pos="4536"/>
        <w:tab w:val="right" w:pos="9072"/>
      </w:tabs>
    </w:pPr>
  </w:style>
  <w:style w:type="character" w:styleId="KoptekstChar" w:customStyle="1">
    <w:name w:val="Koptekst Char"/>
    <w:basedOn w:val="Standaardalinea-lettertype"/>
    <w:link w:val="Koptekst"/>
    <w:uiPriority w:val="99"/>
    <w:rsid w:val="004C60E2"/>
    <w:rPr>
      <w:rFonts w:ascii="Verdana" w:hAnsi="Verdana" w:eastAsia="Calibri" w:cs="Times New Roman"/>
      <w:kern w:val="0"/>
      <w:sz w:val="18"/>
      <w:szCs w:val="22"/>
      <w14:ligatures w14:val="none"/>
    </w:rPr>
  </w:style>
  <w:style w:type="paragraph" w:styleId="PlatteTekst" w:customStyle="1">
    <w:name w:val="Platte_Tekst"/>
    <w:basedOn w:val="Standaard"/>
    <w:uiPriority w:val="99"/>
    <w:rsid w:val="004C60E2"/>
    <w:pPr>
      <w:spacing w:line="284" w:lineRule="exact"/>
    </w:pPr>
  </w:style>
  <w:style w:type="character" w:styleId="Hyperlink">
    <w:name w:val="Hyperlink"/>
    <w:rsid w:val="004C60E2"/>
    <w:rPr>
      <w:color w:val="0000FF"/>
      <w:u w:val="single"/>
    </w:rPr>
  </w:style>
  <w:style w:type="paragraph" w:styleId="Voetnoottekst">
    <w:name w:val="footnote text"/>
    <w:basedOn w:val="Standaard"/>
    <w:link w:val="VoetnoottekstChar"/>
    <w:uiPriority w:val="99"/>
    <w:semiHidden/>
    <w:rsid w:val="004C60E2"/>
    <w:rPr>
      <w:rFonts w:ascii="Times New Roman" w:hAnsi="Times New Roman" w:eastAsia="Times New Roman"/>
      <w:sz w:val="20"/>
      <w:szCs w:val="20"/>
      <w:lang w:eastAsia="nl-NL"/>
    </w:rPr>
  </w:style>
  <w:style w:type="character" w:styleId="VoetnoottekstChar" w:customStyle="1">
    <w:name w:val="Voetnoottekst Char"/>
    <w:basedOn w:val="Standaardalinea-lettertype"/>
    <w:link w:val="Voetnoottekst"/>
    <w:uiPriority w:val="99"/>
    <w:semiHidden/>
    <w:rsid w:val="004C60E2"/>
    <w:rPr>
      <w:rFonts w:ascii="Times New Roman" w:hAnsi="Times New Roman" w:eastAsia="Times New Roman" w:cs="Times New Roman"/>
      <w:kern w:val="0"/>
      <w:sz w:val="20"/>
      <w:szCs w:val="20"/>
      <w:lang w:eastAsia="nl-NL"/>
      <w14:ligatures w14:val="none"/>
    </w:rPr>
  </w:style>
  <w:style w:type="character" w:styleId="Voetnootmarkering">
    <w:name w:val="footnote reference"/>
    <w:uiPriority w:val="99"/>
    <w:semiHidden/>
    <w:rsid w:val="004C60E2"/>
    <w:rPr>
      <w:vertAlign w:val="superscript"/>
    </w:rPr>
  </w:style>
  <w:style w:type="character" w:styleId="GevolgdeHyperlink">
    <w:name w:val="FollowedHyperlink"/>
    <w:basedOn w:val="Standaardalinea-lettertype"/>
    <w:uiPriority w:val="99"/>
    <w:semiHidden/>
    <w:unhideWhenUsed/>
    <w:rsid w:val="004C60E2"/>
    <w:rPr>
      <w:color w:val="96607D" w:themeColor="followedHyperlink"/>
      <w:u w:val="single"/>
    </w:rPr>
  </w:style>
  <w:style w:type="character" w:styleId="Onopgelostemelding">
    <w:name w:val="Unresolved Mention"/>
    <w:basedOn w:val="Standaardalinea-lettertype"/>
    <w:uiPriority w:val="99"/>
    <w:semiHidden/>
    <w:unhideWhenUsed/>
    <w:rsid w:val="00D54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eur06.safelinks.protection.outlook.com/?url=https%3A%2F%2Feur-lex.europa.eu%2Flegal-content%2FNL%2FTXT%2F%3Furi%3DCELEX%253A52026PC0083%26qid%3D1771852931889&amp;data=05%7C02%7Cl.haverkamp%40tweedekamer.nl%7C17778b004e7f450eabcb08de75029635%7C238cb5073f714afeaaab8382731a4345%7C0%7C0%7C639076851130096968%7CUnknown%7CTWFpbGZsb3d8eyJFbXB0eU1hcGkiOnRydWUsIlYiOiIwLjAuMDAwMCIsIlAiOiJXaW4zMiIsIkFOIjoiTWFpbCIsIldUIjoyfQ%3D%3D%7C0%7C%7C%7C&amp;sdata=Ge7JkEnT2WwOTQ4o%2Fg0ogS1Kul2Iqf6aIjtB99cX%2B90%3D&amp;reserved=0" TargetMode="External" Id="rId13" /><Relationship Type="http://schemas.openxmlformats.org/officeDocument/2006/relationships/styles" Target="styles.xml" Id="rId7" /><Relationship Type="http://schemas.openxmlformats.org/officeDocument/2006/relationships/hyperlink" Target="https://eur06.safelinks.protection.outlook.com/?url=https%3A%2F%2Feur-lex.europa.eu%2Flegal-content%2FNL%2FTXT%2F%3Furi%3DCELEX%253A52026PC0089%26qid%3D1771852826367&amp;data=05%7C02%7Cl.haverkamp%40tweedekamer.nl%7C17778b004e7f450eabcb08de75029635%7C238cb5073f714afeaaab8382731a4345%7C0%7C0%7C639076851130052187%7CUnknown%7CTWFpbGZsb3d8eyJFbXB0eU1hcGkiOnRydWUsIlYiOiIwLjAuMDAwMCIsIlAiOiJXaW4zMiIsIkFOIjoiTWFpbCIsIldUIjoyfQ%3D%3D%7C0%7C%7C%7C&amp;sdata=49BSmN5IhiaNd6fR8w1r78kkZhIUDyjvPtQbqKNOJ54%3D&amp;reserved=0" TargetMode="External"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2026-03-09T12:58:00.0000000Z</dcterms:created>
  <dcterms:modified xsi:type="dcterms:W3CDTF">2026-03-09T13:09:32.0000000Z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0x010100652B67EEE1A68642A5D50A61AFC143750056F2A0B99D579F4DBE5DBC0C3BA4ECBE</vt:lpwstr>
  </property>
  <property fmtid="{D5CDD505-2E9C-101B-9397-08002B2CF9AE}" pid="3" name="Selectielijstproces">
    <vt:lpwstr>1;#47. Het structureren, ordenen, analyseren, duiden, overbrengen en presenteren van informatie ten behoeve van parlementaire processen en parlementair onderzoek|c64fbbe8-7c78-42c3-a920-8bb219caf38b</vt:lpwstr>
  </property>
  <property fmtid="{D5CDD505-2E9C-101B-9397-08002B2CF9AE}" pid="4" name="Beperking">
    <vt:lpwstr/>
  </property>
  <property fmtid="{D5CDD505-2E9C-101B-9397-08002B2CF9AE}" pid="5" name="_dlc_DocIdItemGuid">
    <vt:lpwstr>a300569a-1e48-4285-bc83-e9b1b8b283a7</vt:lpwstr>
  </property>
</Properties>
</file>