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2026Z04657</w:t>
        <w:br/>
      </w:r>
      <w:proofErr w:type="spellEnd"/>
    </w:p>
    <w:p>
      <w:pPr>
        <w:pStyle w:val="Normal"/>
        <w:rPr>
          <w:b w:val="1"/>
          <w:bCs w:val="1"/>
        </w:rPr>
      </w:pPr>
      <w:r w:rsidR="250AE766">
        <w:rPr>
          <w:b w:val="0"/>
          <w:bCs w:val="0"/>
        </w:rPr>
        <w:t>(ingezonden 9 maart 2026)</w:t>
        <w:br/>
      </w:r>
    </w:p>
    <w:p>
      <w:r>
        <w:t xml:space="preserve">Vragen van het lid Vermeer (BBB) aan de staatssecretarissen van Justitie en Veiligheid en van Infrastructuur en Waterstaat over veiligheids- en gezondheidsrisico’s van windturbines.</w:t>
      </w:r>
      <w:r>
        <w:br/>
      </w:r>
    </w:p>
    <w:p>
      <w:r>
        <w:t xml:space="preserve">Gelet op de antwoorden op eerdere Kamervragen over de veiligheidsrisico’s van windturbines en de daarin genoemde verwijzingen naar rapportages van de Onderzoeksraad voor Veiligheid (OVV) [1] heeft het lid Vermeer de volgende aanvullende vragen.</w:t>
      </w:r>
      <w:r>
        <w:br/>
      </w:r>
    </w:p>
    <w:p>
      <w:r>
        <w:t xml:space="preserve">1. Waarom wordt in uw beantwoording gesteld dat er geen significante veiligheidsrisico’s zijn, terwijl de OVV‑kwartaalrapportage juist wél benoemt dat windturbines bijdragen aan verdichting van VFR‑verkeersstromen [2] en daarmee een verhoogde kans op luchtbotsingen?</w:t>
      </w:r>
      <w:r>
        <w:br/>
      </w:r>
    </w:p>
    <w:p>
      <w:r>
        <w:t xml:space="preserve">2. Waarom heeft de OVV nooit een volledig onderzoek uitgevoerd naar veiligheidsrisico’s van windturbines, terwijl burgers voor hun veiligheid volledig afhankelijk zijn van overheid, bedrijven en instellingen?</w:t>
      </w:r>
      <w:r>
        <w:br/>
      </w:r>
    </w:p>
    <w:p>
      <w:r>
        <w:t xml:space="preserve">3. Welke veiligheidsperimeter wordt gehanteerd rond een brandende windturbine, wie stelt deze instructies vast en zijn deze eenduidig bekend bij alle brandweerkorpsen en veiligheidsregio’s?</w:t>
      </w:r>
      <w:r>
        <w:br/>
      </w:r>
    </w:p>
    <w:p>
      <w:r>
        <w:t xml:space="preserve">4. Hoe wordt gecontroleerd wat er gebeurt met brokstukken, brandresten en gesmolten materialen die van grote hoogte verspreid worden en tot welke afstand wordt dit onderzocht?</w:t>
      </w:r>
      <w:r>
        <w:br/>
      </w:r>
    </w:p>
    <w:p>
      <w:r>
        <w:t xml:space="preserve">5. Welke concrete eisen stellen vergunningverlenende partijen aan initiatiefnemers met betrekking tot communicatie over risico’s en noodprocedures voor omwonenden?</w:t>
      </w:r>
      <w:r>
        <w:br/>
      </w:r>
    </w:p>
    <w:p>
      <w:r>
        <w:t xml:space="preserve">6. Wat zijn de actuele externe veiligheidsafstanden voor windturbines, hoe wordt de rekenmethodiek vastgesteld, door wie, en wanneer zijn deze afstanden voor het laatst aangepast op basis van incidentcasuïstiek zoals bij Nieuwleusen?</w:t>
      </w:r>
      <w:r>
        <w:br/>
      </w:r>
    </w:p>
    <w:p>
      <w:r>
        <w:t xml:space="preserve">7. Hoe wordt van exploitanten verwacht dat zij milieuschade beperken wanneer brandbestrijding bij windturbines feitelijk niet mogelijk is en welke normen of eisen gelden hiervoor?</w:t>
      </w:r>
      <w:r>
        <w:br/>
      </w:r>
    </w:p>
    <w:p>
      <w:r>
        <w:t xml:space="preserve">8. Naar welke specifieke wet- en regelgeving wordt verwezen wanneer wordt gesteld dat de bestrijdbaarheid en gevolgen voor de leefomgeving voldoende zijn ondervangen, terwijl u tegelijk aangeeft dat brandbestrijding op hoogte niet kan plaatsvinden?</w:t>
      </w:r>
      <w:r>
        <w:br/>
      </w:r>
    </w:p>
    <w:p>
      <w:r>
        <w:t xml:space="preserve">9. Op welke turbinehoogte is de brandweeraandachtskaart met een standaardveiligstellingsafstand van 500 meter gebaseerd en is deze afstand nog actueel gezien de aanzienlijke toename in turbinehoogtes?</w:t>
      </w:r>
      <w:r>
        <w:br/>
      </w:r>
    </w:p>
    <w:p>
      <w:r>
        <w:t xml:space="preserve">
          <w:br/>
          [1] Aanhangsel Handelingen II, vergaderjaar 2025-2026, nr. 769.
          <w:br/>
          [2] Verkeersstromen gebaseerd of Visual Flight Rules.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