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EF9" w:rsidP="006C3EF9" w:rsidRDefault="006C3EF9" w14:paraId="140BD809" w14:textId="77777777">
      <w:pPr>
        <w:rPr>
          <w:b/>
          <w:bCs/>
          <w:szCs w:val="18"/>
        </w:rPr>
      </w:pPr>
      <w:r>
        <w:rPr>
          <w:b/>
          <w:bCs/>
          <w:szCs w:val="18"/>
        </w:rPr>
        <w:t>AH 1268</w:t>
      </w:r>
    </w:p>
    <w:p w:rsidR="006C3EF9" w:rsidP="006C3EF9" w:rsidRDefault="006C3EF9" w14:paraId="29128216" w14:textId="68F8D366">
      <w:pPr>
        <w:rPr>
          <w:b/>
          <w:bCs/>
          <w:szCs w:val="18"/>
        </w:rPr>
      </w:pPr>
      <w:r>
        <w:rPr>
          <w:b/>
          <w:bCs/>
          <w:szCs w:val="18"/>
        </w:rPr>
        <w:t>2026Z01142</w:t>
      </w:r>
    </w:p>
    <w:p w:rsidR="006C3EF9" w:rsidP="006C3EF9" w:rsidRDefault="006C3EF9" w14:paraId="30CE42E1" w14:textId="569E6604">
      <w:pPr>
        <w:rPr>
          <w:b/>
          <w:bCs/>
          <w:szCs w:val="18"/>
        </w:rPr>
      </w:pPr>
      <w:r w:rsidRPr="006C3EF9">
        <w:rPr>
          <w:b/>
          <w:bCs/>
          <w:sz w:val="24"/>
          <w:szCs w:val="24"/>
        </w:rPr>
        <w:t xml:space="preserve">Antwoord van minister Letschert (Onderwijs, Cultuur en Wetenschap) (ontvangen </w:t>
      </w:r>
      <w:r>
        <w:rPr>
          <w:b/>
          <w:bCs/>
          <w:sz w:val="24"/>
          <w:szCs w:val="24"/>
        </w:rPr>
        <w:t xml:space="preserve"> 9 mart 2026)</w:t>
      </w:r>
    </w:p>
    <w:p w:rsidR="006C3EF9" w:rsidP="006C3EF9" w:rsidRDefault="006C3EF9" w14:paraId="3A443FFF" w14:textId="77777777">
      <w:pPr>
        <w:rPr>
          <w:b/>
          <w:bCs/>
          <w:szCs w:val="18"/>
        </w:rPr>
      </w:pPr>
    </w:p>
    <w:p w:rsidRPr="006C3EF9" w:rsidR="006C3EF9" w:rsidP="006C3EF9" w:rsidRDefault="006C3EF9" w14:paraId="7BAD2F15" w14:textId="3A2B2EA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1111</w:t>
      </w:r>
      <w:r w:rsidRPr="00F52CF1">
        <w:rPr>
          <w:b/>
          <w:bCs/>
          <w:szCs w:val="18"/>
        </w:rPr>
        <w:br/>
      </w:r>
    </w:p>
    <w:p w:rsidRPr="007F123A" w:rsidR="006C3EF9" w:rsidP="006C3EF9" w:rsidRDefault="006C3EF9" w14:paraId="3DF42CC5" w14:textId="77777777">
      <w:pPr>
        <w:rPr>
          <w:b/>
          <w:bCs/>
          <w:szCs w:val="18"/>
        </w:rPr>
      </w:pPr>
      <w:r w:rsidRPr="007F123A">
        <w:rPr>
          <w:b/>
          <w:bCs/>
          <w:szCs w:val="18"/>
        </w:rPr>
        <w:t>Vraag 1</w:t>
      </w:r>
    </w:p>
    <w:p w:rsidR="006C3EF9" w:rsidP="006C3EF9" w:rsidRDefault="006C3EF9" w14:paraId="5B664A05" w14:textId="784F38B2">
      <w:pPr>
        <w:rPr>
          <w:szCs w:val="18"/>
        </w:rPr>
      </w:pPr>
      <w:r w:rsidRPr="003A6EC4">
        <w:rPr>
          <w:szCs w:val="18"/>
        </w:rPr>
        <w:t>Bent u bekend met het bericht dat een docente van het ROC Nijmegen minderjarige leerlingen in de klas heeft geronseld voor pro-Palestina-demonstraties en hen heeft blootgesteld aan eenzijdige, activistische en antisemitische propaganda?</w:t>
      </w:r>
      <w:r>
        <w:rPr>
          <w:szCs w:val="18"/>
        </w:rPr>
        <w:t xml:space="preserve"> 1)</w:t>
      </w:r>
    </w:p>
    <w:p w:rsidRPr="006A4920" w:rsidR="006C3EF9" w:rsidP="006C3EF9" w:rsidRDefault="006C3EF9" w14:paraId="7E329474" w14:textId="77777777">
      <w:pPr>
        <w:rPr>
          <w:b/>
          <w:bCs/>
          <w:szCs w:val="18"/>
        </w:rPr>
      </w:pPr>
      <w:r w:rsidRPr="007F123A">
        <w:rPr>
          <w:b/>
          <w:bCs/>
          <w:szCs w:val="18"/>
        </w:rPr>
        <w:t>Antwoord 1</w:t>
      </w:r>
    </w:p>
    <w:p w:rsidR="006C3EF9" w:rsidP="006C3EF9" w:rsidRDefault="006C3EF9" w14:paraId="757622E5" w14:textId="77777777">
      <w:r>
        <w:t>Ja, ik ben bekend met het bericht uit de Telegraaf.</w:t>
      </w:r>
      <w:r>
        <w:rPr>
          <w:rStyle w:val="Voetnootmarkering"/>
        </w:rPr>
        <w:footnoteReference w:id="1"/>
      </w:r>
      <w:r>
        <w:t>In de betreffende les verzorgde een gastspreker een bijdrage vanuit haar persoonlijke ervaringen en werd een deel van een documentaire getoond over het leven in de Palestijnse Gebieden. Aansluitend vond een klassengesprek plaats waarin studenten vragen stelden en met elkaar in gesprek gingen over het onderwerp.</w:t>
      </w:r>
    </w:p>
    <w:p w:rsidR="006C3EF9" w:rsidP="006C3EF9" w:rsidRDefault="006C3EF9" w14:paraId="502595AA" w14:textId="77777777"/>
    <w:p w:rsidR="006C3EF9" w:rsidP="006C3EF9" w:rsidRDefault="006C3EF9" w14:paraId="4CEB78F1" w14:textId="77777777">
      <w:pPr>
        <w:rPr>
          <w:b/>
          <w:bCs/>
          <w:szCs w:val="18"/>
        </w:rPr>
      </w:pPr>
    </w:p>
    <w:p w:rsidRPr="007F123A" w:rsidR="006C3EF9" w:rsidP="006C3EF9" w:rsidRDefault="006C3EF9" w14:paraId="008B9BC2" w14:textId="77777777">
      <w:pPr>
        <w:rPr>
          <w:b/>
          <w:bCs/>
          <w:szCs w:val="18"/>
        </w:rPr>
      </w:pPr>
      <w:r w:rsidRPr="007F123A">
        <w:rPr>
          <w:b/>
          <w:bCs/>
          <w:szCs w:val="18"/>
        </w:rPr>
        <w:t>Vraag 2</w:t>
      </w:r>
    </w:p>
    <w:p w:rsidR="006C3EF9" w:rsidP="006C3EF9" w:rsidRDefault="006C3EF9" w14:paraId="06E30BAA" w14:textId="77777777">
      <w:pPr>
        <w:rPr>
          <w:szCs w:val="18"/>
        </w:rPr>
      </w:pPr>
      <w:r w:rsidRPr="003A6EC4">
        <w:rPr>
          <w:szCs w:val="18"/>
        </w:rPr>
        <w:t>Deelt u de mening dat het ronselen van leerlingen voor demonstraties, het verspreiden van boycotapps tegen Israëlische producten wat kan worden gezien als een antisemitische boycot en het tonen van activistische en antisemitische propaganda in een klaslokaal niets met onderwijs te maken heeft en een vorm is van politieke en ideologische indoctrinatie?</w:t>
      </w:r>
      <w:r w:rsidRPr="003A6EC4">
        <w:rPr>
          <w:szCs w:val="18"/>
        </w:rPr>
        <w:br/>
        <w:t> </w:t>
      </w:r>
      <w:r w:rsidRPr="003A6EC4">
        <w:rPr>
          <w:szCs w:val="18"/>
        </w:rPr>
        <w:br/>
      </w:r>
      <w:r w:rsidRPr="007F123A">
        <w:rPr>
          <w:b/>
          <w:bCs/>
          <w:szCs w:val="18"/>
        </w:rPr>
        <w:t>Antwoord 2</w:t>
      </w:r>
    </w:p>
    <w:p w:rsidRPr="00EB647D" w:rsidR="006C3EF9" w:rsidP="006C3EF9" w:rsidRDefault="006C3EF9" w14:paraId="4F433659" w14:textId="77777777">
      <w:pPr>
        <w:rPr>
          <w:szCs w:val="18"/>
        </w:rPr>
      </w:pPr>
      <w:r w:rsidRPr="00EB647D">
        <w:rPr>
          <w:szCs w:val="18"/>
        </w:rPr>
        <w:t>Het onderwijs is bedoeld om studenten de mogelijkheid te bieden kritisch na te denken over complexe en soms polariserende onderwerpen en om een eigen mening te vormen. Het is niet de rol van docenten om studenten actief te sturen naar politieke acties of specifieke campagnes.</w:t>
      </w:r>
    </w:p>
    <w:p w:rsidRPr="00EB647D" w:rsidR="006C3EF9" w:rsidP="006C3EF9" w:rsidRDefault="006C3EF9" w14:paraId="6088E582" w14:textId="77777777">
      <w:pPr>
        <w:rPr>
          <w:szCs w:val="18"/>
        </w:rPr>
      </w:pPr>
      <w:r w:rsidRPr="00EB647D">
        <w:rPr>
          <w:szCs w:val="18"/>
        </w:rPr>
        <w:lastRenderedPageBreak/>
        <w:t xml:space="preserve">In de klas moet ruimte zijn om verschillende perspectieven te belichten en om dit te doen in een veilig leerklimaat. Het bevoegd gezag en de instelling zijn verantwoordelijk voor het waarborgen van deze veilige en pluriforme </w:t>
      </w:r>
      <w:r w:rsidRPr="00C779D7">
        <w:rPr>
          <w:szCs w:val="18"/>
        </w:rPr>
        <w:t xml:space="preserve">leeromgeving. In dit specifieke geval geeft ROC Nijmegen aan dat dit beter had gekund. Ik heb er vertrouwen in dat ROC Nijmegen de situatie goed oppakt en op basis van de evaluatie die de komende </w:t>
      </w:r>
      <w:r>
        <w:rPr>
          <w:szCs w:val="18"/>
        </w:rPr>
        <w:t xml:space="preserve">periode </w:t>
      </w:r>
      <w:r w:rsidRPr="00C779D7">
        <w:rPr>
          <w:szCs w:val="18"/>
        </w:rPr>
        <w:t>plaatsvindt, zal</w:t>
      </w:r>
      <w:r>
        <w:rPr>
          <w:szCs w:val="18"/>
        </w:rPr>
        <w:t xml:space="preserve"> waarborgen dat </w:t>
      </w:r>
      <w:r w:rsidRPr="00EB647D">
        <w:rPr>
          <w:szCs w:val="18"/>
        </w:rPr>
        <w:t xml:space="preserve">bij volgende </w:t>
      </w:r>
      <w:r>
        <w:rPr>
          <w:szCs w:val="18"/>
        </w:rPr>
        <w:t>burgerschaps</w:t>
      </w:r>
      <w:r w:rsidRPr="00EB647D">
        <w:rPr>
          <w:szCs w:val="18"/>
        </w:rPr>
        <w:t xml:space="preserve">lessen </w:t>
      </w:r>
      <w:r>
        <w:rPr>
          <w:szCs w:val="18"/>
        </w:rPr>
        <w:t>verschillende perspectieven worden belicht</w:t>
      </w:r>
      <w:r w:rsidRPr="00EB647D">
        <w:rPr>
          <w:szCs w:val="18"/>
        </w:rPr>
        <w:t>.</w:t>
      </w:r>
    </w:p>
    <w:p w:rsidRPr="007F123A" w:rsidR="006C3EF9" w:rsidP="006C3EF9" w:rsidRDefault="006C3EF9" w14:paraId="7ED9A768" w14:textId="77777777">
      <w:pPr>
        <w:rPr>
          <w:b/>
          <w:bCs/>
          <w:szCs w:val="18"/>
        </w:rPr>
      </w:pPr>
      <w:r w:rsidRPr="007F123A">
        <w:rPr>
          <w:b/>
          <w:bCs/>
          <w:szCs w:val="18"/>
        </w:rPr>
        <w:t>Vraag 3</w:t>
      </w:r>
    </w:p>
    <w:p w:rsidR="006C3EF9" w:rsidP="006C3EF9" w:rsidRDefault="006C3EF9" w14:paraId="7EF8324B" w14:textId="77777777">
      <w:pPr>
        <w:rPr>
          <w:szCs w:val="18"/>
        </w:rPr>
      </w:pPr>
      <w:r w:rsidRPr="003A6EC4">
        <w:rPr>
          <w:szCs w:val="18"/>
        </w:rPr>
        <w:t>Deelt u de mening dat het door een docent in het onderwijs suggereren dat “Joden” of “pro-Joden” genocide zouden steunen en het vals framen van Israël als een “genocidale staat” antisemitisch is en rechtstreeks bijdraagt aan een onveilig en intimiderend klimaat voor Joodse leerlingen op school en bovendien olie op het vuur gooit van Jodenhaat in Nederland?</w:t>
      </w:r>
    </w:p>
    <w:p w:rsidR="006C3EF9" w:rsidP="006C3EF9" w:rsidRDefault="006C3EF9" w14:paraId="12AE6EA5" w14:textId="77777777">
      <w:pPr>
        <w:rPr>
          <w:b/>
          <w:bCs/>
          <w:szCs w:val="18"/>
        </w:rPr>
      </w:pPr>
      <w:r w:rsidRPr="007F123A">
        <w:rPr>
          <w:b/>
          <w:bCs/>
          <w:szCs w:val="18"/>
        </w:rPr>
        <w:t>Antwoord 3</w:t>
      </w:r>
    </w:p>
    <w:p w:rsidRPr="007F226E" w:rsidR="006C3EF9" w:rsidP="006C3EF9" w:rsidRDefault="006C3EF9" w14:paraId="48D76C1C" w14:textId="77777777">
      <w:pPr>
        <w:rPr>
          <w:szCs w:val="18"/>
        </w:rPr>
      </w:pPr>
      <w:r w:rsidRPr="007F226E">
        <w:rPr>
          <w:szCs w:val="18"/>
        </w:rPr>
        <w:t>Het is onacceptabel wanneer in het onderwijs uitingen worden gedaan die kunnen leiden tot stigmatisering van groepen of die bijdragen aan een onveilig leerklimaat voor studenten. Antisemitisme</w:t>
      </w:r>
      <w:r>
        <w:rPr>
          <w:szCs w:val="18"/>
        </w:rPr>
        <w:t xml:space="preserve"> hoort nergens thuis</w:t>
      </w:r>
      <w:r w:rsidRPr="007F226E">
        <w:rPr>
          <w:szCs w:val="18"/>
        </w:rPr>
        <w:t xml:space="preserve">, in welke vorm dan ook, </w:t>
      </w:r>
      <w:r>
        <w:rPr>
          <w:szCs w:val="18"/>
        </w:rPr>
        <w:t xml:space="preserve">en zeker ook niet </w:t>
      </w:r>
      <w:r w:rsidRPr="007F226E">
        <w:rPr>
          <w:szCs w:val="18"/>
        </w:rPr>
        <w:t>in het onderwijs.</w:t>
      </w:r>
    </w:p>
    <w:p w:rsidR="006C3EF9" w:rsidP="006C3EF9" w:rsidRDefault="006C3EF9" w14:paraId="0B5B428B" w14:textId="77777777">
      <w:pPr>
        <w:rPr>
          <w:b/>
          <w:bCs/>
          <w:szCs w:val="18"/>
        </w:rPr>
      </w:pPr>
    </w:p>
    <w:p w:rsidRPr="007F123A" w:rsidR="006C3EF9" w:rsidP="006C3EF9" w:rsidRDefault="006C3EF9" w14:paraId="47149634" w14:textId="77777777">
      <w:pPr>
        <w:rPr>
          <w:b/>
          <w:bCs/>
          <w:szCs w:val="18"/>
        </w:rPr>
      </w:pPr>
      <w:r w:rsidRPr="007F123A">
        <w:rPr>
          <w:b/>
          <w:bCs/>
          <w:szCs w:val="18"/>
        </w:rPr>
        <w:t>Vraag 4</w:t>
      </w:r>
    </w:p>
    <w:p w:rsidR="006C3EF9" w:rsidP="006C3EF9" w:rsidRDefault="006C3EF9" w14:paraId="7BD31C35" w14:textId="77777777">
      <w:pPr>
        <w:rPr>
          <w:szCs w:val="18"/>
        </w:rPr>
      </w:pPr>
      <w:r w:rsidRPr="003A6EC4">
        <w:rPr>
          <w:szCs w:val="18"/>
        </w:rPr>
        <w:t>Hoe beoordeelt u het feit dat deze docente actief is binnen Extinction Rebellion (XR) en “Docenten voor Palestina” en haar antisemitische activisme zichtbaar verweeft met haar onderwijs aan minderjarige studenten, en acht u dit verenigbaar met de vereiste politieke en ideologische neutraliteit van het onderwijs?</w:t>
      </w:r>
    </w:p>
    <w:p w:rsidR="006C3EF9" w:rsidP="006C3EF9" w:rsidRDefault="006C3EF9" w14:paraId="6CEE1CDB" w14:textId="77777777">
      <w:pPr>
        <w:keepNext/>
        <w:rPr>
          <w:b/>
          <w:bCs/>
          <w:szCs w:val="18"/>
        </w:rPr>
      </w:pPr>
      <w:r w:rsidRPr="007F123A">
        <w:rPr>
          <w:b/>
          <w:bCs/>
          <w:szCs w:val="18"/>
        </w:rPr>
        <w:t>Antwoord 4</w:t>
      </w:r>
    </w:p>
    <w:p w:rsidRPr="00C779D7" w:rsidR="006C3EF9" w:rsidP="006C3EF9" w:rsidRDefault="006C3EF9" w14:paraId="05D5E44A" w14:textId="77777777">
      <w:pPr>
        <w:rPr>
          <w:szCs w:val="18"/>
        </w:rPr>
      </w:pPr>
      <w:r>
        <w:rPr>
          <w:szCs w:val="18"/>
        </w:rPr>
        <w:t xml:space="preserve">Het staat docenten </w:t>
      </w:r>
      <w:r w:rsidRPr="007F226E">
        <w:rPr>
          <w:szCs w:val="18"/>
        </w:rPr>
        <w:t>vrij om in hun eigen tijd activisme te bedrijven</w:t>
      </w:r>
      <w:r>
        <w:rPr>
          <w:szCs w:val="18"/>
        </w:rPr>
        <w:t>, binnen de kaders van de democratische rechtsstaat</w:t>
      </w:r>
      <w:r w:rsidRPr="007F226E">
        <w:rPr>
          <w:szCs w:val="18"/>
        </w:rPr>
        <w:t>. Dat is vrijheid van meningsuiting</w:t>
      </w:r>
      <w:r>
        <w:rPr>
          <w:szCs w:val="18"/>
        </w:rPr>
        <w:t xml:space="preserve">. </w:t>
      </w:r>
    </w:p>
    <w:p w:rsidRPr="007F123A" w:rsidR="006C3EF9" w:rsidP="006C3EF9" w:rsidRDefault="006C3EF9" w14:paraId="79A39F8E" w14:textId="77777777">
      <w:pPr>
        <w:rPr>
          <w:b/>
          <w:bCs/>
          <w:szCs w:val="18"/>
        </w:rPr>
      </w:pPr>
      <w:r w:rsidRPr="007F123A">
        <w:rPr>
          <w:b/>
          <w:bCs/>
          <w:szCs w:val="18"/>
        </w:rPr>
        <w:t>Vraag 5</w:t>
      </w:r>
    </w:p>
    <w:p w:rsidR="006C3EF9" w:rsidP="006C3EF9" w:rsidRDefault="006C3EF9" w14:paraId="152CFF07" w14:textId="77777777">
      <w:pPr>
        <w:rPr>
          <w:szCs w:val="18"/>
        </w:rPr>
      </w:pPr>
      <w:r w:rsidRPr="003A6EC4">
        <w:rPr>
          <w:szCs w:val="18"/>
        </w:rPr>
        <w:t>Welke concrete maatregelen gaat u nemen om antisemitisme in het onderwijs hard aan te pakken en Joodse leerlingen te beschermen, en bent u bereid landelijk en afdwingbaar vast te leggen dat docenten zich tijdens lestijd strikt neutraal moeten opstellen en het verboden is om leerlingen op te roepen tot politieke acties, demonstraties en boycots, met daaraan verbonden duidelijke sancties bij overtreding?</w:t>
      </w:r>
    </w:p>
    <w:p w:rsidR="006C3EF9" w:rsidP="006C3EF9" w:rsidRDefault="006C3EF9" w14:paraId="7A406D81" w14:textId="77777777">
      <w:pPr>
        <w:rPr>
          <w:b/>
          <w:bCs/>
          <w:szCs w:val="18"/>
        </w:rPr>
      </w:pPr>
      <w:r w:rsidRPr="007F123A">
        <w:rPr>
          <w:b/>
          <w:bCs/>
          <w:szCs w:val="18"/>
        </w:rPr>
        <w:t>Antwoord 5</w:t>
      </w:r>
    </w:p>
    <w:p w:rsidRPr="00B5524F" w:rsidR="006C3EF9" w:rsidP="006C3EF9" w:rsidRDefault="006C3EF9" w14:paraId="14B5F663" w14:textId="77777777">
      <w:pPr>
        <w:rPr>
          <w:szCs w:val="18"/>
        </w:rPr>
      </w:pPr>
      <w:r w:rsidRPr="00B5524F">
        <w:rPr>
          <w:szCs w:val="18"/>
        </w:rPr>
        <w:t>Het kabinet deelt de</w:t>
      </w:r>
      <w:r>
        <w:rPr>
          <w:szCs w:val="18"/>
        </w:rPr>
        <w:t xml:space="preserve"> opvatting</w:t>
      </w:r>
      <w:r w:rsidRPr="00B5524F">
        <w:rPr>
          <w:szCs w:val="18"/>
        </w:rPr>
        <w:t xml:space="preserve"> dat antisemitisme aangepakt dient te worden. Er is geen ruimte voor antisemitisme in onze samenleving en op onze </w:t>
      </w:r>
      <w:r w:rsidRPr="00B5524F">
        <w:rPr>
          <w:szCs w:val="18"/>
        </w:rPr>
        <w:lastRenderedPageBreak/>
        <w:t>onderwijsinstellingen. De aanbevelingen uit het rapport</w:t>
      </w:r>
      <w:r>
        <w:rPr>
          <w:szCs w:val="18"/>
        </w:rPr>
        <w:t xml:space="preserve"> van de Taskforce Antisemitismebestrijding </w:t>
      </w:r>
      <w:r w:rsidRPr="00B5524F">
        <w:rPr>
          <w:szCs w:val="18"/>
        </w:rPr>
        <w:t>zijn van grote waarde voor de instellingbesturen en mijn ministerie.</w:t>
      </w:r>
      <w:r w:rsidRPr="00B5524F">
        <w:rPr>
          <w:rStyle w:val="Voetnootmarkering"/>
          <w:szCs w:val="18"/>
        </w:rPr>
        <w:t xml:space="preserve"> </w:t>
      </w:r>
      <w:r>
        <w:rPr>
          <w:rStyle w:val="Voetnootmarkering"/>
          <w:szCs w:val="18"/>
        </w:rPr>
        <w:footnoteReference w:id="2"/>
      </w:r>
      <w:r w:rsidRPr="00B5524F">
        <w:rPr>
          <w:szCs w:val="18"/>
        </w:rPr>
        <w:t xml:space="preserve"> In het voorjaar zal vanuit betrokken ministeries een uitgebreide beleidsreactie op het rapport naar de Tweede Kamer worden verzonden, samen met de jaarlijkse actualisatie van de Strategie Bestrijding Antisemitisme 2024-2030.”</w:t>
      </w:r>
      <w:r w:rsidRPr="00B5524F">
        <w:rPr>
          <w:rStyle w:val="Voetnootmarkering"/>
          <w:szCs w:val="18"/>
        </w:rPr>
        <w:t xml:space="preserve"> </w:t>
      </w:r>
      <w:r w:rsidRPr="00C779D7">
        <w:rPr>
          <w:rStyle w:val="Voetnootmarkering"/>
          <w:szCs w:val="18"/>
        </w:rPr>
        <w:footnoteReference w:id="3"/>
      </w:r>
    </w:p>
    <w:p w:rsidR="006C3EF9" w:rsidP="006C3EF9" w:rsidRDefault="006C3EF9" w14:paraId="23B9E5A5" w14:textId="77777777">
      <w:pPr>
        <w:rPr>
          <w:szCs w:val="18"/>
        </w:rPr>
      </w:pPr>
    </w:p>
    <w:p w:rsidR="006C3EF9" w:rsidP="006C3EF9" w:rsidRDefault="006C3EF9" w14:paraId="2DABAED4" w14:textId="77777777">
      <w:pPr>
        <w:rPr>
          <w:szCs w:val="18"/>
        </w:rPr>
      </w:pPr>
      <w:r>
        <w:t>Het</w:t>
      </w:r>
      <w:r w:rsidRPr="00C779D7">
        <w:t xml:space="preserve"> ministerie</w:t>
      </w:r>
      <w:r>
        <w:t xml:space="preserve"> brengt tevens </w:t>
      </w:r>
      <w:r w:rsidRPr="00C779D7">
        <w:t xml:space="preserve">leermiddelen en trainingen gericht op het herkennen en ingrijpen bij antisemitisme en andere vormen van discriminatie </w:t>
      </w:r>
      <w:r>
        <w:t xml:space="preserve">actief </w:t>
      </w:r>
      <w:r w:rsidRPr="00C779D7">
        <w:t xml:space="preserve">onder de aandacht bij onderwijsinstellingen. Zo </w:t>
      </w:r>
      <w:r>
        <w:t xml:space="preserve">is </w:t>
      </w:r>
      <w:r w:rsidRPr="00C779D7">
        <w:rPr>
          <w:szCs w:val="18"/>
        </w:rPr>
        <w:t>de handreiking ‘omgaan met anti semitische incidenten’</w:t>
      </w:r>
      <w:r w:rsidRPr="00C779D7">
        <w:rPr>
          <w:rStyle w:val="Voetnootmarkering"/>
          <w:szCs w:val="18"/>
        </w:rPr>
        <w:footnoteReference w:id="4"/>
      </w:r>
      <w:r w:rsidRPr="00C779D7">
        <w:rPr>
          <w:szCs w:val="18"/>
        </w:rPr>
        <w:t xml:space="preserve"> gepubliceerd. Het </w:t>
      </w:r>
      <w:r w:rsidRPr="00C779D7">
        <w:t xml:space="preserve">aanbod wordt onder meer </w:t>
      </w:r>
      <w:r>
        <w:t xml:space="preserve">via </w:t>
      </w:r>
      <w:r w:rsidRPr="00C779D7">
        <w:t>nieuwsbrieven, het Expertisepunt Burgerschap, Stichting School en Veiligheid en campagnes verspreid onder de instellingen.</w:t>
      </w:r>
      <w:r>
        <w:t xml:space="preserve"> </w:t>
      </w:r>
      <w:r>
        <w:rPr>
          <w:szCs w:val="18"/>
        </w:rPr>
        <w:t>In het onderwijs moeten maatschappelijke en soms polariserende onderwerpen besproken kunnen worden; h</w:t>
      </w:r>
      <w:r w:rsidRPr="0056568D">
        <w:rPr>
          <w:szCs w:val="18"/>
        </w:rPr>
        <w:t>et oproepen tot politieke acties tijdens lestijd past daar niet bij.</w:t>
      </w:r>
    </w:p>
    <w:p w:rsidR="006C3EF9" w:rsidP="006C3EF9" w:rsidRDefault="006C3EF9" w14:paraId="2E5EC439" w14:textId="77777777">
      <w:pPr>
        <w:rPr>
          <w:szCs w:val="18"/>
        </w:rPr>
      </w:pPr>
    </w:p>
    <w:p w:rsidR="006C3EF9" w:rsidP="006C3EF9" w:rsidRDefault="006C3EF9" w14:paraId="049A83F2" w14:textId="77777777">
      <w:pPr>
        <w:rPr>
          <w:szCs w:val="18"/>
        </w:rPr>
      </w:pPr>
      <w:r>
        <w:rPr>
          <w:szCs w:val="18"/>
        </w:rPr>
        <w:t xml:space="preserve">Daarnaast dienen instellingen </w:t>
      </w:r>
      <w:r w:rsidRPr="0056568D">
        <w:rPr>
          <w:szCs w:val="18"/>
        </w:rPr>
        <w:t xml:space="preserve">actief </w:t>
      </w:r>
      <w:r>
        <w:rPr>
          <w:szCs w:val="18"/>
        </w:rPr>
        <w:t>zorg te dragen voor (sociale) veiligheid</w:t>
      </w:r>
      <w:r w:rsidRPr="0056568D">
        <w:rPr>
          <w:szCs w:val="18"/>
        </w:rPr>
        <w:t>, onder meer door duidelijke afspraken te maken over het professioneel handelen van docenten, door signalen serieus te nemen en waar nodig in te grijpen. Het is daarbij aan instellingen om, in het kader van goed werkgeverschap, passende maatregelen te treffen wanneer grenzen worden overschreden.</w:t>
      </w:r>
      <w:r>
        <w:rPr>
          <w:szCs w:val="18"/>
        </w:rPr>
        <w:t xml:space="preserve"> Veiligheidsincidenten kunnen ook gemeld worden bij de Inspectie van het Onderwijs. Het College van Bestuur kan bij het vermoeden van een strafbaar feit aangifte doen bij de politie.</w:t>
      </w:r>
      <w:r w:rsidDel="00452BD2">
        <w:rPr>
          <w:szCs w:val="18"/>
        </w:rPr>
        <w:t xml:space="preserve"> </w:t>
      </w:r>
    </w:p>
    <w:p w:rsidR="006C3EF9" w:rsidP="006C3EF9" w:rsidRDefault="006C3EF9" w14:paraId="36C48819" w14:textId="77777777">
      <w:pPr>
        <w:rPr>
          <w:szCs w:val="18"/>
        </w:rPr>
      </w:pPr>
    </w:p>
    <w:p w:rsidRPr="0056568D" w:rsidR="006C3EF9" w:rsidP="006C3EF9" w:rsidRDefault="006C3EF9" w14:paraId="2CA5EEDD" w14:textId="77777777">
      <w:pPr>
        <w:rPr>
          <w:szCs w:val="18"/>
        </w:rPr>
      </w:pPr>
      <w:r w:rsidRPr="0056568D">
        <w:rPr>
          <w:szCs w:val="18"/>
        </w:rPr>
        <w:t xml:space="preserve">De verantwoordelijkheid </w:t>
      </w:r>
      <w:r>
        <w:rPr>
          <w:szCs w:val="18"/>
        </w:rPr>
        <w:t xml:space="preserve">voor sociale veiligheid </w:t>
      </w:r>
      <w:r w:rsidRPr="0056568D">
        <w:rPr>
          <w:szCs w:val="18"/>
        </w:rPr>
        <w:t>volgt uit bestaande wet- en regelgeving</w:t>
      </w:r>
      <w:r>
        <w:rPr>
          <w:szCs w:val="18"/>
        </w:rPr>
        <w:t>. Op dit moment wordt gewerkt aan een wetsvoorstel om deze</w:t>
      </w:r>
      <w:r w:rsidRPr="0056568D">
        <w:rPr>
          <w:szCs w:val="18"/>
        </w:rPr>
        <w:t xml:space="preserve"> zorgplicht</w:t>
      </w:r>
      <w:r w:rsidRPr="00021EF1">
        <w:rPr>
          <w:szCs w:val="18"/>
        </w:rPr>
        <w:t xml:space="preserve"> </w:t>
      </w:r>
      <w:r w:rsidRPr="0056568D">
        <w:rPr>
          <w:szCs w:val="18"/>
        </w:rPr>
        <w:t xml:space="preserve">voor sociale veiligheid </w:t>
      </w:r>
      <w:r>
        <w:rPr>
          <w:szCs w:val="18"/>
        </w:rPr>
        <w:t>van</w:t>
      </w:r>
      <w:r w:rsidRPr="0056568D">
        <w:rPr>
          <w:szCs w:val="18"/>
        </w:rPr>
        <w:t xml:space="preserve"> instellingen</w:t>
      </w:r>
      <w:r>
        <w:rPr>
          <w:szCs w:val="18"/>
        </w:rPr>
        <w:t xml:space="preserve"> in het vervolgonderwijs en onderzoek te verduidelijken en expliciteren, onder meer door randvoorwaarden te stellen aan het te voeren veiligheidsbeleid</w:t>
      </w:r>
      <w:r w:rsidRPr="0056568D">
        <w:rPr>
          <w:szCs w:val="18"/>
        </w:rPr>
        <w:t>.</w:t>
      </w:r>
      <w:r>
        <w:rPr>
          <w:szCs w:val="18"/>
        </w:rPr>
        <w:t xml:space="preserve"> </w:t>
      </w:r>
    </w:p>
    <w:p w:rsidRPr="0056568D" w:rsidR="006C3EF9" w:rsidP="006C3EF9" w:rsidRDefault="006C3EF9" w14:paraId="74C96E92" w14:textId="77777777">
      <w:pPr>
        <w:rPr>
          <w:szCs w:val="18"/>
        </w:rPr>
      </w:pPr>
    </w:p>
    <w:p w:rsidR="006C3EF9" w:rsidP="006C3EF9" w:rsidRDefault="006C3EF9" w14:paraId="6EA3D285" w14:textId="77777777">
      <w:pPr>
        <w:rPr>
          <w:szCs w:val="18"/>
        </w:rPr>
      </w:pPr>
      <w:r>
        <w:rPr>
          <w:szCs w:val="18"/>
        </w:rPr>
        <w:t xml:space="preserve">Ook </w:t>
      </w:r>
      <w:r w:rsidRPr="003E259F">
        <w:rPr>
          <w:szCs w:val="18"/>
        </w:rPr>
        <w:t xml:space="preserve">stelt het wetsvoorstel Uitwerking burgerschapsopdracht WEB een helder kader: het bevoegd gezag </w:t>
      </w:r>
      <w:r>
        <w:rPr>
          <w:szCs w:val="18"/>
        </w:rPr>
        <w:t xml:space="preserve">moet zorgdragen voor een instellingscultuur die in lijn is </w:t>
      </w:r>
      <w:r>
        <w:rPr>
          <w:szCs w:val="18"/>
        </w:rPr>
        <w:lastRenderedPageBreak/>
        <w:t xml:space="preserve">met de basiswaarden van de democratische rechtsstaat. </w:t>
      </w:r>
      <w:r w:rsidRPr="00C47203">
        <w:rPr>
          <w:szCs w:val="18"/>
        </w:rPr>
        <w:t>In een dergelijke cultuur hebben antisemitisme en alle andere vormen van discriminatie geen plek.</w:t>
      </w:r>
      <w:r>
        <w:rPr>
          <w:szCs w:val="18"/>
        </w:rPr>
        <w:t xml:space="preserve"> </w:t>
      </w:r>
    </w:p>
    <w:p w:rsidRPr="00C779D7" w:rsidR="006C3EF9" w:rsidP="006C3EF9" w:rsidRDefault="006C3EF9" w14:paraId="1DD01F58" w14:textId="77777777">
      <w:pPr>
        <w:rPr>
          <w:b/>
          <w:bCs/>
          <w:szCs w:val="18"/>
        </w:rPr>
      </w:pPr>
      <w:r>
        <w:rPr>
          <w:szCs w:val="18"/>
        </w:rPr>
        <w:t xml:space="preserve">Ik zie </w:t>
      </w:r>
      <w:r w:rsidRPr="0056568D">
        <w:rPr>
          <w:szCs w:val="18"/>
        </w:rPr>
        <w:t xml:space="preserve">geen aanleiding om </w:t>
      </w:r>
      <w:r>
        <w:rPr>
          <w:szCs w:val="18"/>
        </w:rPr>
        <w:t xml:space="preserve">aanvullend </w:t>
      </w:r>
      <w:r w:rsidRPr="0056568D">
        <w:rPr>
          <w:szCs w:val="18"/>
        </w:rPr>
        <w:t>landelijk vast te leggen dat docenten zich tijdens lestijd strikt neutraal moeten opstellen of om landelijke sancties in te voeren.</w:t>
      </w:r>
      <w:r w:rsidRPr="003E259F">
        <w:t xml:space="preserve"> </w:t>
      </w:r>
    </w:p>
    <w:p w:rsidRPr="001D57BD" w:rsidR="006C3EF9" w:rsidP="006C3EF9" w:rsidRDefault="006C3EF9" w14:paraId="544F4384" w14:textId="77777777">
      <w:pPr>
        <w:rPr>
          <w:szCs w:val="18"/>
        </w:rPr>
      </w:pPr>
    </w:p>
    <w:p w:rsidRPr="003A6EC4" w:rsidR="006C3EF9" w:rsidP="006C3EF9" w:rsidRDefault="006C3EF9" w14:paraId="7FDE02E7" w14:textId="77777777">
      <w:pPr>
        <w:rPr>
          <w:szCs w:val="18"/>
        </w:rPr>
      </w:pPr>
    </w:p>
    <w:p w:rsidR="006C3EF9" w:rsidP="006C3EF9" w:rsidRDefault="006C3EF9" w14:paraId="032263F7" w14:textId="77777777">
      <w:pPr>
        <w:rPr>
          <w:szCs w:val="18"/>
        </w:rPr>
      </w:pPr>
      <w:r w:rsidRPr="003A6EC4">
        <w:rPr>
          <w:szCs w:val="18"/>
        </w:rPr>
        <w:t>[1] De Telegraaf, d.d. 21 januari 2026, Woede over XR-docente van ROC Nijmegen die in klas voor pro-Palestina-demonstraties zou ronselen: ’Haatzaaien tegen Joden hoort niet thuis op school’, Woede over XR-docente van ROC Nijmegen die in klas voor pro-Palestina-demonstraties zou ronselen: ’Haatzaaien tegen Joden hoort niet thuis op school’ | De Telegraaf</w:t>
      </w:r>
    </w:p>
    <w:p w:rsidR="006C3EF9" w:rsidP="006C3EF9" w:rsidRDefault="006C3EF9" w14:paraId="59619A93" w14:textId="77777777">
      <w:pPr>
        <w:rPr>
          <w:szCs w:val="18"/>
        </w:rPr>
      </w:pPr>
    </w:p>
    <w:p w:rsidR="006C3EF9" w:rsidP="006C3EF9" w:rsidRDefault="006C3EF9" w14:paraId="1073DAD1" w14:textId="77777777"/>
    <w:p w:rsidRPr="00820DDA" w:rsidR="006C3EF9" w:rsidP="006C3EF9" w:rsidRDefault="006C3EF9" w14:paraId="479E2D23" w14:textId="77777777">
      <w:pPr>
        <w:pStyle w:val="standaard-tekst"/>
      </w:pPr>
    </w:p>
    <w:p w:rsidR="00A20281" w:rsidRDefault="00A20281" w14:paraId="1A366DCF" w14:textId="77777777"/>
    <w:sectPr w:rsidR="00A20281" w:rsidSect="006C3EF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FCCF" w14:textId="77777777" w:rsidR="006C3EF9" w:rsidRDefault="006C3EF9" w:rsidP="006C3EF9">
      <w:pPr>
        <w:spacing w:after="0" w:line="240" w:lineRule="auto"/>
      </w:pPr>
      <w:r>
        <w:separator/>
      </w:r>
    </w:p>
  </w:endnote>
  <w:endnote w:type="continuationSeparator" w:id="0">
    <w:p w14:paraId="4B2B5CBC" w14:textId="77777777" w:rsidR="006C3EF9" w:rsidRDefault="006C3EF9" w:rsidP="006C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D5AC" w14:textId="77777777" w:rsidR="006C3EF9" w:rsidRPr="006C3EF9" w:rsidRDefault="006C3EF9" w:rsidP="006C3E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7B98" w14:textId="77777777" w:rsidR="006C3EF9" w:rsidRPr="006C3EF9" w:rsidRDefault="006C3EF9" w:rsidP="006C3E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9A7" w14:textId="77777777" w:rsidR="006C3EF9" w:rsidRPr="006C3EF9" w:rsidRDefault="006C3EF9" w:rsidP="006C3E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AC1B" w14:textId="77777777" w:rsidR="006C3EF9" w:rsidRDefault="006C3EF9" w:rsidP="006C3EF9">
      <w:pPr>
        <w:spacing w:after="0" w:line="240" w:lineRule="auto"/>
      </w:pPr>
      <w:r>
        <w:separator/>
      </w:r>
    </w:p>
  </w:footnote>
  <w:footnote w:type="continuationSeparator" w:id="0">
    <w:p w14:paraId="588E4E97" w14:textId="77777777" w:rsidR="006C3EF9" w:rsidRDefault="006C3EF9" w:rsidP="006C3EF9">
      <w:pPr>
        <w:spacing w:after="0" w:line="240" w:lineRule="auto"/>
      </w:pPr>
      <w:r>
        <w:continuationSeparator/>
      </w:r>
    </w:p>
  </w:footnote>
  <w:footnote w:id="1">
    <w:p w14:paraId="1F44D954" w14:textId="77777777" w:rsidR="006C3EF9" w:rsidRPr="00976D7E" w:rsidRDefault="006C3EF9" w:rsidP="006C3EF9">
      <w:pPr>
        <w:rPr>
          <w:sz w:val="15"/>
          <w:szCs w:val="15"/>
        </w:rPr>
      </w:pPr>
      <w:r w:rsidRPr="00976D7E">
        <w:rPr>
          <w:rStyle w:val="Voetnootmarkering"/>
          <w:sz w:val="15"/>
          <w:szCs w:val="15"/>
        </w:rPr>
        <w:footnoteRef/>
      </w:r>
      <w:r w:rsidRPr="00976D7E">
        <w:rPr>
          <w:sz w:val="15"/>
          <w:szCs w:val="15"/>
        </w:rPr>
        <w:t xml:space="preserve"> De Telegraaf, d.d. 21 januari 2026, Woede over XR-docente van ROC Nijmegen die in klas voor pro-Palestina-demonstraties zou ronselen: ’Haatzaaien tegen Joden hoort niet thuis op school’, Woede over XR-docente van ROC Nijmegen die in klas voor pro-Palestina-demonstraties zou ronselen: ’Haatzaaien tegen Joden hoort niet thuis op school’ | De Telegraaf</w:t>
      </w:r>
    </w:p>
  </w:footnote>
  <w:footnote w:id="2">
    <w:p w14:paraId="2F521B79" w14:textId="77777777" w:rsidR="006C3EF9" w:rsidRDefault="006C3EF9" w:rsidP="006C3EF9">
      <w:pPr>
        <w:pStyle w:val="Voetnoottekst"/>
      </w:pPr>
      <w:r>
        <w:rPr>
          <w:rStyle w:val="Voetnootmarkering"/>
        </w:rPr>
        <w:footnoteRef/>
      </w:r>
      <w:r>
        <w:t xml:space="preserve"> Taskforce Antisemitismebestrijding (2026). </w:t>
      </w:r>
      <w:r w:rsidRPr="00984DE6">
        <w:rPr>
          <w:i/>
          <w:iCs/>
        </w:rPr>
        <w:t>Gevangen in Vrijheden.</w:t>
      </w:r>
      <w:r>
        <w:t xml:space="preserve"> Ministerie van Justitie en Veiligheid. </w:t>
      </w:r>
      <w:r w:rsidRPr="008C5013">
        <w:t>https://open.overheid.nl/documenten/cb9ead78-af1f-42a1-94dc-75cfdd0e8b76/file</w:t>
      </w:r>
    </w:p>
  </w:footnote>
  <w:footnote w:id="3">
    <w:p w14:paraId="7BF4AE05" w14:textId="77777777" w:rsidR="006C3EF9" w:rsidRDefault="006C3EF9" w:rsidP="006C3EF9">
      <w:pPr>
        <w:pStyle w:val="Voetnoottekst"/>
      </w:pPr>
      <w:r>
        <w:rPr>
          <w:rStyle w:val="Voetnootmarkering"/>
        </w:rPr>
        <w:footnoteRef/>
      </w:r>
      <w:r>
        <w:t xml:space="preserve"> </w:t>
      </w:r>
      <w:r>
        <w:rPr>
          <w:rFonts w:ascii="Arial" w:hAnsi="Arial" w:cs="Arial"/>
          <w:color w:val="0A0A0A"/>
          <w:shd w:val="clear" w:color="auto" w:fill="FFFFFF"/>
        </w:rPr>
        <w:t>Rijksoverheid. (2024). </w:t>
      </w:r>
      <w:r>
        <w:rPr>
          <w:rStyle w:val="Nadruk"/>
          <w:rFonts w:ascii="Arial" w:hAnsi="Arial" w:cs="Arial"/>
          <w:color w:val="0A0A0A"/>
          <w:shd w:val="clear" w:color="auto" w:fill="FFFFFF"/>
        </w:rPr>
        <w:t>Strategie Bestrijding Antisemitisme 2024-2030</w:t>
      </w:r>
      <w:r>
        <w:rPr>
          <w:rFonts w:ascii="Arial" w:hAnsi="Arial" w:cs="Arial"/>
          <w:color w:val="0A0A0A"/>
          <w:shd w:val="clear" w:color="auto" w:fill="FFFFFF"/>
        </w:rPr>
        <w:t> (TK Bijlage 2024D45569) [Rapport]. Ministerie van Justitie en Veiligheid. https://www.rijksoverheid.nl/documenten/rapporten/2024/11/22/tk-bijlage-strategie-bestrijding-antisemitisme</w:t>
      </w:r>
      <w:r>
        <w:t xml:space="preserve">. </w:t>
      </w:r>
    </w:p>
  </w:footnote>
  <w:footnote w:id="4">
    <w:p w14:paraId="74C4F771" w14:textId="77777777" w:rsidR="006C3EF9" w:rsidRDefault="006C3EF9" w:rsidP="006C3EF9">
      <w:pPr>
        <w:pStyle w:val="Voetnoottekst"/>
      </w:pPr>
      <w:r>
        <w:rPr>
          <w:rStyle w:val="Voetnootmarkering"/>
        </w:rPr>
        <w:footnoteRef/>
      </w:r>
      <w:r>
        <w:t xml:space="preserve"> </w:t>
      </w:r>
      <w:r>
        <w:rPr>
          <w:rFonts w:ascii="Arial" w:hAnsi="Arial" w:cs="Arial"/>
          <w:color w:val="0A0A0A"/>
          <w:shd w:val="clear" w:color="auto" w:fill="FFFFFF"/>
        </w:rPr>
        <w:t>Rijksoverheid. (2024). </w:t>
      </w:r>
      <w:r>
        <w:rPr>
          <w:rStyle w:val="Nadruk"/>
          <w:rFonts w:ascii="Arial" w:hAnsi="Arial" w:cs="Arial"/>
          <w:color w:val="0A0A0A"/>
          <w:shd w:val="clear" w:color="auto" w:fill="FFFFFF"/>
        </w:rPr>
        <w:t>Handreiking omgaan met antisemitische incidenten op scholen</w:t>
      </w:r>
      <w:r>
        <w:rPr>
          <w:rFonts w:ascii="Arial" w:hAnsi="Arial" w:cs="Arial"/>
          <w:color w:val="0A0A0A"/>
          <w:shd w:val="clear" w:color="auto" w:fill="FFFFFF"/>
        </w:rPr>
        <w:t>. https://www.rijksoverheid.nl/documenten/brochures/2024/05/17/handreiking-omgaan-met-antisemitische-incidenten-op-scholen</w:t>
      </w:r>
      <w:r>
        <w:rPr>
          <w:rStyle w:val="vkekvd"/>
          <w:rFonts w:ascii="Arial" w:hAnsi="Arial" w:cs="Arial"/>
          <w:color w:val="0A0A0A"/>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FAF6" w14:textId="77777777" w:rsidR="006C3EF9" w:rsidRPr="006C3EF9" w:rsidRDefault="006C3EF9" w:rsidP="006C3E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EF8F" w14:textId="77777777" w:rsidR="006C3EF9" w:rsidRPr="006C3EF9" w:rsidRDefault="006C3EF9" w:rsidP="006C3E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F4B" w14:textId="77777777" w:rsidR="006C3EF9" w:rsidRPr="006C3EF9" w:rsidRDefault="006C3EF9" w:rsidP="006C3E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F9"/>
    <w:rsid w:val="006C3EF9"/>
    <w:rsid w:val="00A20281"/>
    <w:rsid w:val="00CE7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99D9"/>
  <w15:chartTrackingRefBased/>
  <w15:docId w15:val="{E1DE0A5E-3EA2-41B5-B8C0-B628BC71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3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3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3E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3E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3E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3E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3E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3E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3E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E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3E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3E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3E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3E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3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3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3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3EF9"/>
    <w:rPr>
      <w:rFonts w:eastAsiaTheme="majorEastAsia" w:cstheme="majorBidi"/>
      <w:color w:val="272727" w:themeColor="text1" w:themeTint="D8"/>
    </w:rPr>
  </w:style>
  <w:style w:type="paragraph" w:styleId="Titel">
    <w:name w:val="Title"/>
    <w:basedOn w:val="Standaard"/>
    <w:next w:val="Standaard"/>
    <w:link w:val="TitelChar"/>
    <w:uiPriority w:val="10"/>
    <w:qFormat/>
    <w:rsid w:val="006C3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3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3E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3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3E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3EF9"/>
    <w:rPr>
      <w:i/>
      <w:iCs/>
      <w:color w:val="404040" w:themeColor="text1" w:themeTint="BF"/>
    </w:rPr>
  </w:style>
  <w:style w:type="paragraph" w:styleId="Lijstalinea">
    <w:name w:val="List Paragraph"/>
    <w:basedOn w:val="Standaard"/>
    <w:uiPriority w:val="34"/>
    <w:qFormat/>
    <w:rsid w:val="006C3EF9"/>
    <w:pPr>
      <w:ind w:left="720"/>
      <w:contextualSpacing/>
    </w:pPr>
  </w:style>
  <w:style w:type="character" w:styleId="Intensievebenadrukking">
    <w:name w:val="Intense Emphasis"/>
    <w:basedOn w:val="Standaardalinea-lettertype"/>
    <w:uiPriority w:val="21"/>
    <w:qFormat/>
    <w:rsid w:val="006C3EF9"/>
    <w:rPr>
      <w:i/>
      <w:iCs/>
      <w:color w:val="2F5496" w:themeColor="accent1" w:themeShade="BF"/>
    </w:rPr>
  </w:style>
  <w:style w:type="paragraph" w:styleId="Duidelijkcitaat">
    <w:name w:val="Intense Quote"/>
    <w:basedOn w:val="Standaard"/>
    <w:next w:val="Standaard"/>
    <w:link w:val="DuidelijkcitaatChar"/>
    <w:uiPriority w:val="30"/>
    <w:qFormat/>
    <w:rsid w:val="006C3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3EF9"/>
    <w:rPr>
      <w:i/>
      <w:iCs/>
      <w:color w:val="2F5496" w:themeColor="accent1" w:themeShade="BF"/>
    </w:rPr>
  </w:style>
  <w:style w:type="character" w:styleId="Intensieveverwijzing">
    <w:name w:val="Intense Reference"/>
    <w:basedOn w:val="Standaardalinea-lettertype"/>
    <w:uiPriority w:val="32"/>
    <w:qFormat/>
    <w:rsid w:val="006C3EF9"/>
    <w:rPr>
      <w:b/>
      <w:bCs/>
      <w:smallCaps/>
      <w:color w:val="2F5496" w:themeColor="accent1" w:themeShade="BF"/>
      <w:spacing w:val="5"/>
    </w:rPr>
  </w:style>
  <w:style w:type="paragraph" w:styleId="Koptekst">
    <w:name w:val="header"/>
    <w:basedOn w:val="Standaard"/>
    <w:link w:val="KoptekstChar"/>
    <w:rsid w:val="006C3E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3E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3E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3E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3E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3EF9"/>
    <w:rPr>
      <w:rFonts w:ascii="Verdana" w:hAnsi="Verdana"/>
      <w:noProof/>
      <w:sz w:val="13"/>
      <w:szCs w:val="24"/>
      <w:lang w:eastAsia="nl-NL"/>
    </w:rPr>
  </w:style>
  <w:style w:type="paragraph" w:customStyle="1" w:styleId="Huisstijl-Gegeven">
    <w:name w:val="Huisstijl-Gegeven"/>
    <w:basedOn w:val="Standaard"/>
    <w:link w:val="Huisstijl-GegevenCharChar"/>
    <w:rsid w:val="006C3E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3E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C3EF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C3EF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C3EF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C3EF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C3EF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Nadruk">
    <w:name w:val="Emphasis"/>
    <w:basedOn w:val="Standaardalinea-lettertype"/>
    <w:uiPriority w:val="20"/>
    <w:qFormat/>
    <w:rsid w:val="006C3EF9"/>
    <w:rPr>
      <w:i/>
      <w:iCs/>
    </w:rPr>
  </w:style>
  <w:style w:type="character" w:styleId="Voetnootmarkering">
    <w:name w:val="footnote reference"/>
    <w:basedOn w:val="Standaardalinea-lettertype"/>
    <w:rsid w:val="006C3EF9"/>
    <w:rPr>
      <w:vertAlign w:val="superscript"/>
    </w:rPr>
  </w:style>
  <w:style w:type="character" w:customStyle="1" w:styleId="vkekvd">
    <w:name w:val="vkekvd"/>
    <w:basedOn w:val="Standaardalinea-lettertype"/>
    <w:rsid w:val="006C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993</ap:Words>
  <ap:Characters>5462</ap:Characters>
  <ap:DocSecurity>0</ap:DocSecurity>
  <ap:Lines>45</ap:Lines>
  <ap:Paragraphs>12</ap:Paragraphs>
  <ap:ScaleCrop>false</ap:ScaleCrop>
  <ap:LinksUpToDate>false</ap:LinksUpToDate>
  <ap:CharactersWithSpaces>6443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2026-03-10T08:28:00.0000000Z</dcterms:created>
  <dcterms:modified xsi:type="dcterms:W3CDTF">2026-03-10T08:29:00.0000000Z</dcterms:modified>
  <version/>
  <category/>
</coreProperties>
</file>