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B019D" w:rsidR="008B019D" w:rsidRDefault="00520509" w14:paraId="0EDB1C76" w14:textId="6DD5186C">
      <w:pPr>
        <w:rPr>
          <w:rFonts w:ascii="Calibri" w:hAnsi="Calibri" w:cs="Calibri"/>
        </w:rPr>
      </w:pPr>
      <w:r w:rsidRPr="008B019D">
        <w:rPr>
          <w:rFonts w:ascii="Calibri" w:hAnsi="Calibri" w:cs="Calibri"/>
        </w:rPr>
        <w:t>25</w:t>
      </w:r>
      <w:r w:rsidRPr="008B019D" w:rsidR="008B019D">
        <w:rPr>
          <w:rFonts w:ascii="Calibri" w:hAnsi="Calibri" w:cs="Calibri"/>
        </w:rPr>
        <w:t xml:space="preserve"> </w:t>
      </w:r>
      <w:r w:rsidRPr="008B019D">
        <w:rPr>
          <w:rFonts w:ascii="Calibri" w:hAnsi="Calibri" w:cs="Calibri"/>
        </w:rPr>
        <w:t>295</w:t>
      </w:r>
      <w:r w:rsidRPr="008B019D" w:rsidR="008B019D">
        <w:rPr>
          <w:rFonts w:ascii="Calibri" w:hAnsi="Calibri" w:cs="Calibri"/>
        </w:rPr>
        <w:tab/>
      </w:r>
      <w:r w:rsidRPr="008B019D" w:rsidR="008B019D">
        <w:rPr>
          <w:rFonts w:ascii="Calibri" w:hAnsi="Calibri" w:cs="Calibri"/>
        </w:rPr>
        <w:tab/>
        <w:t>Infectieziektenbestrijding</w:t>
      </w:r>
    </w:p>
    <w:p w:rsidRPr="008B019D" w:rsidR="008B019D" w:rsidP="00D80872" w:rsidRDefault="008B019D" w14:paraId="5D5DEA42" w14:textId="77777777">
      <w:pPr>
        <w:rPr>
          <w:rFonts w:ascii="Calibri" w:hAnsi="Calibri" w:cs="Calibri"/>
        </w:rPr>
      </w:pPr>
      <w:r w:rsidRPr="008B019D">
        <w:rPr>
          <w:rFonts w:ascii="Calibri" w:hAnsi="Calibri" w:cs="Calibri"/>
        </w:rPr>
        <w:t xml:space="preserve">Nr. </w:t>
      </w:r>
      <w:r w:rsidRPr="008B019D" w:rsidR="00520509">
        <w:rPr>
          <w:rFonts w:ascii="Calibri" w:hAnsi="Calibri" w:cs="Calibri"/>
        </w:rPr>
        <w:t>2264</w:t>
      </w:r>
      <w:r w:rsidRPr="008B019D">
        <w:rPr>
          <w:rFonts w:ascii="Calibri" w:hAnsi="Calibri" w:cs="Calibri"/>
        </w:rPr>
        <w:tab/>
        <w:t>Brief van de minister van Volksgezondheid, Welzijn en Sport</w:t>
      </w:r>
    </w:p>
    <w:p w:rsidRPr="008B019D" w:rsidR="00520509" w:rsidP="008B019D" w:rsidRDefault="008B019D" w14:paraId="557AAF9C" w14:textId="7B3528A6">
      <w:pPr>
        <w:rPr>
          <w:rFonts w:ascii="Calibri" w:hAnsi="Calibri" w:cs="Calibri"/>
        </w:rPr>
      </w:pPr>
      <w:r w:rsidRPr="008B019D">
        <w:rPr>
          <w:rFonts w:ascii="Calibri" w:hAnsi="Calibri" w:cs="Calibri"/>
        </w:rPr>
        <w:t>Aan de Voorzitter van de Tweede Kamer der Staten-Generaal</w:t>
      </w:r>
    </w:p>
    <w:p w:rsidRPr="008B019D" w:rsidR="008B019D" w:rsidP="008B019D" w:rsidRDefault="008B019D" w14:paraId="69B7BCEF" w14:textId="1540DF42">
      <w:pPr>
        <w:rPr>
          <w:rFonts w:ascii="Calibri" w:hAnsi="Calibri" w:cs="Calibri"/>
        </w:rPr>
      </w:pPr>
      <w:r w:rsidRPr="008B019D">
        <w:rPr>
          <w:rFonts w:ascii="Calibri" w:hAnsi="Calibri" w:cs="Calibri"/>
        </w:rPr>
        <w:t>Den Haag, 10 maart 2026</w:t>
      </w:r>
    </w:p>
    <w:p w:rsidRPr="008B019D" w:rsidR="00520509" w:rsidP="008B019D" w:rsidRDefault="00520509" w14:paraId="1D909C8B" w14:textId="77777777">
      <w:pPr>
        <w:rPr>
          <w:rFonts w:ascii="Calibri" w:hAnsi="Calibri" w:cs="Calibri"/>
        </w:rPr>
      </w:pPr>
    </w:p>
    <w:p w:rsidRPr="008B019D" w:rsidR="00520509" w:rsidP="00520509" w:rsidRDefault="00520509" w14:paraId="0D81E5F0" w14:textId="5EAFE928">
      <w:pPr>
        <w:spacing w:after="0"/>
        <w:rPr>
          <w:rFonts w:ascii="Calibri" w:hAnsi="Calibri" w:cs="Calibri"/>
        </w:rPr>
      </w:pPr>
      <w:r w:rsidRPr="008B019D">
        <w:rPr>
          <w:rFonts w:ascii="Calibri" w:hAnsi="Calibri" w:cs="Calibri"/>
        </w:rPr>
        <w:t>In 2023 heeft de Gezondheidsraad (GR) geadviseerd om jaarlijks te vaccineren tegen COVID-19, waarbij periodiek wordt beoordeeld welke doelgroep voor de vaccinatie in aanmerking komt. Op 10 maart 2026 heeft de GR het advies COVID-19-vaccinatie in 2026 en 2027 gepubliceerd. In dit advies geeft de GR aan welke doelgroepen in de komende jaren in aanmerking zouden moeten komen voor COVID-19-vaccinatie, gelet op de huidige ziektelast en het risico op ernstige ziekte en sterfte. Het advies treft u als bijlage bij deze brief aan.</w:t>
      </w:r>
    </w:p>
    <w:p w:rsidRPr="008B019D" w:rsidR="00520509" w:rsidP="00520509" w:rsidRDefault="00520509" w14:paraId="4B5EF31E" w14:textId="77777777">
      <w:pPr>
        <w:spacing w:after="0"/>
        <w:rPr>
          <w:rFonts w:ascii="Calibri" w:hAnsi="Calibri" w:cs="Calibri"/>
        </w:rPr>
      </w:pPr>
    </w:p>
    <w:p w:rsidRPr="008B019D" w:rsidR="00520509" w:rsidP="00520509" w:rsidRDefault="00520509" w14:paraId="14A191F4" w14:textId="77777777">
      <w:pPr>
        <w:spacing w:after="0"/>
        <w:rPr>
          <w:rFonts w:ascii="Calibri" w:hAnsi="Calibri" w:cs="Calibri"/>
          <w:b/>
          <w:bCs/>
        </w:rPr>
      </w:pPr>
      <w:r w:rsidRPr="008B019D">
        <w:rPr>
          <w:rFonts w:ascii="Calibri" w:hAnsi="Calibri" w:cs="Calibri"/>
          <w:b/>
          <w:bCs/>
        </w:rPr>
        <w:t>Samenvatting advies</w:t>
      </w:r>
    </w:p>
    <w:p w:rsidRPr="008B019D" w:rsidR="00520509" w:rsidP="00520509" w:rsidRDefault="00520509" w14:paraId="1568FF22" w14:textId="77777777">
      <w:pPr>
        <w:spacing w:after="0"/>
        <w:rPr>
          <w:rFonts w:ascii="Calibri" w:hAnsi="Calibri" w:cs="Calibri"/>
        </w:rPr>
      </w:pPr>
      <w:r w:rsidRPr="008B019D">
        <w:rPr>
          <w:rFonts w:ascii="Calibri" w:hAnsi="Calibri" w:cs="Calibri"/>
        </w:rPr>
        <w:t>De GR constateert dat de ziektelast van COVID-19 in de afgelopen jaren is afgenomen. Tegelijkertijd blijft COVID-19, vergeleken met andere luchtweginfecties zoals griep, een aanzienlijke ziektelast veroorzaken. Ernstige ziekte en sterfte komen met name voor bij ouderen en mensen met medische risico’s. Op basis van deze bevindingen adviseert de GR om COVID-19-vaccinatie in het najaar van 2026 en 2027 aan te bieden aan:</w:t>
      </w:r>
    </w:p>
    <w:p w:rsidRPr="008B019D" w:rsidR="00520509" w:rsidP="00520509" w:rsidRDefault="00520509" w14:paraId="78106562" w14:textId="77777777">
      <w:pPr>
        <w:pStyle w:val="Lijstalinea"/>
        <w:widowControl w:val="0"/>
        <w:numPr>
          <w:ilvl w:val="0"/>
          <w:numId w:val="1"/>
        </w:numPr>
        <w:suppressAutoHyphens/>
        <w:autoSpaceDN w:val="0"/>
        <w:spacing w:after="0" w:line="240" w:lineRule="exact"/>
        <w:textAlignment w:val="baseline"/>
        <w:rPr>
          <w:rFonts w:ascii="Calibri" w:hAnsi="Calibri" w:cs="Calibri"/>
        </w:rPr>
      </w:pPr>
      <w:r w:rsidRPr="008B019D">
        <w:rPr>
          <w:rFonts w:ascii="Calibri" w:hAnsi="Calibri" w:cs="Calibri"/>
        </w:rPr>
        <w:t>mensen van 70 jaar en ouder;</w:t>
      </w:r>
    </w:p>
    <w:p w:rsidRPr="008B019D" w:rsidR="00520509" w:rsidP="00520509" w:rsidRDefault="00520509" w14:paraId="280E5CFC" w14:textId="77777777">
      <w:pPr>
        <w:pStyle w:val="Lijstalinea"/>
        <w:widowControl w:val="0"/>
        <w:numPr>
          <w:ilvl w:val="0"/>
          <w:numId w:val="1"/>
        </w:numPr>
        <w:suppressAutoHyphens/>
        <w:autoSpaceDN w:val="0"/>
        <w:spacing w:after="0" w:line="240" w:lineRule="exact"/>
        <w:textAlignment w:val="baseline"/>
        <w:rPr>
          <w:rFonts w:ascii="Calibri" w:hAnsi="Calibri" w:cs="Calibri"/>
        </w:rPr>
      </w:pPr>
      <w:r w:rsidRPr="008B019D">
        <w:rPr>
          <w:rFonts w:ascii="Calibri" w:hAnsi="Calibri" w:cs="Calibri"/>
        </w:rPr>
        <w:t>mensen van 50 tot en met 69 jaar met één of meerdere medische aandoeningen die een verhoogd risico geven op ernstige COVID-19 (overeenkomstig de medische indicaties voor de griepvaccinatie);</w:t>
      </w:r>
    </w:p>
    <w:p w:rsidRPr="008B019D" w:rsidR="00520509" w:rsidP="00520509" w:rsidRDefault="00520509" w14:paraId="4A11F71A" w14:textId="77777777">
      <w:pPr>
        <w:pStyle w:val="Lijstalinea"/>
        <w:widowControl w:val="0"/>
        <w:numPr>
          <w:ilvl w:val="0"/>
          <w:numId w:val="1"/>
        </w:numPr>
        <w:suppressAutoHyphens/>
        <w:autoSpaceDN w:val="0"/>
        <w:spacing w:after="0" w:line="240" w:lineRule="exact"/>
        <w:textAlignment w:val="baseline"/>
        <w:rPr>
          <w:rFonts w:ascii="Calibri" w:hAnsi="Calibri" w:cs="Calibri"/>
        </w:rPr>
      </w:pPr>
      <w:r w:rsidRPr="008B019D">
        <w:rPr>
          <w:rFonts w:ascii="Calibri" w:hAnsi="Calibri" w:cs="Calibri"/>
        </w:rPr>
        <w:t>Volwassenen en kinderen uit medisch hoog-risicogroepen (bijvoorbeeld mensen met een ernstige afweerstoornis en bewoners van verpleeghuizen);</w:t>
      </w:r>
    </w:p>
    <w:p w:rsidRPr="008B019D" w:rsidR="00520509" w:rsidP="00520509" w:rsidRDefault="00520509" w14:paraId="2E418C32" w14:textId="77777777">
      <w:pPr>
        <w:pStyle w:val="Lijstalinea"/>
        <w:widowControl w:val="0"/>
        <w:numPr>
          <w:ilvl w:val="0"/>
          <w:numId w:val="1"/>
        </w:numPr>
        <w:suppressAutoHyphens/>
        <w:autoSpaceDN w:val="0"/>
        <w:spacing w:after="0" w:line="240" w:lineRule="exact"/>
        <w:textAlignment w:val="baseline"/>
        <w:rPr>
          <w:rFonts w:ascii="Calibri" w:hAnsi="Calibri" w:cs="Calibri"/>
        </w:rPr>
      </w:pPr>
      <w:r w:rsidRPr="008B019D">
        <w:rPr>
          <w:rFonts w:ascii="Calibri" w:hAnsi="Calibri" w:cs="Calibri"/>
        </w:rPr>
        <w:t>medewerkers in de gezondheidszorg die direct contact hebben met kwetsbare patiënten, ter bescherming van deze patiënten.</w:t>
      </w:r>
    </w:p>
    <w:p w:rsidRPr="008B019D" w:rsidR="00520509" w:rsidP="00520509" w:rsidRDefault="00520509" w14:paraId="23AC1549" w14:textId="77777777">
      <w:pPr>
        <w:spacing w:after="0"/>
        <w:rPr>
          <w:rFonts w:ascii="Calibri" w:hAnsi="Calibri" w:cs="Calibri"/>
        </w:rPr>
      </w:pPr>
    </w:p>
    <w:p w:rsidRPr="008B019D" w:rsidR="00520509" w:rsidP="00520509" w:rsidRDefault="00520509" w14:paraId="1BB95110" w14:textId="77777777">
      <w:pPr>
        <w:spacing w:after="0"/>
        <w:rPr>
          <w:rFonts w:ascii="Calibri" w:hAnsi="Calibri" w:cs="Calibri"/>
        </w:rPr>
      </w:pPr>
      <w:r w:rsidRPr="008B019D">
        <w:rPr>
          <w:rFonts w:ascii="Calibri" w:hAnsi="Calibri" w:cs="Calibri"/>
        </w:rPr>
        <w:t>Ten opzichte van eerdere adviezen vervalt het programmatische vaccinatieadvies voor mensen van 60 tot en met 69 jaar zonder medisch risico. Volgens de GR komen ziekenhuisopnames bij gezonde mensen jonger dan 70 jaar namelijk nog maar weinig voor. Net als in afgelopen jaren kunnen er altijd individuele situaties bestaan waarin besloten kan worden om een vaccinatie aan te bieden aan personen buiten deze doelgroepen. Verder blijft het GR-advies om de vaccinatie in het (vroege) najaar aan te bieden en te vaccineren met het meest recent beschikbare vaccin ongewijzigd.</w:t>
      </w:r>
    </w:p>
    <w:p w:rsidRPr="008B019D" w:rsidR="00520509" w:rsidP="00520509" w:rsidRDefault="00520509" w14:paraId="2F67877D" w14:textId="77777777">
      <w:pPr>
        <w:spacing w:after="0"/>
        <w:rPr>
          <w:rFonts w:ascii="Calibri" w:hAnsi="Calibri" w:cs="Calibri"/>
        </w:rPr>
      </w:pPr>
    </w:p>
    <w:p w:rsidRPr="008B019D" w:rsidR="00520509" w:rsidP="00520509" w:rsidRDefault="00520509" w14:paraId="31C5947D" w14:textId="77777777">
      <w:pPr>
        <w:spacing w:after="0"/>
        <w:rPr>
          <w:rFonts w:ascii="Calibri" w:hAnsi="Calibri" w:cs="Calibri"/>
          <w:b/>
          <w:bCs/>
        </w:rPr>
      </w:pPr>
      <w:r w:rsidRPr="008B019D">
        <w:rPr>
          <w:rFonts w:ascii="Calibri" w:hAnsi="Calibri" w:cs="Calibri"/>
          <w:b/>
          <w:bCs/>
        </w:rPr>
        <w:t>Besluit</w:t>
      </w:r>
    </w:p>
    <w:p w:rsidRPr="008B019D" w:rsidR="00520509" w:rsidP="00520509" w:rsidRDefault="00520509" w14:paraId="03DE3D3B" w14:textId="77777777">
      <w:pPr>
        <w:spacing w:after="0"/>
        <w:rPr>
          <w:rFonts w:ascii="Calibri" w:hAnsi="Calibri" w:cs="Calibri"/>
        </w:rPr>
      </w:pPr>
      <w:r w:rsidRPr="008B019D">
        <w:rPr>
          <w:rFonts w:ascii="Calibri" w:hAnsi="Calibri" w:cs="Calibri"/>
        </w:rPr>
        <w:t>Het kabinet heeft besloten om het advies van de GR over te nemen voor het jaar 2026. In navolging van dit advies, zullen de komende najaarsronde de eerder</w:t>
      </w:r>
    </w:p>
    <w:p w:rsidRPr="008B019D" w:rsidR="00520509" w:rsidP="00520509" w:rsidRDefault="00520509" w14:paraId="7FDFAE49" w14:textId="77777777">
      <w:pPr>
        <w:spacing w:after="0"/>
        <w:rPr>
          <w:rFonts w:ascii="Calibri" w:hAnsi="Calibri" w:cs="Calibri"/>
        </w:rPr>
      </w:pPr>
      <w:r w:rsidRPr="008B019D">
        <w:rPr>
          <w:rFonts w:ascii="Calibri" w:hAnsi="Calibri" w:cs="Calibri"/>
        </w:rPr>
        <w:lastRenderedPageBreak/>
        <w:t>genoemde doelgroepen in aanmerking komen voor een COVID-19-vaccinatie. Voor mensen die op individuele basis worden doorverwezen door hun behandelend</w:t>
      </w:r>
    </w:p>
    <w:p w:rsidRPr="008B019D" w:rsidR="00520509" w:rsidP="00520509" w:rsidRDefault="00520509" w14:paraId="432E2D04" w14:textId="77777777">
      <w:pPr>
        <w:spacing w:after="0"/>
        <w:rPr>
          <w:rFonts w:ascii="Calibri" w:hAnsi="Calibri" w:cs="Calibri"/>
        </w:rPr>
      </w:pPr>
      <w:r w:rsidRPr="008B019D">
        <w:rPr>
          <w:rFonts w:ascii="Calibri" w:hAnsi="Calibri" w:cs="Calibri"/>
        </w:rPr>
        <w:t>arts, blijft in 2026 de mogelijkheid bestaan om het gehele jaar door een COVID-19-vaccinatie te halen.</w:t>
      </w:r>
    </w:p>
    <w:p w:rsidRPr="008B019D" w:rsidR="00520509" w:rsidP="00520509" w:rsidRDefault="00520509" w14:paraId="5D81CE17" w14:textId="77777777">
      <w:pPr>
        <w:spacing w:after="0"/>
        <w:rPr>
          <w:rFonts w:ascii="Calibri" w:hAnsi="Calibri" w:cs="Calibri"/>
        </w:rPr>
      </w:pPr>
    </w:p>
    <w:p w:rsidRPr="008B019D" w:rsidR="00520509" w:rsidP="00520509" w:rsidRDefault="00520509" w14:paraId="57CC27D0" w14:textId="77777777">
      <w:pPr>
        <w:spacing w:after="0"/>
        <w:rPr>
          <w:rFonts w:ascii="Calibri" w:hAnsi="Calibri" w:cs="Calibri"/>
        </w:rPr>
      </w:pPr>
      <w:r w:rsidRPr="008B019D">
        <w:rPr>
          <w:rFonts w:ascii="Calibri" w:hAnsi="Calibri" w:cs="Calibri"/>
        </w:rPr>
        <w:t>Het advies van de GR heeft betrekking op zowel de vaccinatieronde van 2026 als die van 2027. Het kabinet onderschrijft dit beleidsmatige uitgangspunt. Op dit moment is er geen financiering voor COVID-19 vaccinatie in 2027 en verder. Besluitvorming hierover zal plaatsvinden via de reguliere besluitvormings-momenten in de begrotingscyclus en binnen de budgettaire kaders.</w:t>
      </w:r>
    </w:p>
    <w:p w:rsidRPr="008B019D" w:rsidR="00520509" w:rsidP="00520509" w:rsidRDefault="00520509" w14:paraId="4E204023" w14:textId="77777777">
      <w:pPr>
        <w:spacing w:after="0"/>
        <w:rPr>
          <w:rFonts w:ascii="Calibri" w:hAnsi="Calibri" w:cs="Calibri"/>
          <w:u w:val="single"/>
        </w:rPr>
      </w:pPr>
    </w:p>
    <w:p w:rsidRPr="008B019D" w:rsidR="00520509" w:rsidP="00520509" w:rsidRDefault="00520509" w14:paraId="464955EE" w14:textId="77777777">
      <w:pPr>
        <w:spacing w:after="0"/>
        <w:rPr>
          <w:rFonts w:ascii="Calibri" w:hAnsi="Calibri" w:cs="Calibri"/>
          <w:b/>
          <w:bCs/>
        </w:rPr>
      </w:pPr>
      <w:r w:rsidRPr="008B019D">
        <w:rPr>
          <w:rFonts w:ascii="Calibri" w:hAnsi="Calibri" w:cs="Calibri"/>
          <w:b/>
          <w:bCs/>
        </w:rPr>
        <w:t>Uitvoering naiaarsronde en vaccinkeuze</w:t>
      </w:r>
    </w:p>
    <w:p w:rsidRPr="008B019D" w:rsidR="00520509" w:rsidP="00520509" w:rsidRDefault="00520509" w14:paraId="067275CA" w14:textId="77777777">
      <w:pPr>
        <w:spacing w:after="0"/>
        <w:rPr>
          <w:rFonts w:ascii="Calibri" w:hAnsi="Calibri" w:cs="Calibri"/>
        </w:rPr>
      </w:pPr>
      <w:r w:rsidRPr="008B019D">
        <w:rPr>
          <w:rFonts w:ascii="Calibri" w:hAnsi="Calibri" w:cs="Calibri"/>
        </w:rPr>
        <w:t>Het kabinet heeft het RIVM, GGD'en en GGD GHOR Nederland gevraagd voorbereidingen te treffen voor de uitvoering van de najaarsronde 2026 en hierbij de geleerde lessen uit de eerdere rondes te betrekken. Voor Caribisch Nederland (Bonaire, Sint Eustatius, Saba) geldt dezelfde aanpak als in Nederland. De uitvoering van de najaarsronde en de startdatum zullen vergelijkbaar zijn met 2025. Op dit moment is het nog niet bekend of vaccins worden aangepast. Hierover zullen onder andere de Wereldgezondheidsorganisatie (WHO) en het Europees Medicijn Agentschap (EMA) nog een advies uitbrengen. Het streven is om bij de najaarsronde gebruik te maken van de op dat moment meest recente vaccins in lijn met de verkregen adviezen van de WHO en het EMA.</w:t>
      </w:r>
    </w:p>
    <w:p w:rsidRPr="008B019D" w:rsidR="00520509" w:rsidP="00520509" w:rsidRDefault="00520509" w14:paraId="701D7031" w14:textId="77777777">
      <w:pPr>
        <w:spacing w:after="0"/>
        <w:rPr>
          <w:rFonts w:ascii="Calibri" w:hAnsi="Calibri" w:cs="Calibri"/>
        </w:rPr>
      </w:pPr>
    </w:p>
    <w:p w:rsidRPr="008B019D" w:rsidR="00520509" w:rsidP="00520509" w:rsidRDefault="00520509" w14:paraId="3465EF47" w14:textId="77777777">
      <w:pPr>
        <w:spacing w:after="0" w:line="240" w:lineRule="atLeast"/>
        <w:rPr>
          <w:rFonts w:ascii="Calibri" w:hAnsi="Calibri" w:cs="Calibri"/>
        </w:rPr>
      </w:pPr>
      <w:r w:rsidRPr="008B019D">
        <w:rPr>
          <w:rFonts w:ascii="Calibri" w:hAnsi="Calibri" w:cs="Calibri"/>
        </w:rPr>
        <w:t>Tot slot wijst de GR er in het advies op dat de deelname aan COVID-19-vaccinatie in de afgelopen jaren is afgenomen. Een hogere deelname onder de doelgroepen kan leiden tot meer gezondheidswinst. Het kabinet zet zich daarom, in samenwerking met het RIVM en uitvoerende partijen, in om de doelgroepen zo goed mogelijk te bereiken en vaccinatie laagdrempelig aan te bieden. De precieze wijze waarop bepaalde groepen, zoals mensen van 60–69 jaar met een verhoogd risico, het beste kunnen worden bereikt, vraagt daarbij nog nadere uitwerking in de uitvoering.</w:t>
      </w:r>
    </w:p>
    <w:p w:rsidRPr="008B019D" w:rsidR="00520509" w:rsidP="008B019D" w:rsidRDefault="00520509" w14:paraId="45994ACA" w14:textId="77777777">
      <w:pPr>
        <w:pStyle w:val="Geenafstand"/>
        <w:rPr>
          <w:rFonts w:ascii="Calibri" w:hAnsi="Calibri" w:cs="Calibri"/>
          <w:lang w:eastAsia="nl-NL"/>
        </w:rPr>
      </w:pPr>
    </w:p>
    <w:p w:rsidRPr="008B019D" w:rsidR="00520509" w:rsidP="008B019D" w:rsidRDefault="008B019D" w14:paraId="322EB22D" w14:textId="1A620A19">
      <w:pPr>
        <w:pStyle w:val="Geenafstand"/>
        <w:rPr>
          <w:rFonts w:ascii="Calibri" w:hAnsi="Calibri" w:cs="Calibri"/>
        </w:rPr>
      </w:pPr>
      <w:r w:rsidRPr="008B019D">
        <w:rPr>
          <w:rFonts w:ascii="Calibri" w:hAnsi="Calibri" w:cs="Calibri"/>
        </w:rPr>
        <w:t>D</w:t>
      </w:r>
      <w:r w:rsidRPr="008B019D" w:rsidR="00520509">
        <w:rPr>
          <w:rFonts w:ascii="Calibri" w:hAnsi="Calibri" w:cs="Calibri"/>
        </w:rPr>
        <w:t>e minister van Volksgezondheid,</w:t>
      </w:r>
      <w:r w:rsidRPr="008B019D">
        <w:rPr>
          <w:rFonts w:ascii="Calibri" w:hAnsi="Calibri" w:cs="Calibri"/>
        </w:rPr>
        <w:t xml:space="preserve"> </w:t>
      </w:r>
      <w:r w:rsidRPr="008B019D" w:rsidR="00520509">
        <w:rPr>
          <w:rFonts w:ascii="Calibri" w:hAnsi="Calibri" w:cs="Calibri"/>
        </w:rPr>
        <w:t>Welzijn en Sport,</w:t>
      </w:r>
    </w:p>
    <w:p w:rsidRPr="008B019D" w:rsidR="00520509" w:rsidP="008B019D" w:rsidRDefault="00520509" w14:paraId="2BB71A05" w14:textId="262D2D20">
      <w:pPr>
        <w:pStyle w:val="Geenafstand"/>
        <w:rPr>
          <w:rFonts w:ascii="Calibri" w:hAnsi="Calibri" w:cs="Calibri"/>
        </w:rPr>
      </w:pPr>
      <w:r w:rsidRPr="008B019D">
        <w:rPr>
          <w:rFonts w:ascii="Calibri" w:hAnsi="Calibri" w:cs="Calibri"/>
        </w:rPr>
        <w:t>S</w:t>
      </w:r>
      <w:r w:rsidRPr="008B019D" w:rsidR="008B019D">
        <w:rPr>
          <w:rFonts w:ascii="Calibri" w:hAnsi="Calibri" w:cs="Calibri"/>
        </w:rPr>
        <w:t xml:space="preserve">.T.M. </w:t>
      </w:r>
      <w:r w:rsidRPr="008B019D">
        <w:rPr>
          <w:rFonts w:ascii="Calibri" w:hAnsi="Calibri" w:cs="Calibri"/>
        </w:rPr>
        <w:t>Hermans</w:t>
      </w:r>
    </w:p>
    <w:p w:rsidRPr="008B019D" w:rsidR="00F80165" w:rsidP="008B019D" w:rsidRDefault="00F80165" w14:paraId="58385AEE" w14:textId="77777777">
      <w:pPr>
        <w:pStyle w:val="Geenafstand"/>
        <w:rPr>
          <w:rFonts w:ascii="Calibri" w:hAnsi="Calibri" w:cs="Calibri"/>
        </w:rPr>
      </w:pPr>
    </w:p>
    <w:sectPr w:rsidRPr="008B019D" w:rsidR="00F80165" w:rsidSect="00520509">
      <w:headerReference w:type="even" r:id="rId10"/>
      <w:headerReference w:type="default" r:id="rId11"/>
      <w:footerReference w:type="even" r:id="rId12"/>
      <w:footerReference w:type="default" r:id="rId13"/>
      <w:headerReference w:type="first" r:id="rId14"/>
      <w:footerReference w:type="first" r:id="rId15"/>
      <w:pgSz w:w="11905" w:h="16837"/>
      <w:pgMar w:top="2948" w:right="2778" w:bottom="1049" w:left="1588" w:header="2750" w:footer="709" w:gutter="0"/>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A480E4" w14:textId="77777777" w:rsidR="00520509" w:rsidRDefault="00520509" w:rsidP="00520509">
      <w:pPr>
        <w:spacing w:after="0" w:line="240" w:lineRule="auto"/>
      </w:pPr>
      <w:r>
        <w:separator/>
      </w:r>
    </w:p>
  </w:endnote>
  <w:endnote w:type="continuationSeparator" w:id="0">
    <w:p w14:paraId="62E363AA" w14:textId="77777777" w:rsidR="00520509" w:rsidRDefault="00520509" w:rsidP="005205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charset w:val="00"/>
    <w:family w:val="swiss"/>
    <w:pitch w:val="variable"/>
    <w:sig w:usb0="E7000EFF" w:usb1="5200FDFF" w:usb2="0A042021" w:usb3="00000000" w:csb0="000001BF" w:csb1="00000000"/>
  </w:font>
  <w:font w:name="Lohit Hindi">
    <w:altName w:val="Times New Roman"/>
    <w:charset w:val="00"/>
    <w:family w:val="auto"/>
    <w:pitch w:val="default"/>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20E1B" w14:textId="77777777" w:rsidR="00520509" w:rsidRPr="00520509" w:rsidRDefault="00520509" w:rsidP="0052050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4CF46" w14:textId="77777777" w:rsidR="00520509" w:rsidRPr="00520509" w:rsidRDefault="00520509" w:rsidP="0052050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58F05" w14:textId="77777777" w:rsidR="00520509" w:rsidRPr="00520509" w:rsidRDefault="00520509" w:rsidP="0052050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B6D015" w14:textId="77777777" w:rsidR="00520509" w:rsidRDefault="00520509" w:rsidP="00520509">
      <w:pPr>
        <w:spacing w:after="0" w:line="240" w:lineRule="auto"/>
      </w:pPr>
      <w:r>
        <w:separator/>
      </w:r>
    </w:p>
  </w:footnote>
  <w:footnote w:type="continuationSeparator" w:id="0">
    <w:p w14:paraId="541806CA" w14:textId="77777777" w:rsidR="00520509" w:rsidRDefault="00520509" w:rsidP="005205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1EBFA" w14:textId="77777777" w:rsidR="00520509" w:rsidRPr="00520509" w:rsidRDefault="00520509" w:rsidP="0052050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14C21" w14:textId="77777777" w:rsidR="00520509" w:rsidRPr="00520509" w:rsidRDefault="00520509" w:rsidP="0052050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4AD53" w14:textId="77777777" w:rsidR="00520509" w:rsidRPr="00520509" w:rsidRDefault="00520509" w:rsidP="00520509">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767E0"/>
    <w:multiLevelType w:val="hybridMultilevel"/>
    <w:tmpl w:val="8BE2F0EC"/>
    <w:lvl w:ilvl="0" w:tplc="00B8DA80">
      <w:start w:val="1"/>
      <w:numFmt w:val="bullet"/>
      <w:lvlText w:val=""/>
      <w:lvlJc w:val="left"/>
      <w:pPr>
        <w:ind w:left="720" w:hanging="360"/>
      </w:pPr>
      <w:rPr>
        <w:rFonts w:ascii="Symbol" w:hAnsi="Symbol" w:hint="default"/>
      </w:rPr>
    </w:lvl>
    <w:lvl w:ilvl="1" w:tplc="056A1E0C" w:tentative="1">
      <w:start w:val="1"/>
      <w:numFmt w:val="bullet"/>
      <w:lvlText w:val="o"/>
      <w:lvlJc w:val="left"/>
      <w:pPr>
        <w:ind w:left="1440" w:hanging="360"/>
      </w:pPr>
      <w:rPr>
        <w:rFonts w:ascii="Courier New" w:hAnsi="Courier New" w:cs="Courier New" w:hint="default"/>
      </w:rPr>
    </w:lvl>
    <w:lvl w:ilvl="2" w:tplc="330A6748" w:tentative="1">
      <w:start w:val="1"/>
      <w:numFmt w:val="bullet"/>
      <w:lvlText w:val=""/>
      <w:lvlJc w:val="left"/>
      <w:pPr>
        <w:ind w:left="2160" w:hanging="360"/>
      </w:pPr>
      <w:rPr>
        <w:rFonts w:ascii="Wingdings" w:hAnsi="Wingdings" w:hint="default"/>
      </w:rPr>
    </w:lvl>
    <w:lvl w:ilvl="3" w:tplc="931874D0" w:tentative="1">
      <w:start w:val="1"/>
      <w:numFmt w:val="bullet"/>
      <w:lvlText w:val=""/>
      <w:lvlJc w:val="left"/>
      <w:pPr>
        <w:ind w:left="2880" w:hanging="360"/>
      </w:pPr>
      <w:rPr>
        <w:rFonts w:ascii="Symbol" w:hAnsi="Symbol" w:hint="default"/>
      </w:rPr>
    </w:lvl>
    <w:lvl w:ilvl="4" w:tplc="ECE47A2C" w:tentative="1">
      <w:start w:val="1"/>
      <w:numFmt w:val="bullet"/>
      <w:lvlText w:val="o"/>
      <w:lvlJc w:val="left"/>
      <w:pPr>
        <w:ind w:left="3600" w:hanging="360"/>
      </w:pPr>
      <w:rPr>
        <w:rFonts w:ascii="Courier New" w:hAnsi="Courier New" w:cs="Courier New" w:hint="default"/>
      </w:rPr>
    </w:lvl>
    <w:lvl w:ilvl="5" w:tplc="54F49ADC" w:tentative="1">
      <w:start w:val="1"/>
      <w:numFmt w:val="bullet"/>
      <w:lvlText w:val=""/>
      <w:lvlJc w:val="left"/>
      <w:pPr>
        <w:ind w:left="4320" w:hanging="360"/>
      </w:pPr>
      <w:rPr>
        <w:rFonts w:ascii="Wingdings" w:hAnsi="Wingdings" w:hint="default"/>
      </w:rPr>
    </w:lvl>
    <w:lvl w:ilvl="6" w:tplc="931C2120" w:tentative="1">
      <w:start w:val="1"/>
      <w:numFmt w:val="bullet"/>
      <w:lvlText w:val=""/>
      <w:lvlJc w:val="left"/>
      <w:pPr>
        <w:ind w:left="5040" w:hanging="360"/>
      </w:pPr>
      <w:rPr>
        <w:rFonts w:ascii="Symbol" w:hAnsi="Symbol" w:hint="default"/>
      </w:rPr>
    </w:lvl>
    <w:lvl w:ilvl="7" w:tplc="1C3A3F00" w:tentative="1">
      <w:start w:val="1"/>
      <w:numFmt w:val="bullet"/>
      <w:lvlText w:val="o"/>
      <w:lvlJc w:val="left"/>
      <w:pPr>
        <w:ind w:left="5760" w:hanging="360"/>
      </w:pPr>
      <w:rPr>
        <w:rFonts w:ascii="Courier New" w:hAnsi="Courier New" w:cs="Courier New" w:hint="default"/>
      </w:rPr>
    </w:lvl>
    <w:lvl w:ilvl="8" w:tplc="2DB4D0A6" w:tentative="1">
      <w:start w:val="1"/>
      <w:numFmt w:val="bullet"/>
      <w:lvlText w:val=""/>
      <w:lvlJc w:val="left"/>
      <w:pPr>
        <w:ind w:left="6480" w:hanging="360"/>
      </w:pPr>
      <w:rPr>
        <w:rFonts w:ascii="Wingdings" w:hAnsi="Wingdings" w:hint="default"/>
      </w:rPr>
    </w:lvl>
  </w:abstractNum>
  <w:num w:numId="1" w16cid:durableId="16716412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0509"/>
    <w:rsid w:val="002F4E9B"/>
    <w:rsid w:val="00344B00"/>
    <w:rsid w:val="00520509"/>
    <w:rsid w:val="008B019D"/>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948E0"/>
  <w15:chartTrackingRefBased/>
  <w15:docId w15:val="{F10FD230-485D-456C-88DE-5A38190FC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2050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2050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2050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2050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2050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2050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2050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2050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2050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2050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2050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2050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2050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2050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2050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2050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2050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20509"/>
    <w:rPr>
      <w:rFonts w:eastAsiaTheme="majorEastAsia" w:cstheme="majorBidi"/>
      <w:color w:val="272727" w:themeColor="text1" w:themeTint="D8"/>
    </w:rPr>
  </w:style>
  <w:style w:type="paragraph" w:styleId="Titel">
    <w:name w:val="Title"/>
    <w:basedOn w:val="Standaard"/>
    <w:next w:val="Standaard"/>
    <w:link w:val="TitelChar"/>
    <w:uiPriority w:val="10"/>
    <w:qFormat/>
    <w:rsid w:val="005205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2050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2050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2050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2050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20509"/>
    <w:rPr>
      <w:i/>
      <w:iCs/>
      <w:color w:val="404040" w:themeColor="text1" w:themeTint="BF"/>
    </w:rPr>
  </w:style>
  <w:style w:type="paragraph" w:styleId="Lijstalinea">
    <w:name w:val="List Paragraph"/>
    <w:basedOn w:val="Standaard"/>
    <w:uiPriority w:val="34"/>
    <w:qFormat/>
    <w:rsid w:val="00520509"/>
    <w:pPr>
      <w:ind w:left="720"/>
      <w:contextualSpacing/>
    </w:pPr>
  </w:style>
  <w:style w:type="character" w:styleId="Intensievebenadrukking">
    <w:name w:val="Intense Emphasis"/>
    <w:basedOn w:val="Standaardalinea-lettertype"/>
    <w:uiPriority w:val="21"/>
    <w:qFormat/>
    <w:rsid w:val="00520509"/>
    <w:rPr>
      <w:i/>
      <w:iCs/>
      <w:color w:val="0F4761" w:themeColor="accent1" w:themeShade="BF"/>
    </w:rPr>
  </w:style>
  <w:style w:type="paragraph" w:styleId="Duidelijkcitaat">
    <w:name w:val="Intense Quote"/>
    <w:basedOn w:val="Standaard"/>
    <w:next w:val="Standaard"/>
    <w:link w:val="DuidelijkcitaatChar"/>
    <w:uiPriority w:val="30"/>
    <w:qFormat/>
    <w:rsid w:val="005205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20509"/>
    <w:rPr>
      <w:i/>
      <w:iCs/>
      <w:color w:val="0F4761" w:themeColor="accent1" w:themeShade="BF"/>
    </w:rPr>
  </w:style>
  <w:style w:type="character" w:styleId="Intensieveverwijzing">
    <w:name w:val="Intense Reference"/>
    <w:basedOn w:val="Standaardalinea-lettertype"/>
    <w:uiPriority w:val="32"/>
    <w:qFormat/>
    <w:rsid w:val="00520509"/>
    <w:rPr>
      <w:b/>
      <w:bCs/>
      <w:smallCaps/>
      <w:color w:val="0F4761" w:themeColor="accent1" w:themeShade="BF"/>
      <w:spacing w:val="5"/>
    </w:rPr>
  </w:style>
  <w:style w:type="paragraph" w:customStyle="1" w:styleId="Huisstijl-Retouradres">
    <w:name w:val="Huisstijl - Retouradres"/>
    <w:basedOn w:val="Standaard"/>
    <w:next w:val="Standaard"/>
    <w:rsid w:val="00520509"/>
    <w:pPr>
      <w:widowControl w:val="0"/>
      <w:suppressAutoHyphens/>
      <w:autoSpaceDN w:val="0"/>
      <w:spacing w:after="283" w:line="180" w:lineRule="exact"/>
      <w:textAlignment w:val="baseline"/>
    </w:pPr>
    <w:rPr>
      <w:rFonts w:ascii="Verdana" w:eastAsia="DejaVu Sans" w:hAnsi="Verdana" w:cs="Lohit Hindi"/>
      <w:kern w:val="3"/>
      <w:sz w:val="13"/>
      <w:szCs w:val="24"/>
      <w:lang w:eastAsia="zh-CN" w:bidi="hi-IN"/>
      <w14:ligatures w14:val="none"/>
    </w:rPr>
  </w:style>
  <w:style w:type="paragraph" w:customStyle="1" w:styleId="Huisstijl-Toezendgegevens">
    <w:name w:val="Huisstijl - Toezendgegevens"/>
    <w:basedOn w:val="Standaard"/>
    <w:rsid w:val="00520509"/>
    <w:pPr>
      <w:widowControl w:val="0"/>
      <w:suppressAutoHyphens/>
      <w:autoSpaceDN w:val="0"/>
      <w:spacing w:after="0" w:line="240" w:lineRule="exact"/>
      <w:textAlignment w:val="baseline"/>
    </w:pPr>
    <w:rPr>
      <w:rFonts w:ascii="Verdana" w:eastAsia="DejaVu Sans" w:hAnsi="Verdana" w:cs="Lohit Hindi"/>
      <w:kern w:val="3"/>
      <w:sz w:val="18"/>
      <w:szCs w:val="24"/>
      <w:lang w:eastAsia="zh-CN" w:bidi="hi-IN"/>
      <w14:ligatures w14:val="none"/>
    </w:rPr>
  </w:style>
  <w:style w:type="paragraph" w:customStyle="1" w:styleId="Huisstijl-Datumenbetreft">
    <w:name w:val="Huisstijl - Datum en betreft"/>
    <w:basedOn w:val="Standaard"/>
    <w:rsid w:val="00520509"/>
    <w:pPr>
      <w:widowControl w:val="0"/>
      <w:tabs>
        <w:tab w:val="left" w:pos="737"/>
      </w:tabs>
      <w:suppressAutoHyphens/>
      <w:autoSpaceDN w:val="0"/>
      <w:spacing w:after="0" w:line="240" w:lineRule="exact"/>
      <w:textAlignment w:val="baseline"/>
    </w:pPr>
    <w:rPr>
      <w:rFonts w:ascii="Verdana" w:eastAsia="DejaVu Sans" w:hAnsi="Verdana" w:cs="Lohit Hindi"/>
      <w:kern w:val="3"/>
      <w:sz w:val="18"/>
      <w:szCs w:val="24"/>
      <w:lang w:eastAsia="zh-CN" w:bidi="hi-IN"/>
      <w14:ligatures w14:val="none"/>
    </w:rPr>
  </w:style>
  <w:style w:type="paragraph" w:customStyle="1" w:styleId="Huisstijl-Afzendgegevenskop">
    <w:name w:val="Huisstijl - Afzendgegevens kop"/>
    <w:basedOn w:val="Standaard"/>
    <w:rsid w:val="00520509"/>
    <w:pPr>
      <w:widowControl w:val="0"/>
      <w:suppressAutoHyphens/>
      <w:autoSpaceDN w:val="0"/>
      <w:spacing w:after="0" w:line="180" w:lineRule="exact"/>
      <w:textAlignment w:val="baseline"/>
    </w:pPr>
    <w:rPr>
      <w:rFonts w:ascii="Verdana" w:eastAsia="DejaVu Sans" w:hAnsi="Verdana" w:cs="Lohit Hindi"/>
      <w:b/>
      <w:kern w:val="3"/>
      <w:sz w:val="13"/>
      <w:szCs w:val="24"/>
      <w:lang w:eastAsia="zh-CN" w:bidi="hi-IN"/>
      <w14:ligatures w14:val="none"/>
    </w:rPr>
  </w:style>
  <w:style w:type="paragraph" w:customStyle="1" w:styleId="Huisstijl-Afzendgegevens">
    <w:name w:val="Huisstijl - Afzendgegevens"/>
    <w:basedOn w:val="Standaard"/>
    <w:rsid w:val="00520509"/>
    <w:pPr>
      <w:widowControl w:val="0"/>
      <w:tabs>
        <w:tab w:val="left" w:pos="170"/>
      </w:tabs>
      <w:suppressAutoHyphens/>
      <w:autoSpaceDN w:val="0"/>
      <w:spacing w:after="0" w:line="180" w:lineRule="exact"/>
      <w:textAlignment w:val="baseline"/>
    </w:pPr>
    <w:rPr>
      <w:rFonts w:ascii="Verdana" w:eastAsia="DejaVu Sans" w:hAnsi="Verdana" w:cs="Lohit Hindi"/>
      <w:kern w:val="3"/>
      <w:sz w:val="13"/>
      <w:szCs w:val="24"/>
      <w:lang w:eastAsia="zh-CN" w:bidi="hi-IN"/>
      <w14:ligatures w14:val="none"/>
    </w:rPr>
  </w:style>
  <w:style w:type="paragraph" w:customStyle="1" w:styleId="Huisstijl-AfzendgegevensW1">
    <w:name w:val="Huisstijl - Afzendgegevens W1"/>
    <w:basedOn w:val="Huisstijl-Afzendgegevens"/>
    <w:rsid w:val="00520509"/>
    <w:pPr>
      <w:spacing w:before="90"/>
    </w:pPr>
  </w:style>
  <w:style w:type="paragraph" w:customStyle="1" w:styleId="Huisstijl-ReferentiegegevenskopW1">
    <w:name w:val="Huisstijl - Referentiegegevens kop W1"/>
    <w:basedOn w:val="Standaard"/>
    <w:next w:val="Huisstijl-Referentiegegevens"/>
    <w:rsid w:val="00520509"/>
    <w:pPr>
      <w:widowControl w:val="0"/>
      <w:suppressAutoHyphens/>
      <w:autoSpaceDN w:val="0"/>
      <w:spacing w:before="90" w:after="0" w:line="180" w:lineRule="exact"/>
      <w:textAlignment w:val="baseline"/>
    </w:pPr>
    <w:rPr>
      <w:rFonts w:ascii="Verdana" w:eastAsia="DejaVu Sans" w:hAnsi="Verdana" w:cs="Lohit Hindi"/>
      <w:b/>
      <w:kern w:val="3"/>
      <w:sz w:val="13"/>
      <w:szCs w:val="24"/>
      <w:lang w:eastAsia="zh-CN" w:bidi="hi-IN"/>
      <w14:ligatures w14:val="none"/>
    </w:rPr>
  </w:style>
  <w:style w:type="paragraph" w:customStyle="1" w:styleId="Huisstijl-Referentiegegevens">
    <w:name w:val="Huisstijl - Referentiegegevens"/>
    <w:basedOn w:val="Standaard"/>
    <w:rsid w:val="00520509"/>
    <w:pPr>
      <w:widowControl w:val="0"/>
      <w:suppressAutoHyphens/>
      <w:autoSpaceDN w:val="0"/>
      <w:spacing w:after="0" w:line="180" w:lineRule="exact"/>
      <w:textAlignment w:val="baseline"/>
    </w:pPr>
    <w:rPr>
      <w:rFonts w:ascii="Verdana" w:eastAsia="DejaVu Sans" w:hAnsi="Verdana" w:cs="Lohit Hindi"/>
      <w:kern w:val="3"/>
      <w:sz w:val="13"/>
      <w:szCs w:val="24"/>
      <w:lang w:eastAsia="zh-CN" w:bidi="hi-IN"/>
      <w14:ligatures w14:val="none"/>
    </w:rPr>
  </w:style>
  <w:style w:type="paragraph" w:customStyle="1" w:styleId="Huisstijl-ReferentiegegevenskopW2">
    <w:name w:val="Huisstijl - Referentiegegevens kop W2"/>
    <w:basedOn w:val="Standaard"/>
    <w:next w:val="Huisstijl-Referentiegegevens"/>
    <w:rsid w:val="00520509"/>
    <w:pPr>
      <w:widowControl w:val="0"/>
      <w:suppressAutoHyphens/>
      <w:autoSpaceDN w:val="0"/>
      <w:spacing w:before="270" w:after="0" w:line="180" w:lineRule="exact"/>
      <w:textAlignment w:val="baseline"/>
    </w:pPr>
    <w:rPr>
      <w:rFonts w:ascii="Verdana" w:eastAsia="DejaVu Sans" w:hAnsi="Verdana" w:cs="Lohit Hindi"/>
      <w:b/>
      <w:kern w:val="3"/>
      <w:sz w:val="13"/>
      <w:szCs w:val="24"/>
      <w:lang w:eastAsia="zh-CN" w:bidi="hi-IN"/>
      <w14:ligatures w14:val="none"/>
    </w:rPr>
  </w:style>
  <w:style w:type="paragraph" w:customStyle="1" w:styleId="Huisstijl-Algemenevoorwaarden">
    <w:name w:val="Huisstijl - Algemene voorwaarden"/>
    <w:basedOn w:val="Standaard"/>
    <w:rsid w:val="00520509"/>
    <w:pPr>
      <w:widowControl w:val="0"/>
      <w:suppressAutoHyphens/>
      <w:autoSpaceDN w:val="0"/>
      <w:spacing w:before="90" w:after="0" w:line="180" w:lineRule="exact"/>
      <w:textAlignment w:val="baseline"/>
    </w:pPr>
    <w:rPr>
      <w:rFonts w:ascii="Verdana" w:eastAsia="DejaVu Sans" w:hAnsi="Verdana" w:cs="Lohit Hindi"/>
      <w:i/>
      <w:kern w:val="3"/>
      <w:sz w:val="13"/>
      <w:szCs w:val="24"/>
      <w:lang w:eastAsia="zh-CN" w:bidi="hi-IN"/>
      <w14:ligatures w14:val="none"/>
    </w:rPr>
  </w:style>
  <w:style w:type="paragraph" w:customStyle="1" w:styleId="Huisstijl-Paginanummer">
    <w:name w:val="Huisstijl - Paginanummer"/>
    <w:basedOn w:val="Standaard"/>
    <w:rsid w:val="00520509"/>
    <w:pPr>
      <w:widowControl w:val="0"/>
      <w:suppressAutoHyphens/>
      <w:autoSpaceDN w:val="0"/>
      <w:spacing w:after="0" w:line="240" w:lineRule="auto"/>
      <w:textAlignment w:val="baseline"/>
    </w:pPr>
    <w:rPr>
      <w:rFonts w:ascii="Verdana" w:eastAsia="DejaVu Sans" w:hAnsi="Verdana" w:cs="Lohit Hindi"/>
      <w:kern w:val="3"/>
      <w:sz w:val="13"/>
      <w:szCs w:val="24"/>
      <w:lang w:eastAsia="zh-CN" w:bidi="hi-IN"/>
      <w14:ligatures w14:val="none"/>
    </w:rPr>
  </w:style>
  <w:style w:type="paragraph" w:styleId="Koptekst">
    <w:name w:val="header"/>
    <w:basedOn w:val="Standaard"/>
    <w:link w:val="KoptekstChar"/>
    <w:uiPriority w:val="99"/>
    <w:unhideWhenUsed/>
    <w:rsid w:val="00520509"/>
    <w:pPr>
      <w:widowControl w:val="0"/>
      <w:tabs>
        <w:tab w:val="center" w:pos="4536"/>
        <w:tab w:val="right" w:pos="9072"/>
      </w:tabs>
      <w:suppressAutoHyphens/>
      <w:autoSpaceDN w:val="0"/>
      <w:spacing w:after="0" w:line="240" w:lineRule="exact"/>
      <w:textAlignment w:val="baseline"/>
    </w:pPr>
    <w:rPr>
      <w:rFonts w:ascii="Verdana" w:eastAsia="DejaVu Sans"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520509"/>
    <w:rPr>
      <w:rFonts w:ascii="Verdana" w:eastAsia="DejaVu Sans" w:hAnsi="Verdana" w:cs="Mangal"/>
      <w:kern w:val="3"/>
      <w:sz w:val="18"/>
      <w:szCs w:val="21"/>
      <w:lang w:eastAsia="zh-CN" w:bidi="hi-IN"/>
      <w14:ligatures w14:val="none"/>
    </w:rPr>
  </w:style>
  <w:style w:type="paragraph" w:customStyle="1" w:styleId="Huisstijl-AfzendgegevenskopW1">
    <w:name w:val="Huisstijl - Afzendgegevens kop W1"/>
    <w:basedOn w:val="Huisstijl-Afzendgegevenskop"/>
    <w:qFormat/>
    <w:rsid w:val="00520509"/>
    <w:pPr>
      <w:spacing w:before="90"/>
    </w:pPr>
  </w:style>
  <w:style w:type="paragraph" w:customStyle="1" w:styleId="Huisstijl-AfzendgegevensC">
    <w:name w:val="Huisstijl - Afzendgegevens C"/>
    <w:basedOn w:val="Huisstijl-Afzendgegevens"/>
    <w:qFormat/>
    <w:rsid w:val="00520509"/>
    <w:rPr>
      <w:i/>
    </w:rPr>
  </w:style>
  <w:style w:type="paragraph" w:styleId="Voettekst">
    <w:name w:val="footer"/>
    <w:basedOn w:val="Standaard"/>
    <w:link w:val="VoettekstChar"/>
    <w:uiPriority w:val="99"/>
    <w:unhideWhenUsed/>
    <w:rsid w:val="0052050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20509"/>
  </w:style>
  <w:style w:type="paragraph" w:styleId="Geenafstand">
    <w:name w:val="No Spacing"/>
    <w:uiPriority w:val="1"/>
    <w:qFormat/>
    <w:rsid w:val="008B019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678</ap:Words>
  <ap:Characters>3731</ap:Characters>
  <ap:DocSecurity>0</ap:DocSecurity>
  <ap:Lines>31</ap:Lines>
  <ap:Paragraphs>8</ap:Paragraphs>
  <ap:ScaleCrop>false</ap:ScaleCrop>
  <ap:LinksUpToDate>false</ap:LinksUpToDate>
  <ap:CharactersWithSpaces>4401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2026-03-11T13:43:00.0000000Z</dcterms:created>
  <dcterms:modified xsi:type="dcterms:W3CDTF">2026-03-11T13:43:00.0000000Z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