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0683" w:rsidR="00710683" w:rsidP="00710683" w:rsidRDefault="00FC0054" w14:paraId="626574CF" w14:textId="538C911B">
      <w:pPr>
        <w:ind w:left="1410" w:hanging="1410"/>
        <w:rPr>
          <w:rFonts w:ascii="Calibri" w:hAnsi="Calibri" w:cs="Calibri"/>
        </w:rPr>
      </w:pPr>
      <w:r w:rsidRPr="00710683">
        <w:rPr>
          <w:rFonts w:ascii="Calibri" w:hAnsi="Calibri" w:cs="Calibri"/>
        </w:rPr>
        <w:t>22</w:t>
      </w:r>
      <w:r w:rsidRPr="00710683" w:rsidR="00710683">
        <w:rPr>
          <w:rFonts w:ascii="Calibri" w:hAnsi="Calibri" w:cs="Calibri"/>
        </w:rPr>
        <w:t xml:space="preserve"> </w:t>
      </w:r>
      <w:r w:rsidRPr="00710683">
        <w:rPr>
          <w:rFonts w:ascii="Calibri" w:hAnsi="Calibri" w:cs="Calibri"/>
        </w:rPr>
        <w:t>112</w:t>
      </w:r>
      <w:r w:rsidRPr="00710683" w:rsidR="00710683">
        <w:rPr>
          <w:rFonts w:ascii="Calibri" w:hAnsi="Calibri" w:cs="Calibri"/>
        </w:rPr>
        <w:tab/>
      </w:r>
      <w:r w:rsidRPr="00710683" w:rsidR="00710683">
        <w:rPr>
          <w:rFonts w:ascii="Calibri" w:hAnsi="Calibri" w:cs="Calibri"/>
        </w:rPr>
        <w:tab/>
        <w:t>Nieuwe Commissievoorstellen en initiatieven van de lidstaten van de Europese Unie</w:t>
      </w:r>
    </w:p>
    <w:p w:rsidRPr="00710683" w:rsidR="00710683" w:rsidP="00D31852" w:rsidRDefault="00710683" w14:paraId="14367BB1" w14:textId="77777777">
      <w:pPr>
        <w:rPr>
          <w:rFonts w:ascii="Calibri" w:hAnsi="Calibri" w:cs="Calibri"/>
        </w:rPr>
      </w:pPr>
      <w:r w:rsidRPr="00710683">
        <w:rPr>
          <w:rFonts w:ascii="Calibri" w:hAnsi="Calibri" w:cs="Calibri"/>
        </w:rPr>
        <w:t xml:space="preserve">Nr. </w:t>
      </w:r>
      <w:r w:rsidRPr="00710683" w:rsidR="00FC0054">
        <w:rPr>
          <w:rFonts w:ascii="Calibri" w:hAnsi="Calibri" w:cs="Calibri"/>
        </w:rPr>
        <w:t>4290</w:t>
      </w:r>
      <w:r w:rsidRPr="00710683">
        <w:rPr>
          <w:rFonts w:ascii="Calibri" w:hAnsi="Calibri" w:cs="Calibri"/>
        </w:rPr>
        <w:tab/>
        <w:t>Brief van de staatssecretaris van Financiën</w:t>
      </w:r>
    </w:p>
    <w:p w:rsidRPr="00710683" w:rsidR="00FC0054" w:rsidP="00FC0054" w:rsidRDefault="00710683" w14:paraId="16E7CFC5" w14:textId="140D3E5C">
      <w:pPr>
        <w:rPr>
          <w:rFonts w:ascii="Calibri" w:hAnsi="Calibri" w:cs="Calibri"/>
        </w:rPr>
      </w:pPr>
      <w:r w:rsidRPr="00710683">
        <w:rPr>
          <w:rFonts w:ascii="Calibri" w:hAnsi="Calibri" w:cs="Calibri"/>
        </w:rPr>
        <w:t>Aan de Voorzitter van de Tweede Kamer der Staten-Generaal</w:t>
      </w:r>
    </w:p>
    <w:p w:rsidRPr="00710683" w:rsidR="00710683" w:rsidP="00FC0054" w:rsidRDefault="00710683" w14:paraId="2CA39DB9" w14:textId="15750E28">
      <w:pPr>
        <w:rPr>
          <w:rFonts w:ascii="Calibri" w:hAnsi="Calibri" w:cs="Calibri"/>
        </w:rPr>
      </w:pPr>
      <w:r w:rsidRPr="00710683">
        <w:rPr>
          <w:rFonts w:ascii="Calibri" w:hAnsi="Calibri" w:cs="Calibri"/>
        </w:rPr>
        <w:t>Den Haag, 10 maart 2026</w:t>
      </w:r>
    </w:p>
    <w:p w:rsidRPr="00710683" w:rsidR="00FC0054" w:rsidP="00FC0054" w:rsidRDefault="00FC0054" w14:paraId="1B7FE076" w14:textId="77777777">
      <w:pPr>
        <w:rPr>
          <w:rFonts w:ascii="Calibri" w:hAnsi="Calibri" w:cs="Calibri"/>
        </w:rPr>
      </w:pPr>
    </w:p>
    <w:p w:rsidRPr="00710683" w:rsidR="00FC0054" w:rsidP="00FC0054" w:rsidRDefault="00FC0054" w14:paraId="561A77BB" w14:textId="77777777">
      <w:pPr>
        <w:rPr>
          <w:rFonts w:ascii="Calibri" w:hAnsi="Calibri" w:cs="Calibri"/>
        </w:rPr>
      </w:pPr>
      <w:r w:rsidRPr="00710683">
        <w:rPr>
          <w:rFonts w:ascii="Calibri" w:hAnsi="Calibri" w:cs="Calibri"/>
        </w:rPr>
        <w:t>In navolging van de toezegging in de Kamerbrief</w:t>
      </w:r>
      <w:r w:rsidRPr="00710683">
        <w:rPr>
          <w:rStyle w:val="Voetnootmarkering"/>
          <w:rFonts w:ascii="Calibri" w:hAnsi="Calibri" w:cs="Calibri"/>
        </w:rPr>
        <w:footnoteReference w:id="1"/>
      </w:r>
      <w:r w:rsidRPr="00710683">
        <w:rPr>
          <w:rFonts w:ascii="Calibri" w:hAnsi="Calibri" w:cs="Calibri"/>
        </w:rPr>
        <w:t xml:space="preserve"> over de implementatie van de richtlijn 'Btw in het digitale tijdperk' heeft onderzoeksbureau EY onderzoek gedaan naar een aantal beleidsvragen dat samenhangt met het onderwerp e-facturatie en digitale rapportage. Mede namens de minister van Economische Zaken en de staatssecretaris van Binnenlandse Zaken en Koninkrijkrelaties bied ik u hierbij het adviesrapport aan. In deze brief wordt het rapport kort samengevat op hoofdlijnen</w:t>
      </w:r>
      <w:r w:rsidRPr="00710683">
        <w:rPr>
          <w:rStyle w:val="Voetnootmarkering"/>
          <w:rFonts w:ascii="Calibri" w:hAnsi="Calibri" w:cs="Calibri"/>
        </w:rPr>
        <w:footnoteReference w:id="2"/>
      </w:r>
      <w:r w:rsidRPr="00710683">
        <w:rPr>
          <w:rFonts w:ascii="Calibri" w:hAnsi="Calibri" w:cs="Calibri"/>
        </w:rPr>
        <w:t xml:space="preserve"> en schetst het kabinet mogelijke vervolgstappen. </w:t>
      </w:r>
    </w:p>
    <w:p w:rsidRPr="00710683" w:rsidR="00FC0054" w:rsidP="00FC0054" w:rsidRDefault="00FC0054" w14:paraId="50701F7E" w14:textId="77777777">
      <w:pPr>
        <w:rPr>
          <w:rFonts w:ascii="Calibri" w:hAnsi="Calibri" w:cs="Calibri"/>
        </w:rPr>
      </w:pPr>
    </w:p>
    <w:p w:rsidRPr="00710683" w:rsidR="00FC0054" w:rsidP="00FC0054" w:rsidRDefault="00FC0054" w14:paraId="78750773" w14:textId="77777777">
      <w:pPr>
        <w:rPr>
          <w:rFonts w:ascii="Calibri" w:hAnsi="Calibri" w:cs="Calibri"/>
          <w:i/>
          <w:iCs/>
        </w:rPr>
      </w:pPr>
      <w:r w:rsidRPr="00710683">
        <w:rPr>
          <w:rFonts w:ascii="Calibri" w:hAnsi="Calibri" w:cs="Calibri"/>
          <w:i/>
          <w:iCs/>
        </w:rPr>
        <w:t xml:space="preserve">ViDA-pakket </w:t>
      </w:r>
    </w:p>
    <w:p w:rsidRPr="00710683" w:rsidR="00FC0054" w:rsidP="00FC0054" w:rsidRDefault="00FC0054" w14:paraId="3CABCF72" w14:textId="77777777">
      <w:pPr>
        <w:rPr>
          <w:rFonts w:ascii="Calibri" w:hAnsi="Calibri" w:cs="Calibri"/>
        </w:rPr>
      </w:pPr>
      <w:r w:rsidRPr="00710683">
        <w:rPr>
          <w:rFonts w:ascii="Calibri" w:hAnsi="Calibri" w:cs="Calibri"/>
        </w:rPr>
        <w:t>De Raad Economische en Financiële Zaken van de Europese Unie (hierna: Ecofin) heeft het pakket btw-regels voor het digitale tijdperk (</w:t>
      </w:r>
      <w:r w:rsidRPr="00710683">
        <w:rPr>
          <w:rFonts w:ascii="Calibri" w:hAnsi="Calibri" w:cs="Calibri"/>
          <w:i/>
          <w:iCs/>
        </w:rPr>
        <w:t>Vat in the Digital Age</w:t>
      </w:r>
      <w:r w:rsidRPr="00710683">
        <w:rPr>
          <w:rFonts w:ascii="Calibri" w:hAnsi="Calibri" w:cs="Calibri"/>
        </w:rPr>
        <w:t xml:space="preserve">) tijdens de Ecofin van 11 maart 2025 officieel aanvaard. Op 25 maart 2025 is dit pakket aan regels gepubliceerd in het Publicatieblad van de Europese Unie. Het onderdeel elektronisch factureren (hierna: e-facturatie) en digitale rapportage moet op 1 juli 2030 in werking treden. </w:t>
      </w:r>
    </w:p>
    <w:p w:rsidRPr="00710683" w:rsidR="00FC0054" w:rsidP="00710683" w:rsidRDefault="00FC0054" w14:paraId="26422E3E" w14:textId="77777777">
      <w:pPr>
        <w:pStyle w:val="Geenafstand"/>
      </w:pPr>
    </w:p>
    <w:p w:rsidRPr="00710683" w:rsidR="00FC0054" w:rsidP="00FC0054" w:rsidRDefault="00FC0054" w14:paraId="53F4D498" w14:textId="77777777">
      <w:pPr>
        <w:rPr>
          <w:rFonts w:ascii="Calibri" w:hAnsi="Calibri" w:cs="Calibri"/>
        </w:rPr>
      </w:pPr>
      <w:r w:rsidRPr="00710683">
        <w:rPr>
          <w:rFonts w:ascii="Calibri" w:hAnsi="Calibri" w:cs="Calibri"/>
        </w:rPr>
        <w:t>De aanleiding voor deze wijzigingen is tweeledig. De huidige rapportageverplichting van grensoverschrijdende handel in de EU is niet actueel. Dit beperkt de effectiviteit voor de fraudebestrijding. Daarnaast bestaan er tussen lidstaten verschillen in de nationale digitale rapportageverplichtingen die gelden voor de btw. Deze fragmentatie belemmert een soepele werking van de interne markt en leidt tot extra administratieve lasten voor belastingplichtigen met grensoverschrijdende handel.</w:t>
      </w:r>
    </w:p>
    <w:p w:rsidRPr="00710683" w:rsidR="00FC0054" w:rsidP="00710683" w:rsidRDefault="00FC0054" w14:paraId="728C9D6A" w14:textId="77777777">
      <w:pPr>
        <w:pStyle w:val="Geenafstand"/>
      </w:pPr>
    </w:p>
    <w:p w:rsidRPr="00710683" w:rsidR="00FC0054" w:rsidP="00FC0054" w:rsidRDefault="00FC0054" w14:paraId="177FCF51" w14:textId="77777777">
      <w:pPr>
        <w:rPr>
          <w:rFonts w:ascii="Calibri" w:hAnsi="Calibri" w:cs="Calibri"/>
        </w:rPr>
      </w:pPr>
      <w:r w:rsidRPr="00710683">
        <w:rPr>
          <w:rFonts w:ascii="Calibri" w:hAnsi="Calibri" w:cs="Calibri"/>
        </w:rPr>
        <w:t>De inzet van e-facturatie en digitale rapportage vormt een belangrijk middel bij uniformering van het Europese speelveld en het beter aansluiten aan de actualiteit: het stelt lidstaten in staat om sneller en accurater toegang te krijgen tot transactiegegevens. Door deze directe aansluiting op het transactieniveau wordt het mogelijk om de btw efficiënter te innen en effectiever te handhaven en kunnen belastingdiensten beter dan nu zicht krijgen op de juiste btw-afdracht. Dit is essentieel voor het tijdig signaleren en corrigeren van fouten en het bestrijden van btw-fraude.</w:t>
      </w:r>
    </w:p>
    <w:p w:rsidRPr="00710683" w:rsidR="00FC0054" w:rsidP="00710683" w:rsidRDefault="00FC0054" w14:paraId="1D4107CE" w14:textId="77777777">
      <w:pPr>
        <w:pStyle w:val="Geenafstand"/>
      </w:pPr>
    </w:p>
    <w:p w:rsidRPr="00710683" w:rsidR="00FC0054" w:rsidP="00FC0054" w:rsidRDefault="00FC0054" w14:paraId="62D53836" w14:textId="77777777">
      <w:pPr>
        <w:rPr>
          <w:rFonts w:ascii="Calibri" w:hAnsi="Calibri" w:cs="Calibri"/>
        </w:rPr>
      </w:pPr>
      <w:r w:rsidRPr="00710683">
        <w:rPr>
          <w:rFonts w:ascii="Calibri" w:hAnsi="Calibri" w:cs="Calibri"/>
        </w:rPr>
        <w:t>Daarnaast is e-facturatie een kans voor ondernemers om administratieve processen te vereenvoudigen en de digitale economie te versterken. E-facturatie raakt ook aan andere onderdelen van de administratie van belastingplichtigen en kan een belangrijk instrument vormen in het bredere kader van administratieve vereenvoudiging, verlaging van regeldruk, fraudepreventie en interoperabiliteit in de digitale economie. Dit kan voordelen bieden voor belastingplichtigen om de efficiëntie van hun bedrijfsvoering te verbeteren.</w:t>
      </w:r>
    </w:p>
    <w:p w:rsidRPr="00710683" w:rsidR="00FC0054" w:rsidP="00710683" w:rsidRDefault="00FC0054" w14:paraId="28DA494F" w14:textId="77777777">
      <w:pPr>
        <w:pStyle w:val="Geenafstand"/>
      </w:pPr>
    </w:p>
    <w:p w:rsidRPr="00710683" w:rsidR="00FC0054" w:rsidP="00FC0054" w:rsidRDefault="00FC0054" w14:paraId="593B1F6F" w14:textId="77777777">
      <w:pPr>
        <w:rPr>
          <w:rFonts w:ascii="Calibri" w:hAnsi="Calibri" w:cs="Calibri"/>
        </w:rPr>
      </w:pPr>
      <w:r w:rsidRPr="00710683">
        <w:rPr>
          <w:rFonts w:ascii="Calibri" w:hAnsi="Calibri" w:cs="Calibri"/>
        </w:rPr>
        <w:t>Vanaf 1 juli 2030 zullen ondernemers verplicht zijn hun grensoverschrijdende handel met andere ondernemers (</w:t>
      </w:r>
      <w:r w:rsidRPr="00710683">
        <w:rPr>
          <w:rFonts w:ascii="Calibri" w:hAnsi="Calibri" w:cs="Calibri"/>
          <w:i/>
          <w:iCs/>
        </w:rPr>
        <w:t>business-to-business</w:t>
      </w:r>
      <w:r w:rsidRPr="00710683">
        <w:rPr>
          <w:rFonts w:ascii="Calibri" w:hAnsi="Calibri" w:cs="Calibri"/>
        </w:rPr>
        <w:t xml:space="preserve">: B2B) binnen de EU per transactie digitaal te rapporteren. Om dit mogelijk te maken worden zij verplicht elektronische facturen te gaan gebruiken die aan een vastgestelde EU-norm moeten voldoen. Dit vraagt inspanningen van alle betrokken partijen waaronder veel ondernemers, fiscaal dienstverleners en softwareontwikkelaars in Nederland. </w:t>
      </w:r>
    </w:p>
    <w:p w:rsidRPr="00710683" w:rsidR="00FC0054" w:rsidP="00FC0054" w:rsidRDefault="00FC0054" w14:paraId="4C31C6F5" w14:textId="77777777">
      <w:pPr>
        <w:rPr>
          <w:rFonts w:ascii="Calibri" w:hAnsi="Calibri" w:cs="Calibri"/>
        </w:rPr>
      </w:pPr>
    </w:p>
    <w:p w:rsidRPr="00710683" w:rsidR="00FC0054" w:rsidP="00FC0054" w:rsidRDefault="00FC0054" w14:paraId="2CAA727B" w14:textId="77777777">
      <w:pPr>
        <w:rPr>
          <w:rFonts w:ascii="Calibri" w:hAnsi="Calibri" w:cs="Calibri"/>
          <w:i/>
          <w:iCs/>
        </w:rPr>
      </w:pPr>
      <w:r w:rsidRPr="00710683">
        <w:rPr>
          <w:rFonts w:ascii="Calibri" w:hAnsi="Calibri" w:cs="Calibri"/>
          <w:i/>
          <w:iCs/>
        </w:rPr>
        <w:t>Beleidskeuzes</w:t>
      </w:r>
    </w:p>
    <w:p w:rsidRPr="00710683" w:rsidR="00FC0054" w:rsidP="00FC0054" w:rsidRDefault="00FC0054" w14:paraId="21F6AB7B" w14:textId="77777777">
      <w:pPr>
        <w:rPr>
          <w:rFonts w:ascii="Calibri" w:hAnsi="Calibri" w:cs="Calibri"/>
        </w:rPr>
      </w:pPr>
      <w:r w:rsidRPr="00710683">
        <w:rPr>
          <w:rFonts w:ascii="Calibri" w:hAnsi="Calibri" w:cs="Calibri"/>
        </w:rPr>
        <w:t xml:space="preserve">De richtlijn stelt verplichte B2B e-facturatie en digitale rapportageverplichtingen naar de Belastingdienst vast voor grensoverschrijdende prestaties binnen de EU. Voor binnenlandse prestaties biedt de richtlijn lidstaten de mogelijkheid om af te zien van een verplichting tot binnenlandse B2B e-facturatie en rapportageverplichting aan de Belastingdienst (een zogenoemde </w:t>
      </w:r>
      <w:r w:rsidRPr="00710683">
        <w:rPr>
          <w:rFonts w:ascii="Calibri" w:hAnsi="Calibri" w:cs="Calibri"/>
          <w:i/>
          <w:iCs/>
        </w:rPr>
        <w:t>opt-out</w:t>
      </w:r>
      <w:r w:rsidRPr="00710683">
        <w:rPr>
          <w:rFonts w:ascii="Calibri" w:hAnsi="Calibri" w:cs="Calibri"/>
        </w:rPr>
        <w:t>). Een van de belangrijkste beleidsvraagstukken voor Nederland betreft daarom de reikwijdte van de verplichting tot e-facturatie en digitale rapportage. Indien voor binnenlandse e-facturatie en eventueel rapportage wordt gekozen, volgt de vraag of Nederland voorschriften wil opstellen voor het faciliteren daarvan, bijvoorbeeld door het uitwerken en/of voorschrijven van een B2B infrastructuur waarmee elektronische facturen kunnen worden verzonden.</w:t>
      </w:r>
    </w:p>
    <w:p w:rsidRPr="00710683" w:rsidR="00FC0054" w:rsidP="00FC0054" w:rsidRDefault="00FC0054" w14:paraId="0F1D5C83" w14:textId="77777777">
      <w:pPr>
        <w:rPr>
          <w:rFonts w:ascii="Calibri" w:hAnsi="Calibri" w:cs="Calibri"/>
        </w:rPr>
      </w:pPr>
    </w:p>
    <w:p w:rsidRPr="00710683" w:rsidR="00FC0054" w:rsidP="00FC0054" w:rsidRDefault="00FC0054" w14:paraId="7472C45C" w14:textId="77777777">
      <w:pPr>
        <w:rPr>
          <w:rFonts w:ascii="Calibri" w:hAnsi="Calibri" w:cs="Calibri"/>
          <w:i/>
          <w:iCs/>
        </w:rPr>
      </w:pPr>
      <w:r w:rsidRPr="00710683">
        <w:rPr>
          <w:rFonts w:ascii="Calibri" w:hAnsi="Calibri" w:cs="Calibri"/>
          <w:i/>
          <w:iCs/>
        </w:rPr>
        <w:t xml:space="preserve">Onderzoek  </w:t>
      </w:r>
    </w:p>
    <w:p w:rsidRPr="00710683" w:rsidR="00FC0054" w:rsidP="00FC0054" w:rsidRDefault="00FC0054" w14:paraId="71E3F528" w14:textId="77777777">
      <w:pPr>
        <w:rPr>
          <w:rFonts w:ascii="Calibri" w:hAnsi="Calibri" w:cs="Calibri"/>
        </w:rPr>
      </w:pPr>
      <w:r w:rsidRPr="00710683">
        <w:rPr>
          <w:rFonts w:ascii="Calibri" w:hAnsi="Calibri" w:cs="Calibri"/>
        </w:rPr>
        <w:t xml:space="preserve">Omdat de beschreven beleidskeuzes gevolgrijk zijn heeft het onderzoeksbureau EY in opdracht van het ministerie van Financiën, ministerie van Economische Zaken en ministerie van Binnenlandse Zaken en Koninkrijksrelaties onderzoek gedaan naar de wenselijkheid van de implementatie van e-facturatie en digitale rapportage voor binnenlandse transacties en de meest geschikte infrastructuur voor e-facturatie en digitale </w:t>
      </w:r>
      <w:r w:rsidRPr="00710683">
        <w:rPr>
          <w:rFonts w:ascii="Calibri" w:hAnsi="Calibri" w:cs="Calibri"/>
        </w:rPr>
        <w:lastRenderedPageBreak/>
        <w:t xml:space="preserve">rapportage. Het onderzoeksbureau heeft daarvoor met een breed palet aan stakeholders gesproken, vergelijkingen gemaakt met andere Europese landen en de kosten en baten op de lange termijn gewogen. Het onderzoeksbureau adviseert een brede e-facturatie en rapportage in Nederland (voor zowel binnenlandse als intracommunautaire transacties) onder een aantal randvoorwaarden dat verder moeten worden uitgewerkt. </w:t>
      </w:r>
    </w:p>
    <w:p w:rsidRPr="00710683" w:rsidR="00FC0054" w:rsidP="00FC0054" w:rsidRDefault="00FC0054" w14:paraId="5140E38F" w14:textId="77777777">
      <w:pPr>
        <w:rPr>
          <w:rFonts w:ascii="Calibri" w:hAnsi="Calibri" w:cs="Calibri"/>
        </w:rPr>
      </w:pPr>
    </w:p>
    <w:p w:rsidRPr="00710683" w:rsidR="00FC0054" w:rsidP="00FC0054" w:rsidRDefault="00FC0054" w14:paraId="4166D1AC" w14:textId="77777777">
      <w:pPr>
        <w:rPr>
          <w:rFonts w:ascii="Calibri" w:hAnsi="Calibri" w:cs="Calibri"/>
        </w:rPr>
      </w:pPr>
      <w:r w:rsidRPr="00710683">
        <w:rPr>
          <w:rFonts w:ascii="Calibri" w:hAnsi="Calibri" w:cs="Calibri"/>
          <w:i/>
          <w:iCs/>
        </w:rPr>
        <w:t>Vervolg</w:t>
      </w:r>
    </w:p>
    <w:p w:rsidRPr="00710683" w:rsidR="00FC0054" w:rsidP="00FC0054" w:rsidRDefault="00FC0054" w14:paraId="20867C77" w14:textId="77777777">
      <w:pPr>
        <w:rPr>
          <w:rFonts w:ascii="Calibri" w:hAnsi="Calibri" w:cs="Calibri"/>
        </w:rPr>
      </w:pPr>
      <w:r w:rsidRPr="00710683">
        <w:rPr>
          <w:rFonts w:ascii="Calibri" w:hAnsi="Calibri" w:cs="Calibri"/>
        </w:rPr>
        <w:t>De uitkomsten van het onderzoek zullen de komende periode zorgvuldig worden gewogen. Daarbij wordt de oproep van het onderzoeksbureau om in Nederland een brede vorm van e-facturatie en e-rapportage te introduceren nadrukkelijk betrokken, mede omdat hiermee (na initiële introductiekosten) een aanzienlijke reductie van de structurele administratieve lasten voor het bedrijfsleven wordt gerealiseerd. Tegelijkertijd wordt onderkend dat het onderzoek op onderdelen een verkennend karakter heeft en dat diverse aspecten nog nader moeten worden uitgewerkt. Hierbij ziet het kabinet in de transitie naar ViDA ook kansen voor ondernemers om bestaande regeldruk en informatie-uitvragen vanuit de overheid te stroomlijnen en waar kan te reduceren. Daarnaast houdt het kabinet oog voor de ontwikkelingen op het gebied van de</w:t>
      </w:r>
      <w:r w:rsidRPr="00710683">
        <w:rPr>
          <w:rFonts w:ascii="Calibri" w:hAnsi="Calibri" w:cs="Calibri"/>
          <w:i/>
          <w:iCs/>
        </w:rPr>
        <w:t xml:space="preserve"> European Business Wallet</w:t>
      </w:r>
      <w:r w:rsidRPr="00710683">
        <w:rPr>
          <w:rFonts w:ascii="Calibri" w:hAnsi="Calibri" w:cs="Calibri"/>
        </w:rPr>
        <w:t>, die mogelijk gebruikt kan worden om e-facturatie - op het hoogste betrouwbaarheidsniveau -   te faciliteren.</w:t>
      </w:r>
      <w:r w:rsidRPr="00710683">
        <w:rPr>
          <w:rStyle w:val="Voetnootmarkering"/>
          <w:rFonts w:ascii="Calibri" w:hAnsi="Calibri" w:cs="Calibri"/>
        </w:rPr>
        <w:footnoteReference w:id="3"/>
      </w:r>
      <w:r w:rsidRPr="00710683">
        <w:rPr>
          <w:rFonts w:ascii="Calibri" w:hAnsi="Calibri" w:cs="Calibri"/>
        </w:rPr>
        <w:t xml:space="preserve"> De komende periode wordt gebruikt om de door het onderzoeksbureau geschetste randvoorwaarden en vervolgstappen verder uit te werken gelet op een internetconsultatie van een conceptwetsvoorstel in het vierde kwartaal van 2026. </w:t>
      </w:r>
    </w:p>
    <w:p w:rsidRPr="00710683" w:rsidR="00FC0054" w:rsidP="00710683" w:rsidRDefault="00FC0054" w14:paraId="6261B7EC" w14:textId="77777777">
      <w:pPr>
        <w:pStyle w:val="Geenafstand"/>
      </w:pPr>
    </w:p>
    <w:p w:rsidRPr="00710683" w:rsidR="00FC0054" w:rsidP="00FC0054" w:rsidRDefault="00FC0054" w14:paraId="59D9B8A4" w14:textId="77777777">
      <w:pPr>
        <w:rPr>
          <w:rFonts w:ascii="Calibri" w:hAnsi="Calibri" w:cs="Calibri"/>
        </w:rPr>
      </w:pPr>
      <w:r w:rsidRPr="00710683">
        <w:rPr>
          <w:rFonts w:ascii="Calibri" w:hAnsi="Calibri" w:cs="Calibri"/>
        </w:rPr>
        <w:t xml:space="preserve">De verwachting is dat het kabinet deze zomer meer duidelijkheid kan geven over de introductie van een brede vorm van e-facturatie en e-rapportage in Nederland. In de komende periode zal de politieke besluitvorming worden voorbereid zodat hier snel vervolg aan gegeven kan worden. </w:t>
      </w:r>
    </w:p>
    <w:p w:rsidRPr="00710683" w:rsidR="00FC0054" w:rsidP="00710683" w:rsidRDefault="00FC0054" w14:paraId="108D589A" w14:textId="77777777">
      <w:pPr>
        <w:pStyle w:val="Geenafstand"/>
      </w:pPr>
    </w:p>
    <w:p w:rsidRPr="00710683" w:rsidR="00FC0054" w:rsidP="00FC0054" w:rsidRDefault="00FC0054" w14:paraId="198CCA70" w14:textId="77777777">
      <w:pPr>
        <w:rPr>
          <w:rFonts w:ascii="Calibri" w:hAnsi="Calibri" w:cs="Calibri"/>
        </w:rPr>
      </w:pPr>
      <w:r w:rsidRPr="00710683">
        <w:rPr>
          <w:rFonts w:ascii="Calibri" w:hAnsi="Calibri" w:cs="Calibri"/>
        </w:rPr>
        <w:t>Het kabinet spreekt zijn dank uit aan de onderzoekers voor het gedegen, uitgebreide en waardevolle onderzoek dat zij hebben verricht.</w:t>
      </w:r>
    </w:p>
    <w:p w:rsidRPr="00710683" w:rsidR="00FC0054" w:rsidP="00710683" w:rsidRDefault="00FC0054" w14:paraId="0EAC629A" w14:textId="77777777">
      <w:pPr>
        <w:pStyle w:val="Geenafstand"/>
        <w:rPr>
          <w:rFonts w:ascii="Calibri" w:hAnsi="Calibri" w:cs="Calibri"/>
        </w:rPr>
      </w:pPr>
    </w:p>
    <w:p w:rsidRPr="00710683" w:rsidR="00FC0054" w:rsidP="00710683" w:rsidRDefault="00710683" w14:paraId="7B5CE73C" w14:textId="306FF3CE">
      <w:pPr>
        <w:pStyle w:val="Geenafstand"/>
        <w:rPr>
          <w:rFonts w:ascii="Calibri" w:hAnsi="Calibri" w:cs="Calibri"/>
        </w:rPr>
      </w:pPr>
      <w:r w:rsidRPr="00710683">
        <w:rPr>
          <w:rFonts w:ascii="Calibri" w:hAnsi="Calibri" w:cs="Calibri"/>
        </w:rPr>
        <w:t>D</w:t>
      </w:r>
      <w:r w:rsidRPr="00710683" w:rsidR="00FC0054">
        <w:rPr>
          <w:rFonts w:ascii="Calibri" w:hAnsi="Calibri" w:cs="Calibri"/>
        </w:rPr>
        <w:t xml:space="preserve">e staatssecretaris van Financiën, </w:t>
      </w:r>
    </w:p>
    <w:p w:rsidRPr="00710683" w:rsidR="00FC0054" w:rsidP="00710683" w:rsidRDefault="00FC0054" w14:paraId="4FB32DC7" w14:textId="62CB0F20">
      <w:pPr>
        <w:pStyle w:val="Geenafstand"/>
        <w:rPr>
          <w:rFonts w:ascii="Calibri" w:hAnsi="Calibri" w:cs="Calibri"/>
        </w:rPr>
      </w:pPr>
      <w:r w:rsidRPr="00710683">
        <w:rPr>
          <w:rFonts w:ascii="Calibri" w:hAnsi="Calibri" w:cs="Calibri"/>
        </w:rPr>
        <w:t>E</w:t>
      </w:r>
      <w:r w:rsidRPr="00710683" w:rsidR="00710683">
        <w:rPr>
          <w:rFonts w:ascii="Calibri" w:hAnsi="Calibri" w:cs="Calibri"/>
        </w:rPr>
        <w:t>.</w:t>
      </w:r>
      <w:r w:rsidRPr="00710683">
        <w:rPr>
          <w:rFonts w:ascii="Calibri" w:hAnsi="Calibri" w:cs="Calibri"/>
        </w:rPr>
        <w:t xml:space="preserve"> Eerenberg</w:t>
      </w:r>
    </w:p>
    <w:p w:rsidRPr="00710683" w:rsidR="006F53E6" w:rsidP="00710683" w:rsidRDefault="006F53E6" w14:paraId="3E57F725" w14:textId="77777777">
      <w:pPr>
        <w:pStyle w:val="Geenafstand"/>
        <w:rPr>
          <w:rFonts w:ascii="Calibri" w:hAnsi="Calibri" w:cs="Calibri"/>
        </w:rPr>
      </w:pPr>
    </w:p>
    <w:sectPr w:rsidRPr="00710683" w:rsidR="006F53E6" w:rsidSect="00FC0054">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0133" w14:textId="77777777" w:rsidR="00FC0054" w:rsidRDefault="00FC0054" w:rsidP="00FC0054">
      <w:pPr>
        <w:spacing w:after="0" w:line="240" w:lineRule="auto"/>
      </w:pPr>
      <w:r>
        <w:separator/>
      </w:r>
    </w:p>
  </w:endnote>
  <w:endnote w:type="continuationSeparator" w:id="0">
    <w:p w14:paraId="117C103A" w14:textId="77777777" w:rsidR="00FC0054" w:rsidRDefault="00FC0054" w:rsidP="00FC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A132" w14:textId="77777777" w:rsidR="00FC0054" w:rsidRPr="00FC0054" w:rsidRDefault="00FC0054" w:rsidP="00FC00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FDD3" w14:textId="77777777" w:rsidR="00FC0054" w:rsidRPr="00FC0054" w:rsidRDefault="00FC0054" w:rsidP="00FC00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3764" w14:textId="77777777" w:rsidR="00FC0054" w:rsidRPr="00FC0054" w:rsidRDefault="00FC0054" w:rsidP="00FC00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31EC" w14:textId="77777777" w:rsidR="00FC0054" w:rsidRDefault="00FC0054" w:rsidP="00FC0054">
      <w:pPr>
        <w:spacing w:after="0" w:line="240" w:lineRule="auto"/>
      </w:pPr>
      <w:r>
        <w:separator/>
      </w:r>
    </w:p>
  </w:footnote>
  <w:footnote w:type="continuationSeparator" w:id="0">
    <w:p w14:paraId="0F4B5460" w14:textId="77777777" w:rsidR="00FC0054" w:rsidRDefault="00FC0054" w:rsidP="00FC0054">
      <w:pPr>
        <w:spacing w:after="0" w:line="240" w:lineRule="auto"/>
      </w:pPr>
      <w:r>
        <w:continuationSeparator/>
      </w:r>
    </w:p>
  </w:footnote>
  <w:footnote w:id="1">
    <w:p w14:paraId="7D8869D0" w14:textId="38C13F3F" w:rsidR="00FC0054" w:rsidRPr="00710683" w:rsidRDefault="00FC0054" w:rsidP="00FC0054">
      <w:pPr>
        <w:pStyle w:val="Voetnoottekst"/>
        <w:rPr>
          <w:rFonts w:ascii="Calibri" w:hAnsi="Calibri" w:cs="Calibri"/>
        </w:rPr>
      </w:pPr>
      <w:r w:rsidRPr="00710683">
        <w:rPr>
          <w:rStyle w:val="Voetnootmarkering"/>
          <w:rFonts w:ascii="Calibri" w:hAnsi="Calibri" w:cs="Calibri"/>
        </w:rPr>
        <w:footnoteRef/>
      </w:r>
      <w:r w:rsidRPr="00710683">
        <w:rPr>
          <w:rFonts w:ascii="Calibri" w:hAnsi="Calibri" w:cs="Calibri"/>
        </w:rPr>
        <w:t xml:space="preserve"> Kamerbrief van 26 juni 2025, Kamerbrief over de implementatie van de Richtlijn Btw in het digitale tijdperk (ViDA), Kamerstuk 22112, nr. 4090.</w:t>
      </w:r>
    </w:p>
  </w:footnote>
  <w:footnote w:id="2">
    <w:p w14:paraId="755042C0" w14:textId="0B61E842" w:rsidR="00FC0054" w:rsidRPr="00710683" w:rsidRDefault="00FC0054" w:rsidP="00FC0054">
      <w:pPr>
        <w:pStyle w:val="Voetnoottekst"/>
        <w:rPr>
          <w:rFonts w:ascii="Calibri" w:hAnsi="Calibri" w:cs="Calibri"/>
        </w:rPr>
      </w:pPr>
      <w:r w:rsidRPr="00710683">
        <w:rPr>
          <w:rStyle w:val="Voetnootmarkering"/>
          <w:rFonts w:ascii="Calibri" w:hAnsi="Calibri" w:cs="Calibri"/>
        </w:rPr>
        <w:footnoteRef/>
      </w:r>
      <w:r w:rsidRPr="00710683">
        <w:rPr>
          <w:rFonts w:ascii="Calibri" w:hAnsi="Calibri" w:cs="Calibri"/>
        </w:rPr>
        <w:t xml:space="preserve"> De inhoud van het rapport is tamelijk technisch van aard, voor afkortingen en uitleg van de gebruikte begrippen wordt verwezen naar het rapport.</w:t>
      </w:r>
    </w:p>
  </w:footnote>
  <w:footnote w:id="3">
    <w:p w14:paraId="231DB910" w14:textId="77777777" w:rsidR="00FC0054" w:rsidRPr="00710683" w:rsidRDefault="00FC0054" w:rsidP="00FC0054">
      <w:pPr>
        <w:pStyle w:val="Voetnoottekst"/>
        <w:rPr>
          <w:rFonts w:ascii="Calibri" w:hAnsi="Calibri" w:cs="Calibri"/>
        </w:rPr>
      </w:pPr>
      <w:r w:rsidRPr="00710683">
        <w:rPr>
          <w:rStyle w:val="Voetnootmarkering"/>
          <w:rFonts w:ascii="Calibri" w:hAnsi="Calibri" w:cs="Calibri"/>
        </w:rPr>
        <w:footnoteRef/>
      </w:r>
      <w:r w:rsidRPr="00710683">
        <w:rPr>
          <w:rFonts w:ascii="Calibri" w:hAnsi="Calibri" w:cs="Calibri"/>
        </w:rPr>
        <w:t xml:space="preserve"> Vanuit de Europese Commissie wordt gewerkt aan de European Business Wallet (EBW) die per 1-1-2029 naar verwachting verplicht wordt. Voor de communicatie tussen deze EBW’s wordt een open standaard verplicht die aan de hoogste betrouwbaarheidsvereisten voldoet. De EBW kan worden gebruikt voor de uitwisseling van gegevens voor bedrijven, maar ook voor de uitwisseling van gegevens tussen bedrijven en overheid. Potentieel zouden e-facturen vanuit de EBW verstuurd kunnen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EEC6" w14:textId="77777777" w:rsidR="00FC0054" w:rsidRPr="00FC0054" w:rsidRDefault="00FC0054" w:rsidP="00FC00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6742" w14:textId="77777777" w:rsidR="00FC0054" w:rsidRPr="00FC0054" w:rsidRDefault="00FC0054" w:rsidP="00FC00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951F" w14:textId="77777777" w:rsidR="00FC0054" w:rsidRPr="00FC0054" w:rsidRDefault="00FC0054" w:rsidP="00FC00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54"/>
    <w:rsid w:val="00344B00"/>
    <w:rsid w:val="006F53E6"/>
    <w:rsid w:val="00710683"/>
    <w:rsid w:val="00A37412"/>
    <w:rsid w:val="00ED03AA"/>
    <w:rsid w:val="00FC00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0E78"/>
  <w15:chartTrackingRefBased/>
  <w15:docId w15:val="{F2CE8C97-61B5-4B15-8C86-C80D7999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0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0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00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00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00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00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00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00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00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00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00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00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00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00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00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00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00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0054"/>
    <w:rPr>
      <w:rFonts w:eastAsiaTheme="majorEastAsia" w:cstheme="majorBidi"/>
      <w:color w:val="272727" w:themeColor="text1" w:themeTint="D8"/>
    </w:rPr>
  </w:style>
  <w:style w:type="paragraph" w:styleId="Titel">
    <w:name w:val="Title"/>
    <w:basedOn w:val="Standaard"/>
    <w:next w:val="Standaard"/>
    <w:link w:val="TitelChar"/>
    <w:uiPriority w:val="10"/>
    <w:qFormat/>
    <w:rsid w:val="00FC0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0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00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00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00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0054"/>
    <w:rPr>
      <w:i/>
      <w:iCs/>
      <w:color w:val="404040" w:themeColor="text1" w:themeTint="BF"/>
    </w:rPr>
  </w:style>
  <w:style w:type="paragraph" w:styleId="Lijstalinea">
    <w:name w:val="List Paragraph"/>
    <w:basedOn w:val="Standaard"/>
    <w:uiPriority w:val="34"/>
    <w:qFormat/>
    <w:rsid w:val="00FC0054"/>
    <w:pPr>
      <w:ind w:left="720"/>
      <w:contextualSpacing/>
    </w:pPr>
  </w:style>
  <w:style w:type="character" w:styleId="Intensievebenadrukking">
    <w:name w:val="Intense Emphasis"/>
    <w:basedOn w:val="Standaardalinea-lettertype"/>
    <w:uiPriority w:val="21"/>
    <w:qFormat/>
    <w:rsid w:val="00FC0054"/>
    <w:rPr>
      <w:i/>
      <w:iCs/>
      <w:color w:val="0F4761" w:themeColor="accent1" w:themeShade="BF"/>
    </w:rPr>
  </w:style>
  <w:style w:type="paragraph" w:styleId="Duidelijkcitaat">
    <w:name w:val="Intense Quote"/>
    <w:basedOn w:val="Standaard"/>
    <w:next w:val="Standaard"/>
    <w:link w:val="DuidelijkcitaatChar"/>
    <w:uiPriority w:val="30"/>
    <w:qFormat/>
    <w:rsid w:val="00FC0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0054"/>
    <w:rPr>
      <w:i/>
      <w:iCs/>
      <w:color w:val="0F4761" w:themeColor="accent1" w:themeShade="BF"/>
    </w:rPr>
  </w:style>
  <w:style w:type="character" w:styleId="Intensieveverwijzing">
    <w:name w:val="Intense Reference"/>
    <w:basedOn w:val="Standaardalinea-lettertype"/>
    <w:uiPriority w:val="32"/>
    <w:qFormat/>
    <w:rsid w:val="00FC0054"/>
    <w:rPr>
      <w:b/>
      <w:bCs/>
      <w:smallCaps/>
      <w:color w:val="0F4761" w:themeColor="accent1" w:themeShade="BF"/>
      <w:spacing w:val="5"/>
    </w:rPr>
  </w:style>
  <w:style w:type="paragraph" w:customStyle="1" w:styleId="Rubricering">
    <w:name w:val="Rubricering"/>
    <w:basedOn w:val="Standaard"/>
    <w:next w:val="Standaard"/>
    <w:rsid w:val="00FC0054"/>
    <w:pPr>
      <w:autoSpaceDN w:val="0"/>
      <w:spacing w:after="0" w:line="240" w:lineRule="exact"/>
      <w:textAlignment w:val="baseline"/>
    </w:pPr>
    <w:rPr>
      <w:rFonts w:ascii="Verdana" w:eastAsiaTheme="minorEastAsia" w:hAnsi="Verdana" w:cs="Lohit Hindi"/>
      <w:b/>
      <w:smallCaps/>
      <w:color w:val="000000"/>
      <w:kern w:val="0"/>
      <w:sz w:val="13"/>
      <w:szCs w:val="13"/>
      <w:lang w:eastAsia="ja-JP"/>
      <w14:ligatures w14:val="none"/>
    </w:rPr>
  </w:style>
  <w:style w:type="paragraph" w:customStyle="1" w:styleId="StandaardReferentiegegevens">
    <w:name w:val="Standaard_Referentiegegevens"/>
    <w:basedOn w:val="Standaard"/>
    <w:next w:val="Standaard"/>
    <w:rsid w:val="00FC0054"/>
    <w:pPr>
      <w:autoSpaceDN w:val="0"/>
      <w:spacing w:after="0" w:line="180" w:lineRule="exact"/>
      <w:textAlignment w:val="baseline"/>
    </w:pPr>
    <w:rPr>
      <w:rFonts w:ascii="Verdana" w:eastAsiaTheme="minorEastAsia" w:hAnsi="Verdana" w:cs="Lohit Hindi"/>
      <w:color w:val="000000"/>
      <w:kern w:val="0"/>
      <w:sz w:val="13"/>
      <w:szCs w:val="13"/>
      <w:lang w:eastAsia="ja-JP"/>
      <w14:ligatures w14:val="none"/>
    </w:rPr>
  </w:style>
  <w:style w:type="paragraph" w:customStyle="1" w:styleId="StandaardReferentiegegevensKop">
    <w:name w:val="Standaard_Referentiegegevens_Kop"/>
    <w:basedOn w:val="Standaard"/>
    <w:next w:val="Standaard"/>
    <w:rsid w:val="00FC0054"/>
    <w:pPr>
      <w:autoSpaceDN w:val="0"/>
      <w:spacing w:after="0" w:line="180" w:lineRule="exact"/>
      <w:textAlignment w:val="baseline"/>
    </w:pPr>
    <w:rPr>
      <w:rFonts w:ascii="Verdana" w:eastAsiaTheme="minorEastAsia" w:hAnsi="Verdana" w:cs="Lohit Hindi"/>
      <w:b/>
      <w:color w:val="000000"/>
      <w:kern w:val="0"/>
      <w:sz w:val="13"/>
      <w:szCs w:val="13"/>
      <w:lang w:eastAsia="ja-JP"/>
      <w14:ligatures w14:val="none"/>
    </w:rPr>
  </w:style>
  <w:style w:type="paragraph" w:customStyle="1" w:styleId="Verdana7">
    <w:name w:val="Verdana 7"/>
    <w:basedOn w:val="Standaard"/>
    <w:next w:val="Standaard"/>
    <w:rsid w:val="00FC0054"/>
    <w:pPr>
      <w:autoSpaceDN w:val="0"/>
      <w:spacing w:after="0" w:line="140" w:lineRule="atLeast"/>
      <w:textAlignment w:val="baseline"/>
    </w:pPr>
    <w:rPr>
      <w:rFonts w:ascii="Verdana" w:eastAsiaTheme="minorEastAsia" w:hAnsi="Verdana" w:cs="Lohit Hindi"/>
      <w:color w:val="000000"/>
      <w:kern w:val="0"/>
      <w:sz w:val="14"/>
      <w:szCs w:val="14"/>
      <w:lang w:eastAsia="ja-JP"/>
      <w14:ligatures w14:val="none"/>
    </w:rPr>
  </w:style>
  <w:style w:type="paragraph" w:customStyle="1" w:styleId="WitregelW1">
    <w:name w:val="Witregel W1"/>
    <w:basedOn w:val="Standaard"/>
    <w:next w:val="Standaard"/>
    <w:rsid w:val="00FC0054"/>
    <w:pPr>
      <w:autoSpaceDN w:val="0"/>
      <w:spacing w:after="0" w:line="90" w:lineRule="exact"/>
      <w:textAlignment w:val="baseline"/>
    </w:pPr>
    <w:rPr>
      <w:rFonts w:ascii="Verdana" w:eastAsiaTheme="minorEastAsia" w:hAnsi="Verdana" w:cs="Lohit Hindi"/>
      <w:color w:val="000000"/>
      <w:kern w:val="0"/>
      <w:sz w:val="9"/>
      <w:szCs w:val="9"/>
      <w:lang w:eastAsia="ja-JP"/>
      <w14:ligatures w14:val="none"/>
    </w:rPr>
  </w:style>
  <w:style w:type="paragraph" w:customStyle="1" w:styleId="WitregelW1bodytekst">
    <w:name w:val="Witregel W1 (bodytekst)"/>
    <w:basedOn w:val="Standaard"/>
    <w:next w:val="Standaard"/>
    <w:rsid w:val="00FC0054"/>
    <w:pPr>
      <w:autoSpaceDN w:val="0"/>
      <w:spacing w:after="0" w:line="240" w:lineRule="exact"/>
      <w:textAlignment w:val="baseline"/>
    </w:pPr>
    <w:rPr>
      <w:rFonts w:ascii="Verdana" w:eastAsiaTheme="minorEastAsia" w:hAnsi="Verdana" w:cs="Lohit Hindi"/>
      <w:color w:val="000000"/>
      <w:kern w:val="0"/>
      <w:sz w:val="18"/>
      <w:szCs w:val="18"/>
      <w:lang w:eastAsia="ja-JP"/>
      <w14:ligatures w14:val="none"/>
    </w:rPr>
  </w:style>
  <w:style w:type="paragraph" w:customStyle="1" w:styleId="WitregelW2">
    <w:name w:val="Witregel W2"/>
    <w:basedOn w:val="Standaard"/>
    <w:next w:val="Standaard"/>
    <w:rsid w:val="00FC0054"/>
    <w:pPr>
      <w:autoSpaceDN w:val="0"/>
      <w:spacing w:after="0" w:line="270" w:lineRule="exact"/>
      <w:textAlignment w:val="baseline"/>
    </w:pPr>
    <w:rPr>
      <w:rFonts w:ascii="Verdana" w:eastAsiaTheme="minorEastAsia" w:hAnsi="Verdana" w:cs="Lohit Hindi"/>
      <w:color w:val="000000"/>
      <w:kern w:val="0"/>
      <w:sz w:val="27"/>
      <w:szCs w:val="27"/>
      <w:lang w:eastAsia="ja-JP"/>
      <w14:ligatures w14:val="none"/>
    </w:rPr>
  </w:style>
  <w:style w:type="paragraph" w:styleId="Voettekst">
    <w:name w:val="footer"/>
    <w:basedOn w:val="Standaard"/>
    <w:link w:val="VoettekstChar"/>
    <w:uiPriority w:val="99"/>
    <w:unhideWhenUsed/>
    <w:rsid w:val="00FC0054"/>
    <w:pPr>
      <w:tabs>
        <w:tab w:val="center" w:pos="4536"/>
        <w:tab w:val="right" w:pos="9072"/>
      </w:tabs>
      <w:autoSpaceDN w:val="0"/>
      <w:spacing w:after="0" w:line="240" w:lineRule="auto"/>
      <w:textAlignment w:val="baseline"/>
    </w:pPr>
    <w:rPr>
      <w:rFonts w:ascii="Verdana" w:eastAsiaTheme="minorEastAsia" w:hAnsi="Verdana" w:cs="Lohit Hindi"/>
      <w:color w:val="000000"/>
      <w:kern w:val="0"/>
      <w:sz w:val="18"/>
      <w:szCs w:val="18"/>
      <w:lang w:eastAsia="ja-JP"/>
      <w14:ligatures w14:val="none"/>
    </w:rPr>
  </w:style>
  <w:style w:type="character" w:customStyle="1" w:styleId="VoettekstChar">
    <w:name w:val="Voettekst Char"/>
    <w:basedOn w:val="Standaardalinea-lettertype"/>
    <w:link w:val="Voettekst"/>
    <w:uiPriority w:val="99"/>
    <w:rsid w:val="00FC0054"/>
    <w:rPr>
      <w:rFonts w:ascii="Verdana" w:eastAsiaTheme="minorEastAsia" w:hAnsi="Verdana" w:cs="Lohit Hindi"/>
      <w:color w:val="000000"/>
      <w:kern w:val="0"/>
      <w:sz w:val="18"/>
      <w:szCs w:val="18"/>
      <w:lang w:eastAsia="ja-JP"/>
      <w14:ligatures w14:val="none"/>
    </w:rPr>
  </w:style>
  <w:style w:type="paragraph" w:styleId="Voetnoottekst">
    <w:name w:val="footnote text"/>
    <w:basedOn w:val="Standaard"/>
    <w:link w:val="VoetnoottekstChar"/>
    <w:uiPriority w:val="99"/>
    <w:semiHidden/>
    <w:unhideWhenUsed/>
    <w:rsid w:val="00FC0054"/>
    <w:pPr>
      <w:autoSpaceDN w:val="0"/>
      <w:spacing w:after="0" w:line="240" w:lineRule="auto"/>
      <w:textAlignment w:val="baseline"/>
    </w:pPr>
    <w:rPr>
      <w:rFonts w:ascii="Verdana" w:eastAsiaTheme="minorEastAsia" w:hAnsi="Verdana" w:cs="Lohit Hindi"/>
      <w:color w:val="000000"/>
      <w:kern w:val="0"/>
      <w:sz w:val="20"/>
      <w:szCs w:val="20"/>
      <w:lang w:eastAsia="ja-JP"/>
      <w14:ligatures w14:val="none"/>
    </w:rPr>
  </w:style>
  <w:style w:type="character" w:customStyle="1" w:styleId="VoetnoottekstChar">
    <w:name w:val="Voetnoottekst Char"/>
    <w:basedOn w:val="Standaardalinea-lettertype"/>
    <w:link w:val="Voetnoottekst"/>
    <w:uiPriority w:val="99"/>
    <w:semiHidden/>
    <w:rsid w:val="00FC0054"/>
    <w:rPr>
      <w:rFonts w:ascii="Verdana" w:eastAsiaTheme="minorEastAsia" w:hAnsi="Verdana" w:cs="Lohit Hindi"/>
      <w:color w:val="000000"/>
      <w:kern w:val="0"/>
      <w:sz w:val="20"/>
      <w:szCs w:val="20"/>
      <w:lang w:eastAsia="ja-JP"/>
      <w14:ligatures w14:val="none"/>
    </w:rPr>
  </w:style>
  <w:style w:type="character" w:styleId="Voetnootmarkering">
    <w:name w:val="footnote reference"/>
    <w:basedOn w:val="Standaardalinea-lettertype"/>
    <w:uiPriority w:val="99"/>
    <w:semiHidden/>
    <w:unhideWhenUsed/>
    <w:rsid w:val="00FC0054"/>
    <w:rPr>
      <w:vertAlign w:val="superscript"/>
    </w:rPr>
  </w:style>
  <w:style w:type="paragraph" w:styleId="Koptekst">
    <w:name w:val="header"/>
    <w:basedOn w:val="Standaard"/>
    <w:link w:val="KoptekstChar"/>
    <w:uiPriority w:val="99"/>
    <w:unhideWhenUsed/>
    <w:rsid w:val="00FC00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0054"/>
  </w:style>
  <w:style w:type="paragraph" w:styleId="Geenafstand">
    <w:name w:val="No Spacing"/>
    <w:uiPriority w:val="1"/>
    <w:qFormat/>
    <w:rsid w:val="00710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1017</ap:Words>
  <ap:Characters>5594</ap:Characters>
  <ap:DocSecurity>0</ap:DocSecurity>
  <ap:Lines>46</ap:Lines>
  <ap:Paragraphs>13</ap:Paragraphs>
  <ap:ScaleCrop>false</ap:ScaleCrop>
  <ap:LinksUpToDate>false</ap:LinksUpToDate>
  <ap:CharactersWithSpaces>6598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2026-03-11T13:02:00.0000000Z</dcterms:created>
  <dcterms:modified xsi:type="dcterms:W3CDTF">2026-03-11T13:02:00.0000000Z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