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18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1E0" w:firstRow="1" w:lastRow="1" w:firstColumn="1" w:lastColumn="1" w:noHBand="0" w:noVBand="0"/>
      </w:tblPr>
      <w:tblGrid>
        <w:gridCol w:w="2742"/>
        <w:gridCol w:w="6162"/>
      </w:tblGrid>
      <w:tr w:rsidRPr="00D27AE1" w:rsidR="00FC395F" w:rsidTr="00DE6D27" w14:paraId="2EB7DF2B" w14:textId="77777777">
        <w:trPr>
          <w:trHeight w:val="1059"/>
        </w:trPr>
        <w:tc>
          <w:tcPr>
            <w:tcW w:w="8970" w:type="dxa"/>
            <w:gridSpan w:val="2"/>
            <w:tcBorders>
              <w:left w:val="nil"/>
            </w:tcBorders>
            <w:shd w:val="clear" w:color="auto" w:fill="7A7A7A"/>
            <w:vAlign w:val="center"/>
          </w:tcPr>
          <w:p w:rsidRPr="00D27AE1" w:rsidR="00FC395F" w:rsidP="00DE6D27" w:rsidRDefault="00FC395F" w14:paraId="468A128A" w14:textId="77777777">
            <w:pPr>
              <w:pStyle w:val="TableParagraph"/>
              <w:tabs>
                <w:tab w:val="left" w:pos="2060"/>
              </w:tabs>
              <w:ind w:left="103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Beleidskeuzes uitgelegd</w:t>
            </w:r>
          </w:p>
          <w:p w:rsidRPr="00D27AE1" w:rsidR="00FC395F" w:rsidP="00DE6D27" w:rsidRDefault="00FC395F" w14:paraId="39F608AE" w14:textId="77777777">
            <w:pPr>
              <w:pStyle w:val="TableParagraph"/>
              <w:tabs>
                <w:tab w:val="left" w:pos="2060"/>
              </w:tabs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D27AE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Onderbouwing doeltreffendheid, doelmatigheid en evaluatie (CW3.1)</w:t>
            </w:r>
          </w:p>
        </w:tc>
      </w:tr>
      <w:tr w:rsidRPr="00D27AE1" w:rsidR="00FC395F" w:rsidTr="00DE6D27" w14:paraId="67C50668" w14:textId="77777777">
        <w:trPr>
          <w:trHeight w:val="666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886CB6" w14:paraId="194A4453" w14:textId="4D1A7713">
            <w:pPr>
              <w:pStyle w:val="TableParagraph"/>
              <w:tabs>
                <w:tab w:val="left" w:pos="2060"/>
              </w:tabs>
              <w:ind w:left="10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FFFF"/>
                <w:sz w:val="20"/>
                <w:szCs w:val="20"/>
              </w:rPr>
              <w:t>Doel(en)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A46967" w:rsidR="00472FA1" w:rsidP="00472FA1" w:rsidRDefault="00A46967" w14:paraId="1A130C21" w14:textId="69E82658">
            <w:pPr>
              <w:pStyle w:val="TableParagraph"/>
              <w:tabs>
                <w:tab w:val="left" w:pos="2060"/>
              </w:tabs>
              <w:spacing w:before="10" w:line="218" w:lineRule="exact"/>
              <w:ind w:left="101" w:right="154"/>
              <w:rPr>
                <w:rFonts w:cstheme="minorHAnsi"/>
                <w:sz w:val="20"/>
                <w:szCs w:val="20"/>
              </w:rPr>
            </w:pPr>
            <w:r w:rsidRPr="00A46967">
              <w:rPr>
                <w:rFonts w:cstheme="minorHAnsi"/>
                <w:sz w:val="20"/>
                <w:szCs w:val="20"/>
              </w:rPr>
              <w:t xml:space="preserve">Hoofddoel van de aanwending van de extra (structurele) middelen is om de fraude in de zorg te voorkomen, op te sporen, te stoppen en te bestraffen. </w:t>
            </w:r>
          </w:p>
        </w:tc>
      </w:tr>
      <w:tr w:rsidRPr="00D27AE1" w:rsidR="00FC395F" w:rsidTr="00DE6D27" w14:paraId="6398E834" w14:textId="77777777">
        <w:trPr>
          <w:trHeight w:val="694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0C93BB5F" w14:textId="77777777">
            <w:pPr>
              <w:pStyle w:val="TableParagraph"/>
              <w:tabs>
                <w:tab w:val="left" w:pos="2060"/>
              </w:tabs>
              <w:ind w:left="103" w:right="231"/>
              <w:rPr>
                <w:rFonts w:cstheme="minorHAnsi"/>
                <w:b/>
                <w:color w:val="FFFFFF"/>
                <w:sz w:val="20"/>
                <w:szCs w:val="20"/>
              </w:rPr>
            </w:pPr>
          </w:p>
          <w:p w:rsidRPr="00D27AE1" w:rsidR="00FC395F" w:rsidP="00DE6D27" w:rsidRDefault="00FC395F" w14:paraId="1A87DB18" w14:textId="77777777">
            <w:pPr>
              <w:pStyle w:val="TableParagraph"/>
              <w:tabs>
                <w:tab w:val="left" w:pos="2060"/>
              </w:tabs>
              <w:ind w:left="103" w:right="231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Beleidsinstrument(en)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A46967" w:rsidR="009C773C" w:rsidP="00525059" w:rsidRDefault="00A46967" w14:paraId="68ECE84E" w14:textId="5E8E6084">
            <w:pPr>
              <w:pStyle w:val="TableParagraph"/>
              <w:tabs>
                <w:tab w:val="left" w:pos="2060"/>
              </w:tabs>
              <w:spacing w:line="218" w:lineRule="exact"/>
              <w:ind w:left="76" w:right="543"/>
              <w:rPr>
                <w:rFonts w:cstheme="minorHAnsi"/>
                <w:sz w:val="20"/>
                <w:szCs w:val="20"/>
              </w:rPr>
            </w:pPr>
            <w:r w:rsidRPr="00A46967">
              <w:rPr>
                <w:rFonts w:cstheme="minorHAnsi"/>
                <w:sz w:val="20"/>
                <w:szCs w:val="20"/>
              </w:rPr>
              <w:t>De aanpak van zorgfraude vraagt om een pakket van verschillende maatregelen. Er worden meerdere beleidsinstrumenten ingezet, waaronder juridische (wet- en regelgeving, vergunningen en subsidies), communicatie, samenwerking en handhavingsinstrumenten. Ook in het coalitieakkoord 2026-2030 wordt de versteviging van de aanpak van zorgfraude expliciet genoemd.</w:t>
            </w:r>
          </w:p>
        </w:tc>
      </w:tr>
      <w:tr w:rsidRPr="00D27AE1" w:rsidR="00FC395F" w:rsidTr="00DE6D27" w14:paraId="4D179A2B" w14:textId="77777777">
        <w:trPr>
          <w:trHeight w:val="805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7C10F3FF" w14:textId="77777777">
            <w:pPr>
              <w:pStyle w:val="TableParagraph"/>
              <w:tabs>
                <w:tab w:val="left" w:pos="2060"/>
              </w:tabs>
              <w:spacing w:before="144" w:line="242" w:lineRule="auto"/>
              <w:ind w:left="103" w:right="506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Financiële gevolgen voor het Rijk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A46967" w:rsidR="00A46967" w:rsidP="00A46967" w:rsidRDefault="00A46967" w14:paraId="17E2E114" w14:textId="77777777">
            <w:pPr>
              <w:rPr>
                <w:rFonts w:cstheme="minorHAnsi"/>
                <w:sz w:val="20"/>
                <w:szCs w:val="20"/>
              </w:rPr>
            </w:pPr>
            <w:r w:rsidRPr="00A46967">
              <w:rPr>
                <w:rFonts w:cstheme="minorHAnsi"/>
                <w:sz w:val="20"/>
                <w:szCs w:val="20"/>
              </w:rPr>
              <w:t>Ter uitvoering van deze afspraken wordt de volgende budgettaire reeks beschikbaar gesteld op de begroting van VWS:</w:t>
            </w:r>
          </w:p>
          <w:p w:rsidRPr="00A46967" w:rsidR="00A46967" w:rsidP="00A46967" w:rsidRDefault="00A46967" w14:paraId="75E18AA3" w14:textId="77777777">
            <w:pPr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1059"/>
              <w:gridCol w:w="1059"/>
              <w:gridCol w:w="1059"/>
              <w:gridCol w:w="1060"/>
              <w:gridCol w:w="1060"/>
            </w:tblGrid>
            <w:tr w:rsidRPr="00A46967" w:rsidR="006F11A4" w:rsidTr="00603D13" w14:paraId="48F81385" w14:textId="38675221">
              <w:tc>
                <w:tcPr>
                  <w:tcW w:w="1059" w:type="dxa"/>
                </w:tcPr>
                <w:p w:rsidRPr="00A46967" w:rsidR="006F11A4" w:rsidP="00A46967" w:rsidRDefault="006F11A4" w14:paraId="68908F44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46967">
                    <w:rPr>
                      <w:rFonts w:cstheme="minorHAnsi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059" w:type="dxa"/>
                </w:tcPr>
                <w:p w:rsidRPr="00A46967" w:rsidR="006F11A4" w:rsidP="00A46967" w:rsidRDefault="006F11A4" w14:paraId="0CD50DE1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46967">
                    <w:rPr>
                      <w:rFonts w:cstheme="minorHAnsi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059" w:type="dxa"/>
                </w:tcPr>
                <w:p w:rsidRPr="00A46967" w:rsidR="006F11A4" w:rsidP="00A46967" w:rsidRDefault="006F11A4" w14:paraId="648232F9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46967">
                    <w:rPr>
                      <w:rFonts w:cstheme="minorHAnsi"/>
                      <w:sz w:val="20"/>
                      <w:szCs w:val="20"/>
                    </w:rPr>
                    <w:t>2029</w:t>
                  </w:r>
                </w:p>
              </w:tc>
              <w:tc>
                <w:tcPr>
                  <w:tcW w:w="1060" w:type="dxa"/>
                </w:tcPr>
                <w:p w:rsidRPr="00A46967" w:rsidR="006F11A4" w:rsidP="00A46967" w:rsidRDefault="006F11A4" w14:paraId="71EA6A2C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46967">
                    <w:rPr>
                      <w:rFonts w:cstheme="minorHAnsi"/>
                      <w:sz w:val="20"/>
                      <w:szCs w:val="20"/>
                    </w:rPr>
                    <w:t>2030</w:t>
                  </w:r>
                </w:p>
              </w:tc>
              <w:tc>
                <w:tcPr>
                  <w:tcW w:w="1060" w:type="dxa"/>
                </w:tcPr>
                <w:p w:rsidRPr="00A46967" w:rsidR="006F11A4" w:rsidP="00A46967" w:rsidRDefault="006F11A4" w14:paraId="6EC67D79" w14:textId="6360CF44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2031</w:t>
                  </w:r>
                </w:p>
              </w:tc>
            </w:tr>
            <w:tr w:rsidRPr="00A46967" w:rsidR="006F11A4" w:rsidTr="00603D13" w14:paraId="592B9328" w14:textId="4FC881B8">
              <w:tc>
                <w:tcPr>
                  <w:tcW w:w="1059" w:type="dxa"/>
                </w:tcPr>
                <w:p w:rsidRPr="00A46967" w:rsidR="006F11A4" w:rsidP="00A46967" w:rsidRDefault="006F11A4" w14:paraId="7011A0C4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46967">
                    <w:rPr>
                      <w:rFonts w:cstheme="minorHAns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59" w:type="dxa"/>
                </w:tcPr>
                <w:p w:rsidRPr="00A46967" w:rsidR="006F11A4" w:rsidP="00A46967" w:rsidRDefault="006F11A4" w14:paraId="6F517C08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46967">
                    <w:rPr>
                      <w:rFonts w:cstheme="minorHAns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59" w:type="dxa"/>
                </w:tcPr>
                <w:p w:rsidRPr="00A46967" w:rsidR="006F11A4" w:rsidP="00A46967" w:rsidRDefault="006F11A4" w14:paraId="2410306D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46967">
                    <w:rPr>
                      <w:rFonts w:cstheme="minorHAns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60" w:type="dxa"/>
                </w:tcPr>
                <w:p w:rsidRPr="00A46967" w:rsidR="006F11A4" w:rsidP="00A46967" w:rsidRDefault="006F11A4" w14:paraId="1C1E8045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46967">
                    <w:rPr>
                      <w:rFonts w:cstheme="minorHAnsi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60" w:type="dxa"/>
                </w:tcPr>
                <w:p w:rsidRPr="00A46967" w:rsidR="006F11A4" w:rsidP="00A46967" w:rsidRDefault="006F11A4" w14:paraId="5A2545EF" w14:textId="6E43AA10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5</w:t>
                  </w:r>
                  <w:r w:rsidR="00076A29"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Pr="00A46967" w:rsidR="009C773C" w:rsidP="006F11A4" w:rsidRDefault="00A46967" w14:paraId="316D6710" w14:textId="2F9D9055">
            <w:pPr>
              <w:rPr>
                <w:rFonts w:cstheme="minorHAnsi"/>
                <w:sz w:val="20"/>
                <w:szCs w:val="20"/>
              </w:rPr>
            </w:pPr>
            <w:r w:rsidRPr="00A46967">
              <w:rPr>
                <w:rFonts w:cstheme="minorHAnsi"/>
                <w:sz w:val="20"/>
                <w:szCs w:val="20"/>
              </w:rPr>
              <w:t>Bedrag x € 1 miljoen</w:t>
            </w:r>
          </w:p>
        </w:tc>
      </w:tr>
      <w:tr w:rsidRPr="00D27AE1" w:rsidR="00FC395F" w:rsidTr="00DE6D27" w14:paraId="7B061C40" w14:textId="77777777">
        <w:trPr>
          <w:trHeight w:val="891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1D8236CB" w14:textId="77777777">
            <w:pPr>
              <w:pStyle w:val="TableParagraph"/>
              <w:tabs>
                <w:tab w:val="left" w:pos="2060"/>
              </w:tabs>
              <w:spacing w:before="146"/>
              <w:ind w:left="103" w:right="92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Financiële gevolgen voor maatschappelijke sectoren</w:t>
            </w:r>
            <w:r>
              <w:rPr>
                <w:rFonts w:cstheme="minorHAnsi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A46967" w:rsidR="00FC395F" w:rsidP="00DE6D27" w:rsidRDefault="00A46967" w14:paraId="277CD50D" w14:textId="01AAA8CB">
            <w:pPr>
              <w:pStyle w:val="TableParagraph"/>
              <w:tabs>
                <w:tab w:val="left" w:pos="2060"/>
              </w:tabs>
              <w:ind w:left="101" w:right="308"/>
              <w:rPr>
                <w:rFonts w:cstheme="minorHAnsi"/>
                <w:sz w:val="20"/>
                <w:szCs w:val="20"/>
              </w:rPr>
            </w:pPr>
            <w:r w:rsidRPr="00A46967">
              <w:rPr>
                <w:rFonts w:cstheme="minorHAnsi"/>
                <w:sz w:val="20"/>
                <w:szCs w:val="20"/>
              </w:rPr>
              <w:t>Er komen mogelijk extra (tijdelijke) middelen beschikbaar voor maatschappelijke sectoren vanuit de budgettaire reeks, maar er zullen geen kosten volgen voor die partijen.</w:t>
            </w:r>
          </w:p>
        </w:tc>
      </w:tr>
      <w:tr w:rsidRPr="00D27AE1" w:rsidR="00FC395F" w:rsidTr="00DE6D27" w14:paraId="64BB2071" w14:textId="77777777">
        <w:trPr>
          <w:trHeight w:val="955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3476BCDC" w14:textId="77777777">
            <w:pPr>
              <w:pStyle w:val="TableParagraph"/>
              <w:tabs>
                <w:tab w:val="left" w:pos="2060"/>
              </w:tabs>
              <w:spacing w:before="141"/>
              <w:ind w:left="103" w:right="829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Nagestreefde doeltreffendheid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A46967" w:rsidR="00FC395F" w:rsidP="003849BC" w:rsidRDefault="00A46967" w14:paraId="4A381645" w14:textId="672BE94B">
            <w:pPr>
              <w:pStyle w:val="TableParagraph"/>
              <w:tabs>
                <w:tab w:val="left" w:pos="2060"/>
              </w:tabs>
              <w:spacing w:before="4" w:line="218" w:lineRule="exact"/>
              <w:ind w:left="101" w:right="166"/>
              <w:rPr>
                <w:rFonts w:cstheme="minorHAnsi"/>
                <w:sz w:val="20"/>
                <w:szCs w:val="20"/>
              </w:rPr>
            </w:pPr>
            <w:r w:rsidRPr="00A46967">
              <w:rPr>
                <w:rFonts w:cstheme="minorHAnsi"/>
                <w:sz w:val="20"/>
                <w:szCs w:val="20"/>
              </w:rPr>
              <w:t>Structurele middelen zijn nodig om de zorgfraudebestrijding daadwerkelijk te verstevigen, waaronder een substantiële uitbreiding van capaciteit bij toezichthouders en opsporingsinstanties, waardoor meer fraudezaken kunnen worden opgepakt.</w:t>
            </w:r>
          </w:p>
        </w:tc>
      </w:tr>
      <w:tr w:rsidRPr="00D27AE1" w:rsidR="00FC395F" w:rsidTr="00DE6D27" w14:paraId="3EC293E4" w14:textId="77777777">
        <w:trPr>
          <w:trHeight w:val="983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79D884E9" w14:textId="77777777">
            <w:pPr>
              <w:pStyle w:val="TableParagraph"/>
              <w:tabs>
                <w:tab w:val="left" w:pos="2060"/>
              </w:tabs>
              <w:rPr>
                <w:rFonts w:cstheme="minorHAnsi"/>
                <w:i/>
                <w:sz w:val="20"/>
                <w:szCs w:val="20"/>
              </w:rPr>
            </w:pPr>
          </w:p>
          <w:p w:rsidRPr="00D27AE1" w:rsidR="00FC395F" w:rsidP="00DE6D27" w:rsidRDefault="00FC395F" w14:paraId="026FD423" w14:textId="77777777">
            <w:pPr>
              <w:pStyle w:val="TableParagraph"/>
              <w:tabs>
                <w:tab w:val="left" w:pos="2060"/>
              </w:tabs>
              <w:ind w:left="103" w:right="1066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Nagestreefde doelmatigheid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A46967" w:rsidR="009C773C" w:rsidP="00256BAA" w:rsidRDefault="00A46967" w14:paraId="1729EF00" w14:textId="72779C0A">
            <w:pPr>
              <w:pStyle w:val="TableParagraph"/>
              <w:tabs>
                <w:tab w:val="left" w:pos="2060"/>
              </w:tabs>
              <w:spacing w:line="213" w:lineRule="exact"/>
              <w:ind w:left="101"/>
              <w:rPr>
                <w:rFonts w:cstheme="minorHAnsi"/>
                <w:sz w:val="20"/>
                <w:szCs w:val="20"/>
              </w:rPr>
            </w:pPr>
            <w:r w:rsidRPr="00A46967">
              <w:rPr>
                <w:rFonts w:cstheme="minorHAnsi"/>
                <w:sz w:val="20"/>
                <w:szCs w:val="20"/>
              </w:rPr>
              <w:t>Meer eenduidig beleid tussen de verschillende zorgdomeinen en betere samenwerking, zoals basiseisen aan de vergunning en een mogelijke verbreding van de vergunningplicht en minder verlies van zorgmiddelen aan fraudeurs.</w:t>
            </w:r>
          </w:p>
        </w:tc>
      </w:tr>
      <w:tr w:rsidRPr="00D27AE1" w:rsidR="00FC395F" w:rsidTr="00DE6D27" w14:paraId="3479F39A" w14:textId="77777777">
        <w:trPr>
          <w:trHeight w:val="983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2C7109" w:rsidR="00FC395F" w:rsidP="00DE6D27" w:rsidRDefault="00FC395F" w14:paraId="49B067D8" w14:textId="77777777">
            <w:pPr>
              <w:pStyle w:val="TableParagraph"/>
              <w:tabs>
                <w:tab w:val="left" w:pos="2060"/>
              </w:tabs>
              <w:ind w:left="103" w:right="1066"/>
              <w:rPr>
                <w:rFonts w:cstheme="minorHAnsi"/>
                <w:b/>
                <w:color w:val="FFFFFF"/>
                <w:sz w:val="20"/>
                <w:szCs w:val="20"/>
              </w:rPr>
            </w:pPr>
          </w:p>
          <w:p w:rsidRPr="00D27AE1" w:rsidR="00FC395F" w:rsidP="00DE6D27" w:rsidRDefault="00FC395F" w14:paraId="0F8CB764" w14:textId="77777777">
            <w:pPr>
              <w:pStyle w:val="TableParagraph"/>
              <w:tabs>
                <w:tab w:val="left" w:pos="2060"/>
              </w:tabs>
              <w:ind w:left="103" w:right="1066"/>
              <w:rPr>
                <w:rFonts w:cstheme="minorHAnsi"/>
                <w:i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Evaluatieparagraaf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A46967" w:rsidR="00FC395F" w:rsidP="00256BAA" w:rsidRDefault="00A46967" w14:paraId="24643CB7" w14:textId="3B2262CF">
            <w:pPr>
              <w:pStyle w:val="TableParagraph"/>
              <w:tabs>
                <w:tab w:val="left" w:pos="2060"/>
              </w:tabs>
              <w:spacing w:line="213" w:lineRule="exact"/>
              <w:ind w:left="101"/>
              <w:rPr>
                <w:rFonts w:cstheme="minorHAnsi"/>
                <w:sz w:val="20"/>
                <w:szCs w:val="20"/>
              </w:rPr>
            </w:pPr>
            <w:r w:rsidRPr="00A46967">
              <w:rPr>
                <w:rFonts w:cstheme="minorHAnsi"/>
                <w:sz w:val="20"/>
                <w:szCs w:val="20"/>
              </w:rPr>
              <w:t>De monitoring van de voortgang van de AZWA-afspraken over zorgfraude loopt mee in de brede AZWA-voortgangsrapportages.</w:t>
            </w:r>
          </w:p>
        </w:tc>
      </w:tr>
    </w:tbl>
    <w:p w:rsidR="00B06701" w:rsidRDefault="00B06701" w14:paraId="45831A7C" w14:textId="77777777"/>
    <w:sectPr w:rsidR="00B06701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0D69"/>
    <w:multiLevelType w:val="hybridMultilevel"/>
    <w:tmpl w:val="3E4A03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A386A"/>
    <w:multiLevelType w:val="hybridMultilevel"/>
    <w:tmpl w:val="DAF45FEA"/>
    <w:lvl w:ilvl="0" w:tplc="41A4A6BA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1" w:hanging="360"/>
      </w:pPr>
    </w:lvl>
    <w:lvl w:ilvl="2" w:tplc="0413001B" w:tentative="1">
      <w:start w:val="1"/>
      <w:numFmt w:val="lowerRoman"/>
      <w:lvlText w:val="%3."/>
      <w:lvlJc w:val="right"/>
      <w:pPr>
        <w:ind w:left="1901" w:hanging="180"/>
      </w:pPr>
    </w:lvl>
    <w:lvl w:ilvl="3" w:tplc="0413000F" w:tentative="1">
      <w:start w:val="1"/>
      <w:numFmt w:val="decimal"/>
      <w:lvlText w:val="%4."/>
      <w:lvlJc w:val="left"/>
      <w:pPr>
        <w:ind w:left="2621" w:hanging="360"/>
      </w:pPr>
    </w:lvl>
    <w:lvl w:ilvl="4" w:tplc="04130019" w:tentative="1">
      <w:start w:val="1"/>
      <w:numFmt w:val="lowerLetter"/>
      <w:lvlText w:val="%5."/>
      <w:lvlJc w:val="left"/>
      <w:pPr>
        <w:ind w:left="3341" w:hanging="360"/>
      </w:pPr>
    </w:lvl>
    <w:lvl w:ilvl="5" w:tplc="0413001B" w:tentative="1">
      <w:start w:val="1"/>
      <w:numFmt w:val="lowerRoman"/>
      <w:lvlText w:val="%6."/>
      <w:lvlJc w:val="right"/>
      <w:pPr>
        <w:ind w:left="4061" w:hanging="180"/>
      </w:pPr>
    </w:lvl>
    <w:lvl w:ilvl="6" w:tplc="0413000F" w:tentative="1">
      <w:start w:val="1"/>
      <w:numFmt w:val="decimal"/>
      <w:lvlText w:val="%7."/>
      <w:lvlJc w:val="left"/>
      <w:pPr>
        <w:ind w:left="4781" w:hanging="360"/>
      </w:pPr>
    </w:lvl>
    <w:lvl w:ilvl="7" w:tplc="04130019" w:tentative="1">
      <w:start w:val="1"/>
      <w:numFmt w:val="lowerLetter"/>
      <w:lvlText w:val="%8."/>
      <w:lvlJc w:val="left"/>
      <w:pPr>
        <w:ind w:left="5501" w:hanging="360"/>
      </w:pPr>
    </w:lvl>
    <w:lvl w:ilvl="8" w:tplc="0413001B" w:tentative="1">
      <w:start w:val="1"/>
      <w:numFmt w:val="lowerRoman"/>
      <w:lvlText w:val="%9."/>
      <w:lvlJc w:val="right"/>
      <w:pPr>
        <w:ind w:left="6221" w:hanging="180"/>
      </w:pPr>
    </w:lvl>
  </w:abstractNum>
  <w:num w:numId="1" w16cid:durableId="2110543638">
    <w:abstractNumId w:val="1"/>
  </w:num>
  <w:num w:numId="2" w16cid:durableId="106661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95F"/>
    <w:rsid w:val="00063D6D"/>
    <w:rsid w:val="00076A29"/>
    <w:rsid w:val="000B07C8"/>
    <w:rsid w:val="000B2DD0"/>
    <w:rsid w:val="000B6385"/>
    <w:rsid w:val="000E4C56"/>
    <w:rsid w:val="001533AB"/>
    <w:rsid w:val="00166A15"/>
    <w:rsid w:val="001E2DBE"/>
    <w:rsid w:val="001E6A24"/>
    <w:rsid w:val="00213B34"/>
    <w:rsid w:val="00256BAA"/>
    <w:rsid w:val="00287462"/>
    <w:rsid w:val="002E4482"/>
    <w:rsid w:val="00326A4D"/>
    <w:rsid w:val="003503F5"/>
    <w:rsid w:val="003849BC"/>
    <w:rsid w:val="0038627F"/>
    <w:rsid w:val="003C0DB6"/>
    <w:rsid w:val="003E32BE"/>
    <w:rsid w:val="0047296A"/>
    <w:rsid w:val="00472FA1"/>
    <w:rsid w:val="00511F77"/>
    <w:rsid w:val="00525059"/>
    <w:rsid w:val="005A2136"/>
    <w:rsid w:val="005F56A8"/>
    <w:rsid w:val="00676135"/>
    <w:rsid w:val="006C2D1C"/>
    <w:rsid w:val="006F11A4"/>
    <w:rsid w:val="0070603E"/>
    <w:rsid w:val="007653FC"/>
    <w:rsid w:val="008101DD"/>
    <w:rsid w:val="008749C6"/>
    <w:rsid w:val="00886CB6"/>
    <w:rsid w:val="008B58F2"/>
    <w:rsid w:val="008D58B8"/>
    <w:rsid w:val="008F663E"/>
    <w:rsid w:val="00901F6A"/>
    <w:rsid w:val="00940154"/>
    <w:rsid w:val="00943087"/>
    <w:rsid w:val="00964988"/>
    <w:rsid w:val="009C773C"/>
    <w:rsid w:val="00A073EF"/>
    <w:rsid w:val="00A46967"/>
    <w:rsid w:val="00AE6A2F"/>
    <w:rsid w:val="00B06701"/>
    <w:rsid w:val="00B359C8"/>
    <w:rsid w:val="00BF7A95"/>
    <w:rsid w:val="00C27B29"/>
    <w:rsid w:val="00C85124"/>
    <w:rsid w:val="00D10048"/>
    <w:rsid w:val="00D206A6"/>
    <w:rsid w:val="00D504F3"/>
    <w:rsid w:val="00D6608B"/>
    <w:rsid w:val="00D81B82"/>
    <w:rsid w:val="00DA1EA7"/>
    <w:rsid w:val="00DA2695"/>
    <w:rsid w:val="00DB5964"/>
    <w:rsid w:val="00E20F9A"/>
    <w:rsid w:val="00F32AA2"/>
    <w:rsid w:val="00F40B74"/>
    <w:rsid w:val="00FA5E94"/>
    <w:rsid w:val="00FC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34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C395F"/>
    <w:pPr>
      <w:autoSpaceDN w:val="0"/>
      <w:spacing w:after="0" w:line="240" w:lineRule="exact"/>
      <w:textAlignment w:val="baseline"/>
    </w:pPr>
    <w:rPr>
      <w:rFonts w:eastAsia="DejaVu Sans" w:cs="Lohit Hindi"/>
      <w:color w:val="000000"/>
      <w:szCs w:val="18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6967"/>
    <w:pPr>
      <w:keepNext/>
      <w:keepLines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C395F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FC395F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6A2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E6A2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E6A2F"/>
    <w:rPr>
      <w:rFonts w:eastAsia="DejaVu Sans" w:cs="Lohit Hindi"/>
      <w:color w:val="000000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6A2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6A2F"/>
    <w:rPr>
      <w:rFonts w:eastAsia="DejaVu Sans" w:cs="Lohit Hindi"/>
      <w:b/>
      <w:bCs/>
      <w:color w:val="000000"/>
      <w:sz w:val="20"/>
      <w:szCs w:val="20"/>
      <w:lang w:val="nl-NL" w:eastAsia="nl-NL"/>
    </w:rPr>
  </w:style>
  <w:style w:type="paragraph" w:styleId="Revisie">
    <w:name w:val="Revision"/>
    <w:hidden/>
    <w:uiPriority w:val="99"/>
    <w:semiHidden/>
    <w:rsid w:val="000B07C8"/>
    <w:pPr>
      <w:spacing w:after="0" w:line="240" w:lineRule="auto"/>
    </w:pPr>
    <w:rPr>
      <w:rFonts w:eastAsia="DejaVu Sans" w:cs="Lohit Hindi"/>
      <w:color w:val="000000"/>
      <w:szCs w:val="1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6967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nl-NL"/>
      <w14:ligatures w14:val="standardContextual"/>
    </w:rPr>
  </w:style>
  <w:style w:type="table" w:styleId="Tabelraster">
    <w:name w:val="Table Grid"/>
    <w:basedOn w:val="Standaardtabel"/>
    <w:uiPriority w:val="39"/>
    <w:rsid w:val="00A46967"/>
    <w:pPr>
      <w:spacing w:after="0" w:line="240" w:lineRule="auto"/>
    </w:pPr>
    <w:rPr>
      <w:rFonts w:asciiTheme="minorHAnsi" w:hAnsiTheme="minorHAnsi"/>
      <w:kern w:val="2"/>
      <w:sz w:val="22"/>
      <w:lang w:val="nl-N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266</ap:Words>
  <ap:Characters>1465</ap:Characters>
  <ap:DocSecurity>0</ap:DocSecurity>
  <ap:Lines>12</ap:Lines>
  <ap:Paragraphs>3</ap:Paragraphs>
  <ap:ScaleCrop>false</ap:ScaleCrop>
  <ap:LinksUpToDate>false</ap:LinksUpToDate>
  <ap:CharactersWithSpaces>1728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2026-03-10T15:08:00.0000000Z</dcterms:created>
  <dcterms:modified xsi:type="dcterms:W3CDTF">2026-03-10T15:08:00.0000000Z</dcterms:modified>
  <version/>
  <category/>
</coreProperties>
</file>