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1E0" w:firstRow="1" w:lastRow="1" w:firstColumn="1" w:lastColumn="1" w:noHBand="0" w:noVBand="0"/>
      </w:tblPr>
      <w:tblGrid>
        <w:gridCol w:w="2615"/>
        <w:gridCol w:w="6289"/>
      </w:tblGrid>
      <w:tr w:rsidRPr="00D27AE1" w:rsidR="00FC395F" w:rsidTr="00DE6D27" w14:paraId="484D5B1C" w14:textId="77777777">
        <w:trPr>
          <w:trHeight w:val="1059"/>
        </w:trPr>
        <w:tc>
          <w:tcPr>
            <w:tcW w:w="8970" w:type="dxa"/>
            <w:gridSpan w:val="2"/>
            <w:tcBorders>
              <w:left w:val="nil"/>
            </w:tcBorders>
            <w:shd w:val="clear" w:color="auto" w:fill="7A7A7A"/>
            <w:vAlign w:val="center"/>
          </w:tcPr>
          <w:p w:rsidRPr="00D27AE1" w:rsidR="00FC395F" w:rsidP="00DE6D27" w:rsidRDefault="00FC395F" w14:paraId="48A53275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Beleidskeuzes uitgelegd</w:t>
            </w:r>
          </w:p>
          <w:p w:rsidRPr="00D27AE1" w:rsidR="00FC395F" w:rsidP="00DE6D27" w:rsidRDefault="00FC395F" w14:paraId="048DA05A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27AE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Onderbouwing doeltreffendheid, doelmatigheid en evaluatie (CW3.1)</w:t>
            </w:r>
          </w:p>
        </w:tc>
      </w:tr>
      <w:tr w:rsidRPr="00D27AE1" w:rsidR="00FC395F" w:rsidTr="00DE6D27" w14:paraId="0809A615" w14:textId="77777777">
        <w:trPr>
          <w:trHeight w:val="666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5AAD26C6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3FB55F75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Doel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>(</w:t>
            </w: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)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="00161A8D" w:rsidP="00115D24" w:rsidRDefault="00C94FFB" w14:paraId="200E8972" w14:textId="4C9CE336">
            <w:pPr>
              <w:pStyle w:val="TableParagraph"/>
              <w:tabs>
                <w:tab w:val="left" w:pos="2060"/>
              </w:tabs>
              <w:spacing w:before="10" w:line="218" w:lineRule="exact"/>
              <w:ind w:right="1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betreft</w:t>
            </w:r>
            <w:r w:rsidR="00AE0202">
              <w:rPr>
                <w:rFonts w:cstheme="minorHAnsi"/>
                <w:sz w:val="20"/>
                <w:szCs w:val="20"/>
              </w:rPr>
              <w:t xml:space="preserve"> twee </w:t>
            </w:r>
            <w:r w:rsidR="00A95952">
              <w:rPr>
                <w:rFonts w:cstheme="minorHAnsi"/>
                <w:sz w:val="20"/>
                <w:szCs w:val="20"/>
              </w:rPr>
              <w:t>afspraken</w:t>
            </w:r>
            <w:r w:rsidR="00AE0202">
              <w:rPr>
                <w:rFonts w:cstheme="minorHAnsi"/>
                <w:sz w:val="20"/>
                <w:szCs w:val="20"/>
              </w:rPr>
              <w:t xml:space="preserve"> uit het AZWA</w:t>
            </w:r>
            <w:r w:rsidR="00161A8D">
              <w:rPr>
                <w:rFonts w:cstheme="minorHAnsi"/>
                <w:sz w:val="20"/>
                <w:szCs w:val="20"/>
              </w:rPr>
              <w:t>:</w:t>
            </w:r>
            <w:r w:rsidR="00AE0202">
              <w:rPr>
                <w:rFonts w:cstheme="minorHAnsi"/>
                <w:sz w:val="20"/>
                <w:szCs w:val="20"/>
              </w:rPr>
              <w:t xml:space="preserve"> </w:t>
            </w:r>
            <w:r w:rsidR="00161A8D">
              <w:rPr>
                <w:rFonts w:cstheme="minorHAnsi"/>
                <w:sz w:val="20"/>
                <w:szCs w:val="20"/>
              </w:rPr>
              <w:t xml:space="preserve">(D5) </w:t>
            </w:r>
            <w:r w:rsidR="00AE0202">
              <w:rPr>
                <w:rFonts w:cstheme="minorHAnsi"/>
                <w:sz w:val="20"/>
                <w:szCs w:val="20"/>
              </w:rPr>
              <w:t xml:space="preserve">basisfunctionaliteiten en </w:t>
            </w:r>
            <w:r w:rsidR="00161A8D">
              <w:rPr>
                <w:rFonts w:cstheme="minorHAnsi"/>
                <w:sz w:val="20"/>
                <w:szCs w:val="20"/>
              </w:rPr>
              <w:t xml:space="preserve">(D6) </w:t>
            </w:r>
            <w:r w:rsidR="00AE0202">
              <w:rPr>
                <w:rFonts w:cstheme="minorHAnsi"/>
                <w:sz w:val="20"/>
                <w:szCs w:val="20"/>
              </w:rPr>
              <w:t>basisinfrastructuur</w:t>
            </w:r>
            <w:r w:rsidR="00161A8D">
              <w:rPr>
                <w:rFonts w:cstheme="minorHAnsi"/>
                <w:sz w:val="20"/>
                <w:szCs w:val="20"/>
              </w:rPr>
              <w:t>.</w:t>
            </w:r>
            <w:r w:rsidR="00AE020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61A8D" w:rsidP="00115D24" w:rsidRDefault="00A46D1D" w14:paraId="112F03A6" w14:textId="5E8BB13A">
            <w:pPr>
              <w:pStyle w:val="TableParagraph"/>
              <w:tabs>
                <w:tab w:val="left" w:pos="2060"/>
              </w:tabs>
              <w:spacing w:before="10" w:line="218" w:lineRule="exact"/>
              <w:ind w:right="1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AZWA D5: </w:t>
            </w:r>
            <w:r w:rsidR="00AE0202">
              <w:rPr>
                <w:rFonts w:cstheme="minorHAnsi"/>
                <w:sz w:val="20"/>
                <w:szCs w:val="20"/>
              </w:rPr>
              <w:t>Het doel van de basisfunctionaliteiten is beperking van de toestroom in de Z</w:t>
            </w:r>
            <w:r w:rsidR="00161A8D">
              <w:rPr>
                <w:rFonts w:cstheme="minorHAnsi"/>
                <w:sz w:val="20"/>
                <w:szCs w:val="20"/>
              </w:rPr>
              <w:t>vw</w:t>
            </w:r>
            <w:r w:rsidR="00AE0202">
              <w:rPr>
                <w:rFonts w:cstheme="minorHAnsi"/>
                <w:sz w:val="20"/>
                <w:szCs w:val="20"/>
              </w:rPr>
              <w:t xml:space="preserve">-zorg </w:t>
            </w:r>
            <w:r w:rsidR="00161A8D">
              <w:rPr>
                <w:rFonts w:cstheme="minorHAnsi"/>
                <w:sz w:val="20"/>
                <w:szCs w:val="20"/>
              </w:rPr>
              <w:t>middels</w:t>
            </w:r>
            <w:r w:rsidR="00AE0202">
              <w:rPr>
                <w:rFonts w:cstheme="minorHAnsi"/>
                <w:sz w:val="20"/>
                <w:szCs w:val="20"/>
              </w:rPr>
              <w:t xml:space="preserve"> </w:t>
            </w:r>
            <w:r w:rsidR="00161A8D">
              <w:rPr>
                <w:rFonts w:cstheme="minorHAnsi"/>
                <w:sz w:val="20"/>
                <w:szCs w:val="20"/>
              </w:rPr>
              <w:t xml:space="preserve">versterking van de </w:t>
            </w:r>
            <w:r w:rsidR="00AE0202">
              <w:rPr>
                <w:rFonts w:cstheme="minorHAnsi"/>
                <w:sz w:val="20"/>
                <w:szCs w:val="20"/>
              </w:rPr>
              <w:t xml:space="preserve">samenwerking tussen het zorgdomein en sociaal domein. </w:t>
            </w:r>
            <w:r w:rsidR="00173E10">
              <w:rPr>
                <w:rFonts w:cstheme="minorHAnsi"/>
                <w:sz w:val="20"/>
                <w:szCs w:val="20"/>
              </w:rPr>
              <w:t>Zodat mensen gelijkwaardige toegang krijgen tot de zorg en ondersteuning die zij nodig hebben.</w:t>
            </w:r>
            <w:r>
              <w:rPr>
                <w:rFonts w:cstheme="minorHAnsi"/>
                <w:sz w:val="20"/>
                <w:szCs w:val="20"/>
              </w:rPr>
              <w:t xml:space="preserve"> Een voorbeeld van een basisfunctionaliteiten is sociaal verwijzen.</w:t>
            </w:r>
          </w:p>
          <w:p w:rsidRPr="00D27AE1" w:rsidR="00115D24" w:rsidP="00115D24" w:rsidRDefault="00A46D1D" w14:paraId="45EF4A7E" w14:textId="4E986AF2">
            <w:pPr>
              <w:pStyle w:val="TableParagraph"/>
              <w:tabs>
                <w:tab w:val="left" w:pos="2060"/>
              </w:tabs>
              <w:spacing w:before="10" w:line="218" w:lineRule="exact"/>
              <w:ind w:right="1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AZWA D6: </w:t>
            </w:r>
            <w:r w:rsidR="00AE0202">
              <w:rPr>
                <w:rFonts w:cstheme="minorHAnsi"/>
                <w:sz w:val="20"/>
                <w:szCs w:val="20"/>
              </w:rPr>
              <w:t xml:space="preserve">Het doel van de basisinfrastructuur is om een goede structuur en basis in de wijk en </w:t>
            </w:r>
            <w:r w:rsidR="00161A8D">
              <w:rPr>
                <w:rFonts w:cstheme="minorHAnsi"/>
                <w:sz w:val="20"/>
                <w:szCs w:val="20"/>
              </w:rPr>
              <w:t>d</w:t>
            </w:r>
            <w:r w:rsidR="00AE0202">
              <w:rPr>
                <w:rFonts w:cstheme="minorHAnsi"/>
                <w:sz w:val="20"/>
                <w:szCs w:val="20"/>
              </w:rPr>
              <w:t xml:space="preserve">e regio te bieden. Deze structuur en basis in de wijk en regio zijn vereist </w:t>
            </w:r>
            <w:r>
              <w:rPr>
                <w:rFonts w:cstheme="minorHAnsi"/>
                <w:sz w:val="20"/>
                <w:szCs w:val="20"/>
              </w:rPr>
              <w:t xml:space="preserve">voor de uitvoering van </w:t>
            </w:r>
            <w:r w:rsidR="00AE0202">
              <w:rPr>
                <w:rFonts w:cstheme="minorHAnsi"/>
                <w:sz w:val="20"/>
                <w:szCs w:val="20"/>
              </w:rPr>
              <w:t xml:space="preserve">de </w:t>
            </w:r>
            <w:r w:rsidR="00161A8D">
              <w:rPr>
                <w:rFonts w:cstheme="minorHAnsi"/>
                <w:sz w:val="20"/>
                <w:szCs w:val="20"/>
              </w:rPr>
              <w:t xml:space="preserve"> afspraken over de </w:t>
            </w:r>
            <w:r w:rsidR="00AE0202">
              <w:rPr>
                <w:rFonts w:cstheme="minorHAnsi"/>
                <w:sz w:val="20"/>
                <w:szCs w:val="20"/>
              </w:rPr>
              <w:t xml:space="preserve">basisfunctionaliteiten. </w:t>
            </w:r>
          </w:p>
        </w:tc>
      </w:tr>
      <w:tr w:rsidRPr="00D27AE1" w:rsidR="00FC395F" w:rsidTr="00DE6D27" w14:paraId="35BCF750" w14:textId="77777777">
        <w:trPr>
          <w:trHeight w:val="694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75353317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14F5F3CB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Beleidsinstrument(en)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C94FFB" w:rsidRDefault="00C94FFB" w14:paraId="3A965EBB" w14:textId="37D881A8">
            <w:pPr>
              <w:pStyle w:val="TableParagraph"/>
              <w:tabs>
                <w:tab w:val="left" w:pos="2060"/>
              </w:tabs>
              <w:spacing w:line="218" w:lineRule="exact"/>
              <w:ind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 de doelen te behalen</w:t>
            </w:r>
            <w:r w:rsidR="001A5DBA">
              <w:rPr>
                <w:rFonts w:cstheme="minorHAnsi"/>
                <w:sz w:val="20"/>
                <w:szCs w:val="20"/>
              </w:rPr>
              <w:t xml:space="preserve"> </w:t>
            </w:r>
            <w:r w:rsidR="00A46D1D">
              <w:rPr>
                <w:rFonts w:cstheme="minorHAnsi"/>
                <w:sz w:val="20"/>
                <w:szCs w:val="20"/>
              </w:rPr>
              <w:t xml:space="preserve">zijn in het AZWA </w:t>
            </w:r>
            <w:r w:rsidR="001A5DBA">
              <w:rPr>
                <w:rFonts w:cstheme="minorHAnsi"/>
                <w:sz w:val="20"/>
                <w:szCs w:val="20"/>
              </w:rPr>
              <w:t>bestuurlijke afspra</w:t>
            </w:r>
            <w:r w:rsidR="00A46D1D">
              <w:rPr>
                <w:rFonts w:cstheme="minorHAnsi"/>
                <w:sz w:val="20"/>
                <w:szCs w:val="20"/>
              </w:rPr>
              <w:t>ken vastgelegd</w:t>
            </w:r>
            <w:r w:rsidR="000D0AE0">
              <w:rPr>
                <w:rFonts w:cstheme="minorHAnsi"/>
                <w:sz w:val="20"/>
                <w:szCs w:val="20"/>
              </w:rPr>
              <w:t xml:space="preserve"> </w:t>
            </w:r>
            <w:r w:rsidR="001A5DBA">
              <w:rPr>
                <w:rFonts w:cstheme="minorHAnsi"/>
                <w:sz w:val="20"/>
                <w:szCs w:val="20"/>
              </w:rPr>
              <w:t xml:space="preserve">voor de samenwerking tussen </w:t>
            </w:r>
            <w:r>
              <w:rPr>
                <w:rFonts w:cstheme="minorHAnsi"/>
                <w:sz w:val="20"/>
                <w:szCs w:val="20"/>
              </w:rPr>
              <w:t xml:space="preserve">verschillende partijen in </w:t>
            </w:r>
            <w:r w:rsidR="001A5DBA">
              <w:rPr>
                <w:rFonts w:cstheme="minorHAnsi"/>
                <w:sz w:val="20"/>
                <w:szCs w:val="20"/>
              </w:rPr>
              <w:t xml:space="preserve">het zorg- en sociaal domein. </w:t>
            </w:r>
            <w:r>
              <w:rPr>
                <w:rFonts w:cstheme="minorHAnsi"/>
                <w:sz w:val="20"/>
                <w:szCs w:val="20"/>
              </w:rPr>
              <w:t xml:space="preserve">De </w:t>
            </w:r>
            <w:r w:rsidR="00A95952">
              <w:rPr>
                <w:rFonts w:cstheme="minorHAnsi"/>
                <w:sz w:val="20"/>
                <w:szCs w:val="20"/>
              </w:rPr>
              <w:t xml:space="preserve">financiële </w:t>
            </w:r>
            <w:r>
              <w:rPr>
                <w:rFonts w:cstheme="minorHAnsi"/>
                <w:sz w:val="20"/>
                <w:szCs w:val="20"/>
              </w:rPr>
              <w:t xml:space="preserve">middelen </w:t>
            </w:r>
            <w:r w:rsidR="00A46D1D">
              <w:rPr>
                <w:rFonts w:cstheme="minorHAnsi"/>
                <w:sz w:val="20"/>
                <w:szCs w:val="20"/>
              </w:rPr>
              <w:t xml:space="preserve">die voor deze afspraken beschikbaar zijn gesteld, </w:t>
            </w:r>
            <w:r>
              <w:rPr>
                <w:rFonts w:cstheme="minorHAnsi"/>
                <w:sz w:val="20"/>
                <w:szCs w:val="20"/>
              </w:rPr>
              <w:t>worden aan gemeenten verstrekt. De financieringsvorm wordt geselecteerd in een zorgvuldig proces tussen de VNG, de fondsbeheerders en het ministerie van VWS. De Financiële verhoudingswet is hier</w:t>
            </w:r>
            <w:r w:rsidR="00A95952">
              <w:rPr>
                <w:rFonts w:cstheme="minorHAnsi"/>
                <w:sz w:val="20"/>
                <w:szCs w:val="20"/>
              </w:rPr>
              <w:t>bij</w:t>
            </w:r>
            <w:r>
              <w:rPr>
                <w:rFonts w:cstheme="minorHAnsi"/>
                <w:sz w:val="20"/>
                <w:szCs w:val="20"/>
              </w:rPr>
              <w:t xml:space="preserve"> het uitgangspunt. </w:t>
            </w:r>
          </w:p>
        </w:tc>
      </w:tr>
      <w:tr w:rsidRPr="00D27AE1" w:rsidR="00FC395F" w:rsidTr="00DE6D27" w14:paraId="1D0A9156" w14:textId="77777777">
        <w:trPr>
          <w:trHeight w:val="80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2D688790" w14:textId="77777777">
            <w:pPr>
              <w:pStyle w:val="TableParagraph"/>
              <w:tabs>
                <w:tab w:val="left" w:pos="2060"/>
              </w:tabs>
              <w:spacing w:before="144" w:line="242" w:lineRule="auto"/>
              <w:ind w:left="103" w:right="50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het Rijk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890"/>
              <w:gridCol w:w="564"/>
              <w:gridCol w:w="564"/>
              <w:gridCol w:w="564"/>
              <w:gridCol w:w="564"/>
              <w:gridCol w:w="564"/>
              <w:gridCol w:w="564"/>
            </w:tblGrid>
            <w:tr w:rsidRPr="006236E5" w:rsidR="00D66754" w:rsidTr="00D66754" w14:paraId="7CE17CEB" w14:textId="77777777">
              <w:trPr>
                <w:trHeight w:val="473"/>
              </w:trPr>
              <w:tc>
                <w:tcPr>
                  <w:tcW w:w="1953" w:type="dxa"/>
                </w:tcPr>
                <w:p w:rsidRPr="006236E5" w:rsidR="00D66754" w:rsidP="00D66754" w:rsidRDefault="00D66754" w14:paraId="7CCD103C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Jaartal</w:t>
                  </w:r>
                </w:p>
              </w:tc>
              <w:tc>
                <w:tcPr>
                  <w:tcW w:w="1453" w:type="dxa"/>
                </w:tcPr>
                <w:p w:rsidRPr="006236E5" w:rsidR="00D66754" w:rsidP="00D66754" w:rsidRDefault="00D66754" w14:paraId="61F4D797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2026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08FF9732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2027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50581CC0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2028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5F53C571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2029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2BCA7C22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2030</w:t>
                  </w:r>
                </w:p>
              </w:tc>
              <w:tc>
                <w:tcPr>
                  <w:tcW w:w="612" w:type="dxa"/>
                </w:tcPr>
                <w:p w:rsidRPr="006236E5" w:rsidR="00D66754" w:rsidP="00D66754" w:rsidRDefault="00746DA4" w14:paraId="1208F667" w14:textId="6AF7227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203</w:t>
                  </w:r>
                  <w:r w:rsidR="00B8464F">
                    <w:rPr>
                      <w:rFonts w:ascii="Calibri" w:hAnsi="Calibri" w:cs="Calibri"/>
                    </w:rPr>
                    <w:t>1</w:t>
                  </w:r>
                </w:p>
              </w:tc>
            </w:tr>
            <w:tr w:rsidRPr="006236E5" w:rsidR="00D66754" w:rsidTr="00D66754" w14:paraId="18FC5460" w14:textId="77777777">
              <w:tc>
                <w:tcPr>
                  <w:tcW w:w="1953" w:type="dxa"/>
                </w:tcPr>
                <w:p w:rsidRPr="006236E5" w:rsidR="00D66754" w:rsidP="00D66754" w:rsidRDefault="00D66754" w14:paraId="718249B7" w14:textId="77777777">
                  <w:pPr>
                    <w:pStyle w:val="TableParagraph"/>
                    <w:tabs>
                      <w:tab w:val="left" w:pos="2060"/>
                    </w:tabs>
                    <w:spacing w:before="3" w:line="218" w:lineRule="exact"/>
                    <w:ind w:left="101" w:right="945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236E5">
                    <w:rPr>
                      <w:rFonts w:ascii="Calibri" w:hAnsi="Calibri" w:cs="Calibri"/>
                      <w:sz w:val="20"/>
                      <w:szCs w:val="20"/>
                    </w:rPr>
                    <w:t xml:space="preserve">Basisfunctionaliteiten (x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€</w:t>
                  </w:r>
                  <w:r w:rsidRPr="006236E5">
                    <w:rPr>
                      <w:rFonts w:ascii="Calibri" w:hAnsi="Calibri" w:cs="Calibri"/>
                      <w:sz w:val="20"/>
                      <w:szCs w:val="20"/>
                    </w:rPr>
                    <w:t>1 miljoen)</w:t>
                  </w:r>
                </w:p>
                <w:p w:rsidRPr="006236E5" w:rsidR="00D66754" w:rsidP="00D66754" w:rsidRDefault="00D66754" w14:paraId="2E52E58C" w14:textId="7777777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53" w:type="dxa"/>
                </w:tcPr>
                <w:p w:rsidRPr="006236E5" w:rsidR="00D66754" w:rsidP="00D66754" w:rsidRDefault="00D66754" w14:paraId="3D3CED46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20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65675FDC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133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49D5550F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204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182D0DFF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263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137EB88C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168</w:t>
                  </w:r>
                </w:p>
              </w:tc>
              <w:tc>
                <w:tcPr>
                  <w:tcW w:w="612" w:type="dxa"/>
                </w:tcPr>
                <w:p w:rsidRPr="006236E5" w:rsidR="00D66754" w:rsidP="00D66754" w:rsidRDefault="00D66754" w14:paraId="7F7A7C37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173</w:t>
                  </w:r>
                </w:p>
              </w:tc>
            </w:tr>
            <w:tr w:rsidRPr="006236E5" w:rsidR="00D66754" w:rsidTr="00D66754" w14:paraId="1CC0FC15" w14:textId="77777777">
              <w:trPr>
                <w:trHeight w:val="561"/>
              </w:trPr>
              <w:tc>
                <w:tcPr>
                  <w:tcW w:w="1953" w:type="dxa"/>
                </w:tcPr>
                <w:p w:rsidRPr="006236E5" w:rsidR="00D66754" w:rsidP="00D66754" w:rsidRDefault="00D66754" w14:paraId="233DAD3C" w14:textId="77777777">
                  <w:pPr>
                    <w:pStyle w:val="TableParagraph"/>
                    <w:tabs>
                      <w:tab w:val="left" w:pos="2060"/>
                    </w:tabs>
                    <w:spacing w:before="3" w:line="218" w:lineRule="exact"/>
                    <w:ind w:left="101" w:right="945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236E5">
                    <w:rPr>
                      <w:rFonts w:ascii="Calibri" w:hAnsi="Calibri" w:cs="Calibri"/>
                      <w:sz w:val="20"/>
                      <w:szCs w:val="20"/>
                    </w:rPr>
                    <w:t xml:space="preserve">Basisinfrastructuur (x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€</w:t>
                  </w:r>
                  <w:r w:rsidRPr="006236E5">
                    <w:rPr>
                      <w:rFonts w:ascii="Calibri" w:hAnsi="Calibri" w:cs="Calibri"/>
                      <w:sz w:val="20"/>
                      <w:szCs w:val="20"/>
                    </w:rPr>
                    <w:t>1 miljoen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</w:p>
                <w:p w:rsidRPr="006236E5" w:rsidR="00D66754" w:rsidP="00D66754" w:rsidRDefault="00D66754" w14:paraId="102B9FC8" w14:textId="7777777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53" w:type="dxa"/>
                </w:tcPr>
                <w:p w:rsidRPr="006236E5" w:rsidR="00D66754" w:rsidP="00D66754" w:rsidRDefault="00D66754" w14:paraId="749D6BFB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30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56448274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103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1D4D892A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128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4293CEC0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154</w:t>
                  </w:r>
                </w:p>
              </w:tc>
              <w:tc>
                <w:tcPr>
                  <w:tcW w:w="558" w:type="dxa"/>
                </w:tcPr>
                <w:p w:rsidRPr="006236E5" w:rsidR="00D66754" w:rsidP="00D66754" w:rsidRDefault="00D66754" w14:paraId="3B6F61F5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173</w:t>
                  </w:r>
                </w:p>
              </w:tc>
              <w:tc>
                <w:tcPr>
                  <w:tcW w:w="612" w:type="dxa"/>
                </w:tcPr>
                <w:p w:rsidRPr="006236E5" w:rsidR="00D66754" w:rsidP="00D66754" w:rsidRDefault="00D66754" w14:paraId="3B0DD569" w14:textId="77777777">
                  <w:pPr>
                    <w:rPr>
                      <w:rFonts w:ascii="Calibri" w:hAnsi="Calibri" w:cs="Calibri"/>
                    </w:rPr>
                  </w:pPr>
                  <w:r w:rsidRPr="006236E5">
                    <w:rPr>
                      <w:rFonts w:ascii="Calibri" w:hAnsi="Calibri" w:cs="Calibri"/>
                    </w:rPr>
                    <w:t>198</w:t>
                  </w:r>
                </w:p>
              </w:tc>
            </w:tr>
          </w:tbl>
          <w:p w:rsidRPr="00D27AE1" w:rsidR="00B636E7" w:rsidP="00C94FFB" w:rsidRDefault="00B636E7" w14:paraId="1E256E70" w14:textId="455F57F0">
            <w:pPr>
              <w:pStyle w:val="TableParagraph"/>
              <w:tabs>
                <w:tab w:val="left" w:pos="2060"/>
              </w:tabs>
              <w:spacing w:before="3" w:line="218" w:lineRule="exact"/>
              <w:ind w:right="945"/>
              <w:rPr>
                <w:rFonts w:cstheme="minorHAnsi"/>
                <w:sz w:val="20"/>
                <w:szCs w:val="20"/>
              </w:rPr>
            </w:pPr>
          </w:p>
        </w:tc>
      </w:tr>
      <w:tr w:rsidRPr="00D27AE1" w:rsidR="00FC395F" w:rsidTr="00DE6D27" w14:paraId="7D329AC5" w14:textId="77777777">
        <w:trPr>
          <w:trHeight w:val="891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39765121" w14:textId="77777777">
            <w:pPr>
              <w:pStyle w:val="TableParagraph"/>
              <w:tabs>
                <w:tab w:val="left" w:pos="2060"/>
              </w:tabs>
              <w:spacing w:before="146"/>
              <w:ind w:left="103" w:right="92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maatschappelijke sectoren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C94FFB" w:rsidRDefault="00115D24" w14:paraId="0B13445F" w14:textId="5A03570F">
            <w:pPr>
              <w:pStyle w:val="TableParagraph"/>
              <w:tabs>
                <w:tab w:val="left" w:pos="2060"/>
              </w:tabs>
              <w:ind w:right="3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Zoals </w:t>
            </w:r>
            <w:r w:rsidR="00C94FFB">
              <w:rPr>
                <w:rFonts w:cstheme="minorHAnsi"/>
                <w:sz w:val="20"/>
                <w:szCs w:val="20"/>
              </w:rPr>
              <w:t>genoemd in de</w:t>
            </w:r>
            <w:r>
              <w:rPr>
                <w:rFonts w:cstheme="minorHAnsi"/>
                <w:sz w:val="20"/>
                <w:szCs w:val="20"/>
              </w:rPr>
              <w:t xml:space="preserve"> AZWA </w:t>
            </w:r>
            <w:r w:rsidR="00C94FFB">
              <w:rPr>
                <w:rFonts w:cstheme="minorHAnsi"/>
                <w:sz w:val="20"/>
                <w:szCs w:val="20"/>
              </w:rPr>
              <w:t>afspraken</w:t>
            </w:r>
            <w:r>
              <w:rPr>
                <w:rFonts w:cstheme="minorHAnsi"/>
                <w:sz w:val="20"/>
                <w:szCs w:val="20"/>
              </w:rPr>
              <w:t xml:space="preserve"> D5 (</w:t>
            </w:r>
            <w:r w:rsidR="00C94FFB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asisfunctionaliteiten) en D6 (</w:t>
            </w:r>
            <w:r w:rsidR="00C94FFB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asisinfrastructuur) worden de gelden volledig aan gemeente</w:t>
            </w:r>
            <w:r w:rsidR="00A46D1D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 xml:space="preserve"> verstrekt t</w:t>
            </w:r>
            <w:r w:rsidR="00C94FF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="00C94FF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="00C94FF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de versterking van de samenwerking tussen het sociaal en zorgdomein. </w:t>
            </w:r>
          </w:p>
        </w:tc>
      </w:tr>
      <w:tr w:rsidRPr="00D27AE1" w:rsidR="00FC395F" w:rsidTr="00DE6D27" w14:paraId="48276E79" w14:textId="77777777">
        <w:trPr>
          <w:trHeight w:val="95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1968627E" w14:textId="77777777">
            <w:pPr>
              <w:pStyle w:val="TableParagraph"/>
              <w:tabs>
                <w:tab w:val="left" w:pos="2060"/>
              </w:tabs>
              <w:spacing w:before="141"/>
              <w:ind w:left="103" w:right="829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doeltreffendheid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C94FFB" w:rsidRDefault="00173E10" w14:paraId="5497370A" w14:textId="7E1A2ACA">
            <w:pPr>
              <w:pStyle w:val="TableParagraph"/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doelen (I) betere</w:t>
            </w:r>
            <w:r w:rsidR="00BC5EA7">
              <w:rPr>
                <w:rFonts w:cstheme="minorHAnsi"/>
                <w:sz w:val="20"/>
                <w:szCs w:val="20"/>
              </w:rPr>
              <w:t xml:space="preserve"> samenwerking tussen het zorg- en sociaal domein om de Z</w:t>
            </w:r>
            <w:r>
              <w:rPr>
                <w:rFonts w:cstheme="minorHAnsi"/>
                <w:sz w:val="20"/>
                <w:szCs w:val="20"/>
              </w:rPr>
              <w:t>vw</w:t>
            </w:r>
            <w:r w:rsidR="00BC5EA7">
              <w:rPr>
                <w:rFonts w:cstheme="minorHAnsi"/>
                <w:sz w:val="20"/>
                <w:szCs w:val="20"/>
              </w:rPr>
              <w:t>-zorg te ontlasten</w:t>
            </w:r>
            <w:r>
              <w:rPr>
                <w:rFonts w:cstheme="minorHAnsi"/>
                <w:sz w:val="20"/>
                <w:szCs w:val="20"/>
              </w:rPr>
              <w:t xml:space="preserve"> en daardoor (II) gelijkwaardige toegang tot zorg en ondersteuning worden</w:t>
            </w:r>
            <w:r w:rsidR="00CC3ED5">
              <w:rPr>
                <w:rFonts w:cstheme="minorHAnsi"/>
                <w:sz w:val="20"/>
                <w:szCs w:val="20"/>
              </w:rPr>
              <w:t xml:space="preserve"> behaald door </w:t>
            </w:r>
            <w:r w:rsidRPr="00CC3ED5" w:rsidR="00CC3ED5">
              <w:rPr>
                <w:rFonts w:cstheme="minorHAnsi"/>
                <w:sz w:val="20"/>
                <w:szCs w:val="20"/>
              </w:rPr>
              <w:t>concrete afspraken op samenwerking tussen de domeinen, randvoorwaarden, definitie van doelgroep en signalering en zijn doorgerekend op de impact op zorgkosten/</w:t>
            </w:r>
            <w:r w:rsidR="001D11B8">
              <w:rPr>
                <w:rFonts w:cstheme="minorHAnsi"/>
                <w:sz w:val="20"/>
                <w:szCs w:val="20"/>
              </w:rPr>
              <w:t>Wmo</w:t>
            </w:r>
            <w:r w:rsidRPr="00CC3ED5" w:rsidR="00CC3ED5">
              <w:rPr>
                <w:rFonts w:cstheme="minorHAnsi"/>
                <w:sz w:val="20"/>
                <w:szCs w:val="20"/>
              </w:rPr>
              <w:t xml:space="preserve"> en inzet zorg/welzijnspersoneel.</w:t>
            </w:r>
            <w:r w:rsidR="00CC3ED5">
              <w:rPr>
                <w:rFonts w:cstheme="minorHAnsi"/>
                <w:sz w:val="20"/>
                <w:szCs w:val="20"/>
              </w:rPr>
              <w:t xml:space="preserve"> </w:t>
            </w:r>
            <w:r w:rsidR="0042323C">
              <w:rPr>
                <w:rFonts w:cstheme="minorHAnsi"/>
                <w:sz w:val="20"/>
                <w:szCs w:val="20"/>
              </w:rPr>
              <w:t xml:space="preserve"> </w:t>
            </w:r>
            <w:r w:rsidR="00CC3ED5">
              <w:rPr>
                <w:rFonts w:cstheme="minorHAnsi"/>
                <w:sz w:val="20"/>
                <w:szCs w:val="20"/>
              </w:rPr>
              <w:t>De</w:t>
            </w:r>
            <w:r w:rsidR="00BC5EA7">
              <w:rPr>
                <w:rFonts w:cstheme="minorHAnsi"/>
                <w:sz w:val="20"/>
                <w:szCs w:val="20"/>
              </w:rPr>
              <w:t xml:space="preserve"> middelen </w:t>
            </w:r>
            <w:r w:rsidR="00CC3ED5">
              <w:rPr>
                <w:rFonts w:cstheme="minorHAnsi"/>
                <w:sz w:val="20"/>
                <w:szCs w:val="20"/>
              </w:rPr>
              <w:t xml:space="preserve">worden beschikbaar gesteld middels het door de partijen als meest passend </w:t>
            </w:r>
            <w:r w:rsidR="00A95952">
              <w:rPr>
                <w:rFonts w:cstheme="minorHAnsi"/>
                <w:sz w:val="20"/>
                <w:szCs w:val="20"/>
              </w:rPr>
              <w:t>beschouwde</w:t>
            </w:r>
            <w:r w:rsidR="00CC3ED5">
              <w:rPr>
                <w:rFonts w:cstheme="minorHAnsi"/>
                <w:sz w:val="20"/>
                <w:szCs w:val="20"/>
              </w:rPr>
              <w:t xml:space="preserve"> instrument. </w:t>
            </w:r>
          </w:p>
        </w:tc>
      </w:tr>
      <w:tr w:rsidRPr="00D27AE1" w:rsidR="00FC395F" w:rsidTr="00DE6D27" w14:paraId="7B10E185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2BC5EAC1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i/>
                <w:sz w:val="20"/>
                <w:szCs w:val="20"/>
              </w:rPr>
            </w:pPr>
          </w:p>
          <w:p w:rsidRPr="00D27AE1" w:rsidR="00FC395F" w:rsidP="00DE6D27" w:rsidRDefault="00FC395F" w14:paraId="62CBBCF0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doelmatigheid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C94FFB" w:rsidRDefault="001218BC" w14:paraId="3D1C2053" w14:textId="3D80FB98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afspraken D5 en D6 zijn een manier om de doelstellingen</w:t>
            </w:r>
            <w:r w:rsidR="00993FC9">
              <w:rPr>
                <w:rFonts w:cstheme="minorHAnsi"/>
                <w:sz w:val="20"/>
                <w:szCs w:val="20"/>
              </w:rPr>
              <w:t xml:space="preserve"> van het AZWA te realiseren door bewezen effectieve basisfunctionaliteiten (zoals sociaal verwijzen en valpreventie) regionaal in te voeren en de </w:t>
            </w:r>
            <w:r w:rsidR="00A46D1D">
              <w:rPr>
                <w:rFonts w:cstheme="minorHAnsi"/>
                <w:sz w:val="20"/>
                <w:szCs w:val="20"/>
              </w:rPr>
              <w:t>basis</w:t>
            </w:r>
            <w:r w:rsidR="00993FC9">
              <w:rPr>
                <w:rFonts w:cstheme="minorHAnsi"/>
                <w:sz w:val="20"/>
                <w:szCs w:val="20"/>
              </w:rPr>
              <w:t xml:space="preserve">infrastructuur op te bouwen om de uitvoering van basisfunctionaliteiten te ondersteunen. Deze inzet in het sociaal domein verlaagt de zorgvraag en bijbehorende kosten in het Zvw-domein, doordat mensen sneller en dichterbij passende ondersteuning krijgen. </w:t>
            </w:r>
            <w:r w:rsidR="004B241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Pr="00D27AE1" w:rsidR="00FC395F" w:rsidTr="00DE6D27" w14:paraId="774FE242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51A8B58F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504A0DBC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i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Evaluatieparagraaf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C94FFB" w:rsidRDefault="000037CB" w14:paraId="43FDB685" w14:textId="4D2FB483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voortgang van implementatie van de basisfunctionaliteiten in de regio </w:t>
            </w:r>
            <w:r w:rsidR="00A46D1D">
              <w:rPr>
                <w:rFonts w:cstheme="minorHAnsi"/>
                <w:sz w:val="20"/>
                <w:szCs w:val="20"/>
              </w:rPr>
              <w:t xml:space="preserve">zal landelijk </w:t>
            </w:r>
            <w:r>
              <w:rPr>
                <w:rFonts w:cstheme="minorHAnsi"/>
                <w:sz w:val="20"/>
                <w:szCs w:val="20"/>
              </w:rPr>
              <w:t xml:space="preserve">gemonitord worden. </w:t>
            </w:r>
            <w:r w:rsidRPr="006A0B4C" w:rsidR="006A0B4C">
              <w:rPr>
                <w:rFonts w:cstheme="minorHAnsi"/>
                <w:sz w:val="20"/>
                <w:szCs w:val="20"/>
              </w:rPr>
              <w:t xml:space="preserve">De basisfunctionaliteiten worden inhoudelijk periodiek geüpdatet op basis van monitoring en evaluatie van de (boven)lokale uitvoering in 2028. </w:t>
            </w:r>
            <w:r>
              <w:rPr>
                <w:rFonts w:cstheme="minorHAnsi"/>
                <w:sz w:val="20"/>
                <w:szCs w:val="20"/>
              </w:rPr>
              <w:t>Het AZWA breed wordt gemonitord en geëvalueerd</w:t>
            </w:r>
            <w:r w:rsidR="00BC5EA7">
              <w:rPr>
                <w:rFonts w:cstheme="minorHAnsi"/>
                <w:sz w:val="20"/>
                <w:szCs w:val="20"/>
              </w:rPr>
              <w:t xml:space="preserve"> op basis van de </w:t>
            </w:r>
            <w:r>
              <w:rPr>
                <w:rFonts w:cstheme="minorHAnsi"/>
                <w:sz w:val="20"/>
                <w:szCs w:val="20"/>
              </w:rPr>
              <w:t xml:space="preserve">eerder gemaakte </w:t>
            </w:r>
            <w:r w:rsidR="00BC5EA7">
              <w:rPr>
                <w:rFonts w:cstheme="minorHAnsi"/>
                <w:sz w:val="20"/>
                <w:szCs w:val="20"/>
              </w:rPr>
              <w:t xml:space="preserve">afspraken </w:t>
            </w:r>
            <w:r>
              <w:rPr>
                <w:rFonts w:cstheme="minorHAnsi"/>
                <w:sz w:val="20"/>
                <w:szCs w:val="20"/>
              </w:rPr>
              <w:t>hierover</w:t>
            </w:r>
            <w:r w:rsidR="00BC5EA7">
              <w:rPr>
                <w:rFonts w:cstheme="minorHAnsi"/>
                <w:sz w:val="20"/>
                <w:szCs w:val="20"/>
              </w:rPr>
              <w:t xml:space="preserve"> in het Integraal Zorgakkoord (IZA).</w:t>
            </w:r>
          </w:p>
        </w:tc>
      </w:tr>
    </w:tbl>
    <w:p w:rsidR="00B06701" w:rsidRDefault="00B06701" w14:paraId="4EA7E4ED" w14:textId="41891C6C"/>
    <w:p w:rsidR="00517B19" w:rsidP="00517B19" w:rsidRDefault="00517B19" w14:paraId="088EEBBB" w14:textId="77777777"/>
    <w:sectPr w:rsidR="00517B19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Gadugi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F"/>
    <w:rsid w:val="000037CB"/>
    <w:rsid w:val="00095DD2"/>
    <w:rsid w:val="00097882"/>
    <w:rsid w:val="000D0AE0"/>
    <w:rsid w:val="000E4C56"/>
    <w:rsid w:val="000F4BC1"/>
    <w:rsid w:val="00115D24"/>
    <w:rsid w:val="001218BC"/>
    <w:rsid w:val="001360DE"/>
    <w:rsid w:val="00161A8D"/>
    <w:rsid w:val="00173E10"/>
    <w:rsid w:val="001A3761"/>
    <w:rsid w:val="001A5DBA"/>
    <w:rsid w:val="001D11B8"/>
    <w:rsid w:val="001D35C9"/>
    <w:rsid w:val="001E6A24"/>
    <w:rsid w:val="00370BB0"/>
    <w:rsid w:val="003E3A7A"/>
    <w:rsid w:val="0042323C"/>
    <w:rsid w:val="004B2417"/>
    <w:rsid w:val="004B50ED"/>
    <w:rsid w:val="004F3B34"/>
    <w:rsid w:val="00517B19"/>
    <w:rsid w:val="006150A8"/>
    <w:rsid w:val="006236E5"/>
    <w:rsid w:val="006A0B4C"/>
    <w:rsid w:val="00746DA4"/>
    <w:rsid w:val="00883355"/>
    <w:rsid w:val="009153F9"/>
    <w:rsid w:val="009917C3"/>
    <w:rsid w:val="00993FC9"/>
    <w:rsid w:val="00A01325"/>
    <w:rsid w:val="00A46D1D"/>
    <w:rsid w:val="00A95952"/>
    <w:rsid w:val="00AA7C6C"/>
    <w:rsid w:val="00AB2933"/>
    <w:rsid w:val="00AE0202"/>
    <w:rsid w:val="00AE152F"/>
    <w:rsid w:val="00B06701"/>
    <w:rsid w:val="00B3034A"/>
    <w:rsid w:val="00B636E7"/>
    <w:rsid w:val="00B8464F"/>
    <w:rsid w:val="00BC5EA7"/>
    <w:rsid w:val="00C94FFB"/>
    <w:rsid w:val="00CC3ED5"/>
    <w:rsid w:val="00D04A2B"/>
    <w:rsid w:val="00D36107"/>
    <w:rsid w:val="00D66754"/>
    <w:rsid w:val="00D74EFF"/>
    <w:rsid w:val="00D76579"/>
    <w:rsid w:val="00D76CAF"/>
    <w:rsid w:val="00DD0DDE"/>
    <w:rsid w:val="00E33B18"/>
    <w:rsid w:val="00E623FB"/>
    <w:rsid w:val="00EB00D6"/>
    <w:rsid w:val="00F13405"/>
    <w:rsid w:val="00F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61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66754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95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C395F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B6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73E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73E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73E10"/>
    <w:rPr>
      <w:rFonts w:eastAsia="DejaVu Sans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3E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3E10"/>
    <w:rPr>
      <w:rFonts w:eastAsia="DejaVu Sans" w:cs="Lohit Hindi"/>
      <w:b/>
      <w:bCs/>
      <w:color w:val="000000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A46D1D"/>
    <w:pPr>
      <w:spacing w:after="0" w:line="240" w:lineRule="auto"/>
    </w:pPr>
    <w:rPr>
      <w:rFonts w:eastAsia="DejaVu Sans" w:cs="Lohit Hindi"/>
      <w:color w:val="000000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483</ap:Words>
  <ap:Characters>2660</ap:Characters>
  <ap:DocSecurity>0</ap:DocSecurity>
  <ap:Lines>22</ap:Lines>
  <ap:Paragraphs>6</ap:Paragraphs>
  <ap:ScaleCrop>false</ap:ScaleCrop>
  <ap:LinksUpToDate>false</ap:LinksUpToDate>
  <ap:CharactersWithSpaces>3137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2026-03-10T15:09:00.0000000Z</dcterms:created>
  <dcterms:modified xsi:type="dcterms:W3CDTF">2026-03-10T15:09:00.0000000Z</dcterms:modified>
  <version/>
  <category/>
</coreProperties>
</file>