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742"/>
        <w:gridCol w:w="6162"/>
      </w:tblGrid>
      <w:tr w:rsidRPr="0009783B" w:rsidR="00FC395F" w:rsidTr="00DE6D27" w14:paraId="07B4E054" w14:textId="77777777">
        <w:trPr>
          <w:trHeight w:val="1059"/>
        </w:trPr>
        <w:tc>
          <w:tcPr>
            <w:tcW w:w="8970" w:type="dxa"/>
            <w:gridSpan w:val="2"/>
            <w:tcBorders>
              <w:left w:val="nil"/>
            </w:tcBorders>
            <w:shd w:val="clear" w:color="auto" w:fill="7A7A7A"/>
            <w:vAlign w:val="center"/>
          </w:tcPr>
          <w:p w:rsidRPr="0009783B" w:rsidR="00FC395F" w:rsidP="00DE6D27" w:rsidRDefault="00FC395F" w14:paraId="0F5BCABA" w14:textId="77777777">
            <w:pPr>
              <w:pStyle w:val="TableParagraph"/>
              <w:tabs>
                <w:tab w:val="left" w:pos="2060"/>
              </w:tabs>
              <w:ind w:left="103"/>
              <w:rPr>
                <w:rFonts w:cstheme="minorHAnsi"/>
                <w:b/>
                <w:color w:val="FFFFFF"/>
                <w:sz w:val="20"/>
                <w:szCs w:val="20"/>
              </w:rPr>
            </w:pPr>
            <w:r w:rsidRPr="0009783B">
              <w:rPr>
                <w:rFonts w:cstheme="minorHAnsi"/>
                <w:b/>
                <w:color w:val="FFFFFF"/>
                <w:sz w:val="20"/>
                <w:szCs w:val="20"/>
              </w:rPr>
              <w:t>Beleidskeuzes uitgelegd</w:t>
            </w:r>
          </w:p>
          <w:p w:rsidRPr="0009783B" w:rsidR="00FC395F" w:rsidP="00DE6D27" w:rsidRDefault="00FC395F" w14:paraId="4F7CF44C" w14:textId="77777777">
            <w:pPr>
              <w:pStyle w:val="TableParagraph"/>
              <w:tabs>
                <w:tab w:val="left" w:pos="2060"/>
              </w:tabs>
              <w:rPr>
                <w:rFonts w:cstheme="minorHAnsi"/>
                <w:color w:val="FFFFFF" w:themeColor="background1"/>
                <w:sz w:val="20"/>
                <w:szCs w:val="20"/>
              </w:rPr>
            </w:pPr>
            <w:r w:rsidRPr="0009783B">
              <w:rPr>
                <w:rFonts w:cstheme="minorHAnsi"/>
                <w:b/>
                <w:color w:val="FFFFFF" w:themeColor="background1"/>
                <w:sz w:val="20"/>
                <w:szCs w:val="20"/>
              </w:rPr>
              <w:t xml:space="preserve"> </w:t>
            </w:r>
            <w:r w:rsidRPr="0009783B">
              <w:rPr>
                <w:rFonts w:cstheme="minorHAnsi"/>
                <w:i/>
                <w:color w:val="FFFFFF" w:themeColor="background1"/>
                <w:sz w:val="20"/>
                <w:szCs w:val="20"/>
              </w:rPr>
              <w:t>Onderbouwing doeltreffendheid, doelmatigheid en evaluatie (CW3.1)</w:t>
            </w:r>
          </w:p>
        </w:tc>
      </w:tr>
      <w:tr w:rsidRPr="0009783B" w:rsidR="00FC395F" w:rsidTr="00DE6D27" w14:paraId="069014BF" w14:textId="77777777">
        <w:trPr>
          <w:trHeight w:val="666"/>
        </w:trPr>
        <w:tc>
          <w:tcPr>
            <w:tcW w:w="2640" w:type="dxa"/>
            <w:tcBorders>
              <w:left w:val="nil"/>
            </w:tcBorders>
            <w:shd w:val="clear" w:color="auto" w:fill="7A7A7A"/>
          </w:tcPr>
          <w:p w:rsidRPr="0009783B" w:rsidR="00FC395F" w:rsidP="00DE6D27" w:rsidRDefault="00FC395F" w14:paraId="410EAC64" w14:textId="77777777">
            <w:pPr>
              <w:pStyle w:val="TableParagraph"/>
              <w:tabs>
                <w:tab w:val="left" w:pos="2060"/>
              </w:tabs>
              <w:ind w:left="103"/>
              <w:rPr>
                <w:rFonts w:cstheme="minorHAnsi"/>
                <w:b/>
                <w:color w:val="FFFFFF"/>
                <w:sz w:val="20"/>
                <w:szCs w:val="20"/>
              </w:rPr>
            </w:pPr>
          </w:p>
          <w:p w:rsidRPr="0009783B" w:rsidR="00FC395F" w:rsidP="00DE6D27" w:rsidRDefault="00FC395F" w14:paraId="6AF842CE" w14:textId="77777777">
            <w:pPr>
              <w:pStyle w:val="TableParagraph"/>
              <w:tabs>
                <w:tab w:val="left" w:pos="2060"/>
              </w:tabs>
              <w:ind w:left="103"/>
              <w:rPr>
                <w:rFonts w:cstheme="minorHAnsi"/>
                <w:b/>
                <w:sz w:val="20"/>
                <w:szCs w:val="20"/>
              </w:rPr>
            </w:pPr>
            <w:r w:rsidRPr="0009783B">
              <w:rPr>
                <w:rFonts w:cstheme="minorHAnsi"/>
                <w:b/>
                <w:color w:val="FFFFFF"/>
                <w:sz w:val="20"/>
                <w:szCs w:val="20"/>
              </w:rPr>
              <w:t xml:space="preserve">Doel(en) </w:t>
            </w:r>
          </w:p>
        </w:tc>
        <w:tc>
          <w:tcPr>
            <w:tcW w:w="6330" w:type="dxa"/>
            <w:tcBorders>
              <w:right w:val="nil"/>
            </w:tcBorders>
            <w:shd w:val="clear" w:color="auto" w:fill="DBDBDB"/>
            <w:vAlign w:val="center"/>
          </w:tcPr>
          <w:p w:rsidRPr="0009783B" w:rsidR="00DF2682" w:rsidP="00DF2682" w:rsidRDefault="00DF2682" w14:paraId="0E39F578" w14:textId="77777777">
            <w:pPr>
              <w:spacing w:line="240" w:lineRule="auto"/>
              <w:rPr>
                <w:rFonts w:cstheme="minorHAnsi"/>
                <w:sz w:val="20"/>
                <w:szCs w:val="20"/>
              </w:rPr>
            </w:pPr>
            <w:r w:rsidRPr="0009783B">
              <w:rPr>
                <w:rFonts w:cstheme="minorHAnsi"/>
                <w:sz w:val="20"/>
                <w:szCs w:val="20"/>
              </w:rPr>
              <w:t>Het leervermogen in organisaties is één van de randvoorwaarden om de transformatiedoelen uit het AZWA te kunnen realiseren. Daarom wordt met deze afspraak beoogd dat leervermogen te verstevigen door te investeren in opleiding en scholing van professionals, eerst en vooral waar tekorten het grootste zijn, om de ingezette beweging naar de voorkant te bestendigen.</w:t>
            </w:r>
          </w:p>
          <w:p w:rsidRPr="0009783B" w:rsidR="00637E2C" w:rsidP="00DF2682" w:rsidRDefault="00DF2682" w14:paraId="7E29041F" w14:textId="608ABEFB">
            <w:pPr>
              <w:pStyle w:val="TableParagraph"/>
              <w:tabs>
                <w:tab w:val="left" w:pos="2060"/>
              </w:tabs>
              <w:spacing w:before="10" w:line="218" w:lineRule="exact"/>
              <w:ind w:left="101" w:right="154"/>
              <w:rPr>
                <w:rFonts w:cstheme="minorHAnsi"/>
                <w:sz w:val="20"/>
                <w:szCs w:val="20"/>
              </w:rPr>
            </w:pPr>
            <w:r w:rsidRPr="0009783B">
              <w:rPr>
                <w:rFonts w:cstheme="minorHAnsi"/>
                <w:sz w:val="20"/>
                <w:szCs w:val="20"/>
              </w:rPr>
              <w:t>Daarnaast is investeren in opleiding en ontwikkeling een essentieel onderdeel van het beheersen en terugdringen van de krapte op de arbeidsmarkt, bijvoorbeeld door extra op te leiden voor ‘tekortberoepen’ en strategisch in te zetten op bij- en nascholing.</w:t>
            </w:r>
          </w:p>
        </w:tc>
      </w:tr>
      <w:tr w:rsidRPr="0009783B" w:rsidR="00FC395F" w:rsidTr="00DE6D27" w14:paraId="6702F99A" w14:textId="77777777">
        <w:trPr>
          <w:trHeight w:val="694"/>
        </w:trPr>
        <w:tc>
          <w:tcPr>
            <w:tcW w:w="2640" w:type="dxa"/>
            <w:tcBorders>
              <w:left w:val="nil"/>
            </w:tcBorders>
            <w:shd w:val="clear" w:color="auto" w:fill="7A7A7A"/>
          </w:tcPr>
          <w:p w:rsidRPr="0009783B" w:rsidR="00FC395F" w:rsidP="00DE6D27" w:rsidRDefault="00FC395F" w14:paraId="6078A40C" w14:textId="77777777">
            <w:pPr>
              <w:pStyle w:val="TableParagraph"/>
              <w:tabs>
                <w:tab w:val="left" w:pos="2060"/>
              </w:tabs>
              <w:ind w:left="103" w:right="231"/>
              <w:rPr>
                <w:rFonts w:cstheme="minorHAnsi"/>
                <w:b/>
                <w:color w:val="FFFFFF"/>
                <w:sz w:val="20"/>
                <w:szCs w:val="20"/>
              </w:rPr>
            </w:pPr>
          </w:p>
          <w:p w:rsidRPr="0009783B" w:rsidR="00FC395F" w:rsidP="00DE6D27" w:rsidRDefault="00FC395F" w14:paraId="0F3A5733" w14:textId="77777777">
            <w:pPr>
              <w:pStyle w:val="TableParagraph"/>
              <w:tabs>
                <w:tab w:val="left" w:pos="2060"/>
              </w:tabs>
              <w:ind w:left="103" w:right="231"/>
              <w:rPr>
                <w:rFonts w:cstheme="minorHAnsi"/>
                <w:b/>
                <w:sz w:val="20"/>
                <w:szCs w:val="20"/>
              </w:rPr>
            </w:pPr>
            <w:r w:rsidRPr="0009783B">
              <w:rPr>
                <w:rFonts w:cstheme="minorHAnsi"/>
                <w:b/>
                <w:color w:val="FFFFFF"/>
                <w:sz w:val="20"/>
                <w:szCs w:val="20"/>
              </w:rPr>
              <w:t>Beleidsinstrument(en)</w:t>
            </w:r>
          </w:p>
        </w:tc>
        <w:tc>
          <w:tcPr>
            <w:tcW w:w="6330" w:type="dxa"/>
            <w:tcBorders>
              <w:right w:val="nil"/>
            </w:tcBorders>
            <w:shd w:val="clear" w:color="auto" w:fill="DBDBDB"/>
            <w:vAlign w:val="center"/>
          </w:tcPr>
          <w:p w:rsidRPr="00D90257" w:rsidR="00DF2682" w:rsidP="00D90257" w:rsidRDefault="00DF2682" w14:paraId="62CD4F27" w14:textId="1EF71307">
            <w:pPr>
              <w:pStyle w:val="TableParagraph"/>
              <w:tabs>
                <w:tab w:val="left" w:pos="2060"/>
              </w:tabs>
              <w:spacing w:line="218" w:lineRule="exact"/>
              <w:ind w:right="543"/>
              <w:rPr>
                <w:rFonts w:cstheme="minorHAnsi"/>
                <w:i/>
                <w:iCs/>
                <w:sz w:val="20"/>
                <w:szCs w:val="20"/>
              </w:rPr>
            </w:pPr>
            <w:r w:rsidRPr="0009783B">
              <w:rPr>
                <w:rFonts w:cstheme="minorHAnsi"/>
                <w:sz w:val="20"/>
                <w:szCs w:val="20"/>
              </w:rPr>
              <w:t>Ter versterking van de lerende omgeving zijn de volgende afspraken gemaakt. AZWA-partijen:</w:t>
            </w:r>
          </w:p>
          <w:p w:rsidRPr="0009783B" w:rsidR="00DF2682" w:rsidP="00DF2682" w:rsidRDefault="00DF2682" w14:paraId="79628705" w14:textId="77777777">
            <w:pPr>
              <w:pStyle w:val="TableParagraph"/>
              <w:tabs>
                <w:tab w:val="left" w:pos="2060"/>
              </w:tabs>
              <w:spacing w:line="218" w:lineRule="exact"/>
              <w:ind w:left="101" w:right="543"/>
              <w:rPr>
                <w:rFonts w:cstheme="minorHAnsi"/>
                <w:sz w:val="20"/>
                <w:szCs w:val="20"/>
              </w:rPr>
            </w:pPr>
          </w:p>
          <w:p w:rsidRPr="0009783B" w:rsidR="00DF2682" w:rsidP="00DF2682" w:rsidRDefault="00DF2682" w14:paraId="53E2D4AF" w14:textId="77777777">
            <w:pPr>
              <w:pStyle w:val="TableParagraph"/>
              <w:tabs>
                <w:tab w:val="left" w:pos="2060"/>
              </w:tabs>
              <w:spacing w:line="218" w:lineRule="exact"/>
              <w:ind w:left="101" w:right="543"/>
              <w:rPr>
                <w:rFonts w:cstheme="minorHAnsi"/>
                <w:sz w:val="20"/>
                <w:szCs w:val="20"/>
              </w:rPr>
            </w:pPr>
            <w:r w:rsidRPr="0009783B">
              <w:rPr>
                <w:rFonts w:cstheme="minorHAnsi"/>
                <w:sz w:val="20"/>
                <w:szCs w:val="20"/>
              </w:rPr>
              <w:t>- Verstevigen samen de instroom, om vroege uitval te voorkomen. Onder andere door het maken van landelijke en regionale afspraken over het aanbod en de inhoud van opleidingen, om de aansluiting op zorg en welzijn te versterken.</w:t>
            </w:r>
          </w:p>
          <w:p w:rsidRPr="0009783B" w:rsidR="00DF2682" w:rsidP="00DF2682" w:rsidRDefault="00DF2682" w14:paraId="40061FCE" w14:textId="77777777">
            <w:pPr>
              <w:pStyle w:val="TableParagraph"/>
              <w:tabs>
                <w:tab w:val="left" w:pos="2060"/>
              </w:tabs>
              <w:spacing w:line="218" w:lineRule="exact"/>
              <w:ind w:left="101" w:right="543"/>
              <w:rPr>
                <w:rFonts w:cstheme="minorHAnsi"/>
                <w:sz w:val="20"/>
                <w:szCs w:val="20"/>
              </w:rPr>
            </w:pPr>
          </w:p>
          <w:p w:rsidRPr="0009783B" w:rsidR="00DF2682" w:rsidP="00DF2682" w:rsidRDefault="00DF2682" w14:paraId="45FF00B2" w14:textId="77777777">
            <w:pPr>
              <w:pStyle w:val="TableParagraph"/>
              <w:tabs>
                <w:tab w:val="left" w:pos="2060"/>
              </w:tabs>
              <w:spacing w:line="218" w:lineRule="exact"/>
              <w:ind w:left="101" w:right="543"/>
              <w:rPr>
                <w:rFonts w:cstheme="minorHAnsi"/>
                <w:sz w:val="20"/>
                <w:szCs w:val="20"/>
              </w:rPr>
            </w:pPr>
            <w:r w:rsidRPr="0009783B">
              <w:rPr>
                <w:rFonts w:cstheme="minorHAnsi"/>
                <w:sz w:val="20"/>
                <w:szCs w:val="20"/>
              </w:rPr>
              <w:t>- verstevigen samen het aanbod van vervolg- en strategisch opleiden. Er wordt (verder) verkend wat nodig is, en aanvullende opleidingsplekken worden aangeboden waar de behoefte het grootst is.</w:t>
            </w:r>
          </w:p>
          <w:p w:rsidRPr="0009783B" w:rsidR="00DF2682" w:rsidP="00DF2682" w:rsidRDefault="00DF2682" w14:paraId="62CA84DA" w14:textId="77777777">
            <w:pPr>
              <w:pStyle w:val="TableParagraph"/>
              <w:tabs>
                <w:tab w:val="left" w:pos="2060"/>
              </w:tabs>
              <w:spacing w:line="218" w:lineRule="exact"/>
              <w:ind w:left="101" w:right="543"/>
              <w:rPr>
                <w:rFonts w:cstheme="minorHAnsi"/>
                <w:sz w:val="20"/>
                <w:szCs w:val="20"/>
              </w:rPr>
            </w:pPr>
          </w:p>
          <w:p w:rsidRPr="0009783B" w:rsidR="00DF2682" w:rsidP="00DF2682" w:rsidRDefault="00DF2682" w14:paraId="0E579762" w14:textId="77777777">
            <w:pPr>
              <w:pStyle w:val="TableParagraph"/>
              <w:tabs>
                <w:tab w:val="left" w:pos="2060"/>
              </w:tabs>
              <w:spacing w:line="218" w:lineRule="exact"/>
              <w:ind w:left="101" w:right="543"/>
              <w:rPr>
                <w:rFonts w:cstheme="minorHAnsi"/>
                <w:sz w:val="20"/>
                <w:szCs w:val="20"/>
              </w:rPr>
            </w:pPr>
            <w:r w:rsidRPr="0009783B">
              <w:rPr>
                <w:rFonts w:cstheme="minorHAnsi"/>
                <w:sz w:val="20"/>
                <w:szCs w:val="20"/>
              </w:rPr>
              <w:t>- Bereiden professionals goed voor (strategisch opleiden). Ondersteuning wordt geboden zodat professionals de bewegingen in het AZWA kunnen maken.</w:t>
            </w:r>
          </w:p>
          <w:p w:rsidRPr="0009783B" w:rsidR="00DF2682" w:rsidP="00DF2682" w:rsidRDefault="00DF2682" w14:paraId="51574B90" w14:textId="77777777">
            <w:pPr>
              <w:pStyle w:val="TableParagraph"/>
              <w:tabs>
                <w:tab w:val="left" w:pos="2060"/>
              </w:tabs>
              <w:spacing w:line="218" w:lineRule="exact"/>
              <w:ind w:left="101" w:right="543"/>
              <w:rPr>
                <w:rFonts w:cstheme="minorHAnsi"/>
                <w:sz w:val="20"/>
                <w:szCs w:val="20"/>
              </w:rPr>
            </w:pPr>
          </w:p>
          <w:p w:rsidRPr="0009783B" w:rsidR="00DF2682" w:rsidP="00DF2682" w:rsidRDefault="00DF2682" w14:paraId="1CFABFA9" w14:textId="77777777">
            <w:pPr>
              <w:pStyle w:val="TableParagraph"/>
              <w:tabs>
                <w:tab w:val="left" w:pos="2060"/>
              </w:tabs>
              <w:spacing w:line="218" w:lineRule="exact"/>
              <w:ind w:left="101" w:right="543"/>
              <w:rPr>
                <w:rFonts w:cstheme="minorHAnsi"/>
                <w:sz w:val="20"/>
                <w:szCs w:val="20"/>
              </w:rPr>
            </w:pPr>
            <w:r w:rsidRPr="0009783B">
              <w:rPr>
                <w:rFonts w:cstheme="minorHAnsi"/>
                <w:sz w:val="20"/>
                <w:szCs w:val="20"/>
              </w:rPr>
              <w:t>- Verstevigen de randvoorwaarden. Dit omvat een breed pallet aan afspraken over inzicht in en specificering van bekostiging, wet- en regelgeving, evaluatie en zeggenschap.</w:t>
            </w:r>
          </w:p>
          <w:p w:rsidRPr="0009783B" w:rsidR="00DF2682" w:rsidP="00DF2682" w:rsidRDefault="00DF2682" w14:paraId="5A9782E5" w14:textId="77777777">
            <w:pPr>
              <w:pStyle w:val="TableParagraph"/>
              <w:tabs>
                <w:tab w:val="left" w:pos="2060"/>
              </w:tabs>
              <w:spacing w:line="218" w:lineRule="exact"/>
              <w:ind w:left="101" w:right="543"/>
              <w:rPr>
                <w:rFonts w:cstheme="minorHAnsi"/>
                <w:sz w:val="20"/>
                <w:szCs w:val="20"/>
              </w:rPr>
            </w:pPr>
          </w:p>
          <w:p w:rsidRPr="0009783B" w:rsidR="009318AA" w:rsidP="00DF2682" w:rsidRDefault="00DF2682" w14:paraId="4C2FF626" w14:textId="0185767E">
            <w:pPr>
              <w:pStyle w:val="TableParagraph"/>
              <w:tabs>
                <w:tab w:val="left" w:pos="2060"/>
              </w:tabs>
              <w:spacing w:line="218" w:lineRule="exact"/>
              <w:ind w:left="101" w:right="543"/>
              <w:rPr>
                <w:rFonts w:cstheme="minorHAnsi"/>
                <w:sz w:val="20"/>
                <w:szCs w:val="20"/>
              </w:rPr>
            </w:pPr>
            <w:r w:rsidRPr="0009783B">
              <w:rPr>
                <w:rFonts w:cstheme="minorHAnsi"/>
                <w:sz w:val="20"/>
                <w:szCs w:val="20"/>
              </w:rPr>
              <w:t>De bovenstaande afspraken komen in 2026 tot uitvoering middels de subsidie Strategisch Opleiden Zorg en Welzijn. Hiermee kunnen werkgevers in zorg- en welzijn een bijdrage ontvangen voor hun opleidingsactiviteiten die toezien op instroom en doorstroom én op bij- en nascholing gericht op de thema’s uit het AZWA. Daarnaast wordt in 2026 ingezet op het voortzetten en integreren van de loopbaaninstrumenten.</w:t>
            </w:r>
          </w:p>
        </w:tc>
      </w:tr>
      <w:tr w:rsidRPr="0009783B" w:rsidR="00FC395F" w:rsidTr="00DE6D27" w14:paraId="2D426F2A" w14:textId="77777777">
        <w:trPr>
          <w:trHeight w:val="805"/>
        </w:trPr>
        <w:tc>
          <w:tcPr>
            <w:tcW w:w="2640" w:type="dxa"/>
            <w:tcBorders>
              <w:left w:val="nil"/>
            </w:tcBorders>
            <w:shd w:val="clear" w:color="auto" w:fill="7A7A7A"/>
          </w:tcPr>
          <w:p w:rsidRPr="0009783B" w:rsidR="00FC395F" w:rsidP="00DE6D27" w:rsidRDefault="00FC395F" w14:paraId="782E7510" w14:textId="77777777">
            <w:pPr>
              <w:pStyle w:val="TableParagraph"/>
              <w:tabs>
                <w:tab w:val="left" w:pos="2060"/>
              </w:tabs>
              <w:spacing w:before="144" w:line="242" w:lineRule="auto"/>
              <w:ind w:left="103" w:right="506"/>
              <w:rPr>
                <w:rFonts w:cstheme="minorHAnsi"/>
                <w:b/>
                <w:sz w:val="20"/>
                <w:szCs w:val="20"/>
              </w:rPr>
            </w:pPr>
            <w:r w:rsidRPr="0009783B">
              <w:rPr>
                <w:rFonts w:cstheme="minorHAnsi"/>
                <w:b/>
                <w:color w:val="FFFFFF"/>
                <w:sz w:val="20"/>
                <w:szCs w:val="20"/>
              </w:rPr>
              <w:t>Financiële gevolgen voor het Rijk</w:t>
            </w:r>
          </w:p>
        </w:tc>
        <w:tc>
          <w:tcPr>
            <w:tcW w:w="6330" w:type="dxa"/>
            <w:tcBorders>
              <w:right w:val="nil"/>
            </w:tcBorders>
            <w:shd w:val="clear" w:color="auto" w:fill="DBDBDB"/>
            <w:vAlign w:val="center"/>
          </w:tcPr>
          <w:p w:rsidRPr="00D90257" w:rsidR="00DF2682" w:rsidP="00D90257" w:rsidRDefault="00DF2682" w14:paraId="72E52339" w14:textId="1F07706E">
            <w:pPr>
              <w:pStyle w:val="TableParagraph"/>
              <w:tabs>
                <w:tab w:val="left" w:pos="2060"/>
              </w:tabs>
              <w:spacing w:before="3" w:line="218" w:lineRule="exact"/>
              <w:ind w:right="945"/>
              <w:rPr>
                <w:rFonts w:cstheme="minorHAnsi"/>
                <w:i/>
                <w:iCs/>
                <w:sz w:val="20"/>
                <w:szCs w:val="20"/>
              </w:rPr>
            </w:pPr>
            <w:r w:rsidRPr="0009783B">
              <w:rPr>
                <w:rFonts w:cstheme="minorHAnsi"/>
                <w:sz w:val="20"/>
                <w:szCs w:val="20"/>
              </w:rPr>
              <w:t>Ter uitvoering van deze afspraken wordt de volgende budgettaire reeks beschikbaar gesteld op de begroting van VWS:</w:t>
            </w:r>
          </w:p>
          <w:p w:rsidRPr="0009783B" w:rsidR="00DF2682" w:rsidP="00DF2682" w:rsidRDefault="00DF2682" w14:paraId="5B8549C7" w14:textId="77777777">
            <w:pPr>
              <w:rPr>
                <w:rFonts w:cstheme="minorHAnsi"/>
                <w:sz w:val="20"/>
                <w:szCs w:val="20"/>
              </w:rPr>
            </w:pPr>
          </w:p>
          <w:tbl>
            <w:tblPr>
              <w:tblStyle w:val="Tabelraster"/>
              <w:tblW w:w="0" w:type="auto"/>
              <w:tblLook w:val="04A0" w:firstRow="1" w:lastRow="0" w:firstColumn="1" w:lastColumn="0" w:noHBand="0" w:noVBand="1"/>
            </w:tblPr>
            <w:tblGrid>
              <w:gridCol w:w="873"/>
              <w:gridCol w:w="850"/>
              <w:gridCol w:w="851"/>
              <w:gridCol w:w="850"/>
              <w:gridCol w:w="851"/>
              <w:gridCol w:w="1276"/>
            </w:tblGrid>
            <w:tr w:rsidRPr="0009783B" w:rsidR="00DF2682" w:rsidTr="00B055E5" w14:paraId="0A236973" w14:textId="77777777">
              <w:tc>
                <w:tcPr>
                  <w:tcW w:w="873" w:type="dxa"/>
                </w:tcPr>
                <w:p w:rsidRPr="0009783B" w:rsidR="00DF2682" w:rsidP="00DF2682" w:rsidRDefault="00DF2682" w14:paraId="236C2BBD" w14:textId="77777777">
                  <w:pPr>
                    <w:rPr>
                      <w:rFonts w:cstheme="minorHAnsi"/>
                      <w:sz w:val="20"/>
                      <w:szCs w:val="20"/>
                    </w:rPr>
                  </w:pPr>
                  <w:r w:rsidRPr="0009783B">
                    <w:rPr>
                      <w:rFonts w:cstheme="minorHAnsi"/>
                      <w:sz w:val="20"/>
                      <w:szCs w:val="20"/>
                    </w:rPr>
                    <w:t>2026</w:t>
                  </w:r>
                </w:p>
              </w:tc>
              <w:tc>
                <w:tcPr>
                  <w:tcW w:w="850" w:type="dxa"/>
                </w:tcPr>
                <w:p w:rsidRPr="0009783B" w:rsidR="00DF2682" w:rsidP="00DF2682" w:rsidRDefault="00DF2682" w14:paraId="07D6C057" w14:textId="77777777">
                  <w:pPr>
                    <w:rPr>
                      <w:rFonts w:cstheme="minorHAnsi"/>
                      <w:sz w:val="20"/>
                      <w:szCs w:val="20"/>
                    </w:rPr>
                  </w:pPr>
                  <w:r w:rsidRPr="0009783B">
                    <w:rPr>
                      <w:rFonts w:cstheme="minorHAnsi"/>
                      <w:sz w:val="20"/>
                      <w:szCs w:val="20"/>
                    </w:rPr>
                    <w:t>2027</w:t>
                  </w:r>
                </w:p>
              </w:tc>
              <w:tc>
                <w:tcPr>
                  <w:tcW w:w="851" w:type="dxa"/>
                </w:tcPr>
                <w:p w:rsidRPr="0009783B" w:rsidR="00DF2682" w:rsidP="00DF2682" w:rsidRDefault="00DF2682" w14:paraId="549D7271" w14:textId="77777777">
                  <w:pPr>
                    <w:rPr>
                      <w:rFonts w:cstheme="minorHAnsi"/>
                      <w:sz w:val="20"/>
                      <w:szCs w:val="20"/>
                    </w:rPr>
                  </w:pPr>
                  <w:r w:rsidRPr="0009783B">
                    <w:rPr>
                      <w:rFonts w:cstheme="minorHAnsi"/>
                      <w:sz w:val="20"/>
                      <w:szCs w:val="20"/>
                    </w:rPr>
                    <w:t>2028</w:t>
                  </w:r>
                </w:p>
              </w:tc>
              <w:tc>
                <w:tcPr>
                  <w:tcW w:w="850" w:type="dxa"/>
                </w:tcPr>
                <w:p w:rsidRPr="0009783B" w:rsidR="00DF2682" w:rsidP="00DF2682" w:rsidRDefault="00DF2682" w14:paraId="373C32AA" w14:textId="77777777">
                  <w:pPr>
                    <w:rPr>
                      <w:rFonts w:cstheme="minorHAnsi"/>
                      <w:sz w:val="20"/>
                      <w:szCs w:val="20"/>
                    </w:rPr>
                  </w:pPr>
                  <w:r w:rsidRPr="0009783B">
                    <w:rPr>
                      <w:rFonts w:cstheme="minorHAnsi"/>
                      <w:sz w:val="20"/>
                      <w:szCs w:val="20"/>
                    </w:rPr>
                    <w:t>2029</w:t>
                  </w:r>
                </w:p>
              </w:tc>
              <w:tc>
                <w:tcPr>
                  <w:tcW w:w="851" w:type="dxa"/>
                </w:tcPr>
                <w:p w:rsidRPr="0009783B" w:rsidR="00DF2682" w:rsidP="00DF2682" w:rsidRDefault="00DF2682" w14:paraId="1B7086E4" w14:textId="77777777">
                  <w:pPr>
                    <w:rPr>
                      <w:rFonts w:cstheme="minorHAnsi"/>
                      <w:sz w:val="20"/>
                      <w:szCs w:val="20"/>
                    </w:rPr>
                  </w:pPr>
                  <w:r w:rsidRPr="0009783B">
                    <w:rPr>
                      <w:rFonts w:cstheme="minorHAnsi"/>
                      <w:sz w:val="20"/>
                      <w:szCs w:val="20"/>
                    </w:rPr>
                    <w:t>2030</w:t>
                  </w:r>
                </w:p>
              </w:tc>
              <w:tc>
                <w:tcPr>
                  <w:tcW w:w="1276" w:type="dxa"/>
                </w:tcPr>
                <w:p w:rsidRPr="0009783B" w:rsidR="00DF2682" w:rsidP="00DF2682" w:rsidRDefault="00DF2682" w14:paraId="46F39838" w14:textId="44571C86">
                  <w:pPr>
                    <w:rPr>
                      <w:rFonts w:cstheme="minorHAnsi"/>
                      <w:sz w:val="20"/>
                      <w:szCs w:val="20"/>
                    </w:rPr>
                  </w:pPr>
                  <w:r w:rsidRPr="0009783B">
                    <w:rPr>
                      <w:rFonts w:cstheme="minorHAnsi"/>
                      <w:sz w:val="20"/>
                      <w:szCs w:val="20"/>
                    </w:rPr>
                    <w:t>203</w:t>
                  </w:r>
                  <w:r w:rsidR="00C205FC">
                    <w:rPr>
                      <w:rFonts w:cstheme="minorHAnsi"/>
                      <w:sz w:val="20"/>
                      <w:szCs w:val="20"/>
                    </w:rPr>
                    <w:t>1</w:t>
                  </w:r>
                </w:p>
              </w:tc>
            </w:tr>
            <w:tr w:rsidRPr="0009783B" w:rsidR="00DF2682" w:rsidTr="00B055E5" w14:paraId="66688B68" w14:textId="77777777">
              <w:tc>
                <w:tcPr>
                  <w:tcW w:w="873" w:type="dxa"/>
                </w:tcPr>
                <w:p w:rsidRPr="0009783B" w:rsidR="00DF2682" w:rsidP="00DF2682" w:rsidRDefault="00DF2682" w14:paraId="0B9110BC" w14:textId="77777777">
                  <w:pPr>
                    <w:rPr>
                      <w:rFonts w:cstheme="minorHAnsi"/>
                      <w:sz w:val="20"/>
                      <w:szCs w:val="20"/>
                    </w:rPr>
                  </w:pPr>
                  <w:r w:rsidRPr="0009783B">
                    <w:rPr>
                      <w:rFonts w:cstheme="minorHAnsi"/>
                      <w:sz w:val="20"/>
                      <w:szCs w:val="20"/>
                    </w:rPr>
                    <w:t>53</w:t>
                  </w:r>
                </w:p>
              </w:tc>
              <w:tc>
                <w:tcPr>
                  <w:tcW w:w="850" w:type="dxa"/>
                </w:tcPr>
                <w:p w:rsidRPr="0009783B" w:rsidR="00DF2682" w:rsidP="00DF2682" w:rsidRDefault="00DF2682" w14:paraId="573BB95D" w14:textId="77777777">
                  <w:pPr>
                    <w:rPr>
                      <w:rFonts w:cstheme="minorHAnsi"/>
                      <w:sz w:val="20"/>
                      <w:szCs w:val="20"/>
                    </w:rPr>
                  </w:pPr>
                  <w:r w:rsidRPr="0009783B">
                    <w:rPr>
                      <w:rFonts w:cstheme="minorHAnsi"/>
                      <w:sz w:val="20"/>
                      <w:szCs w:val="20"/>
                    </w:rPr>
                    <w:t>83</w:t>
                  </w:r>
                </w:p>
              </w:tc>
              <w:tc>
                <w:tcPr>
                  <w:tcW w:w="851" w:type="dxa"/>
                </w:tcPr>
                <w:p w:rsidRPr="0009783B" w:rsidR="00DF2682" w:rsidP="00DF2682" w:rsidRDefault="00DF2682" w14:paraId="2943000D" w14:textId="77777777">
                  <w:pPr>
                    <w:rPr>
                      <w:rFonts w:cstheme="minorHAnsi"/>
                      <w:sz w:val="20"/>
                      <w:szCs w:val="20"/>
                    </w:rPr>
                  </w:pPr>
                  <w:r w:rsidRPr="0009783B">
                    <w:rPr>
                      <w:rFonts w:cstheme="minorHAnsi"/>
                      <w:sz w:val="20"/>
                      <w:szCs w:val="20"/>
                    </w:rPr>
                    <w:t>129</w:t>
                  </w:r>
                </w:p>
              </w:tc>
              <w:tc>
                <w:tcPr>
                  <w:tcW w:w="850" w:type="dxa"/>
                </w:tcPr>
                <w:p w:rsidRPr="0009783B" w:rsidR="00DF2682" w:rsidP="00DF2682" w:rsidRDefault="00DF2682" w14:paraId="0A65AF58" w14:textId="77777777">
                  <w:pPr>
                    <w:rPr>
                      <w:rFonts w:cstheme="minorHAnsi"/>
                      <w:sz w:val="20"/>
                      <w:szCs w:val="20"/>
                    </w:rPr>
                  </w:pPr>
                  <w:r w:rsidRPr="0009783B">
                    <w:rPr>
                      <w:rFonts w:cstheme="minorHAnsi"/>
                      <w:sz w:val="20"/>
                      <w:szCs w:val="20"/>
                    </w:rPr>
                    <w:t>185</w:t>
                  </w:r>
                </w:p>
              </w:tc>
              <w:tc>
                <w:tcPr>
                  <w:tcW w:w="851" w:type="dxa"/>
                </w:tcPr>
                <w:p w:rsidRPr="0009783B" w:rsidR="00DF2682" w:rsidP="00DF2682" w:rsidRDefault="00DF2682" w14:paraId="7A04746B" w14:textId="77777777">
                  <w:pPr>
                    <w:rPr>
                      <w:rFonts w:cstheme="minorHAnsi"/>
                      <w:sz w:val="20"/>
                      <w:szCs w:val="20"/>
                    </w:rPr>
                  </w:pPr>
                  <w:r w:rsidRPr="0009783B">
                    <w:rPr>
                      <w:rFonts w:cstheme="minorHAnsi"/>
                      <w:sz w:val="20"/>
                      <w:szCs w:val="20"/>
                    </w:rPr>
                    <w:t>185</w:t>
                  </w:r>
                </w:p>
              </w:tc>
              <w:tc>
                <w:tcPr>
                  <w:tcW w:w="1276" w:type="dxa"/>
                </w:tcPr>
                <w:p w:rsidRPr="0009783B" w:rsidR="00DF2682" w:rsidP="00DF2682" w:rsidRDefault="00DF2682" w14:paraId="17F32895" w14:textId="77777777">
                  <w:pPr>
                    <w:rPr>
                      <w:rFonts w:cstheme="minorHAnsi"/>
                      <w:sz w:val="20"/>
                      <w:szCs w:val="20"/>
                    </w:rPr>
                  </w:pPr>
                  <w:r w:rsidRPr="0009783B">
                    <w:rPr>
                      <w:rFonts w:cstheme="minorHAnsi"/>
                      <w:sz w:val="20"/>
                      <w:szCs w:val="20"/>
                    </w:rPr>
                    <w:t>185</w:t>
                  </w:r>
                </w:p>
              </w:tc>
            </w:tr>
          </w:tbl>
          <w:p w:rsidRPr="0009783B" w:rsidR="009318AA" w:rsidP="00DF2682" w:rsidRDefault="00DF2682" w14:paraId="294DEB23" w14:textId="7C3092B1">
            <w:pPr>
              <w:rPr>
                <w:rFonts w:cstheme="minorHAnsi"/>
                <w:sz w:val="20"/>
                <w:szCs w:val="20"/>
              </w:rPr>
            </w:pPr>
            <w:r w:rsidRPr="0009783B">
              <w:rPr>
                <w:rFonts w:cstheme="minorHAnsi"/>
                <w:sz w:val="20"/>
                <w:szCs w:val="20"/>
              </w:rPr>
              <w:t>Bedrag x € 1 miljoen</w:t>
            </w:r>
          </w:p>
        </w:tc>
      </w:tr>
      <w:tr w:rsidRPr="0009783B" w:rsidR="00FC395F" w:rsidTr="00DE6D27" w14:paraId="66876AA9" w14:textId="77777777">
        <w:trPr>
          <w:trHeight w:val="891"/>
        </w:trPr>
        <w:tc>
          <w:tcPr>
            <w:tcW w:w="2640" w:type="dxa"/>
            <w:tcBorders>
              <w:left w:val="nil"/>
            </w:tcBorders>
            <w:shd w:val="clear" w:color="auto" w:fill="7A7A7A"/>
          </w:tcPr>
          <w:p w:rsidRPr="0009783B" w:rsidR="00FC395F" w:rsidP="00DE6D27" w:rsidRDefault="00FC395F" w14:paraId="68AF62BD" w14:textId="77777777">
            <w:pPr>
              <w:pStyle w:val="TableParagraph"/>
              <w:tabs>
                <w:tab w:val="left" w:pos="2060"/>
              </w:tabs>
              <w:spacing w:before="146"/>
              <w:ind w:left="103" w:right="92"/>
              <w:rPr>
                <w:rFonts w:cstheme="minorHAnsi"/>
                <w:b/>
                <w:sz w:val="20"/>
                <w:szCs w:val="20"/>
              </w:rPr>
            </w:pPr>
            <w:r w:rsidRPr="0009783B">
              <w:rPr>
                <w:rFonts w:cstheme="minorHAnsi"/>
                <w:b/>
                <w:color w:val="FFFFFF"/>
                <w:sz w:val="20"/>
                <w:szCs w:val="20"/>
              </w:rPr>
              <w:t xml:space="preserve">Financiële gevolgen voor maatschappelijke sectoren </w:t>
            </w:r>
          </w:p>
        </w:tc>
        <w:tc>
          <w:tcPr>
            <w:tcW w:w="6330" w:type="dxa"/>
            <w:tcBorders>
              <w:right w:val="nil"/>
            </w:tcBorders>
            <w:shd w:val="clear" w:color="auto" w:fill="DBDBDB"/>
            <w:vAlign w:val="center"/>
          </w:tcPr>
          <w:p w:rsidRPr="0009783B" w:rsidR="009318AA" w:rsidP="00D90257" w:rsidRDefault="00DF2682" w14:paraId="2B6BED9D" w14:textId="282D6052">
            <w:pPr>
              <w:pStyle w:val="TableParagraph"/>
              <w:tabs>
                <w:tab w:val="left" w:pos="2060"/>
              </w:tabs>
              <w:ind w:right="308"/>
              <w:rPr>
                <w:rFonts w:cstheme="minorHAnsi"/>
                <w:sz w:val="20"/>
                <w:szCs w:val="20"/>
              </w:rPr>
            </w:pPr>
            <w:r w:rsidRPr="0009783B">
              <w:rPr>
                <w:rFonts w:cstheme="minorHAnsi"/>
                <w:sz w:val="20"/>
                <w:szCs w:val="20"/>
              </w:rPr>
              <w:t>Er komen mogelijk extra (tijdelijke) middelen beschikbaar voor maatschappelijke sectoren vanuit de budgettaire reeks, maar er zullen geen kosten volgen voor die partijen.</w:t>
            </w:r>
          </w:p>
        </w:tc>
      </w:tr>
      <w:tr w:rsidRPr="0009783B" w:rsidR="00FC395F" w:rsidTr="00DE6D27" w14:paraId="042603F8" w14:textId="77777777">
        <w:trPr>
          <w:trHeight w:val="955"/>
        </w:trPr>
        <w:tc>
          <w:tcPr>
            <w:tcW w:w="2640" w:type="dxa"/>
            <w:tcBorders>
              <w:left w:val="nil"/>
            </w:tcBorders>
            <w:shd w:val="clear" w:color="auto" w:fill="7A7A7A"/>
          </w:tcPr>
          <w:p w:rsidRPr="0009783B" w:rsidR="00FC395F" w:rsidP="00DE6D27" w:rsidRDefault="00FC395F" w14:paraId="7413D24C" w14:textId="77777777">
            <w:pPr>
              <w:pStyle w:val="TableParagraph"/>
              <w:tabs>
                <w:tab w:val="left" w:pos="2060"/>
              </w:tabs>
              <w:spacing w:before="141"/>
              <w:ind w:left="103" w:right="829"/>
              <w:rPr>
                <w:rFonts w:cstheme="minorHAnsi"/>
                <w:b/>
                <w:sz w:val="20"/>
                <w:szCs w:val="20"/>
              </w:rPr>
            </w:pPr>
            <w:r w:rsidRPr="0009783B">
              <w:rPr>
                <w:rFonts w:cstheme="minorHAnsi"/>
                <w:b/>
                <w:color w:val="FFFFFF"/>
                <w:sz w:val="20"/>
                <w:szCs w:val="20"/>
              </w:rPr>
              <w:t>Nagestreefde doeltreffendheid</w:t>
            </w:r>
          </w:p>
        </w:tc>
        <w:tc>
          <w:tcPr>
            <w:tcW w:w="6330" w:type="dxa"/>
            <w:tcBorders>
              <w:right w:val="nil"/>
            </w:tcBorders>
            <w:shd w:val="clear" w:color="auto" w:fill="DBDBDB"/>
            <w:vAlign w:val="center"/>
          </w:tcPr>
          <w:p w:rsidRPr="0009783B" w:rsidR="00DF2682" w:rsidP="00DF2682" w:rsidRDefault="00DF2682" w14:paraId="3534386F" w14:textId="77777777">
            <w:pPr>
              <w:rPr>
                <w:rFonts w:cstheme="minorHAnsi"/>
                <w:sz w:val="20"/>
                <w:szCs w:val="20"/>
              </w:rPr>
            </w:pPr>
            <w:r w:rsidRPr="0009783B">
              <w:rPr>
                <w:rFonts w:cstheme="minorHAnsi"/>
                <w:sz w:val="20"/>
                <w:szCs w:val="20"/>
              </w:rPr>
              <w:t>Door het versterken van de lerende omgeving wordt bijgedragen aan de doelstelling uit het AZWA om de prognose van een onbeheersbaar arbeidsmarkttekort af te wenden. Dit wordt concreet bereikt via twee factoren:</w:t>
            </w:r>
          </w:p>
          <w:p w:rsidRPr="0009783B" w:rsidR="00DF2682" w:rsidP="00DF2682" w:rsidRDefault="00DF2682" w14:paraId="2F65CC39" w14:textId="77777777">
            <w:pPr>
              <w:pStyle w:val="Lijstalinea"/>
              <w:numPr>
                <w:ilvl w:val="0"/>
                <w:numId w:val="1"/>
              </w:numPr>
              <w:spacing w:after="0"/>
              <w:rPr>
                <w:rFonts w:cstheme="minorHAnsi"/>
                <w:sz w:val="20"/>
                <w:szCs w:val="20"/>
              </w:rPr>
            </w:pPr>
            <w:r w:rsidRPr="0009783B">
              <w:rPr>
                <w:rFonts w:cstheme="minorHAnsi"/>
                <w:sz w:val="20"/>
                <w:szCs w:val="20"/>
              </w:rPr>
              <w:t>Hogere productiviteit, door professionals in staat te stellen de beweging naar passende zorg te maken en het werk anders in te richten.</w:t>
            </w:r>
          </w:p>
          <w:p w:rsidRPr="0009783B" w:rsidR="0079700D" w:rsidP="00DF2682" w:rsidRDefault="00DF2682" w14:paraId="3777A5F2" w14:textId="6F586EA3">
            <w:pPr>
              <w:pStyle w:val="TableParagraph"/>
              <w:tabs>
                <w:tab w:val="left" w:pos="2060"/>
              </w:tabs>
              <w:spacing w:line="218" w:lineRule="exact"/>
              <w:ind w:left="101" w:right="543"/>
              <w:rPr>
                <w:rFonts w:cstheme="minorHAnsi"/>
                <w:sz w:val="20"/>
                <w:szCs w:val="20"/>
              </w:rPr>
            </w:pPr>
            <w:r w:rsidRPr="0009783B">
              <w:rPr>
                <w:rFonts w:cstheme="minorHAnsi"/>
                <w:sz w:val="20"/>
                <w:szCs w:val="20"/>
              </w:rPr>
              <w:lastRenderedPageBreak/>
              <w:t>Verhoging instroom en verlaging uitstroom, door uitwerking van de afspraken op het gebied van initieel, vervolg- en strategisch opleiden.</w:t>
            </w:r>
          </w:p>
        </w:tc>
      </w:tr>
      <w:tr w:rsidRPr="0009783B" w:rsidR="00FC395F" w:rsidTr="00DE6D27" w14:paraId="697CDC20" w14:textId="77777777">
        <w:trPr>
          <w:trHeight w:val="983"/>
        </w:trPr>
        <w:tc>
          <w:tcPr>
            <w:tcW w:w="2640" w:type="dxa"/>
            <w:tcBorders>
              <w:left w:val="nil"/>
            </w:tcBorders>
            <w:shd w:val="clear" w:color="auto" w:fill="7A7A7A"/>
          </w:tcPr>
          <w:p w:rsidRPr="0009783B" w:rsidR="00FC395F" w:rsidP="00DE6D27" w:rsidRDefault="00FC395F" w14:paraId="4172E669" w14:textId="77777777">
            <w:pPr>
              <w:pStyle w:val="TableParagraph"/>
              <w:tabs>
                <w:tab w:val="left" w:pos="2060"/>
              </w:tabs>
              <w:rPr>
                <w:rFonts w:cstheme="minorHAnsi"/>
                <w:i/>
                <w:sz w:val="20"/>
                <w:szCs w:val="20"/>
              </w:rPr>
            </w:pPr>
          </w:p>
          <w:p w:rsidRPr="0009783B" w:rsidR="00FC395F" w:rsidP="00DE6D27" w:rsidRDefault="00FC395F" w14:paraId="6FFE0F27" w14:textId="77777777">
            <w:pPr>
              <w:pStyle w:val="TableParagraph"/>
              <w:tabs>
                <w:tab w:val="left" w:pos="2060"/>
              </w:tabs>
              <w:ind w:left="103" w:right="1066"/>
              <w:rPr>
                <w:rFonts w:cstheme="minorHAnsi"/>
                <w:b/>
                <w:sz w:val="20"/>
                <w:szCs w:val="20"/>
              </w:rPr>
            </w:pPr>
            <w:r w:rsidRPr="0009783B">
              <w:rPr>
                <w:rFonts w:cstheme="minorHAnsi"/>
                <w:b/>
                <w:color w:val="FFFFFF"/>
                <w:sz w:val="20"/>
                <w:szCs w:val="20"/>
              </w:rPr>
              <w:t>Nagestreefde doelmatigheid</w:t>
            </w:r>
          </w:p>
        </w:tc>
        <w:tc>
          <w:tcPr>
            <w:tcW w:w="6330" w:type="dxa"/>
            <w:tcBorders>
              <w:right w:val="nil"/>
            </w:tcBorders>
            <w:shd w:val="clear" w:color="auto" w:fill="DBDBDB"/>
            <w:vAlign w:val="center"/>
          </w:tcPr>
          <w:p w:rsidRPr="00D90257" w:rsidR="000E3E08" w:rsidP="00D90257" w:rsidRDefault="00DF2682" w14:paraId="0098302D" w14:textId="2861AFAC">
            <w:pPr>
              <w:pStyle w:val="TableParagraph"/>
              <w:tabs>
                <w:tab w:val="left" w:pos="2060"/>
              </w:tabs>
              <w:spacing w:line="213" w:lineRule="exact"/>
              <w:rPr>
                <w:rFonts w:cstheme="minorHAnsi"/>
                <w:i/>
                <w:iCs/>
                <w:sz w:val="20"/>
                <w:szCs w:val="20"/>
              </w:rPr>
            </w:pPr>
            <w:r w:rsidRPr="0009783B">
              <w:rPr>
                <w:rFonts w:cstheme="minorHAnsi"/>
                <w:sz w:val="20"/>
                <w:szCs w:val="20"/>
              </w:rPr>
              <w:t>De komende decennia wordt een grote groei van de vraag naar zorg en welzijn verwacht. Daarom is het essentieel de afspraken structureel te borgen, om een zo groot mogelijk dempend effect op het personeelstekort te bewerkstelligen. Met deze afspraken wordt ook gewerkt aan het behoud van instroom in de opleiding voor tekortberoepen, voldoende loopbaanmogelijkheden en het verminderen van de uitstroom van professionals uit organisaties in het sociaal domein, publieke gezondheid en de zorg.</w:t>
            </w:r>
          </w:p>
        </w:tc>
      </w:tr>
      <w:tr w:rsidRPr="0009783B" w:rsidR="00FC395F" w:rsidTr="005853DB" w14:paraId="5A5FA9ED" w14:textId="77777777">
        <w:trPr>
          <w:trHeight w:val="841"/>
        </w:trPr>
        <w:tc>
          <w:tcPr>
            <w:tcW w:w="2640" w:type="dxa"/>
            <w:tcBorders>
              <w:left w:val="nil"/>
            </w:tcBorders>
            <w:shd w:val="clear" w:color="auto" w:fill="7A7A7A"/>
          </w:tcPr>
          <w:p w:rsidRPr="0009783B" w:rsidR="00FC395F" w:rsidP="00DE6D27" w:rsidRDefault="00FC395F" w14:paraId="7615B727" w14:textId="77777777">
            <w:pPr>
              <w:pStyle w:val="TableParagraph"/>
              <w:tabs>
                <w:tab w:val="left" w:pos="2060"/>
              </w:tabs>
              <w:ind w:left="103" w:right="1066"/>
              <w:rPr>
                <w:rFonts w:cstheme="minorHAnsi"/>
                <w:b/>
                <w:color w:val="FFFFFF"/>
                <w:sz w:val="20"/>
                <w:szCs w:val="20"/>
              </w:rPr>
            </w:pPr>
          </w:p>
          <w:p w:rsidRPr="0009783B" w:rsidR="00FC395F" w:rsidP="00DE6D27" w:rsidRDefault="00FC395F" w14:paraId="3A203E51" w14:textId="77777777">
            <w:pPr>
              <w:pStyle w:val="TableParagraph"/>
              <w:tabs>
                <w:tab w:val="left" w:pos="2060"/>
              </w:tabs>
              <w:ind w:left="103" w:right="1066"/>
              <w:rPr>
                <w:rFonts w:cstheme="minorHAnsi"/>
                <w:i/>
                <w:sz w:val="20"/>
                <w:szCs w:val="20"/>
              </w:rPr>
            </w:pPr>
            <w:r w:rsidRPr="0009783B">
              <w:rPr>
                <w:rFonts w:cstheme="minorHAnsi"/>
                <w:b/>
                <w:color w:val="FFFFFF"/>
                <w:sz w:val="20"/>
                <w:szCs w:val="20"/>
              </w:rPr>
              <w:t>Evaluatieparagraaf</w:t>
            </w:r>
          </w:p>
        </w:tc>
        <w:tc>
          <w:tcPr>
            <w:tcW w:w="6330" w:type="dxa"/>
            <w:tcBorders>
              <w:right w:val="nil"/>
            </w:tcBorders>
            <w:shd w:val="clear" w:color="auto" w:fill="DBDBDB"/>
            <w:vAlign w:val="center"/>
          </w:tcPr>
          <w:p w:rsidRPr="0009783B" w:rsidR="000E3E08" w:rsidP="00D90257" w:rsidRDefault="00DF2682" w14:paraId="020379AE" w14:textId="42BF46BF">
            <w:pPr>
              <w:pStyle w:val="TableParagraph"/>
              <w:tabs>
                <w:tab w:val="left" w:pos="2060"/>
              </w:tabs>
              <w:spacing w:line="213" w:lineRule="exact"/>
              <w:rPr>
                <w:rFonts w:cstheme="minorHAnsi"/>
                <w:sz w:val="20"/>
                <w:szCs w:val="20"/>
              </w:rPr>
            </w:pPr>
            <w:r w:rsidRPr="0009783B">
              <w:rPr>
                <w:rFonts w:cstheme="minorHAnsi"/>
                <w:sz w:val="20"/>
                <w:szCs w:val="20"/>
              </w:rPr>
              <w:t>De monitoring van de voortgang van de AZWA-afspraken over opleiden loopt mee in de brede AZWA-voortgangsrapportages.</w:t>
            </w:r>
          </w:p>
        </w:tc>
      </w:tr>
    </w:tbl>
    <w:p w:rsidRPr="0009783B" w:rsidR="00B06701" w:rsidRDefault="00B06701" w14:paraId="2306DF44" w14:textId="77777777">
      <w:pPr>
        <w:rPr>
          <w:rFonts w:asciiTheme="minorHAnsi" w:hAnsiTheme="minorHAnsi" w:cstheme="minorHAnsi"/>
          <w:sz w:val="20"/>
          <w:szCs w:val="20"/>
        </w:rPr>
      </w:pPr>
    </w:p>
    <w:sectPr w:rsidRPr="0009783B"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1C15" w14:textId="77777777" w:rsidR="00E66FF4" w:rsidRDefault="00E66FF4" w:rsidP="00D059D1">
      <w:pPr>
        <w:spacing w:line="240" w:lineRule="auto"/>
      </w:pPr>
      <w:r>
        <w:separator/>
      </w:r>
    </w:p>
  </w:endnote>
  <w:endnote w:type="continuationSeparator" w:id="0">
    <w:p w14:paraId="0B61CEC8" w14:textId="77777777" w:rsidR="00E66FF4" w:rsidRDefault="00E66FF4" w:rsidP="00D05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7EC0" w14:textId="77777777" w:rsidR="00E66FF4" w:rsidRDefault="00E66FF4" w:rsidP="00D059D1">
      <w:pPr>
        <w:spacing w:line="240" w:lineRule="auto"/>
      </w:pPr>
      <w:r>
        <w:separator/>
      </w:r>
    </w:p>
  </w:footnote>
  <w:footnote w:type="continuationSeparator" w:id="0">
    <w:p w14:paraId="67B62FF1" w14:textId="77777777" w:rsidR="00E66FF4" w:rsidRDefault="00E66FF4" w:rsidP="00D059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9F5"/>
    <w:multiLevelType w:val="hybridMultilevel"/>
    <w:tmpl w:val="F4108E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159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5F"/>
    <w:rsid w:val="000119F7"/>
    <w:rsid w:val="0009783B"/>
    <w:rsid w:val="000E3E08"/>
    <w:rsid w:val="000E4C56"/>
    <w:rsid w:val="001C2571"/>
    <w:rsid w:val="001E6A24"/>
    <w:rsid w:val="00271155"/>
    <w:rsid w:val="0029529C"/>
    <w:rsid w:val="0034035F"/>
    <w:rsid w:val="004250A2"/>
    <w:rsid w:val="00523620"/>
    <w:rsid w:val="00543446"/>
    <w:rsid w:val="005853DB"/>
    <w:rsid w:val="00595FD9"/>
    <w:rsid w:val="00624EB0"/>
    <w:rsid w:val="00637E2C"/>
    <w:rsid w:val="00706951"/>
    <w:rsid w:val="0079700D"/>
    <w:rsid w:val="007C0A7B"/>
    <w:rsid w:val="00841927"/>
    <w:rsid w:val="008B154D"/>
    <w:rsid w:val="009318AA"/>
    <w:rsid w:val="00992C54"/>
    <w:rsid w:val="009A6545"/>
    <w:rsid w:val="00A11EDD"/>
    <w:rsid w:val="00A9465D"/>
    <w:rsid w:val="00B06701"/>
    <w:rsid w:val="00B53B61"/>
    <w:rsid w:val="00C04277"/>
    <w:rsid w:val="00C205FC"/>
    <w:rsid w:val="00C5549D"/>
    <w:rsid w:val="00C77313"/>
    <w:rsid w:val="00C85EE4"/>
    <w:rsid w:val="00CC4EC0"/>
    <w:rsid w:val="00CE0160"/>
    <w:rsid w:val="00D059D1"/>
    <w:rsid w:val="00D90257"/>
    <w:rsid w:val="00DB004B"/>
    <w:rsid w:val="00DD00F5"/>
    <w:rsid w:val="00DF2682"/>
    <w:rsid w:val="00E336D1"/>
    <w:rsid w:val="00E66FF4"/>
    <w:rsid w:val="00F477B4"/>
    <w:rsid w:val="00F57186"/>
    <w:rsid w:val="00FC395F"/>
    <w:rsid w:val="00FD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F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C395F"/>
    <w:pPr>
      <w:autoSpaceDN w:val="0"/>
      <w:spacing w:after="0" w:line="240" w:lineRule="exact"/>
      <w:textAlignment w:val="baseline"/>
    </w:pPr>
    <w:rPr>
      <w:rFonts w:eastAsia="DejaVu Sans" w:cs="Lohit Hindi"/>
      <w:color w:val="000000"/>
      <w:szCs w:val="18"/>
      <w:lang w:val="nl-NL" w:eastAsia="nl-NL"/>
    </w:rPr>
  </w:style>
  <w:style w:type="paragraph" w:styleId="Kop2">
    <w:name w:val="heading 2"/>
    <w:basedOn w:val="Standaard"/>
    <w:next w:val="Standaard"/>
    <w:link w:val="Kop2Char"/>
    <w:uiPriority w:val="9"/>
    <w:semiHidden/>
    <w:unhideWhenUsed/>
    <w:qFormat/>
    <w:rsid w:val="00DF2682"/>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FC395F"/>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C395F"/>
    <w:pPr>
      <w:widowControl w:val="0"/>
      <w:autoSpaceDE w:val="0"/>
      <w:spacing w:line="240" w:lineRule="auto"/>
      <w:textAlignment w:val="auto"/>
    </w:pPr>
    <w:rPr>
      <w:rFonts w:eastAsia="Verdana" w:cs="Verdana"/>
      <w:color w:val="auto"/>
      <w:sz w:val="22"/>
      <w:szCs w:val="22"/>
      <w:lang w:eastAsia="en-US"/>
    </w:rPr>
  </w:style>
  <w:style w:type="paragraph" w:styleId="Voetnoottekst">
    <w:name w:val="footnote text"/>
    <w:basedOn w:val="Standaard"/>
    <w:link w:val="VoetnoottekstChar"/>
    <w:uiPriority w:val="99"/>
    <w:semiHidden/>
    <w:unhideWhenUsed/>
    <w:rsid w:val="00D059D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59D1"/>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D059D1"/>
    <w:rPr>
      <w:vertAlign w:val="superscript"/>
    </w:rPr>
  </w:style>
  <w:style w:type="paragraph" w:styleId="Revisie">
    <w:name w:val="Revision"/>
    <w:hidden/>
    <w:uiPriority w:val="99"/>
    <w:semiHidden/>
    <w:rsid w:val="00706951"/>
    <w:pPr>
      <w:spacing w:after="0" w:line="240" w:lineRule="auto"/>
    </w:pPr>
    <w:rPr>
      <w:rFonts w:eastAsia="DejaVu Sans" w:cs="Lohit Hindi"/>
      <w:color w:val="000000"/>
      <w:szCs w:val="18"/>
      <w:lang w:val="nl-NL" w:eastAsia="nl-NL"/>
    </w:rPr>
  </w:style>
  <w:style w:type="character" w:styleId="Verwijzingopmerking">
    <w:name w:val="annotation reference"/>
    <w:basedOn w:val="Standaardalinea-lettertype"/>
    <w:uiPriority w:val="99"/>
    <w:semiHidden/>
    <w:unhideWhenUsed/>
    <w:rsid w:val="00706951"/>
    <w:rPr>
      <w:sz w:val="16"/>
      <w:szCs w:val="16"/>
    </w:rPr>
  </w:style>
  <w:style w:type="paragraph" w:styleId="Tekstopmerking">
    <w:name w:val="annotation text"/>
    <w:basedOn w:val="Standaard"/>
    <w:link w:val="TekstopmerkingChar"/>
    <w:uiPriority w:val="99"/>
    <w:unhideWhenUsed/>
    <w:rsid w:val="00706951"/>
    <w:pPr>
      <w:spacing w:line="240" w:lineRule="auto"/>
    </w:pPr>
    <w:rPr>
      <w:sz w:val="20"/>
      <w:szCs w:val="20"/>
    </w:rPr>
  </w:style>
  <w:style w:type="character" w:customStyle="1" w:styleId="TekstopmerkingChar">
    <w:name w:val="Tekst opmerking Char"/>
    <w:basedOn w:val="Standaardalinea-lettertype"/>
    <w:link w:val="Tekstopmerking"/>
    <w:uiPriority w:val="99"/>
    <w:rsid w:val="00706951"/>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06951"/>
    <w:rPr>
      <w:b/>
      <w:bCs/>
    </w:rPr>
  </w:style>
  <w:style w:type="character" w:customStyle="1" w:styleId="OnderwerpvanopmerkingChar">
    <w:name w:val="Onderwerp van opmerking Char"/>
    <w:basedOn w:val="TekstopmerkingChar"/>
    <w:link w:val="Onderwerpvanopmerking"/>
    <w:uiPriority w:val="99"/>
    <w:semiHidden/>
    <w:rsid w:val="00706951"/>
    <w:rPr>
      <w:rFonts w:eastAsia="DejaVu Sans" w:cs="Lohit Hindi"/>
      <w:b/>
      <w:bCs/>
      <w:color w:val="000000"/>
      <w:sz w:val="20"/>
      <w:szCs w:val="20"/>
      <w:lang w:val="nl-NL" w:eastAsia="nl-NL"/>
    </w:rPr>
  </w:style>
  <w:style w:type="character" w:customStyle="1" w:styleId="Kop2Char">
    <w:name w:val="Kop 2 Char"/>
    <w:basedOn w:val="Standaardalinea-lettertype"/>
    <w:link w:val="Kop2"/>
    <w:uiPriority w:val="9"/>
    <w:semiHidden/>
    <w:rsid w:val="00DF2682"/>
    <w:rPr>
      <w:rFonts w:asciiTheme="majorHAnsi" w:eastAsiaTheme="majorEastAsia" w:hAnsiTheme="majorHAnsi" w:cstheme="majorBidi"/>
      <w:color w:val="2E74B5" w:themeColor="accent1" w:themeShade="BF"/>
      <w:kern w:val="2"/>
      <w:sz w:val="32"/>
      <w:szCs w:val="32"/>
      <w:lang w:val="nl-NL"/>
      <w14:ligatures w14:val="standardContextual"/>
    </w:rPr>
  </w:style>
  <w:style w:type="table" w:styleId="Tabelraster">
    <w:name w:val="Table Grid"/>
    <w:basedOn w:val="Standaardtabel"/>
    <w:uiPriority w:val="39"/>
    <w:rsid w:val="00DF2682"/>
    <w:pPr>
      <w:spacing w:after="0" w:line="240" w:lineRule="auto"/>
    </w:pPr>
    <w:rPr>
      <w:rFonts w:ascii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268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556</ap:Words>
  <ap:Characters>3060</ap:Characters>
  <ap:DocSecurity>0</ap:DocSecurity>
  <ap:Lines>25</ap:Lines>
  <ap:Paragraphs>7</ap:Paragraphs>
  <ap:ScaleCrop>false</ap:ScaleCrop>
  <ap:LinksUpToDate>false</ap:LinksUpToDate>
  <ap:CharactersWithSpaces>3609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2026-03-10T15:11:00.0000000Z</dcterms:created>
  <dcterms:modified xsi:type="dcterms:W3CDTF">2026-03-10T15:11:00.0000000Z</dcterms:modified>
  <version/>
  <category/>
</coreProperties>
</file>