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2742"/>
        <w:gridCol w:w="6162"/>
      </w:tblGrid>
      <w:tr w:rsidRPr="00D27AE1" w:rsidR="00FC395F" w:rsidTr="00DE6D27" w14:paraId="2EB7DF2B" w14:textId="77777777">
        <w:trPr>
          <w:trHeight w:val="1059"/>
        </w:trPr>
        <w:tc>
          <w:tcPr>
            <w:tcW w:w="8970" w:type="dxa"/>
            <w:gridSpan w:val="2"/>
            <w:tcBorders>
              <w:left w:val="nil"/>
            </w:tcBorders>
            <w:shd w:val="clear" w:color="auto" w:fill="7A7A7A"/>
            <w:vAlign w:val="center"/>
          </w:tcPr>
          <w:p w:rsidRPr="00D27AE1" w:rsidR="00FC395F" w:rsidP="00DE6D27" w:rsidRDefault="00FC395F" w14:paraId="468A128A" w14:textId="77777777">
            <w:pPr>
              <w:pStyle w:val="TableParagraph"/>
              <w:tabs>
                <w:tab w:val="left" w:pos="2060"/>
              </w:tabs>
              <w:ind w:left="103"/>
              <w:rPr>
                <w:rFonts w:cstheme="minorHAnsi"/>
                <w:b/>
                <w:color w:val="FFFFFF"/>
                <w:sz w:val="20"/>
                <w:szCs w:val="20"/>
              </w:rPr>
            </w:pPr>
            <w:r w:rsidRPr="00D27AE1">
              <w:rPr>
                <w:rFonts w:cstheme="minorHAnsi"/>
                <w:b/>
                <w:color w:val="FFFFFF"/>
                <w:sz w:val="20"/>
                <w:szCs w:val="20"/>
              </w:rPr>
              <w:t>Beleidskeuzes uitgelegd</w:t>
            </w:r>
          </w:p>
          <w:p w:rsidRPr="00D27AE1" w:rsidR="00FC395F" w:rsidP="00DE6D27" w:rsidRDefault="00FC395F" w14:paraId="39F608AE" w14:textId="77777777">
            <w:pPr>
              <w:pStyle w:val="TableParagraph"/>
              <w:tabs>
                <w:tab w:val="left" w:pos="2060"/>
              </w:tabs>
              <w:rPr>
                <w:rFonts w:cstheme="minorHAnsi"/>
                <w:color w:val="FFFFFF" w:themeColor="background1"/>
                <w:sz w:val="20"/>
                <w:szCs w:val="20"/>
              </w:rPr>
            </w:pPr>
            <w:r>
              <w:rPr>
                <w:rFonts w:cstheme="minorHAnsi"/>
                <w:b/>
                <w:color w:val="FFFFFF" w:themeColor="background1"/>
                <w:sz w:val="20"/>
                <w:szCs w:val="20"/>
              </w:rPr>
              <w:t xml:space="preserve"> </w:t>
            </w:r>
            <w:r w:rsidRPr="00D27AE1">
              <w:rPr>
                <w:rFonts w:cstheme="minorHAnsi"/>
                <w:i/>
                <w:color w:val="FFFFFF" w:themeColor="background1"/>
                <w:sz w:val="20"/>
                <w:szCs w:val="20"/>
              </w:rPr>
              <w:t>Onderbouwing doeltreffendheid, doelmatigheid en evaluatie (CW3.1)</w:t>
            </w:r>
          </w:p>
        </w:tc>
      </w:tr>
      <w:tr w:rsidRPr="00D27AE1" w:rsidR="00FC395F" w:rsidTr="00DE6D27" w14:paraId="67C50668" w14:textId="77777777">
        <w:trPr>
          <w:trHeight w:val="666"/>
        </w:trPr>
        <w:tc>
          <w:tcPr>
            <w:tcW w:w="2640" w:type="dxa"/>
            <w:tcBorders>
              <w:left w:val="nil"/>
            </w:tcBorders>
            <w:shd w:val="clear" w:color="auto" w:fill="7A7A7A"/>
          </w:tcPr>
          <w:p w:rsidRPr="00D27AE1" w:rsidR="00FC395F" w:rsidP="00DE6D27" w:rsidRDefault="00886CB6" w14:paraId="194A4453" w14:textId="4D1A7713">
            <w:pPr>
              <w:pStyle w:val="TableParagraph"/>
              <w:tabs>
                <w:tab w:val="left" w:pos="2060"/>
              </w:tabs>
              <w:ind w:left="103"/>
              <w:rPr>
                <w:rFonts w:cstheme="minorHAnsi"/>
                <w:b/>
                <w:sz w:val="20"/>
                <w:szCs w:val="20"/>
              </w:rPr>
            </w:pPr>
            <w:r>
              <w:rPr>
                <w:rFonts w:cstheme="minorHAnsi"/>
                <w:b/>
                <w:color w:val="FFFFFF"/>
                <w:sz w:val="20"/>
                <w:szCs w:val="20"/>
              </w:rPr>
              <w:t>Doel(en)</w:t>
            </w:r>
          </w:p>
        </w:tc>
        <w:tc>
          <w:tcPr>
            <w:tcW w:w="6330" w:type="dxa"/>
            <w:tcBorders>
              <w:right w:val="nil"/>
            </w:tcBorders>
            <w:shd w:val="clear" w:color="auto" w:fill="DBDBDB"/>
            <w:vAlign w:val="center"/>
          </w:tcPr>
          <w:p w:rsidR="005F56A8" w:rsidP="00C27B29" w:rsidRDefault="005F56A8" w14:paraId="084A3B3B" w14:textId="156E7D9D">
            <w:pPr>
              <w:pStyle w:val="TableParagraph"/>
              <w:tabs>
                <w:tab w:val="left" w:pos="2060"/>
              </w:tabs>
              <w:spacing w:before="10" w:line="218" w:lineRule="exact"/>
              <w:ind w:left="76" w:right="154"/>
              <w:rPr>
                <w:rFonts w:cstheme="minorHAnsi"/>
                <w:sz w:val="20"/>
                <w:szCs w:val="20"/>
              </w:rPr>
            </w:pPr>
            <w:r>
              <w:rPr>
                <w:rFonts w:cstheme="minorHAnsi"/>
                <w:sz w:val="20"/>
                <w:szCs w:val="20"/>
              </w:rPr>
              <w:t>Door het financieren van de samenwerking</w:t>
            </w:r>
            <w:r w:rsidR="00C27B29">
              <w:rPr>
                <w:rFonts w:cstheme="minorHAnsi"/>
                <w:sz w:val="20"/>
                <w:szCs w:val="20"/>
              </w:rPr>
              <w:t xml:space="preserve"> in de wijk en in de regio, via regionaal eerstelijnssamenwerkin</w:t>
            </w:r>
            <w:r>
              <w:rPr>
                <w:rFonts w:cstheme="minorHAnsi"/>
                <w:sz w:val="20"/>
                <w:szCs w:val="20"/>
              </w:rPr>
              <w:t>sverbanden (RESVs)</w:t>
            </w:r>
            <w:r w:rsidR="00C27B29">
              <w:rPr>
                <w:rFonts w:cstheme="minorHAnsi"/>
                <w:sz w:val="20"/>
                <w:szCs w:val="20"/>
              </w:rPr>
              <w:t>,</w:t>
            </w:r>
            <w:r>
              <w:rPr>
                <w:rFonts w:cstheme="minorHAnsi"/>
                <w:sz w:val="20"/>
                <w:szCs w:val="20"/>
              </w:rPr>
              <w:t xml:space="preserve"> word</w:t>
            </w:r>
            <w:r w:rsidR="00C27B29">
              <w:rPr>
                <w:rFonts w:cstheme="minorHAnsi"/>
                <w:sz w:val="20"/>
                <w:szCs w:val="20"/>
              </w:rPr>
              <w:t>t</w:t>
            </w:r>
            <w:r>
              <w:rPr>
                <w:rFonts w:cstheme="minorHAnsi"/>
                <w:sz w:val="20"/>
                <w:szCs w:val="20"/>
              </w:rPr>
              <w:t xml:space="preserve"> </w:t>
            </w:r>
            <w:r w:rsidR="00C27B29">
              <w:rPr>
                <w:rFonts w:cstheme="minorHAnsi"/>
                <w:sz w:val="20"/>
                <w:szCs w:val="20"/>
              </w:rPr>
              <w:t xml:space="preserve">beoogd om </w:t>
            </w:r>
            <w:r>
              <w:rPr>
                <w:rFonts w:cstheme="minorHAnsi"/>
                <w:sz w:val="20"/>
                <w:szCs w:val="20"/>
              </w:rPr>
              <w:t xml:space="preserve">de doelen uit de visie eerstelijnszorg </w:t>
            </w:r>
            <w:r w:rsidR="00C27B29">
              <w:rPr>
                <w:rFonts w:cstheme="minorHAnsi"/>
                <w:sz w:val="20"/>
                <w:szCs w:val="20"/>
              </w:rPr>
              <w:t>te behalen</w:t>
            </w:r>
            <w:r>
              <w:rPr>
                <w:rFonts w:cstheme="minorHAnsi"/>
                <w:sz w:val="20"/>
                <w:szCs w:val="20"/>
              </w:rPr>
              <w:t>: De eerstelijnszorg is in 2030 toegankelijk voor alle burgers die zorg nodig hebben, en draagt bij aan gelijke kansen op goede gezondheid voor iedereen.</w:t>
            </w:r>
          </w:p>
          <w:p w:rsidR="005F56A8" w:rsidP="00472FA1" w:rsidRDefault="005F56A8" w14:paraId="495D99BA" w14:textId="77777777">
            <w:pPr>
              <w:pStyle w:val="TableParagraph"/>
              <w:tabs>
                <w:tab w:val="left" w:pos="2060"/>
              </w:tabs>
              <w:spacing w:before="10" w:line="218" w:lineRule="exact"/>
              <w:ind w:left="76" w:right="154"/>
              <w:rPr>
                <w:rFonts w:cstheme="minorHAnsi"/>
                <w:sz w:val="20"/>
                <w:szCs w:val="20"/>
              </w:rPr>
            </w:pPr>
          </w:p>
          <w:p w:rsidRPr="00472FA1" w:rsidR="00472FA1" w:rsidP="00472FA1" w:rsidRDefault="00472FA1" w14:paraId="609C11F9" w14:textId="2B93E6C0">
            <w:pPr>
              <w:pStyle w:val="TableParagraph"/>
              <w:tabs>
                <w:tab w:val="left" w:pos="2060"/>
              </w:tabs>
              <w:spacing w:before="10" w:line="218" w:lineRule="exact"/>
              <w:ind w:left="76" w:right="154"/>
              <w:rPr>
                <w:rFonts w:cstheme="minorHAnsi"/>
                <w:sz w:val="20"/>
                <w:szCs w:val="20"/>
              </w:rPr>
            </w:pPr>
            <w:r>
              <w:rPr>
                <w:rFonts w:cstheme="minorHAnsi"/>
                <w:sz w:val="20"/>
                <w:szCs w:val="20"/>
              </w:rPr>
              <w:t xml:space="preserve">Een </w:t>
            </w:r>
            <w:r w:rsidRPr="00472FA1">
              <w:rPr>
                <w:rFonts w:cstheme="minorHAnsi"/>
                <w:sz w:val="20"/>
                <w:szCs w:val="20"/>
              </w:rPr>
              <w:t xml:space="preserve">RESV </w:t>
            </w:r>
            <w:r w:rsidR="00C27B29">
              <w:rPr>
                <w:rFonts w:cstheme="minorHAnsi"/>
                <w:sz w:val="20"/>
                <w:szCs w:val="20"/>
              </w:rPr>
              <w:t xml:space="preserve">zal </w:t>
            </w:r>
            <w:r w:rsidRPr="00472FA1">
              <w:rPr>
                <w:rFonts w:cstheme="minorHAnsi"/>
                <w:sz w:val="20"/>
                <w:szCs w:val="20"/>
              </w:rPr>
              <w:t>vijf hoofdtaken uitvoeren:</w:t>
            </w:r>
          </w:p>
          <w:p w:rsidRPr="00472FA1" w:rsidR="00472FA1" w:rsidP="00472FA1" w:rsidRDefault="00472FA1" w14:paraId="5E6A61DC" w14:textId="5918817B">
            <w:pPr>
              <w:pStyle w:val="TableParagraph"/>
              <w:tabs>
                <w:tab w:val="left" w:pos="2060"/>
              </w:tabs>
              <w:spacing w:before="10" w:line="218" w:lineRule="exact"/>
              <w:ind w:left="76" w:right="154"/>
              <w:rPr>
                <w:rFonts w:cstheme="minorHAnsi"/>
                <w:sz w:val="20"/>
                <w:szCs w:val="20"/>
              </w:rPr>
            </w:pPr>
            <w:r w:rsidRPr="00472FA1">
              <w:rPr>
                <w:rFonts w:cstheme="minorHAnsi"/>
                <w:sz w:val="20"/>
                <w:szCs w:val="20"/>
              </w:rPr>
              <w:t xml:space="preserve">1. </w:t>
            </w:r>
            <w:r w:rsidR="00C27B29">
              <w:rPr>
                <w:rFonts w:cstheme="minorHAnsi"/>
                <w:sz w:val="20"/>
                <w:szCs w:val="20"/>
              </w:rPr>
              <w:t>Mandatering en vertegenwoordiging van de eerstelijnsdisciplines</w:t>
            </w:r>
            <w:r w:rsidRPr="00472FA1">
              <w:rPr>
                <w:rFonts w:cstheme="minorHAnsi"/>
                <w:sz w:val="20"/>
                <w:szCs w:val="20"/>
              </w:rPr>
              <w:t>.</w:t>
            </w:r>
          </w:p>
          <w:p w:rsidRPr="00472FA1" w:rsidR="00472FA1" w:rsidP="00472FA1" w:rsidRDefault="00472FA1" w14:paraId="32391E0C" w14:textId="1BE9A0D1">
            <w:pPr>
              <w:pStyle w:val="TableParagraph"/>
              <w:tabs>
                <w:tab w:val="left" w:pos="2060"/>
              </w:tabs>
              <w:spacing w:before="10" w:line="218" w:lineRule="exact"/>
              <w:ind w:left="76" w:right="154"/>
              <w:rPr>
                <w:rFonts w:cstheme="minorHAnsi"/>
                <w:sz w:val="20"/>
                <w:szCs w:val="20"/>
              </w:rPr>
            </w:pPr>
            <w:r w:rsidRPr="00472FA1">
              <w:rPr>
                <w:rFonts w:cstheme="minorHAnsi"/>
                <w:sz w:val="20"/>
                <w:szCs w:val="20"/>
              </w:rPr>
              <w:t xml:space="preserve">2. </w:t>
            </w:r>
            <w:r w:rsidR="00C27B29">
              <w:rPr>
                <w:rFonts w:cstheme="minorHAnsi"/>
                <w:sz w:val="20"/>
                <w:szCs w:val="20"/>
              </w:rPr>
              <w:t>Regionaal organiseren van capaciteit en toegankelijkheid van eerstelijnsdisciplines</w:t>
            </w:r>
            <w:r w:rsidRPr="00472FA1">
              <w:rPr>
                <w:rFonts w:cstheme="minorHAnsi"/>
                <w:sz w:val="20"/>
                <w:szCs w:val="20"/>
              </w:rPr>
              <w:t>.</w:t>
            </w:r>
          </w:p>
          <w:p w:rsidRPr="00472FA1" w:rsidR="00472FA1" w:rsidP="00472FA1" w:rsidRDefault="00472FA1" w14:paraId="54428621" w14:textId="1242B256">
            <w:pPr>
              <w:pStyle w:val="TableParagraph"/>
              <w:tabs>
                <w:tab w:val="left" w:pos="2060"/>
              </w:tabs>
              <w:spacing w:before="10" w:line="218" w:lineRule="exact"/>
              <w:ind w:left="76" w:right="154"/>
              <w:rPr>
                <w:rFonts w:cstheme="minorHAnsi"/>
                <w:sz w:val="20"/>
                <w:szCs w:val="20"/>
              </w:rPr>
            </w:pPr>
            <w:r w:rsidRPr="00472FA1">
              <w:rPr>
                <w:rFonts w:cstheme="minorHAnsi"/>
                <w:sz w:val="20"/>
                <w:szCs w:val="20"/>
              </w:rPr>
              <w:t xml:space="preserve">3. </w:t>
            </w:r>
            <w:r w:rsidR="00C27B29">
              <w:rPr>
                <w:rFonts w:cstheme="minorHAnsi"/>
                <w:sz w:val="20"/>
                <w:szCs w:val="20"/>
              </w:rPr>
              <w:t>Zorginhoudelijke afspraken maken over specifieke patiëntengroepen</w:t>
            </w:r>
            <w:r w:rsidRPr="00472FA1">
              <w:rPr>
                <w:rFonts w:cstheme="minorHAnsi"/>
                <w:sz w:val="20"/>
                <w:szCs w:val="20"/>
              </w:rPr>
              <w:t>.</w:t>
            </w:r>
          </w:p>
          <w:p w:rsidRPr="00472FA1" w:rsidR="00472FA1" w:rsidP="00472FA1" w:rsidRDefault="00472FA1" w14:paraId="17207CAD" w14:textId="5B36F691">
            <w:pPr>
              <w:pStyle w:val="TableParagraph"/>
              <w:tabs>
                <w:tab w:val="left" w:pos="2060"/>
              </w:tabs>
              <w:spacing w:before="10" w:line="218" w:lineRule="exact"/>
              <w:ind w:left="76" w:right="154"/>
              <w:rPr>
                <w:rFonts w:cstheme="minorHAnsi"/>
                <w:sz w:val="20"/>
                <w:szCs w:val="20"/>
              </w:rPr>
            </w:pPr>
            <w:r w:rsidRPr="00472FA1">
              <w:rPr>
                <w:rFonts w:cstheme="minorHAnsi"/>
                <w:sz w:val="20"/>
                <w:szCs w:val="20"/>
              </w:rPr>
              <w:t xml:space="preserve">4. Het ondersteunen van </w:t>
            </w:r>
            <w:r w:rsidR="00C27B29">
              <w:rPr>
                <w:rFonts w:cstheme="minorHAnsi"/>
                <w:sz w:val="20"/>
                <w:szCs w:val="20"/>
              </w:rPr>
              <w:t xml:space="preserve">hechte </w:t>
            </w:r>
            <w:r w:rsidRPr="00472FA1">
              <w:rPr>
                <w:rFonts w:cstheme="minorHAnsi"/>
                <w:sz w:val="20"/>
                <w:szCs w:val="20"/>
              </w:rPr>
              <w:t>wijkverbanden.</w:t>
            </w:r>
          </w:p>
          <w:p w:rsidR="00FC395F" w:rsidP="00472FA1" w:rsidRDefault="00472FA1" w14:paraId="5133C179" w14:textId="231B9AD4">
            <w:pPr>
              <w:pStyle w:val="TableParagraph"/>
              <w:tabs>
                <w:tab w:val="left" w:pos="2060"/>
              </w:tabs>
              <w:spacing w:before="10" w:line="218" w:lineRule="exact"/>
              <w:ind w:left="101" w:right="154"/>
              <w:rPr>
                <w:rFonts w:cstheme="minorHAnsi"/>
                <w:sz w:val="20"/>
                <w:szCs w:val="20"/>
              </w:rPr>
            </w:pPr>
            <w:r w:rsidRPr="00472FA1">
              <w:rPr>
                <w:rFonts w:cstheme="minorHAnsi"/>
                <w:sz w:val="20"/>
                <w:szCs w:val="20"/>
              </w:rPr>
              <w:t xml:space="preserve">5. </w:t>
            </w:r>
            <w:r w:rsidR="00C27B29">
              <w:rPr>
                <w:rFonts w:cstheme="minorHAnsi"/>
                <w:sz w:val="20"/>
                <w:szCs w:val="20"/>
              </w:rPr>
              <w:t>faciliteren en ondersteunen van eerstelijnszorgaanbieders</w:t>
            </w:r>
            <w:r w:rsidRPr="00472FA1">
              <w:rPr>
                <w:rFonts w:cstheme="minorHAnsi"/>
                <w:sz w:val="20"/>
                <w:szCs w:val="20"/>
              </w:rPr>
              <w:t xml:space="preserve">. </w:t>
            </w:r>
          </w:p>
          <w:p w:rsidRPr="00D27AE1" w:rsidR="00472FA1" w:rsidP="00472FA1" w:rsidRDefault="00472FA1" w14:paraId="1A130C21" w14:textId="5FE5702C">
            <w:pPr>
              <w:pStyle w:val="TableParagraph"/>
              <w:tabs>
                <w:tab w:val="left" w:pos="2060"/>
              </w:tabs>
              <w:spacing w:before="10" w:line="218" w:lineRule="exact"/>
              <w:ind w:left="101" w:right="154"/>
              <w:rPr>
                <w:rFonts w:cstheme="minorHAnsi"/>
                <w:sz w:val="20"/>
                <w:szCs w:val="20"/>
              </w:rPr>
            </w:pPr>
          </w:p>
        </w:tc>
      </w:tr>
      <w:tr w:rsidRPr="00D27AE1" w:rsidR="00FC395F" w:rsidTr="00DE6D27" w14:paraId="6398E834" w14:textId="77777777">
        <w:trPr>
          <w:trHeight w:val="694"/>
        </w:trPr>
        <w:tc>
          <w:tcPr>
            <w:tcW w:w="2640" w:type="dxa"/>
            <w:tcBorders>
              <w:left w:val="nil"/>
            </w:tcBorders>
            <w:shd w:val="clear" w:color="auto" w:fill="7A7A7A"/>
          </w:tcPr>
          <w:p w:rsidRPr="00D27AE1" w:rsidR="00FC395F" w:rsidP="00DE6D27" w:rsidRDefault="00FC395F" w14:paraId="0C93BB5F" w14:textId="77777777">
            <w:pPr>
              <w:pStyle w:val="TableParagraph"/>
              <w:tabs>
                <w:tab w:val="left" w:pos="2060"/>
              </w:tabs>
              <w:ind w:left="103" w:right="231"/>
              <w:rPr>
                <w:rFonts w:cstheme="minorHAnsi"/>
                <w:b/>
                <w:color w:val="FFFFFF"/>
                <w:sz w:val="20"/>
                <w:szCs w:val="20"/>
              </w:rPr>
            </w:pPr>
          </w:p>
          <w:p w:rsidRPr="00D27AE1" w:rsidR="00FC395F" w:rsidP="00DE6D27" w:rsidRDefault="00FC395F" w14:paraId="1A87DB18" w14:textId="77777777">
            <w:pPr>
              <w:pStyle w:val="TableParagraph"/>
              <w:tabs>
                <w:tab w:val="left" w:pos="2060"/>
              </w:tabs>
              <w:ind w:left="103" w:right="231"/>
              <w:rPr>
                <w:rFonts w:cstheme="minorHAnsi"/>
                <w:b/>
                <w:sz w:val="20"/>
                <w:szCs w:val="20"/>
              </w:rPr>
            </w:pPr>
            <w:r w:rsidRPr="00D27AE1">
              <w:rPr>
                <w:rFonts w:cstheme="minorHAnsi"/>
                <w:b/>
                <w:color w:val="FFFFFF"/>
                <w:sz w:val="20"/>
                <w:szCs w:val="20"/>
              </w:rPr>
              <w:t>Beleidsinstrument(en)</w:t>
            </w:r>
          </w:p>
        </w:tc>
        <w:tc>
          <w:tcPr>
            <w:tcW w:w="6330" w:type="dxa"/>
            <w:tcBorders>
              <w:right w:val="nil"/>
            </w:tcBorders>
            <w:shd w:val="clear" w:color="auto" w:fill="DBDBDB"/>
            <w:vAlign w:val="center"/>
          </w:tcPr>
          <w:p w:rsidR="00FC395F" w:rsidP="00525059" w:rsidRDefault="003849BC" w14:paraId="2A11E36F" w14:textId="3C30191E">
            <w:pPr>
              <w:pStyle w:val="TableParagraph"/>
              <w:tabs>
                <w:tab w:val="left" w:pos="2060"/>
              </w:tabs>
              <w:spacing w:line="218" w:lineRule="exact"/>
              <w:ind w:left="76" w:right="543"/>
              <w:rPr>
                <w:rFonts w:cstheme="minorHAnsi"/>
                <w:sz w:val="20"/>
                <w:szCs w:val="20"/>
              </w:rPr>
            </w:pPr>
            <w:r>
              <w:rPr>
                <w:rFonts w:cstheme="minorHAnsi"/>
                <w:sz w:val="20"/>
                <w:szCs w:val="20"/>
              </w:rPr>
              <w:t xml:space="preserve">De RESVs zullen worden gefinancierd </w:t>
            </w:r>
            <w:r w:rsidR="008749C6">
              <w:rPr>
                <w:rFonts w:cstheme="minorHAnsi"/>
                <w:sz w:val="20"/>
                <w:szCs w:val="20"/>
              </w:rPr>
              <w:t xml:space="preserve">vanuit </w:t>
            </w:r>
            <w:r>
              <w:rPr>
                <w:rFonts w:cstheme="minorHAnsi"/>
                <w:sz w:val="20"/>
                <w:szCs w:val="20"/>
              </w:rPr>
              <w:t>de Zvw</w:t>
            </w:r>
            <w:r w:rsidR="00472FA1">
              <w:rPr>
                <w:rFonts w:cstheme="minorHAnsi"/>
                <w:sz w:val="20"/>
                <w:szCs w:val="20"/>
              </w:rPr>
              <w:t xml:space="preserve">. </w:t>
            </w:r>
            <w:r w:rsidR="00C27B29">
              <w:rPr>
                <w:rFonts w:cstheme="minorHAnsi"/>
                <w:sz w:val="20"/>
                <w:szCs w:val="20"/>
              </w:rPr>
              <w:t xml:space="preserve">Zorgverzekeraars gaan </w:t>
            </w:r>
            <w:r w:rsidR="008749C6">
              <w:rPr>
                <w:rFonts w:cstheme="minorHAnsi"/>
                <w:sz w:val="20"/>
                <w:szCs w:val="20"/>
              </w:rPr>
              <w:t xml:space="preserve">daarom </w:t>
            </w:r>
            <w:r w:rsidR="00C27B29">
              <w:rPr>
                <w:rFonts w:cstheme="minorHAnsi"/>
                <w:sz w:val="20"/>
                <w:szCs w:val="20"/>
              </w:rPr>
              <w:t xml:space="preserve">de activiteiten behorend tot de 5 hoofdtaken van een RESV inkopen. </w:t>
            </w:r>
            <w:r w:rsidR="00943087">
              <w:rPr>
                <w:rFonts w:cstheme="minorHAnsi"/>
                <w:sz w:val="20"/>
                <w:szCs w:val="20"/>
              </w:rPr>
              <w:t xml:space="preserve">Er </w:t>
            </w:r>
            <w:r w:rsidR="00472FA1">
              <w:rPr>
                <w:rFonts w:cstheme="minorHAnsi"/>
                <w:sz w:val="20"/>
                <w:szCs w:val="20"/>
              </w:rPr>
              <w:t>is een aanwijzing naar de NZa verstuurd</w:t>
            </w:r>
            <w:r w:rsidR="00525059">
              <w:rPr>
                <w:rFonts w:cstheme="minorHAnsi"/>
                <w:sz w:val="20"/>
                <w:szCs w:val="20"/>
              </w:rPr>
              <w:t xml:space="preserve"> (zie ook de Voorhangbrief bekostiging RESV: Kamerstukken II 2025/26, </w:t>
            </w:r>
            <w:r w:rsidRPr="00525059" w:rsidR="00525059">
              <w:rPr>
                <w:rFonts w:cstheme="minorHAnsi"/>
                <w:sz w:val="20"/>
                <w:szCs w:val="20"/>
              </w:rPr>
              <w:t>33578</w:t>
            </w:r>
            <w:r w:rsidR="00525059">
              <w:rPr>
                <w:rFonts w:cstheme="minorHAnsi"/>
                <w:sz w:val="20"/>
                <w:szCs w:val="20"/>
              </w:rPr>
              <w:t xml:space="preserve">, nr. </w:t>
            </w:r>
            <w:r w:rsidRPr="00525059" w:rsidR="00525059">
              <w:rPr>
                <w:rFonts w:cstheme="minorHAnsi"/>
                <w:sz w:val="20"/>
                <w:szCs w:val="20"/>
              </w:rPr>
              <w:t>168</w:t>
            </w:r>
            <w:r w:rsidR="00525059">
              <w:rPr>
                <w:rFonts w:cstheme="minorHAnsi"/>
                <w:sz w:val="20"/>
                <w:szCs w:val="20"/>
              </w:rPr>
              <w:t xml:space="preserve">) </w:t>
            </w:r>
            <w:r w:rsidR="00472FA1">
              <w:rPr>
                <w:rFonts w:cstheme="minorHAnsi"/>
                <w:sz w:val="20"/>
                <w:szCs w:val="20"/>
              </w:rPr>
              <w:t>om</w:t>
            </w:r>
            <w:r w:rsidR="00C27B29">
              <w:rPr>
                <w:rFonts w:cstheme="minorHAnsi"/>
                <w:sz w:val="20"/>
                <w:szCs w:val="20"/>
              </w:rPr>
              <w:t xml:space="preserve"> per 2027</w:t>
            </w:r>
            <w:r w:rsidR="00472FA1">
              <w:rPr>
                <w:rFonts w:cstheme="minorHAnsi"/>
                <w:sz w:val="20"/>
                <w:szCs w:val="20"/>
              </w:rPr>
              <w:t xml:space="preserve"> in de regelgeving een prestatiebeschrijving op te nemen voor een experiment </w:t>
            </w:r>
            <w:r w:rsidR="00C27B29">
              <w:rPr>
                <w:rFonts w:cstheme="minorHAnsi"/>
                <w:sz w:val="20"/>
                <w:szCs w:val="20"/>
              </w:rPr>
              <w:t>bekostiging</w:t>
            </w:r>
            <w:r w:rsidR="00472FA1">
              <w:rPr>
                <w:rFonts w:cstheme="minorHAnsi"/>
                <w:sz w:val="20"/>
                <w:szCs w:val="20"/>
              </w:rPr>
              <w:t xml:space="preserve">. </w:t>
            </w:r>
            <w:r w:rsidR="00C27B29">
              <w:rPr>
                <w:rFonts w:cstheme="minorHAnsi"/>
                <w:sz w:val="20"/>
                <w:szCs w:val="20"/>
              </w:rPr>
              <w:t>De</w:t>
            </w:r>
            <w:r w:rsidR="008749C6">
              <w:rPr>
                <w:rFonts w:cstheme="minorHAnsi"/>
                <w:sz w:val="20"/>
                <w:szCs w:val="20"/>
              </w:rPr>
              <w:t>ze</w:t>
            </w:r>
            <w:r w:rsidR="00C27B29">
              <w:rPr>
                <w:rFonts w:cstheme="minorHAnsi"/>
                <w:sz w:val="20"/>
                <w:szCs w:val="20"/>
              </w:rPr>
              <w:t xml:space="preserve"> beleidsregel is inmiddels opgesteld en gepubliceerd door de NZa (BR/REG-27110)</w:t>
            </w:r>
            <w:r w:rsidR="008749C6">
              <w:rPr>
                <w:rFonts w:cstheme="minorHAnsi"/>
                <w:sz w:val="20"/>
                <w:szCs w:val="20"/>
              </w:rPr>
              <w:t xml:space="preserve">. </w:t>
            </w:r>
          </w:p>
          <w:p w:rsidRPr="00D27AE1" w:rsidR="009C773C" w:rsidP="00525059" w:rsidRDefault="009C773C" w14:paraId="68ECE84E" w14:textId="2A535331">
            <w:pPr>
              <w:pStyle w:val="TableParagraph"/>
              <w:tabs>
                <w:tab w:val="left" w:pos="2060"/>
              </w:tabs>
              <w:spacing w:line="218" w:lineRule="exact"/>
              <w:ind w:left="76" w:right="543"/>
              <w:rPr>
                <w:rFonts w:cstheme="minorHAnsi"/>
                <w:sz w:val="20"/>
                <w:szCs w:val="20"/>
              </w:rPr>
            </w:pPr>
          </w:p>
        </w:tc>
      </w:tr>
      <w:tr w:rsidRPr="00D27AE1" w:rsidR="00FC395F" w:rsidTr="00DE6D27" w14:paraId="4D179A2B" w14:textId="77777777">
        <w:trPr>
          <w:trHeight w:val="805"/>
        </w:trPr>
        <w:tc>
          <w:tcPr>
            <w:tcW w:w="2640" w:type="dxa"/>
            <w:tcBorders>
              <w:left w:val="nil"/>
            </w:tcBorders>
            <w:shd w:val="clear" w:color="auto" w:fill="7A7A7A"/>
          </w:tcPr>
          <w:p w:rsidRPr="00D27AE1" w:rsidR="00FC395F" w:rsidP="00DE6D27" w:rsidRDefault="00FC395F" w14:paraId="7C10F3FF" w14:textId="77777777">
            <w:pPr>
              <w:pStyle w:val="TableParagraph"/>
              <w:tabs>
                <w:tab w:val="left" w:pos="2060"/>
              </w:tabs>
              <w:spacing w:before="144" w:line="242" w:lineRule="auto"/>
              <w:ind w:left="103" w:right="506"/>
              <w:rPr>
                <w:rFonts w:cstheme="minorHAnsi"/>
                <w:b/>
                <w:sz w:val="20"/>
                <w:szCs w:val="20"/>
              </w:rPr>
            </w:pPr>
            <w:r w:rsidRPr="00D27AE1">
              <w:rPr>
                <w:rFonts w:cstheme="minorHAnsi"/>
                <w:b/>
                <w:color w:val="FFFFFF"/>
                <w:sz w:val="20"/>
                <w:szCs w:val="20"/>
              </w:rPr>
              <w:t>Financiële gevolgen voor het Rijk</w:t>
            </w:r>
          </w:p>
        </w:tc>
        <w:tc>
          <w:tcPr>
            <w:tcW w:w="6330" w:type="dxa"/>
            <w:tcBorders>
              <w:right w:val="nil"/>
            </w:tcBorders>
            <w:shd w:val="clear" w:color="auto" w:fill="DBDBDB"/>
            <w:vAlign w:val="center"/>
          </w:tcPr>
          <w:p w:rsidR="00FC395F" w:rsidP="003849BC" w:rsidRDefault="003849BC" w14:paraId="6A6C96A0" w14:textId="0E419CE1">
            <w:pPr>
              <w:pStyle w:val="TableParagraph"/>
              <w:tabs>
                <w:tab w:val="left" w:pos="2060"/>
              </w:tabs>
              <w:spacing w:before="3" w:line="218" w:lineRule="exact"/>
              <w:ind w:left="101" w:right="945"/>
              <w:rPr>
                <w:rFonts w:cstheme="minorHAnsi"/>
                <w:sz w:val="20"/>
                <w:szCs w:val="20"/>
              </w:rPr>
            </w:pPr>
            <w:r w:rsidRPr="003849BC">
              <w:rPr>
                <w:rFonts w:cstheme="minorHAnsi"/>
                <w:sz w:val="20"/>
                <w:szCs w:val="20"/>
              </w:rPr>
              <w:t xml:space="preserve">In het AZWA </w:t>
            </w:r>
            <w:r>
              <w:rPr>
                <w:rFonts w:cstheme="minorHAnsi"/>
                <w:sz w:val="20"/>
                <w:szCs w:val="20"/>
              </w:rPr>
              <w:t>is</w:t>
            </w:r>
            <w:r w:rsidRPr="003849BC">
              <w:rPr>
                <w:rFonts w:cstheme="minorHAnsi"/>
                <w:sz w:val="20"/>
                <w:szCs w:val="20"/>
              </w:rPr>
              <w:t xml:space="preserve"> met</w:t>
            </w:r>
            <w:r>
              <w:rPr>
                <w:rFonts w:cstheme="minorHAnsi"/>
                <w:sz w:val="20"/>
                <w:szCs w:val="20"/>
              </w:rPr>
              <w:t xml:space="preserve"> </w:t>
            </w:r>
            <w:r w:rsidRPr="003849BC">
              <w:rPr>
                <w:rFonts w:cstheme="minorHAnsi"/>
                <w:sz w:val="20"/>
                <w:szCs w:val="20"/>
              </w:rPr>
              <w:t>partijen afgesproken dat de kosten van deze activiteiten vallen onder het</w:t>
            </w:r>
            <w:r>
              <w:rPr>
                <w:rFonts w:cstheme="minorHAnsi"/>
                <w:sz w:val="20"/>
                <w:szCs w:val="20"/>
              </w:rPr>
              <w:t xml:space="preserve"> </w:t>
            </w:r>
            <w:r w:rsidRPr="003849BC">
              <w:rPr>
                <w:rFonts w:cstheme="minorHAnsi"/>
                <w:sz w:val="20"/>
                <w:szCs w:val="20"/>
              </w:rPr>
              <w:t>budgettair kader multidisciplinaire zorg en daarvoor wordt het kader</w:t>
            </w:r>
            <w:r w:rsidR="008101DD">
              <w:rPr>
                <w:rFonts w:cstheme="minorHAnsi"/>
                <w:sz w:val="20"/>
                <w:szCs w:val="20"/>
              </w:rPr>
              <w:t xml:space="preserve"> de komende jaren</w:t>
            </w:r>
            <w:r w:rsidRPr="003849BC">
              <w:rPr>
                <w:rFonts w:cstheme="minorHAnsi"/>
                <w:sz w:val="20"/>
                <w:szCs w:val="20"/>
              </w:rPr>
              <w:t xml:space="preserve"> vanaf 2027</w:t>
            </w:r>
            <w:r>
              <w:rPr>
                <w:rFonts w:cstheme="minorHAnsi"/>
                <w:sz w:val="20"/>
                <w:szCs w:val="20"/>
              </w:rPr>
              <w:t xml:space="preserve"> </w:t>
            </w:r>
            <w:r w:rsidRPr="003849BC">
              <w:rPr>
                <w:rFonts w:cstheme="minorHAnsi"/>
                <w:sz w:val="20"/>
                <w:szCs w:val="20"/>
              </w:rPr>
              <w:t>met €</w:t>
            </w:r>
            <w:r>
              <w:rPr>
                <w:rFonts w:cstheme="minorHAnsi"/>
                <w:sz w:val="20"/>
                <w:szCs w:val="20"/>
              </w:rPr>
              <w:t xml:space="preserve"> </w:t>
            </w:r>
            <w:r w:rsidRPr="003849BC">
              <w:rPr>
                <w:rFonts w:cstheme="minorHAnsi"/>
                <w:sz w:val="20"/>
                <w:szCs w:val="20"/>
              </w:rPr>
              <w:t>70 miljoen opgehoogd</w:t>
            </w:r>
            <w:r>
              <w:rPr>
                <w:rFonts w:cstheme="minorHAnsi"/>
                <w:sz w:val="20"/>
                <w:szCs w:val="20"/>
              </w:rPr>
              <w:t>.</w:t>
            </w:r>
            <w:r w:rsidDel="008101DD" w:rsidR="008101DD">
              <w:rPr>
                <w:rFonts w:cstheme="minorHAnsi"/>
                <w:sz w:val="20"/>
                <w:szCs w:val="20"/>
              </w:rPr>
              <w:t xml:space="preserve"> </w:t>
            </w:r>
          </w:p>
          <w:p w:rsidRPr="00D27AE1" w:rsidR="009C773C" w:rsidP="003849BC" w:rsidRDefault="009C773C" w14:paraId="316D6710" w14:textId="4BAFD7A8">
            <w:pPr>
              <w:pStyle w:val="TableParagraph"/>
              <w:tabs>
                <w:tab w:val="left" w:pos="2060"/>
              </w:tabs>
              <w:spacing w:before="3" w:line="218" w:lineRule="exact"/>
              <w:ind w:left="101" w:right="945"/>
              <w:rPr>
                <w:rFonts w:cstheme="minorHAnsi"/>
                <w:sz w:val="20"/>
                <w:szCs w:val="20"/>
              </w:rPr>
            </w:pPr>
          </w:p>
        </w:tc>
      </w:tr>
      <w:tr w:rsidRPr="00D27AE1" w:rsidR="00FC395F" w:rsidTr="00DE6D27" w14:paraId="7B061C40" w14:textId="77777777">
        <w:trPr>
          <w:trHeight w:val="891"/>
        </w:trPr>
        <w:tc>
          <w:tcPr>
            <w:tcW w:w="2640" w:type="dxa"/>
            <w:tcBorders>
              <w:left w:val="nil"/>
            </w:tcBorders>
            <w:shd w:val="clear" w:color="auto" w:fill="7A7A7A"/>
          </w:tcPr>
          <w:p w:rsidRPr="00D27AE1" w:rsidR="00FC395F" w:rsidP="00DE6D27" w:rsidRDefault="00FC395F" w14:paraId="1D8236CB" w14:textId="77777777">
            <w:pPr>
              <w:pStyle w:val="TableParagraph"/>
              <w:tabs>
                <w:tab w:val="left" w:pos="2060"/>
              </w:tabs>
              <w:spacing w:before="146"/>
              <w:ind w:left="103" w:right="92"/>
              <w:rPr>
                <w:rFonts w:cstheme="minorHAnsi"/>
                <w:b/>
                <w:sz w:val="20"/>
                <w:szCs w:val="20"/>
              </w:rPr>
            </w:pPr>
            <w:r w:rsidRPr="00D27AE1">
              <w:rPr>
                <w:rFonts w:cstheme="minorHAnsi"/>
                <w:b/>
                <w:color w:val="FFFFFF"/>
                <w:sz w:val="20"/>
                <w:szCs w:val="20"/>
              </w:rPr>
              <w:t>Financiële gevolgen voor maatschappelijke sectoren</w:t>
            </w:r>
            <w:r>
              <w:rPr>
                <w:rFonts w:cstheme="minorHAnsi"/>
                <w:b/>
                <w:color w:val="FFFFFF"/>
                <w:sz w:val="20"/>
                <w:szCs w:val="20"/>
              </w:rPr>
              <w:t xml:space="preserve"> </w:t>
            </w:r>
          </w:p>
        </w:tc>
        <w:tc>
          <w:tcPr>
            <w:tcW w:w="6330" w:type="dxa"/>
            <w:tcBorders>
              <w:right w:val="nil"/>
            </w:tcBorders>
            <w:shd w:val="clear" w:color="auto" w:fill="DBDBDB"/>
            <w:vAlign w:val="center"/>
          </w:tcPr>
          <w:p w:rsidRPr="00D27AE1" w:rsidR="00FC395F" w:rsidP="00DE6D27" w:rsidRDefault="00472FA1" w14:paraId="277CD50D" w14:textId="37976B0E">
            <w:pPr>
              <w:pStyle w:val="TableParagraph"/>
              <w:tabs>
                <w:tab w:val="left" w:pos="2060"/>
              </w:tabs>
              <w:ind w:left="101" w:right="308"/>
              <w:rPr>
                <w:rFonts w:cstheme="minorHAnsi"/>
                <w:sz w:val="20"/>
                <w:szCs w:val="20"/>
              </w:rPr>
            </w:pPr>
            <w:r>
              <w:rPr>
                <w:rFonts w:cstheme="minorHAnsi"/>
                <w:sz w:val="20"/>
                <w:szCs w:val="20"/>
              </w:rPr>
              <w:t xml:space="preserve">Niet van toepassing. </w:t>
            </w:r>
          </w:p>
        </w:tc>
      </w:tr>
      <w:tr w:rsidRPr="00D27AE1" w:rsidR="00FC395F" w:rsidTr="00DE6D27" w14:paraId="64BB2071" w14:textId="77777777">
        <w:trPr>
          <w:trHeight w:val="955"/>
        </w:trPr>
        <w:tc>
          <w:tcPr>
            <w:tcW w:w="2640" w:type="dxa"/>
            <w:tcBorders>
              <w:left w:val="nil"/>
            </w:tcBorders>
            <w:shd w:val="clear" w:color="auto" w:fill="7A7A7A"/>
          </w:tcPr>
          <w:p w:rsidRPr="00D27AE1" w:rsidR="00FC395F" w:rsidP="00DE6D27" w:rsidRDefault="00FC395F" w14:paraId="3476BCDC" w14:textId="77777777">
            <w:pPr>
              <w:pStyle w:val="TableParagraph"/>
              <w:tabs>
                <w:tab w:val="left" w:pos="2060"/>
              </w:tabs>
              <w:spacing w:before="141"/>
              <w:ind w:left="103" w:right="829"/>
              <w:rPr>
                <w:rFonts w:cstheme="minorHAnsi"/>
                <w:b/>
                <w:sz w:val="20"/>
                <w:szCs w:val="20"/>
              </w:rPr>
            </w:pPr>
            <w:r w:rsidRPr="00D27AE1">
              <w:rPr>
                <w:rFonts w:cstheme="minorHAnsi"/>
                <w:b/>
                <w:color w:val="FFFFFF"/>
                <w:sz w:val="20"/>
                <w:szCs w:val="20"/>
              </w:rPr>
              <w:t>Nagestreefde doeltreffendheid</w:t>
            </w:r>
          </w:p>
        </w:tc>
        <w:tc>
          <w:tcPr>
            <w:tcW w:w="6330" w:type="dxa"/>
            <w:tcBorders>
              <w:right w:val="nil"/>
            </w:tcBorders>
            <w:shd w:val="clear" w:color="auto" w:fill="DBDBDB"/>
            <w:vAlign w:val="center"/>
          </w:tcPr>
          <w:p w:rsidRPr="00D27AE1" w:rsidR="00FC395F" w:rsidP="003849BC" w:rsidRDefault="00472FA1" w14:paraId="4A381645" w14:textId="39342D8E">
            <w:pPr>
              <w:pStyle w:val="TableParagraph"/>
              <w:tabs>
                <w:tab w:val="left" w:pos="2060"/>
              </w:tabs>
              <w:spacing w:before="4" w:line="218" w:lineRule="exact"/>
              <w:ind w:left="101" w:right="166"/>
              <w:rPr>
                <w:rFonts w:cstheme="minorHAnsi"/>
                <w:sz w:val="20"/>
                <w:szCs w:val="20"/>
              </w:rPr>
            </w:pPr>
            <w:r>
              <w:rPr>
                <w:rFonts w:cstheme="minorHAnsi"/>
                <w:sz w:val="20"/>
                <w:szCs w:val="20"/>
              </w:rPr>
              <w:t>Door middel van regionale samenwerking worden</w:t>
            </w:r>
            <w:r w:rsidRPr="00472FA1">
              <w:rPr>
                <w:rFonts w:cstheme="minorHAnsi"/>
                <w:sz w:val="20"/>
                <w:szCs w:val="20"/>
              </w:rPr>
              <w:t xml:space="preserve"> zorgverleners in de wijk </w:t>
            </w:r>
            <w:r>
              <w:rPr>
                <w:rFonts w:cstheme="minorHAnsi"/>
                <w:sz w:val="20"/>
                <w:szCs w:val="20"/>
              </w:rPr>
              <w:t>ondersteund</w:t>
            </w:r>
            <w:r w:rsidRPr="00472FA1">
              <w:rPr>
                <w:rFonts w:cstheme="minorHAnsi"/>
                <w:sz w:val="20"/>
                <w:szCs w:val="20"/>
              </w:rPr>
              <w:t xml:space="preserve"> bij hun</w:t>
            </w:r>
            <w:r>
              <w:rPr>
                <w:rFonts w:cstheme="minorHAnsi"/>
                <w:sz w:val="20"/>
                <w:szCs w:val="20"/>
              </w:rPr>
              <w:t xml:space="preserve"> </w:t>
            </w:r>
            <w:r w:rsidRPr="00472FA1">
              <w:rPr>
                <w:rFonts w:cstheme="minorHAnsi"/>
                <w:sz w:val="20"/>
                <w:szCs w:val="20"/>
              </w:rPr>
              <w:t xml:space="preserve">werk en </w:t>
            </w:r>
            <w:r>
              <w:rPr>
                <w:rFonts w:cstheme="minorHAnsi"/>
                <w:sz w:val="20"/>
                <w:szCs w:val="20"/>
              </w:rPr>
              <w:t>krijgen ze een</w:t>
            </w:r>
            <w:r w:rsidRPr="00472FA1">
              <w:rPr>
                <w:rFonts w:cstheme="minorHAnsi"/>
                <w:sz w:val="20"/>
                <w:szCs w:val="20"/>
              </w:rPr>
              <w:t xml:space="preserve"> stem wanneer in de regio afspraken gemaakt worden</w:t>
            </w:r>
            <w:r>
              <w:rPr>
                <w:rFonts w:cstheme="minorHAnsi"/>
                <w:sz w:val="20"/>
                <w:szCs w:val="20"/>
              </w:rPr>
              <w:t xml:space="preserve"> </w:t>
            </w:r>
            <w:r w:rsidRPr="00472FA1">
              <w:rPr>
                <w:rFonts w:cstheme="minorHAnsi"/>
                <w:sz w:val="20"/>
                <w:szCs w:val="20"/>
              </w:rPr>
              <w:t xml:space="preserve">over de toekomst van de zorg. </w:t>
            </w:r>
            <w:r>
              <w:rPr>
                <w:rFonts w:cstheme="minorHAnsi"/>
                <w:sz w:val="20"/>
                <w:szCs w:val="20"/>
              </w:rPr>
              <w:t>De</w:t>
            </w:r>
            <w:r w:rsidRPr="00472FA1">
              <w:rPr>
                <w:rFonts w:cstheme="minorHAnsi"/>
                <w:sz w:val="20"/>
                <w:szCs w:val="20"/>
              </w:rPr>
              <w:t xml:space="preserve"> RESV</w:t>
            </w:r>
            <w:r>
              <w:rPr>
                <w:rFonts w:cstheme="minorHAnsi"/>
                <w:sz w:val="20"/>
                <w:szCs w:val="20"/>
              </w:rPr>
              <w:t xml:space="preserve"> speelt op regionaal niveau een centrale rol in de </w:t>
            </w:r>
            <w:r w:rsidRPr="00472FA1">
              <w:rPr>
                <w:rFonts w:cstheme="minorHAnsi"/>
                <w:sz w:val="20"/>
                <w:szCs w:val="20"/>
              </w:rPr>
              <w:t>coördinatie-, organisatie- en</w:t>
            </w:r>
            <w:r>
              <w:rPr>
                <w:rFonts w:cstheme="minorHAnsi"/>
                <w:sz w:val="20"/>
                <w:szCs w:val="20"/>
              </w:rPr>
              <w:t xml:space="preserve"> </w:t>
            </w:r>
            <w:r w:rsidRPr="00472FA1">
              <w:rPr>
                <w:rFonts w:cstheme="minorHAnsi"/>
                <w:sz w:val="20"/>
                <w:szCs w:val="20"/>
              </w:rPr>
              <w:t xml:space="preserve">ondersteuningsactiviteiten, ten dienste van de vele </w:t>
            </w:r>
            <w:r w:rsidR="008749C6">
              <w:rPr>
                <w:rFonts w:cstheme="minorHAnsi"/>
                <w:sz w:val="20"/>
                <w:szCs w:val="20"/>
              </w:rPr>
              <w:t>eerstelijns</w:t>
            </w:r>
            <w:r w:rsidRPr="00472FA1">
              <w:rPr>
                <w:rFonts w:cstheme="minorHAnsi"/>
                <w:sz w:val="20"/>
                <w:szCs w:val="20"/>
              </w:rPr>
              <w:t xml:space="preserve">zorgaanbieders in de </w:t>
            </w:r>
            <w:r w:rsidR="008749C6">
              <w:rPr>
                <w:rFonts w:cstheme="minorHAnsi"/>
                <w:sz w:val="20"/>
                <w:szCs w:val="20"/>
              </w:rPr>
              <w:t>wijk</w:t>
            </w:r>
            <w:r w:rsidRPr="00472FA1">
              <w:rPr>
                <w:rFonts w:cstheme="minorHAnsi"/>
                <w:sz w:val="20"/>
                <w:szCs w:val="20"/>
              </w:rPr>
              <w:t xml:space="preserve">. Zo kunnen de zorgverleners zich </w:t>
            </w:r>
            <w:r w:rsidR="008749C6">
              <w:rPr>
                <w:rFonts w:cstheme="minorHAnsi"/>
                <w:sz w:val="20"/>
                <w:szCs w:val="20"/>
              </w:rPr>
              <w:t xml:space="preserve">blijven </w:t>
            </w:r>
            <w:r w:rsidRPr="00472FA1">
              <w:rPr>
                <w:rFonts w:cstheme="minorHAnsi"/>
                <w:sz w:val="20"/>
                <w:szCs w:val="20"/>
              </w:rPr>
              <w:t>focussen op hun kerntaak: het leveren van</w:t>
            </w:r>
            <w:r w:rsidR="003849BC">
              <w:rPr>
                <w:rFonts w:cstheme="minorHAnsi"/>
                <w:sz w:val="20"/>
                <w:szCs w:val="20"/>
              </w:rPr>
              <w:t xml:space="preserve"> </w:t>
            </w:r>
            <w:r w:rsidRPr="00472FA1">
              <w:rPr>
                <w:rFonts w:cstheme="minorHAnsi"/>
                <w:sz w:val="20"/>
                <w:szCs w:val="20"/>
              </w:rPr>
              <w:t>zorg</w:t>
            </w:r>
            <w:r w:rsidR="003849BC">
              <w:rPr>
                <w:rFonts w:cstheme="minorHAnsi"/>
                <w:sz w:val="20"/>
                <w:szCs w:val="20"/>
              </w:rPr>
              <w:t xml:space="preserve"> en dat draagt bij aan de toegankelijkheid en kwaliteit van de zorg</w:t>
            </w:r>
            <w:r w:rsidRPr="00472FA1">
              <w:rPr>
                <w:rFonts w:cstheme="minorHAnsi"/>
                <w:sz w:val="20"/>
                <w:szCs w:val="20"/>
              </w:rPr>
              <w:t xml:space="preserve">. </w:t>
            </w:r>
          </w:p>
        </w:tc>
      </w:tr>
      <w:tr w:rsidRPr="00D27AE1" w:rsidR="00FC395F" w:rsidTr="00DE6D27" w14:paraId="3EC293E4" w14:textId="77777777">
        <w:trPr>
          <w:trHeight w:val="983"/>
        </w:trPr>
        <w:tc>
          <w:tcPr>
            <w:tcW w:w="2640" w:type="dxa"/>
            <w:tcBorders>
              <w:left w:val="nil"/>
            </w:tcBorders>
            <w:shd w:val="clear" w:color="auto" w:fill="7A7A7A"/>
          </w:tcPr>
          <w:p w:rsidRPr="00D27AE1" w:rsidR="00FC395F" w:rsidP="00DE6D27" w:rsidRDefault="00FC395F" w14:paraId="79D884E9" w14:textId="77777777">
            <w:pPr>
              <w:pStyle w:val="TableParagraph"/>
              <w:tabs>
                <w:tab w:val="left" w:pos="2060"/>
              </w:tabs>
              <w:rPr>
                <w:rFonts w:cstheme="minorHAnsi"/>
                <w:i/>
                <w:sz w:val="20"/>
                <w:szCs w:val="20"/>
              </w:rPr>
            </w:pPr>
          </w:p>
          <w:p w:rsidRPr="00D27AE1" w:rsidR="00FC395F" w:rsidP="00DE6D27" w:rsidRDefault="00FC395F" w14:paraId="026FD423" w14:textId="77777777">
            <w:pPr>
              <w:pStyle w:val="TableParagraph"/>
              <w:tabs>
                <w:tab w:val="left" w:pos="2060"/>
              </w:tabs>
              <w:ind w:left="103" w:right="1066"/>
              <w:rPr>
                <w:rFonts w:cstheme="minorHAnsi"/>
                <w:b/>
                <w:sz w:val="20"/>
                <w:szCs w:val="20"/>
              </w:rPr>
            </w:pPr>
            <w:r w:rsidRPr="00D27AE1">
              <w:rPr>
                <w:rFonts w:cstheme="minorHAnsi"/>
                <w:b/>
                <w:color w:val="FFFFFF"/>
                <w:sz w:val="20"/>
                <w:szCs w:val="20"/>
              </w:rPr>
              <w:t>Nagestreefde doelmatigheid</w:t>
            </w:r>
          </w:p>
        </w:tc>
        <w:tc>
          <w:tcPr>
            <w:tcW w:w="6330" w:type="dxa"/>
            <w:tcBorders>
              <w:right w:val="nil"/>
            </w:tcBorders>
            <w:shd w:val="clear" w:color="auto" w:fill="DBDBDB"/>
            <w:vAlign w:val="center"/>
          </w:tcPr>
          <w:p w:rsidR="00256BAA" w:rsidP="00256BAA" w:rsidRDefault="00256BAA" w14:paraId="48DD14A2" w14:textId="757144EF">
            <w:pPr>
              <w:pStyle w:val="TableParagraph"/>
              <w:tabs>
                <w:tab w:val="left" w:pos="2060"/>
              </w:tabs>
              <w:spacing w:line="213" w:lineRule="exact"/>
              <w:ind w:left="101"/>
              <w:rPr>
                <w:rFonts w:cstheme="minorHAnsi"/>
                <w:sz w:val="20"/>
                <w:szCs w:val="20"/>
              </w:rPr>
            </w:pPr>
            <w:r>
              <w:rPr>
                <w:rFonts w:cstheme="minorHAnsi"/>
                <w:sz w:val="20"/>
                <w:szCs w:val="20"/>
              </w:rPr>
              <w:t>D</w:t>
            </w:r>
            <w:r w:rsidR="006C2D1C">
              <w:rPr>
                <w:rFonts w:cstheme="minorHAnsi"/>
                <w:sz w:val="20"/>
                <w:szCs w:val="20"/>
              </w:rPr>
              <w:t>it gaat om kosten voor regio’s ter ondersteuning van de vele aanbieders</w:t>
            </w:r>
            <w:r>
              <w:rPr>
                <w:rFonts w:cstheme="minorHAnsi"/>
                <w:sz w:val="20"/>
                <w:szCs w:val="20"/>
              </w:rPr>
              <w:t xml:space="preserve"> in de eerstelijn</w:t>
            </w:r>
            <w:r w:rsidR="006C2D1C">
              <w:rPr>
                <w:rFonts w:cstheme="minorHAnsi"/>
                <w:sz w:val="20"/>
                <w:szCs w:val="20"/>
              </w:rPr>
              <w:t xml:space="preserve">. </w:t>
            </w:r>
            <w:r>
              <w:rPr>
                <w:rFonts w:cstheme="minorHAnsi"/>
                <w:sz w:val="20"/>
                <w:szCs w:val="20"/>
              </w:rPr>
              <w:t xml:space="preserve">Dit kan goed verlopen </w:t>
            </w:r>
            <w:r w:rsidR="006C2D1C">
              <w:rPr>
                <w:rFonts w:cstheme="minorHAnsi"/>
                <w:sz w:val="20"/>
                <w:szCs w:val="20"/>
              </w:rPr>
              <w:t xml:space="preserve">via de inkoop </w:t>
            </w:r>
            <w:r>
              <w:rPr>
                <w:rFonts w:cstheme="minorHAnsi"/>
                <w:sz w:val="20"/>
                <w:szCs w:val="20"/>
              </w:rPr>
              <w:t xml:space="preserve">van </w:t>
            </w:r>
            <w:r w:rsidR="006C2D1C">
              <w:rPr>
                <w:rFonts w:cstheme="minorHAnsi"/>
                <w:sz w:val="20"/>
                <w:szCs w:val="20"/>
              </w:rPr>
              <w:t xml:space="preserve">zorgverzekeraars, </w:t>
            </w:r>
            <w:r>
              <w:rPr>
                <w:rFonts w:cstheme="minorHAnsi"/>
                <w:sz w:val="20"/>
                <w:szCs w:val="20"/>
              </w:rPr>
              <w:t xml:space="preserve">vanuit </w:t>
            </w:r>
            <w:r w:rsidR="006C2D1C">
              <w:rPr>
                <w:rFonts w:cstheme="minorHAnsi"/>
                <w:sz w:val="20"/>
                <w:szCs w:val="20"/>
              </w:rPr>
              <w:t xml:space="preserve">de Zvw. </w:t>
            </w:r>
            <w:r>
              <w:rPr>
                <w:rFonts w:cstheme="minorHAnsi"/>
                <w:sz w:val="20"/>
                <w:szCs w:val="20"/>
              </w:rPr>
              <w:t xml:space="preserve">Zo doen zij dit al vele jaren voor oa de samenwerking tussen huisartsen (RHO’s). </w:t>
            </w:r>
            <w:r w:rsidR="008F663E">
              <w:rPr>
                <w:rFonts w:cstheme="minorHAnsi"/>
                <w:sz w:val="20"/>
                <w:szCs w:val="20"/>
              </w:rPr>
              <w:t>Een verbreding naar alle eerstelijnsdisciplines is daarom als werkend mechanisme ingezet. Regionale versterking zorgt ook voor verbetering van doelmatige afspraken in de regio met andere regionale partijen zoals o.a. MSZ en GGZ.</w:t>
            </w:r>
          </w:p>
          <w:p w:rsidRPr="00D27AE1" w:rsidR="009C773C" w:rsidP="00256BAA" w:rsidRDefault="006C2D1C" w14:paraId="1729EF00" w14:textId="43310045">
            <w:pPr>
              <w:pStyle w:val="TableParagraph"/>
              <w:tabs>
                <w:tab w:val="left" w:pos="2060"/>
              </w:tabs>
              <w:spacing w:line="213" w:lineRule="exact"/>
              <w:ind w:left="101"/>
              <w:rPr>
                <w:rFonts w:cstheme="minorHAnsi"/>
                <w:sz w:val="20"/>
                <w:szCs w:val="20"/>
              </w:rPr>
            </w:pPr>
            <w:r>
              <w:rPr>
                <w:rFonts w:cstheme="minorHAnsi"/>
                <w:sz w:val="20"/>
                <w:szCs w:val="20"/>
              </w:rPr>
              <w:t>D</w:t>
            </w:r>
            <w:r w:rsidR="00256BAA">
              <w:rPr>
                <w:rFonts w:cstheme="minorHAnsi"/>
                <w:sz w:val="20"/>
                <w:szCs w:val="20"/>
              </w:rPr>
              <w:t>eze vorm</w:t>
            </w:r>
            <w:r>
              <w:rPr>
                <w:rFonts w:cstheme="minorHAnsi"/>
                <w:sz w:val="20"/>
                <w:szCs w:val="20"/>
              </w:rPr>
              <w:t xml:space="preserve"> borgt ook in verre mate de doelmatigheid. Regio’s moeten </w:t>
            </w:r>
            <w:r w:rsidR="00256BAA">
              <w:rPr>
                <w:rFonts w:cstheme="minorHAnsi"/>
                <w:sz w:val="20"/>
                <w:szCs w:val="20"/>
              </w:rPr>
              <w:t xml:space="preserve">duidelijke </w:t>
            </w:r>
            <w:r>
              <w:rPr>
                <w:rFonts w:cstheme="minorHAnsi"/>
                <w:sz w:val="20"/>
                <w:szCs w:val="20"/>
              </w:rPr>
              <w:t xml:space="preserve">RESV-plannen indienen bij de verzekeraars. </w:t>
            </w:r>
            <w:r w:rsidR="00256BAA">
              <w:rPr>
                <w:rFonts w:cstheme="minorHAnsi"/>
                <w:sz w:val="20"/>
                <w:szCs w:val="20"/>
              </w:rPr>
              <w:t xml:space="preserve">Verzekeraars </w:t>
            </w:r>
            <w:r>
              <w:rPr>
                <w:rFonts w:cstheme="minorHAnsi"/>
                <w:sz w:val="20"/>
                <w:szCs w:val="20"/>
              </w:rPr>
              <w:t xml:space="preserve">beoordelen dit en zien toe </w:t>
            </w:r>
            <w:r w:rsidR="00256BAA">
              <w:rPr>
                <w:rFonts w:cstheme="minorHAnsi"/>
                <w:sz w:val="20"/>
                <w:szCs w:val="20"/>
              </w:rPr>
              <w:t xml:space="preserve">dat </w:t>
            </w:r>
            <w:r>
              <w:rPr>
                <w:rFonts w:cstheme="minorHAnsi"/>
                <w:sz w:val="20"/>
                <w:szCs w:val="20"/>
              </w:rPr>
              <w:t xml:space="preserve">goede plannen </w:t>
            </w:r>
            <w:r w:rsidR="00256BAA">
              <w:rPr>
                <w:rFonts w:cstheme="minorHAnsi"/>
                <w:sz w:val="20"/>
                <w:szCs w:val="20"/>
              </w:rPr>
              <w:t xml:space="preserve">tot uitvoering kunnen worden gebracht, </w:t>
            </w:r>
            <w:r>
              <w:rPr>
                <w:rFonts w:cstheme="minorHAnsi"/>
                <w:sz w:val="20"/>
                <w:szCs w:val="20"/>
              </w:rPr>
              <w:t>die de eerste lijn verder helpt en</w:t>
            </w:r>
            <w:r w:rsidR="00256BAA">
              <w:rPr>
                <w:rFonts w:cstheme="minorHAnsi"/>
                <w:sz w:val="20"/>
                <w:szCs w:val="20"/>
              </w:rPr>
              <w:t xml:space="preserve"> daar</w:t>
            </w:r>
            <w:r>
              <w:rPr>
                <w:rFonts w:cstheme="minorHAnsi"/>
                <w:sz w:val="20"/>
                <w:szCs w:val="20"/>
              </w:rPr>
              <w:t xml:space="preserve"> kopen </w:t>
            </w:r>
            <w:r w:rsidR="00256BAA">
              <w:rPr>
                <w:rFonts w:cstheme="minorHAnsi"/>
                <w:sz w:val="20"/>
                <w:szCs w:val="20"/>
              </w:rPr>
              <w:t xml:space="preserve">zij </w:t>
            </w:r>
            <w:r>
              <w:rPr>
                <w:rFonts w:cstheme="minorHAnsi"/>
                <w:sz w:val="20"/>
                <w:szCs w:val="20"/>
              </w:rPr>
              <w:t xml:space="preserve">scherp </w:t>
            </w:r>
            <w:r w:rsidR="00256BAA">
              <w:rPr>
                <w:rFonts w:cstheme="minorHAnsi"/>
                <w:sz w:val="20"/>
                <w:szCs w:val="20"/>
              </w:rPr>
              <w:t xml:space="preserve">op </w:t>
            </w:r>
            <w:r>
              <w:rPr>
                <w:rFonts w:cstheme="minorHAnsi"/>
                <w:sz w:val="20"/>
                <w:szCs w:val="20"/>
              </w:rPr>
              <w:t>in</w:t>
            </w:r>
            <w:r w:rsidR="00943087">
              <w:rPr>
                <w:rFonts w:cstheme="minorHAnsi"/>
                <w:sz w:val="20"/>
                <w:szCs w:val="20"/>
              </w:rPr>
              <w:t>, geheel passend bij de lokale/regionale context</w:t>
            </w:r>
            <w:r>
              <w:rPr>
                <w:rFonts w:cstheme="minorHAnsi"/>
                <w:sz w:val="20"/>
                <w:szCs w:val="20"/>
              </w:rPr>
              <w:t>.</w:t>
            </w:r>
          </w:p>
        </w:tc>
      </w:tr>
      <w:tr w:rsidRPr="00D27AE1" w:rsidR="00FC395F" w:rsidTr="00DE6D27" w14:paraId="3479F39A" w14:textId="77777777">
        <w:trPr>
          <w:trHeight w:val="983"/>
        </w:trPr>
        <w:tc>
          <w:tcPr>
            <w:tcW w:w="2640" w:type="dxa"/>
            <w:tcBorders>
              <w:left w:val="nil"/>
            </w:tcBorders>
            <w:shd w:val="clear" w:color="auto" w:fill="7A7A7A"/>
          </w:tcPr>
          <w:p w:rsidRPr="002C7109" w:rsidR="00FC395F" w:rsidP="00DE6D27" w:rsidRDefault="00FC395F" w14:paraId="49B067D8" w14:textId="77777777">
            <w:pPr>
              <w:pStyle w:val="TableParagraph"/>
              <w:tabs>
                <w:tab w:val="left" w:pos="2060"/>
              </w:tabs>
              <w:ind w:left="103" w:right="1066"/>
              <w:rPr>
                <w:rFonts w:cstheme="minorHAnsi"/>
                <w:b/>
                <w:color w:val="FFFFFF"/>
                <w:sz w:val="20"/>
                <w:szCs w:val="20"/>
              </w:rPr>
            </w:pPr>
          </w:p>
          <w:p w:rsidRPr="00D27AE1" w:rsidR="00FC395F" w:rsidP="00DE6D27" w:rsidRDefault="00FC395F" w14:paraId="0F8CB764" w14:textId="77777777">
            <w:pPr>
              <w:pStyle w:val="TableParagraph"/>
              <w:tabs>
                <w:tab w:val="left" w:pos="2060"/>
              </w:tabs>
              <w:ind w:left="103" w:right="1066"/>
              <w:rPr>
                <w:rFonts w:cstheme="minorHAnsi"/>
                <w:i/>
                <w:sz w:val="20"/>
                <w:szCs w:val="20"/>
              </w:rPr>
            </w:pPr>
            <w:r w:rsidRPr="00D27AE1">
              <w:rPr>
                <w:rFonts w:cstheme="minorHAnsi"/>
                <w:b/>
                <w:color w:val="FFFFFF"/>
                <w:sz w:val="20"/>
                <w:szCs w:val="20"/>
              </w:rPr>
              <w:t>Evaluatieparagraaf</w:t>
            </w:r>
          </w:p>
        </w:tc>
        <w:tc>
          <w:tcPr>
            <w:tcW w:w="6330" w:type="dxa"/>
            <w:tcBorders>
              <w:right w:val="nil"/>
            </w:tcBorders>
            <w:shd w:val="clear" w:color="auto" w:fill="DBDBDB"/>
            <w:vAlign w:val="center"/>
          </w:tcPr>
          <w:p w:rsidRPr="00D27AE1" w:rsidR="00FC395F" w:rsidP="00256BAA" w:rsidRDefault="00256BAA" w14:paraId="24643CB7" w14:textId="3B1032AC">
            <w:pPr>
              <w:pStyle w:val="TableParagraph"/>
              <w:tabs>
                <w:tab w:val="left" w:pos="2060"/>
              </w:tabs>
              <w:spacing w:line="213" w:lineRule="exact"/>
              <w:ind w:left="101"/>
              <w:rPr>
                <w:rFonts w:cstheme="minorHAnsi"/>
                <w:sz w:val="20"/>
                <w:szCs w:val="20"/>
              </w:rPr>
            </w:pPr>
            <w:r>
              <w:rPr>
                <w:rFonts w:cstheme="minorHAnsi"/>
                <w:sz w:val="20"/>
                <w:szCs w:val="20"/>
              </w:rPr>
              <w:t xml:space="preserve">Er is gekozen voor een experiment bekostiging, waar monitoring en evaluatie </w:t>
            </w:r>
            <w:r w:rsidR="00943087">
              <w:rPr>
                <w:rFonts w:cstheme="minorHAnsi"/>
                <w:sz w:val="20"/>
                <w:szCs w:val="20"/>
              </w:rPr>
              <w:t xml:space="preserve">een heel </w:t>
            </w:r>
            <w:r>
              <w:rPr>
                <w:rFonts w:cstheme="minorHAnsi"/>
                <w:sz w:val="20"/>
                <w:szCs w:val="20"/>
              </w:rPr>
              <w:t xml:space="preserve">belangrijk </w:t>
            </w:r>
            <w:r w:rsidR="00943087">
              <w:rPr>
                <w:rFonts w:cstheme="minorHAnsi"/>
                <w:sz w:val="20"/>
                <w:szCs w:val="20"/>
              </w:rPr>
              <w:t xml:space="preserve">aspect </w:t>
            </w:r>
            <w:r>
              <w:rPr>
                <w:rFonts w:cstheme="minorHAnsi"/>
                <w:sz w:val="20"/>
                <w:szCs w:val="20"/>
              </w:rPr>
              <w:t xml:space="preserve">is. Dit helpt eventuele tussentijdse bijsturing en </w:t>
            </w:r>
            <w:r w:rsidR="00943087">
              <w:rPr>
                <w:rFonts w:cstheme="minorHAnsi"/>
                <w:sz w:val="20"/>
                <w:szCs w:val="20"/>
              </w:rPr>
              <w:t xml:space="preserve">maakt </w:t>
            </w:r>
            <w:r>
              <w:rPr>
                <w:rFonts w:cstheme="minorHAnsi"/>
                <w:sz w:val="20"/>
                <w:szCs w:val="20"/>
              </w:rPr>
              <w:t xml:space="preserve">ook de beoordeling van het experiment na afloop (2032) </w:t>
            </w:r>
            <w:r w:rsidR="00943087">
              <w:rPr>
                <w:rFonts w:cstheme="minorHAnsi"/>
                <w:sz w:val="20"/>
                <w:szCs w:val="20"/>
              </w:rPr>
              <w:t xml:space="preserve">mogelijk, om te kunnen bepalen </w:t>
            </w:r>
            <w:r>
              <w:rPr>
                <w:rFonts w:cstheme="minorHAnsi"/>
                <w:sz w:val="20"/>
                <w:szCs w:val="20"/>
              </w:rPr>
              <w:t xml:space="preserve">op welke wijze deze </w:t>
            </w:r>
            <w:r w:rsidR="00943087">
              <w:rPr>
                <w:rFonts w:cstheme="minorHAnsi"/>
                <w:sz w:val="20"/>
                <w:szCs w:val="20"/>
              </w:rPr>
              <w:t xml:space="preserve">daarna </w:t>
            </w:r>
            <w:r>
              <w:rPr>
                <w:rFonts w:cstheme="minorHAnsi"/>
                <w:sz w:val="20"/>
                <w:szCs w:val="20"/>
              </w:rPr>
              <w:t xml:space="preserve">zal worden voortgezet, </w:t>
            </w:r>
            <w:r w:rsidR="00E20F9A">
              <w:rPr>
                <w:rFonts w:cstheme="minorHAnsi"/>
                <w:sz w:val="20"/>
                <w:szCs w:val="20"/>
              </w:rPr>
              <w:t xml:space="preserve">Bij de monitoring en evaluatie wordt gekeken naar </w:t>
            </w:r>
            <w:r w:rsidR="00F32AA2">
              <w:rPr>
                <w:rFonts w:cstheme="minorHAnsi"/>
                <w:sz w:val="20"/>
                <w:szCs w:val="20"/>
              </w:rPr>
              <w:t xml:space="preserve">de knelpunten die </w:t>
            </w:r>
            <w:r w:rsidR="00C85124">
              <w:rPr>
                <w:rFonts w:cstheme="minorHAnsi"/>
                <w:sz w:val="20"/>
                <w:szCs w:val="20"/>
              </w:rPr>
              <w:t>de RESVs in de praktijk ervaren</w:t>
            </w:r>
            <w:r w:rsidR="00525059">
              <w:rPr>
                <w:rFonts w:cstheme="minorHAnsi"/>
                <w:sz w:val="20"/>
                <w:szCs w:val="20"/>
              </w:rPr>
              <w:t xml:space="preserve"> bij de uitvoering van de vijf </w:t>
            </w:r>
            <w:r w:rsidR="00525059">
              <w:rPr>
                <w:rFonts w:cstheme="minorHAnsi"/>
                <w:sz w:val="20"/>
                <w:szCs w:val="20"/>
              </w:rPr>
              <w:lastRenderedPageBreak/>
              <w:t>hoofdtaken en</w:t>
            </w:r>
            <w:r w:rsidR="00F32AA2">
              <w:rPr>
                <w:rFonts w:cstheme="minorHAnsi"/>
                <w:sz w:val="20"/>
                <w:szCs w:val="20"/>
              </w:rPr>
              <w:t xml:space="preserve"> in hoeverre de prestatie bijdraagt aan de realisatie van de doelen van de visie: </w:t>
            </w:r>
            <w:r w:rsidRPr="00F32AA2" w:rsidR="00F32AA2">
              <w:rPr>
                <w:rFonts w:cstheme="minorHAnsi"/>
                <w:sz w:val="20"/>
                <w:szCs w:val="20"/>
              </w:rPr>
              <w:t>houdbare toegankelijke</w:t>
            </w:r>
            <w:r w:rsidR="00F32AA2">
              <w:rPr>
                <w:rFonts w:cstheme="minorHAnsi"/>
                <w:sz w:val="20"/>
                <w:szCs w:val="20"/>
              </w:rPr>
              <w:t xml:space="preserve"> </w:t>
            </w:r>
            <w:r w:rsidRPr="00F32AA2" w:rsidR="00F32AA2">
              <w:rPr>
                <w:rFonts w:cstheme="minorHAnsi"/>
                <w:sz w:val="20"/>
                <w:szCs w:val="20"/>
              </w:rPr>
              <w:t>eerstelijnszorg.</w:t>
            </w:r>
            <w:r w:rsidR="00525059">
              <w:rPr>
                <w:rFonts w:cstheme="minorHAnsi"/>
                <w:sz w:val="20"/>
                <w:szCs w:val="20"/>
              </w:rPr>
              <w:t xml:space="preserve"> Verder wordt gemonitord op impact, doelmatigheid en kostenbeheersing.</w:t>
            </w:r>
            <w:r w:rsidR="00E20F9A">
              <w:rPr>
                <w:rFonts w:cstheme="minorHAnsi"/>
                <w:sz w:val="20"/>
                <w:szCs w:val="20"/>
              </w:rPr>
              <w:t xml:space="preserve"> </w:t>
            </w:r>
            <w:r w:rsidRPr="00525059" w:rsidR="00525059">
              <w:rPr>
                <w:rFonts w:cstheme="minorHAnsi"/>
                <w:sz w:val="20"/>
                <w:szCs w:val="20"/>
              </w:rPr>
              <w:t>De monitoringsresultaten zullen jaarlijks worden geëvalueerd met betrokken</w:t>
            </w:r>
            <w:r>
              <w:rPr>
                <w:rFonts w:cstheme="minorHAnsi"/>
                <w:sz w:val="20"/>
                <w:szCs w:val="20"/>
              </w:rPr>
              <w:t xml:space="preserve"> partijen.</w:t>
            </w:r>
            <w:r w:rsidR="00525059">
              <w:rPr>
                <w:rFonts w:cstheme="minorHAnsi"/>
                <w:sz w:val="20"/>
                <w:szCs w:val="20"/>
              </w:rPr>
              <w:t xml:space="preserve"> </w:t>
            </w:r>
          </w:p>
        </w:tc>
      </w:tr>
    </w:tbl>
    <w:p w:rsidR="00B06701" w:rsidRDefault="00B06701" w14:paraId="45831A7C" w14:textId="77777777"/>
    <w:sectPr w:rsidR="00B06701"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0D69"/>
    <w:multiLevelType w:val="hybridMultilevel"/>
    <w:tmpl w:val="3E4A03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AA386A"/>
    <w:multiLevelType w:val="hybridMultilevel"/>
    <w:tmpl w:val="DAF45FEA"/>
    <w:lvl w:ilvl="0" w:tplc="41A4A6BA">
      <w:start w:val="1"/>
      <w:numFmt w:val="decimal"/>
      <w:lvlText w:val="%1."/>
      <w:lvlJc w:val="left"/>
      <w:pPr>
        <w:ind w:left="461" w:hanging="360"/>
      </w:pPr>
      <w:rPr>
        <w:rFonts w:hint="default"/>
      </w:rPr>
    </w:lvl>
    <w:lvl w:ilvl="1" w:tplc="04130019" w:tentative="1">
      <w:start w:val="1"/>
      <w:numFmt w:val="lowerLetter"/>
      <w:lvlText w:val="%2."/>
      <w:lvlJc w:val="left"/>
      <w:pPr>
        <w:ind w:left="1181" w:hanging="360"/>
      </w:pPr>
    </w:lvl>
    <w:lvl w:ilvl="2" w:tplc="0413001B" w:tentative="1">
      <w:start w:val="1"/>
      <w:numFmt w:val="lowerRoman"/>
      <w:lvlText w:val="%3."/>
      <w:lvlJc w:val="right"/>
      <w:pPr>
        <w:ind w:left="1901" w:hanging="180"/>
      </w:pPr>
    </w:lvl>
    <w:lvl w:ilvl="3" w:tplc="0413000F" w:tentative="1">
      <w:start w:val="1"/>
      <w:numFmt w:val="decimal"/>
      <w:lvlText w:val="%4."/>
      <w:lvlJc w:val="left"/>
      <w:pPr>
        <w:ind w:left="2621" w:hanging="360"/>
      </w:pPr>
    </w:lvl>
    <w:lvl w:ilvl="4" w:tplc="04130019" w:tentative="1">
      <w:start w:val="1"/>
      <w:numFmt w:val="lowerLetter"/>
      <w:lvlText w:val="%5."/>
      <w:lvlJc w:val="left"/>
      <w:pPr>
        <w:ind w:left="3341" w:hanging="360"/>
      </w:pPr>
    </w:lvl>
    <w:lvl w:ilvl="5" w:tplc="0413001B" w:tentative="1">
      <w:start w:val="1"/>
      <w:numFmt w:val="lowerRoman"/>
      <w:lvlText w:val="%6."/>
      <w:lvlJc w:val="right"/>
      <w:pPr>
        <w:ind w:left="4061" w:hanging="180"/>
      </w:pPr>
    </w:lvl>
    <w:lvl w:ilvl="6" w:tplc="0413000F" w:tentative="1">
      <w:start w:val="1"/>
      <w:numFmt w:val="decimal"/>
      <w:lvlText w:val="%7."/>
      <w:lvlJc w:val="left"/>
      <w:pPr>
        <w:ind w:left="4781" w:hanging="360"/>
      </w:pPr>
    </w:lvl>
    <w:lvl w:ilvl="7" w:tplc="04130019" w:tentative="1">
      <w:start w:val="1"/>
      <w:numFmt w:val="lowerLetter"/>
      <w:lvlText w:val="%8."/>
      <w:lvlJc w:val="left"/>
      <w:pPr>
        <w:ind w:left="5501" w:hanging="360"/>
      </w:pPr>
    </w:lvl>
    <w:lvl w:ilvl="8" w:tplc="0413001B" w:tentative="1">
      <w:start w:val="1"/>
      <w:numFmt w:val="lowerRoman"/>
      <w:lvlText w:val="%9."/>
      <w:lvlJc w:val="right"/>
      <w:pPr>
        <w:ind w:left="6221" w:hanging="180"/>
      </w:pPr>
    </w:lvl>
  </w:abstractNum>
  <w:num w:numId="1" w16cid:durableId="2110543638">
    <w:abstractNumId w:val="1"/>
  </w:num>
  <w:num w:numId="2" w16cid:durableId="106661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5F"/>
    <w:rsid w:val="00063D6D"/>
    <w:rsid w:val="000B07C8"/>
    <w:rsid w:val="000B2DD0"/>
    <w:rsid w:val="000B6385"/>
    <w:rsid w:val="000E4C56"/>
    <w:rsid w:val="001533AB"/>
    <w:rsid w:val="001E6A24"/>
    <w:rsid w:val="00213B34"/>
    <w:rsid w:val="00256BAA"/>
    <w:rsid w:val="00287462"/>
    <w:rsid w:val="00326A4D"/>
    <w:rsid w:val="003503F5"/>
    <w:rsid w:val="003849BC"/>
    <w:rsid w:val="0038627F"/>
    <w:rsid w:val="003C0DB6"/>
    <w:rsid w:val="003E32BE"/>
    <w:rsid w:val="0047296A"/>
    <w:rsid w:val="00472FA1"/>
    <w:rsid w:val="00511F77"/>
    <w:rsid w:val="00525059"/>
    <w:rsid w:val="005F56A8"/>
    <w:rsid w:val="00676135"/>
    <w:rsid w:val="00680F76"/>
    <w:rsid w:val="006C2D1C"/>
    <w:rsid w:val="0070603E"/>
    <w:rsid w:val="007653FC"/>
    <w:rsid w:val="008101DD"/>
    <w:rsid w:val="008749C6"/>
    <w:rsid w:val="00886CB6"/>
    <w:rsid w:val="008B58F2"/>
    <w:rsid w:val="008D58B8"/>
    <w:rsid w:val="008F663E"/>
    <w:rsid w:val="00940154"/>
    <w:rsid w:val="00943087"/>
    <w:rsid w:val="00964988"/>
    <w:rsid w:val="009C773C"/>
    <w:rsid w:val="00AE6A2F"/>
    <w:rsid w:val="00B06701"/>
    <w:rsid w:val="00B359C8"/>
    <w:rsid w:val="00BF7A95"/>
    <w:rsid w:val="00C27B29"/>
    <w:rsid w:val="00C85124"/>
    <w:rsid w:val="00D206A6"/>
    <w:rsid w:val="00D504F3"/>
    <w:rsid w:val="00D6608B"/>
    <w:rsid w:val="00D81B82"/>
    <w:rsid w:val="00DA1EA7"/>
    <w:rsid w:val="00DA2695"/>
    <w:rsid w:val="00DB5964"/>
    <w:rsid w:val="00E20F9A"/>
    <w:rsid w:val="00EF6F63"/>
    <w:rsid w:val="00F32AA2"/>
    <w:rsid w:val="00F40B74"/>
    <w:rsid w:val="00FA5E94"/>
    <w:rsid w:val="00FC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34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C395F"/>
    <w:pPr>
      <w:autoSpaceDN w:val="0"/>
      <w:spacing w:after="0" w:line="240" w:lineRule="exact"/>
      <w:textAlignment w:val="baseline"/>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rsid w:val="00FC395F"/>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C395F"/>
    <w:pPr>
      <w:widowControl w:val="0"/>
      <w:autoSpaceDE w:val="0"/>
      <w:spacing w:line="240" w:lineRule="auto"/>
      <w:textAlignment w:val="auto"/>
    </w:pPr>
    <w:rPr>
      <w:rFonts w:eastAsia="Verdana" w:cs="Verdana"/>
      <w:color w:val="auto"/>
      <w:sz w:val="22"/>
      <w:szCs w:val="22"/>
      <w:lang w:eastAsia="en-US"/>
    </w:rPr>
  </w:style>
  <w:style w:type="character" w:styleId="Verwijzingopmerking">
    <w:name w:val="annotation reference"/>
    <w:basedOn w:val="Standaardalinea-lettertype"/>
    <w:uiPriority w:val="99"/>
    <w:semiHidden/>
    <w:unhideWhenUsed/>
    <w:rsid w:val="00AE6A2F"/>
    <w:rPr>
      <w:sz w:val="16"/>
      <w:szCs w:val="16"/>
    </w:rPr>
  </w:style>
  <w:style w:type="paragraph" w:styleId="Tekstopmerking">
    <w:name w:val="annotation text"/>
    <w:basedOn w:val="Standaard"/>
    <w:link w:val="TekstopmerkingChar"/>
    <w:uiPriority w:val="99"/>
    <w:unhideWhenUsed/>
    <w:rsid w:val="00AE6A2F"/>
    <w:pPr>
      <w:spacing w:line="240" w:lineRule="auto"/>
    </w:pPr>
    <w:rPr>
      <w:sz w:val="20"/>
      <w:szCs w:val="20"/>
    </w:rPr>
  </w:style>
  <w:style w:type="character" w:customStyle="1" w:styleId="TekstopmerkingChar">
    <w:name w:val="Tekst opmerking Char"/>
    <w:basedOn w:val="Standaardalinea-lettertype"/>
    <w:link w:val="Tekstopmerking"/>
    <w:uiPriority w:val="99"/>
    <w:rsid w:val="00AE6A2F"/>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E6A2F"/>
    <w:rPr>
      <w:b/>
      <w:bCs/>
    </w:rPr>
  </w:style>
  <w:style w:type="character" w:customStyle="1" w:styleId="OnderwerpvanopmerkingChar">
    <w:name w:val="Onderwerp van opmerking Char"/>
    <w:basedOn w:val="TekstopmerkingChar"/>
    <w:link w:val="Onderwerpvanopmerking"/>
    <w:uiPriority w:val="99"/>
    <w:semiHidden/>
    <w:rsid w:val="00AE6A2F"/>
    <w:rPr>
      <w:rFonts w:eastAsia="DejaVu Sans" w:cs="Lohit Hindi"/>
      <w:b/>
      <w:bCs/>
      <w:color w:val="000000"/>
      <w:sz w:val="20"/>
      <w:szCs w:val="20"/>
      <w:lang w:val="nl-NL" w:eastAsia="nl-NL"/>
    </w:rPr>
  </w:style>
  <w:style w:type="paragraph" w:styleId="Revisie">
    <w:name w:val="Revision"/>
    <w:hidden/>
    <w:uiPriority w:val="99"/>
    <w:semiHidden/>
    <w:rsid w:val="000B07C8"/>
    <w:pPr>
      <w:spacing w:after="0" w:line="240" w:lineRule="auto"/>
    </w:pPr>
    <w:rPr>
      <w:rFonts w:eastAsia="DejaVu Sans" w:cs="Lohit Hindi"/>
      <w:color w:val="000000"/>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85300">
      <w:bodyDiv w:val="1"/>
      <w:marLeft w:val="0"/>
      <w:marRight w:val="0"/>
      <w:marTop w:val="0"/>
      <w:marBottom w:val="0"/>
      <w:divBdr>
        <w:top w:val="none" w:sz="0" w:space="0" w:color="auto"/>
        <w:left w:val="none" w:sz="0" w:space="0" w:color="auto"/>
        <w:bottom w:val="none" w:sz="0" w:space="0" w:color="auto"/>
        <w:right w:val="none" w:sz="0" w:space="0" w:color="auto"/>
      </w:divBdr>
    </w:div>
    <w:div w:id="211505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580</ap:Words>
  <ap:Characters>3190</ap:Characters>
  <ap:DocSecurity>0</ap:DocSecurity>
  <ap:Lines>26</ap:Lines>
  <ap:Paragraphs>7</ap:Paragraphs>
  <ap:ScaleCrop>false</ap:ScaleCrop>
  <ap:LinksUpToDate>false</ap:LinksUpToDate>
  <ap:CharactersWithSpaces>3763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2026-03-10T15:12:00.0000000Z</dcterms:created>
  <dcterms:modified xsi:type="dcterms:W3CDTF">2026-03-10T15:13:00.0000000Z</dcterms:modified>
  <version/>
  <category/>
</coreProperties>
</file>