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0" w:type="auto"/>
        <w:tblInd w:w="1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ook w:val="01E0" w:firstRow="1" w:lastRow="1" w:firstColumn="1" w:lastColumn="1" w:noHBand="0" w:noVBand="0"/>
      </w:tblPr>
      <w:tblGrid>
        <w:gridCol w:w="2742"/>
        <w:gridCol w:w="6162"/>
      </w:tblGrid>
      <w:tr w:rsidRPr="00D27AE1" w:rsidR="00FC395F" w:rsidTr="00DE6D27" w14:paraId="2EB7DF2B" w14:textId="77777777">
        <w:trPr>
          <w:trHeight w:val="1059"/>
        </w:trPr>
        <w:tc>
          <w:tcPr>
            <w:tcW w:w="8970" w:type="dxa"/>
            <w:gridSpan w:val="2"/>
            <w:tcBorders>
              <w:left w:val="nil"/>
            </w:tcBorders>
            <w:shd w:val="clear" w:color="auto" w:fill="7A7A7A"/>
            <w:vAlign w:val="center"/>
          </w:tcPr>
          <w:p w:rsidRPr="00D27AE1" w:rsidR="00FC395F" w:rsidP="00DE6D27" w:rsidRDefault="00FC395F" w14:paraId="468A128A" w14:textId="77777777">
            <w:pPr>
              <w:pStyle w:val="TableParagraph"/>
              <w:tabs>
                <w:tab w:val="left" w:pos="2060"/>
              </w:tabs>
              <w:ind w:left="103"/>
              <w:rPr>
                <w:rFonts w:cstheme="minorHAnsi"/>
                <w:b/>
                <w:color w:val="FFFFFF"/>
                <w:sz w:val="20"/>
                <w:szCs w:val="20"/>
              </w:rPr>
            </w:pPr>
            <w:r w:rsidRPr="00D27AE1">
              <w:rPr>
                <w:rFonts w:cstheme="minorHAnsi"/>
                <w:b/>
                <w:color w:val="FFFFFF"/>
                <w:sz w:val="20"/>
                <w:szCs w:val="20"/>
              </w:rPr>
              <w:t>Beleidskeuzes uitgelegd</w:t>
            </w:r>
          </w:p>
          <w:p w:rsidRPr="00D27AE1" w:rsidR="00FC395F" w:rsidP="00DE6D27" w:rsidRDefault="00FC395F" w14:paraId="39F608AE" w14:textId="77777777">
            <w:pPr>
              <w:pStyle w:val="TableParagraph"/>
              <w:tabs>
                <w:tab w:val="left" w:pos="2060"/>
              </w:tabs>
              <w:rPr>
                <w:rFonts w:cstheme="minorHAnsi"/>
                <w:color w:val="FFFFFF" w:themeColor="background1"/>
                <w:sz w:val="20"/>
                <w:szCs w:val="20"/>
              </w:rPr>
            </w:pPr>
            <w:r>
              <w:rPr>
                <w:rFonts w:cstheme="minorHAnsi"/>
                <w:b/>
                <w:color w:val="FFFFFF" w:themeColor="background1"/>
                <w:sz w:val="20"/>
                <w:szCs w:val="20"/>
              </w:rPr>
              <w:t xml:space="preserve"> </w:t>
            </w:r>
            <w:r w:rsidRPr="00D27AE1">
              <w:rPr>
                <w:rFonts w:cstheme="minorHAnsi"/>
                <w:i/>
                <w:color w:val="FFFFFF" w:themeColor="background1"/>
                <w:sz w:val="20"/>
                <w:szCs w:val="20"/>
              </w:rPr>
              <w:t>Onderbouwing doeltreffendheid, doelmatigheid en evaluatie (CW3.1)</w:t>
            </w:r>
          </w:p>
        </w:tc>
      </w:tr>
      <w:tr w:rsidRPr="00D27AE1" w:rsidR="00FC395F" w:rsidTr="00DE6D27" w14:paraId="67C50668" w14:textId="77777777">
        <w:trPr>
          <w:trHeight w:val="666"/>
        </w:trPr>
        <w:tc>
          <w:tcPr>
            <w:tcW w:w="2640" w:type="dxa"/>
            <w:tcBorders>
              <w:left w:val="nil"/>
            </w:tcBorders>
            <w:shd w:val="clear" w:color="auto" w:fill="7A7A7A"/>
          </w:tcPr>
          <w:p w:rsidRPr="00D27AE1" w:rsidR="00FC395F" w:rsidP="00DE6D27" w:rsidRDefault="00886CB6" w14:paraId="194A4453" w14:textId="4D1A7713">
            <w:pPr>
              <w:pStyle w:val="TableParagraph"/>
              <w:tabs>
                <w:tab w:val="left" w:pos="2060"/>
              </w:tabs>
              <w:ind w:left="103"/>
              <w:rPr>
                <w:rFonts w:cstheme="minorHAnsi"/>
                <w:b/>
                <w:sz w:val="20"/>
                <w:szCs w:val="20"/>
              </w:rPr>
            </w:pPr>
            <w:r>
              <w:rPr>
                <w:rFonts w:cstheme="minorHAnsi"/>
                <w:b/>
                <w:color w:val="FFFFFF"/>
                <w:sz w:val="20"/>
                <w:szCs w:val="20"/>
              </w:rPr>
              <w:t>Doel(en)</w:t>
            </w:r>
          </w:p>
        </w:tc>
        <w:tc>
          <w:tcPr>
            <w:tcW w:w="6330" w:type="dxa"/>
            <w:tcBorders>
              <w:right w:val="nil"/>
            </w:tcBorders>
            <w:shd w:val="clear" w:color="auto" w:fill="DBDBDB"/>
            <w:vAlign w:val="center"/>
          </w:tcPr>
          <w:p w:rsidRPr="00BC2F94" w:rsidR="00BB55F7" w:rsidP="00BB55F7" w:rsidRDefault="00BB55F7" w14:paraId="56E02535" w14:textId="77777777">
            <w:pPr>
              <w:rPr>
                <w:sz w:val="20"/>
                <w:szCs w:val="20"/>
              </w:rPr>
            </w:pPr>
            <w:r w:rsidRPr="00BC2F94">
              <w:rPr>
                <w:sz w:val="20"/>
                <w:szCs w:val="20"/>
              </w:rPr>
              <w:t>In het AZWA zijn twee transitiedoelen geformuleerd:</w:t>
            </w:r>
          </w:p>
          <w:p w:rsidRPr="00BC2F94" w:rsidR="00BB55F7" w:rsidP="00BB55F7" w:rsidRDefault="00BB55F7" w14:paraId="70004096" w14:textId="77777777">
            <w:pPr>
              <w:pStyle w:val="Lijstalinea"/>
              <w:numPr>
                <w:ilvl w:val="0"/>
                <w:numId w:val="3"/>
              </w:numPr>
              <w:rPr>
                <w:sz w:val="20"/>
                <w:szCs w:val="20"/>
              </w:rPr>
            </w:pPr>
            <w:r w:rsidRPr="00BC2F94">
              <w:rPr>
                <w:sz w:val="20"/>
                <w:szCs w:val="20"/>
              </w:rPr>
              <w:t xml:space="preserve">Het verminderen van het stijgende arbeidsmarkttekort in de zorg. </w:t>
            </w:r>
          </w:p>
          <w:p w:rsidRPr="00BC2F94" w:rsidR="00BB55F7" w:rsidP="00BB55F7" w:rsidRDefault="00BB55F7" w14:paraId="54BAAEA1" w14:textId="77777777">
            <w:pPr>
              <w:pStyle w:val="Lijstalinea"/>
              <w:numPr>
                <w:ilvl w:val="0"/>
                <w:numId w:val="3"/>
              </w:numPr>
              <w:rPr>
                <w:sz w:val="20"/>
                <w:szCs w:val="20"/>
              </w:rPr>
            </w:pPr>
            <w:r w:rsidRPr="00BC2F94">
              <w:rPr>
                <w:sz w:val="20"/>
                <w:szCs w:val="20"/>
              </w:rPr>
              <w:t>Het bevorderen van de (gelijkwaardige) toegang tot zorg.</w:t>
            </w:r>
          </w:p>
          <w:p w:rsidRPr="00BC2F94" w:rsidR="00472FA1" w:rsidP="00BB55F7" w:rsidRDefault="00BB55F7" w14:paraId="1A130C21" w14:textId="405BE9F1">
            <w:pPr>
              <w:rPr>
                <w:sz w:val="20"/>
                <w:szCs w:val="20"/>
              </w:rPr>
            </w:pPr>
            <w:r w:rsidRPr="00BC2F94">
              <w:rPr>
                <w:sz w:val="20"/>
                <w:szCs w:val="20"/>
              </w:rPr>
              <w:t xml:space="preserve">De doorbraakmiddelen ondersteunen deze beoogde transitie. Met deze doorbraakmiddelen kunnen tijdelijke investeringen worden gedaan, zodat de zorg een grotere vraag aankan bijvoorbeeld door slimmer te werken via de inzet van AI, medische technologie of hulpmiddelen. </w:t>
            </w:r>
          </w:p>
        </w:tc>
      </w:tr>
      <w:tr w:rsidRPr="00D27AE1" w:rsidR="00FC395F" w:rsidTr="00DE6D27" w14:paraId="6398E834" w14:textId="77777777">
        <w:trPr>
          <w:trHeight w:val="694"/>
        </w:trPr>
        <w:tc>
          <w:tcPr>
            <w:tcW w:w="2640" w:type="dxa"/>
            <w:tcBorders>
              <w:left w:val="nil"/>
            </w:tcBorders>
            <w:shd w:val="clear" w:color="auto" w:fill="7A7A7A"/>
          </w:tcPr>
          <w:p w:rsidRPr="00D27AE1" w:rsidR="00FC395F" w:rsidP="00DE6D27" w:rsidRDefault="00FC395F" w14:paraId="0C93BB5F" w14:textId="77777777">
            <w:pPr>
              <w:pStyle w:val="TableParagraph"/>
              <w:tabs>
                <w:tab w:val="left" w:pos="2060"/>
              </w:tabs>
              <w:ind w:left="103" w:right="231"/>
              <w:rPr>
                <w:rFonts w:cstheme="minorHAnsi"/>
                <w:b/>
                <w:color w:val="FFFFFF"/>
                <w:sz w:val="20"/>
                <w:szCs w:val="20"/>
              </w:rPr>
            </w:pPr>
          </w:p>
          <w:p w:rsidRPr="00D27AE1" w:rsidR="00FC395F" w:rsidP="00DE6D27" w:rsidRDefault="00FC395F" w14:paraId="1A87DB18" w14:textId="77777777">
            <w:pPr>
              <w:pStyle w:val="TableParagraph"/>
              <w:tabs>
                <w:tab w:val="left" w:pos="2060"/>
              </w:tabs>
              <w:ind w:left="103" w:right="231"/>
              <w:rPr>
                <w:rFonts w:cstheme="minorHAnsi"/>
                <w:b/>
                <w:sz w:val="20"/>
                <w:szCs w:val="20"/>
              </w:rPr>
            </w:pPr>
            <w:r w:rsidRPr="00D27AE1">
              <w:rPr>
                <w:rFonts w:cstheme="minorHAnsi"/>
                <w:b/>
                <w:color w:val="FFFFFF"/>
                <w:sz w:val="20"/>
                <w:szCs w:val="20"/>
              </w:rPr>
              <w:t>Beleidsinstrument(en)</w:t>
            </w:r>
          </w:p>
        </w:tc>
        <w:tc>
          <w:tcPr>
            <w:tcW w:w="6330" w:type="dxa"/>
            <w:tcBorders>
              <w:right w:val="nil"/>
            </w:tcBorders>
            <w:shd w:val="clear" w:color="auto" w:fill="DBDBDB"/>
            <w:vAlign w:val="center"/>
          </w:tcPr>
          <w:p w:rsidRPr="00BC2F94" w:rsidR="009C773C" w:rsidP="00BB55F7" w:rsidRDefault="00BB55F7" w14:paraId="68ECE84E" w14:textId="0061BB52">
            <w:pPr>
              <w:rPr>
                <w:sz w:val="20"/>
                <w:szCs w:val="20"/>
              </w:rPr>
            </w:pPr>
            <w:r w:rsidRPr="00BC2F94">
              <w:rPr>
                <w:sz w:val="20"/>
                <w:szCs w:val="20"/>
              </w:rPr>
              <w:t xml:space="preserve">Om te komen tot deze doelen werkt het kabinet in de eerste helft van 2026 de precieze </w:t>
            </w:r>
            <w:proofErr w:type="spellStart"/>
            <w:r w:rsidRPr="00BC2F94">
              <w:rPr>
                <w:sz w:val="20"/>
                <w:szCs w:val="20"/>
              </w:rPr>
              <w:t>governance</w:t>
            </w:r>
            <w:proofErr w:type="spellEnd"/>
            <w:r w:rsidRPr="00BC2F94">
              <w:rPr>
                <w:sz w:val="20"/>
                <w:szCs w:val="20"/>
              </w:rPr>
              <w:t xml:space="preserve"> uit. Hierbij wordt in ieder geval bezien welke spelregels er moeten gelden (anders dan ‘wie het eerst komt, die het eerst maalt’, zoals deze voor de transformatiemiddelen van het IZA van toepassing was), zodat de meeste impact op de transitiedoelen wordt gerealiseerd. De doorbraakmiddelen in 2027 en 2028 worden bijvoorbeeld ingezet voor arbeidsbesparende maatregelen zoals de inzet van AI, medische technologie en hulpmiddelen.</w:t>
            </w:r>
          </w:p>
        </w:tc>
      </w:tr>
      <w:tr w:rsidRPr="00D27AE1" w:rsidR="00FC395F" w:rsidTr="00DE6D27" w14:paraId="4D179A2B" w14:textId="77777777">
        <w:trPr>
          <w:trHeight w:val="805"/>
        </w:trPr>
        <w:tc>
          <w:tcPr>
            <w:tcW w:w="2640" w:type="dxa"/>
            <w:tcBorders>
              <w:left w:val="nil"/>
            </w:tcBorders>
            <w:shd w:val="clear" w:color="auto" w:fill="7A7A7A"/>
          </w:tcPr>
          <w:p w:rsidRPr="00D27AE1" w:rsidR="00FC395F" w:rsidP="00DE6D27" w:rsidRDefault="00FC395F" w14:paraId="7C10F3FF" w14:textId="77777777">
            <w:pPr>
              <w:pStyle w:val="TableParagraph"/>
              <w:tabs>
                <w:tab w:val="left" w:pos="2060"/>
              </w:tabs>
              <w:spacing w:before="144" w:line="242" w:lineRule="auto"/>
              <w:ind w:left="103" w:right="506"/>
              <w:rPr>
                <w:rFonts w:cstheme="minorHAnsi"/>
                <w:b/>
                <w:sz w:val="20"/>
                <w:szCs w:val="20"/>
              </w:rPr>
            </w:pPr>
            <w:r w:rsidRPr="00D27AE1">
              <w:rPr>
                <w:rFonts w:cstheme="minorHAnsi"/>
                <w:b/>
                <w:color w:val="FFFFFF"/>
                <w:sz w:val="20"/>
                <w:szCs w:val="20"/>
              </w:rPr>
              <w:t>Financiële gevolgen voor het Rijk</w:t>
            </w:r>
          </w:p>
        </w:tc>
        <w:tc>
          <w:tcPr>
            <w:tcW w:w="6330" w:type="dxa"/>
            <w:tcBorders>
              <w:right w:val="nil"/>
            </w:tcBorders>
            <w:shd w:val="clear" w:color="auto" w:fill="DBDBDB"/>
            <w:vAlign w:val="center"/>
          </w:tcPr>
          <w:p w:rsidRPr="00BC2F94" w:rsidR="009C773C" w:rsidP="00BB55F7" w:rsidRDefault="00BB55F7" w14:paraId="316D6710" w14:textId="09E3820E">
            <w:pPr>
              <w:rPr>
                <w:sz w:val="20"/>
                <w:szCs w:val="20"/>
              </w:rPr>
            </w:pPr>
            <w:r w:rsidRPr="00BC2F94">
              <w:rPr>
                <w:sz w:val="20"/>
                <w:szCs w:val="20"/>
              </w:rPr>
              <w:t>De doorbraakmiddelen bedragen € 400 miljoen per jaar in 2027 en 2028.</w:t>
            </w:r>
            <w:r w:rsidRPr="00BC2F94" w:rsidDel="0058172C">
              <w:rPr>
                <w:sz w:val="20"/>
                <w:szCs w:val="20"/>
              </w:rPr>
              <w:t xml:space="preserve"> </w:t>
            </w:r>
          </w:p>
        </w:tc>
      </w:tr>
      <w:tr w:rsidRPr="00D27AE1" w:rsidR="00FC395F" w:rsidTr="00DE6D27" w14:paraId="7B061C40" w14:textId="77777777">
        <w:trPr>
          <w:trHeight w:val="891"/>
        </w:trPr>
        <w:tc>
          <w:tcPr>
            <w:tcW w:w="2640" w:type="dxa"/>
            <w:tcBorders>
              <w:left w:val="nil"/>
            </w:tcBorders>
            <w:shd w:val="clear" w:color="auto" w:fill="7A7A7A"/>
          </w:tcPr>
          <w:p w:rsidRPr="00D27AE1" w:rsidR="00FC395F" w:rsidP="00DE6D27" w:rsidRDefault="00FC395F" w14:paraId="1D8236CB" w14:textId="77777777">
            <w:pPr>
              <w:pStyle w:val="TableParagraph"/>
              <w:tabs>
                <w:tab w:val="left" w:pos="2060"/>
              </w:tabs>
              <w:spacing w:before="146"/>
              <w:ind w:left="103" w:right="92"/>
              <w:rPr>
                <w:rFonts w:cstheme="minorHAnsi"/>
                <w:b/>
                <w:sz w:val="20"/>
                <w:szCs w:val="20"/>
              </w:rPr>
            </w:pPr>
            <w:r w:rsidRPr="00D27AE1">
              <w:rPr>
                <w:rFonts w:cstheme="minorHAnsi"/>
                <w:b/>
                <w:color w:val="FFFFFF"/>
                <w:sz w:val="20"/>
                <w:szCs w:val="20"/>
              </w:rPr>
              <w:t>Financiële gevolgen voor maatschappelijke sectoren</w:t>
            </w:r>
            <w:r>
              <w:rPr>
                <w:rFonts w:cstheme="minorHAnsi"/>
                <w:b/>
                <w:color w:val="FFFFFF"/>
                <w:sz w:val="20"/>
                <w:szCs w:val="20"/>
              </w:rPr>
              <w:t xml:space="preserve"> </w:t>
            </w:r>
          </w:p>
        </w:tc>
        <w:tc>
          <w:tcPr>
            <w:tcW w:w="6330" w:type="dxa"/>
            <w:tcBorders>
              <w:right w:val="nil"/>
            </w:tcBorders>
            <w:shd w:val="clear" w:color="auto" w:fill="DBDBDB"/>
            <w:vAlign w:val="center"/>
          </w:tcPr>
          <w:p w:rsidRPr="00BC2F94" w:rsidR="00FC395F" w:rsidP="00BB55F7" w:rsidRDefault="00BB55F7" w14:paraId="277CD50D" w14:textId="76785186">
            <w:pPr>
              <w:rPr>
                <w:sz w:val="20"/>
                <w:szCs w:val="20"/>
              </w:rPr>
            </w:pPr>
            <w:r w:rsidRPr="00BC2F94">
              <w:rPr>
                <w:sz w:val="20"/>
                <w:szCs w:val="20"/>
              </w:rPr>
              <w:t xml:space="preserve">De doorbraakmiddelen worden verstrekt door zorgverzekeraars. </w:t>
            </w:r>
          </w:p>
        </w:tc>
      </w:tr>
      <w:tr w:rsidRPr="00D27AE1" w:rsidR="00FC395F" w:rsidTr="00DE6D27" w14:paraId="64BB2071" w14:textId="77777777">
        <w:trPr>
          <w:trHeight w:val="955"/>
        </w:trPr>
        <w:tc>
          <w:tcPr>
            <w:tcW w:w="2640" w:type="dxa"/>
            <w:tcBorders>
              <w:left w:val="nil"/>
            </w:tcBorders>
            <w:shd w:val="clear" w:color="auto" w:fill="7A7A7A"/>
          </w:tcPr>
          <w:p w:rsidRPr="00D27AE1" w:rsidR="00FC395F" w:rsidP="00DE6D27" w:rsidRDefault="00FC395F" w14:paraId="3476BCDC" w14:textId="77777777">
            <w:pPr>
              <w:pStyle w:val="TableParagraph"/>
              <w:tabs>
                <w:tab w:val="left" w:pos="2060"/>
              </w:tabs>
              <w:spacing w:before="141"/>
              <w:ind w:left="103" w:right="829"/>
              <w:rPr>
                <w:rFonts w:cstheme="minorHAnsi"/>
                <w:b/>
                <w:sz w:val="20"/>
                <w:szCs w:val="20"/>
              </w:rPr>
            </w:pPr>
            <w:r w:rsidRPr="00D27AE1">
              <w:rPr>
                <w:rFonts w:cstheme="minorHAnsi"/>
                <w:b/>
                <w:color w:val="FFFFFF"/>
                <w:sz w:val="20"/>
                <w:szCs w:val="20"/>
              </w:rPr>
              <w:t>Nagestreefde doeltreffendheid</w:t>
            </w:r>
          </w:p>
        </w:tc>
        <w:tc>
          <w:tcPr>
            <w:tcW w:w="6330" w:type="dxa"/>
            <w:tcBorders>
              <w:right w:val="nil"/>
            </w:tcBorders>
            <w:shd w:val="clear" w:color="auto" w:fill="DBDBDB"/>
            <w:vAlign w:val="center"/>
          </w:tcPr>
          <w:p w:rsidRPr="00BC2F94" w:rsidR="00FC395F" w:rsidP="00BB55F7" w:rsidRDefault="00BB55F7" w14:paraId="4A381645" w14:textId="5BCCD7FA">
            <w:pPr>
              <w:rPr>
                <w:sz w:val="20"/>
                <w:szCs w:val="20"/>
              </w:rPr>
            </w:pPr>
            <w:r w:rsidRPr="00BC2F94">
              <w:rPr>
                <w:sz w:val="20"/>
                <w:szCs w:val="20"/>
              </w:rPr>
              <w:t>Om goede zorg en ondersteuning toegankelijk te houden is het anders inrichten van het werk door bijvoorbeeld in te zetten op arbeidsbesparende technologie (AI, medische technologie en hulpmiddelen) heel hard nodig. Om dit te versnellen gebruiken we doorbraakmiddelen. Bij de inzet van de middelen stellen we de voorwaarde dat structurele financiering geborgd is.</w:t>
            </w:r>
          </w:p>
        </w:tc>
      </w:tr>
      <w:tr w:rsidRPr="00D27AE1" w:rsidR="00FC395F" w:rsidTr="00DE6D27" w14:paraId="3EC293E4" w14:textId="77777777">
        <w:trPr>
          <w:trHeight w:val="983"/>
        </w:trPr>
        <w:tc>
          <w:tcPr>
            <w:tcW w:w="2640" w:type="dxa"/>
            <w:tcBorders>
              <w:left w:val="nil"/>
            </w:tcBorders>
            <w:shd w:val="clear" w:color="auto" w:fill="7A7A7A"/>
          </w:tcPr>
          <w:p w:rsidRPr="00D27AE1" w:rsidR="00FC395F" w:rsidP="00DE6D27" w:rsidRDefault="00FC395F" w14:paraId="79D884E9" w14:textId="77777777">
            <w:pPr>
              <w:pStyle w:val="TableParagraph"/>
              <w:tabs>
                <w:tab w:val="left" w:pos="2060"/>
              </w:tabs>
              <w:rPr>
                <w:rFonts w:cstheme="minorHAnsi"/>
                <w:i/>
                <w:sz w:val="20"/>
                <w:szCs w:val="20"/>
              </w:rPr>
            </w:pPr>
          </w:p>
          <w:p w:rsidRPr="00D27AE1" w:rsidR="00FC395F" w:rsidP="00DE6D27" w:rsidRDefault="00FC395F" w14:paraId="026FD423" w14:textId="77777777">
            <w:pPr>
              <w:pStyle w:val="TableParagraph"/>
              <w:tabs>
                <w:tab w:val="left" w:pos="2060"/>
              </w:tabs>
              <w:ind w:left="103" w:right="1066"/>
              <w:rPr>
                <w:rFonts w:cstheme="minorHAnsi"/>
                <w:b/>
                <w:sz w:val="20"/>
                <w:szCs w:val="20"/>
              </w:rPr>
            </w:pPr>
            <w:r w:rsidRPr="00D27AE1">
              <w:rPr>
                <w:rFonts w:cstheme="minorHAnsi"/>
                <w:b/>
                <w:color w:val="FFFFFF"/>
                <w:sz w:val="20"/>
                <w:szCs w:val="20"/>
              </w:rPr>
              <w:t>Nagestreefde doelmatigheid</w:t>
            </w:r>
          </w:p>
        </w:tc>
        <w:tc>
          <w:tcPr>
            <w:tcW w:w="6330" w:type="dxa"/>
            <w:tcBorders>
              <w:right w:val="nil"/>
            </w:tcBorders>
            <w:shd w:val="clear" w:color="auto" w:fill="DBDBDB"/>
            <w:vAlign w:val="center"/>
          </w:tcPr>
          <w:p w:rsidRPr="00BC2F94" w:rsidR="009C773C" w:rsidP="00BB55F7" w:rsidRDefault="00BB55F7" w14:paraId="1729EF00" w14:textId="7F86B6E3">
            <w:pPr>
              <w:rPr>
                <w:sz w:val="20"/>
                <w:szCs w:val="20"/>
              </w:rPr>
            </w:pPr>
            <w:r w:rsidRPr="00BC2F94">
              <w:rPr>
                <w:sz w:val="20"/>
                <w:szCs w:val="20"/>
              </w:rPr>
              <w:t xml:space="preserve">Het voornemen is om in te zetten op arbeidsbesparende maatregelen die we kunnen opschalen. We beogen impact te maken door de kennis die er is met betrekking tot onderbouwde business cases van verschillende interventies zo goed mogelijk te gebruiken. </w:t>
            </w:r>
          </w:p>
        </w:tc>
      </w:tr>
      <w:tr w:rsidRPr="00D27AE1" w:rsidR="00FC395F" w:rsidTr="00DE6D27" w14:paraId="3479F39A" w14:textId="77777777">
        <w:trPr>
          <w:trHeight w:val="983"/>
        </w:trPr>
        <w:tc>
          <w:tcPr>
            <w:tcW w:w="2640" w:type="dxa"/>
            <w:tcBorders>
              <w:left w:val="nil"/>
            </w:tcBorders>
            <w:shd w:val="clear" w:color="auto" w:fill="7A7A7A"/>
          </w:tcPr>
          <w:p w:rsidRPr="002C7109" w:rsidR="00FC395F" w:rsidP="00DE6D27" w:rsidRDefault="00FC395F" w14:paraId="49B067D8" w14:textId="77777777">
            <w:pPr>
              <w:pStyle w:val="TableParagraph"/>
              <w:tabs>
                <w:tab w:val="left" w:pos="2060"/>
              </w:tabs>
              <w:ind w:left="103" w:right="1066"/>
              <w:rPr>
                <w:rFonts w:cstheme="minorHAnsi"/>
                <w:b/>
                <w:color w:val="FFFFFF"/>
                <w:sz w:val="20"/>
                <w:szCs w:val="20"/>
              </w:rPr>
            </w:pPr>
          </w:p>
          <w:p w:rsidRPr="00D27AE1" w:rsidR="00FC395F" w:rsidP="00DE6D27" w:rsidRDefault="00FC395F" w14:paraId="0F8CB764" w14:textId="77777777">
            <w:pPr>
              <w:pStyle w:val="TableParagraph"/>
              <w:tabs>
                <w:tab w:val="left" w:pos="2060"/>
              </w:tabs>
              <w:ind w:left="103" w:right="1066"/>
              <w:rPr>
                <w:rFonts w:cstheme="minorHAnsi"/>
                <w:i/>
                <w:sz w:val="20"/>
                <w:szCs w:val="20"/>
              </w:rPr>
            </w:pPr>
            <w:r w:rsidRPr="00D27AE1">
              <w:rPr>
                <w:rFonts w:cstheme="minorHAnsi"/>
                <w:b/>
                <w:color w:val="FFFFFF"/>
                <w:sz w:val="20"/>
                <w:szCs w:val="20"/>
              </w:rPr>
              <w:t>Evaluatieparagraaf</w:t>
            </w:r>
          </w:p>
        </w:tc>
        <w:tc>
          <w:tcPr>
            <w:tcW w:w="6330" w:type="dxa"/>
            <w:tcBorders>
              <w:right w:val="nil"/>
            </w:tcBorders>
            <w:shd w:val="clear" w:color="auto" w:fill="DBDBDB"/>
            <w:vAlign w:val="center"/>
          </w:tcPr>
          <w:p w:rsidRPr="00BC2F94" w:rsidR="00FC395F" w:rsidP="00810E0A" w:rsidRDefault="00810E0A" w14:paraId="24643CB7" w14:textId="50930288">
            <w:pPr>
              <w:pStyle w:val="TableParagraph"/>
              <w:tabs>
                <w:tab w:val="left" w:pos="2060"/>
              </w:tabs>
              <w:spacing w:line="213" w:lineRule="exact"/>
              <w:rPr>
                <w:rFonts w:cstheme="minorHAnsi"/>
                <w:sz w:val="20"/>
                <w:szCs w:val="20"/>
              </w:rPr>
            </w:pPr>
            <w:r w:rsidRPr="00810E0A">
              <w:rPr>
                <w:rFonts w:cstheme="minorHAnsi"/>
                <w:sz w:val="20"/>
                <w:szCs w:val="20"/>
              </w:rPr>
              <w:t>De monitoring van de voortgang van de AZWA-afspraken over opleiden loopt mee in de brede AZWA-voortgangsrapportages.</w:t>
            </w:r>
          </w:p>
        </w:tc>
      </w:tr>
    </w:tbl>
    <w:p w:rsidR="00B06701" w:rsidRDefault="00B06701" w14:paraId="45831A7C" w14:textId="77777777"/>
    <w:sectPr w:rsidR="00B06701" w:rsidSect="001E6A24">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A0D69"/>
    <w:multiLevelType w:val="hybridMultilevel"/>
    <w:tmpl w:val="3E4A03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1AA386A"/>
    <w:multiLevelType w:val="hybridMultilevel"/>
    <w:tmpl w:val="DAF45FEA"/>
    <w:lvl w:ilvl="0" w:tplc="41A4A6BA">
      <w:start w:val="1"/>
      <w:numFmt w:val="decimal"/>
      <w:lvlText w:val="%1."/>
      <w:lvlJc w:val="left"/>
      <w:pPr>
        <w:ind w:left="461" w:hanging="360"/>
      </w:pPr>
      <w:rPr>
        <w:rFonts w:hint="default"/>
      </w:rPr>
    </w:lvl>
    <w:lvl w:ilvl="1" w:tplc="04130019" w:tentative="1">
      <w:start w:val="1"/>
      <w:numFmt w:val="lowerLetter"/>
      <w:lvlText w:val="%2."/>
      <w:lvlJc w:val="left"/>
      <w:pPr>
        <w:ind w:left="1181" w:hanging="360"/>
      </w:pPr>
    </w:lvl>
    <w:lvl w:ilvl="2" w:tplc="0413001B" w:tentative="1">
      <w:start w:val="1"/>
      <w:numFmt w:val="lowerRoman"/>
      <w:lvlText w:val="%3."/>
      <w:lvlJc w:val="right"/>
      <w:pPr>
        <w:ind w:left="1901" w:hanging="180"/>
      </w:pPr>
    </w:lvl>
    <w:lvl w:ilvl="3" w:tplc="0413000F" w:tentative="1">
      <w:start w:val="1"/>
      <w:numFmt w:val="decimal"/>
      <w:lvlText w:val="%4."/>
      <w:lvlJc w:val="left"/>
      <w:pPr>
        <w:ind w:left="2621" w:hanging="360"/>
      </w:pPr>
    </w:lvl>
    <w:lvl w:ilvl="4" w:tplc="04130019" w:tentative="1">
      <w:start w:val="1"/>
      <w:numFmt w:val="lowerLetter"/>
      <w:lvlText w:val="%5."/>
      <w:lvlJc w:val="left"/>
      <w:pPr>
        <w:ind w:left="3341" w:hanging="360"/>
      </w:pPr>
    </w:lvl>
    <w:lvl w:ilvl="5" w:tplc="0413001B" w:tentative="1">
      <w:start w:val="1"/>
      <w:numFmt w:val="lowerRoman"/>
      <w:lvlText w:val="%6."/>
      <w:lvlJc w:val="right"/>
      <w:pPr>
        <w:ind w:left="4061" w:hanging="180"/>
      </w:pPr>
    </w:lvl>
    <w:lvl w:ilvl="6" w:tplc="0413000F" w:tentative="1">
      <w:start w:val="1"/>
      <w:numFmt w:val="decimal"/>
      <w:lvlText w:val="%7."/>
      <w:lvlJc w:val="left"/>
      <w:pPr>
        <w:ind w:left="4781" w:hanging="360"/>
      </w:pPr>
    </w:lvl>
    <w:lvl w:ilvl="7" w:tplc="04130019" w:tentative="1">
      <w:start w:val="1"/>
      <w:numFmt w:val="lowerLetter"/>
      <w:lvlText w:val="%8."/>
      <w:lvlJc w:val="left"/>
      <w:pPr>
        <w:ind w:left="5501" w:hanging="360"/>
      </w:pPr>
    </w:lvl>
    <w:lvl w:ilvl="8" w:tplc="0413001B" w:tentative="1">
      <w:start w:val="1"/>
      <w:numFmt w:val="lowerRoman"/>
      <w:lvlText w:val="%9."/>
      <w:lvlJc w:val="right"/>
      <w:pPr>
        <w:ind w:left="6221" w:hanging="180"/>
      </w:pPr>
    </w:lvl>
  </w:abstractNum>
  <w:abstractNum w:abstractNumId="2" w15:restartNumberingAfterBreak="0">
    <w:nsid w:val="2E687F7F"/>
    <w:multiLevelType w:val="hybridMultilevel"/>
    <w:tmpl w:val="B3A443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10543638">
    <w:abstractNumId w:val="1"/>
  </w:num>
  <w:num w:numId="2" w16cid:durableId="1066610464">
    <w:abstractNumId w:val="0"/>
  </w:num>
  <w:num w:numId="3" w16cid:durableId="407195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95F"/>
    <w:rsid w:val="00063D6D"/>
    <w:rsid w:val="000B07C8"/>
    <w:rsid w:val="000B2DD0"/>
    <w:rsid w:val="000B6385"/>
    <w:rsid w:val="000E4C56"/>
    <w:rsid w:val="001533AB"/>
    <w:rsid w:val="001D2D92"/>
    <w:rsid w:val="001E6A24"/>
    <w:rsid w:val="00213B34"/>
    <w:rsid w:val="00256BAA"/>
    <w:rsid w:val="00287462"/>
    <w:rsid w:val="00326A4D"/>
    <w:rsid w:val="003503F5"/>
    <w:rsid w:val="003849BC"/>
    <w:rsid w:val="0038627F"/>
    <w:rsid w:val="003C0DB6"/>
    <w:rsid w:val="003E32BE"/>
    <w:rsid w:val="0047296A"/>
    <w:rsid w:val="00472FA1"/>
    <w:rsid w:val="00511F77"/>
    <w:rsid w:val="00525059"/>
    <w:rsid w:val="005F56A8"/>
    <w:rsid w:val="00676135"/>
    <w:rsid w:val="006C2D1C"/>
    <w:rsid w:val="0070603E"/>
    <w:rsid w:val="007653FC"/>
    <w:rsid w:val="007B3B94"/>
    <w:rsid w:val="008101DD"/>
    <w:rsid w:val="00810E0A"/>
    <w:rsid w:val="0085093D"/>
    <w:rsid w:val="008749C6"/>
    <w:rsid w:val="00886CB6"/>
    <w:rsid w:val="008B58F2"/>
    <w:rsid w:val="008D58B8"/>
    <w:rsid w:val="008F663E"/>
    <w:rsid w:val="00940154"/>
    <w:rsid w:val="00943087"/>
    <w:rsid w:val="00964988"/>
    <w:rsid w:val="009C773C"/>
    <w:rsid w:val="00AE6A2F"/>
    <w:rsid w:val="00B06701"/>
    <w:rsid w:val="00B359C8"/>
    <w:rsid w:val="00B90A05"/>
    <w:rsid w:val="00BB55F7"/>
    <w:rsid w:val="00BC2F94"/>
    <w:rsid w:val="00BF7A95"/>
    <w:rsid w:val="00C27B29"/>
    <w:rsid w:val="00C85124"/>
    <w:rsid w:val="00D206A6"/>
    <w:rsid w:val="00D504F3"/>
    <w:rsid w:val="00D6608B"/>
    <w:rsid w:val="00D81B82"/>
    <w:rsid w:val="00DA1EA7"/>
    <w:rsid w:val="00DA2695"/>
    <w:rsid w:val="00DB5964"/>
    <w:rsid w:val="00E20F9A"/>
    <w:rsid w:val="00F32AA2"/>
    <w:rsid w:val="00F40B74"/>
    <w:rsid w:val="00FA5E94"/>
    <w:rsid w:val="00FC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34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C395F"/>
    <w:pPr>
      <w:autoSpaceDN w:val="0"/>
      <w:spacing w:after="0" w:line="240" w:lineRule="exact"/>
      <w:textAlignment w:val="baseline"/>
    </w:pPr>
    <w:rPr>
      <w:rFonts w:eastAsia="DejaVu Sans" w:cs="Lohit Hindi"/>
      <w:color w:val="000000"/>
      <w:szCs w:val="18"/>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rsid w:val="00FC395F"/>
    <w:pPr>
      <w:widowControl w:val="0"/>
      <w:autoSpaceDE w:val="0"/>
      <w:autoSpaceDN w:val="0"/>
      <w:spacing w:after="0" w:line="240" w:lineRule="auto"/>
    </w:pPr>
    <w:rPr>
      <w:rFonts w:asciiTheme="minorHAnsi" w:hAnsiTheme="minorHAnsi"/>
      <w:sz w:val="22"/>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FC395F"/>
    <w:pPr>
      <w:widowControl w:val="0"/>
      <w:autoSpaceDE w:val="0"/>
      <w:spacing w:line="240" w:lineRule="auto"/>
      <w:textAlignment w:val="auto"/>
    </w:pPr>
    <w:rPr>
      <w:rFonts w:eastAsia="Verdana" w:cs="Verdana"/>
      <w:color w:val="auto"/>
      <w:sz w:val="22"/>
      <w:szCs w:val="22"/>
      <w:lang w:eastAsia="en-US"/>
    </w:rPr>
  </w:style>
  <w:style w:type="character" w:styleId="Verwijzingopmerking">
    <w:name w:val="annotation reference"/>
    <w:basedOn w:val="Standaardalinea-lettertype"/>
    <w:uiPriority w:val="99"/>
    <w:semiHidden/>
    <w:unhideWhenUsed/>
    <w:rsid w:val="00AE6A2F"/>
    <w:rPr>
      <w:sz w:val="16"/>
      <w:szCs w:val="16"/>
    </w:rPr>
  </w:style>
  <w:style w:type="paragraph" w:styleId="Tekstopmerking">
    <w:name w:val="annotation text"/>
    <w:basedOn w:val="Standaard"/>
    <w:link w:val="TekstopmerkingChar"/>
    <w:uiPriority w:val="99"/>
    <w:unhideWhenUsed/>
    <w:rsid w:val="00AE6A2F"/>
    <w:pPr>
      <w:spacing w:line="240" w:lineRule="auto"/>
    </w:pPr>
    <w:rPr>
      <w:sz w:val="20"/>
      <w:szCs w:val="20"/>
    </w:rPr>
  </w:style>
  <w:style w:type="character" w:customStyle="1" w:styleId="TekstopmerkingChar">
    <w:name w:val="Tekst opmerking Char"/>
    <w:basedOn w:val="Standaardalinea-lettertype"/>
    <w:link w:val="Tekstopmerking"/>
    <w:uiPriority w:val="99"/>
    <w:rsid w:val="00AE6A2F"/>
    <w:rPr>
      <w:rFonts w:eastAsia="DejaVu Sans" w:cs="Lohit Hindi"/>
      <w:color w:val="000000"/>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AE6A2F"/>
    <w:rPr>
      <w:b/>
      <w:bCs/>
    </w:rPr>
  </w:style>
  <w:style w:type="character" w:customStyle="1" w:styleId="OnderwerpvanopmerkingChar">
    <w:name w:val="Onderwerp van opmerking Char"/>
    <w:basedOn w:val="TekstopmerkingChar"/>
    <w:link w:val="Onderwerpvanopmerking"/>
    <w:uiPriority w:val="99"/>
    <w:semiHidden/>
    <w:rsid w:val="00AE6A2F"/>
    <w:rPr>
      <w:rFonts w:eastAsia="DejaVu Sans" w:cs="Lohit Hindi"/>
      <w:b/>
      <w:bCs/>
      <w:color w:val="000000"/>
      <w:sz w:val="20"/>
      <w:szCs w:val="20"/>
      <w:lang w:val="nl-NL" w:eastAsia="nl-NL"/>
    </w:rPr>
  </w:style>
  <w:style w:type="paragraph" w:styleId="Revisie">
    <w:name w:val="Revision"/>
    <w:hidden/>
    <w:uiPriority w:val="99"/>
    <w:semiHidden/>
    <w:rsid w:val="000B07C8"/>
    <w:pPr>
      <w:spacing w:after="0" w:line="240" w:lineRule="auto"/>
    </w:pPr>
    <w:rPr>
      <w:rFonts w:eastAsia="DejaVu Sans" w:cs="Lohit Hindi"/>
      <w:color w:val="000000"/>
      <w:szCs w:val="18"/>
      <w:lang w:val="nl-NL" w:eastAsia="nl-NL"/>
    </w:rPr>
  </w:style>
  <w:style w:type="paragraph" w:styleId="Lijstalinea">
    <w:name w:val="List Paragraph"/>
    <w:basedOn w:val="Standaard"/>
    <w:uiPriority w:val="34"/>
    <w:qFormat/>
    <w:rsid w:val="00BB55F7"/>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81512">
      <w:bodyDiv w:val="1"/>
      <w:marLeft w:val="0"/>
      <w:marRight w:val="0"/>
      <w:marTop w:val="0"/>
      <w:marBottom w:val="0"/>
      <w:divBdr>
        <w:top w:val="none" w:sz="0" w:space="0" w:color="auto"/>
        <w:left w:val="none" w:sz="0" w:space="0" w:color="auto"/>
        <w:bottom w:val="none" w:sz="0" w:space="0" w:color="auto"/>
        <w:right w:val="none" w:sz="0" w:space="0" w:color="auto"/>
      </w:divBdr>
    </w:div>
    <w:div w:id="379785300">
      <w:bodyDiv w:val="1"/>
      <w:marLeft w:val="0"/>
      <w:marRight w:val="0"/>
      <w:marTop w:val="0"/>
      <w:marBottom w:val="0"/>
      <w:divBdr>
        <w:top w:val="none" w:sz="0" w:space="0" w:color="auto"/>
        <w:left w:val="none" w:sz="0" w:space="0" w:color="auto"/>
        <w:bottom w:val="none" w:sz="0" w:space="0" w:color="auto"/>
        <w:right w:val="none" w:sz="0" w:space="0" w:color="auto"/>
      </w:divBdr>
    </w:div>
    <w:div w:id="1547596670">
      <w:bodyDiv w:val="1"/>
      <w:marLeft w:val="0"/>
      <w:marRight w:val="0"/>
      <w:marTop w:val="0"/>
      <w:marBottom w:val="0"/>
      <w:divBdr>
        <w:top w:val="none" w:sz="0" w:space="0" w:color="auto"/>
        <w:left w:val="none" w:sz="0" w:space="0" w:color="auto"/>
        <w:bottom w:val="none" w:sz="0" w:space="0" w:color="auto"/>
        <w:right w:val="none" w:sz="0" w:space="0" w:color="auto"/>
      </w:divBdr>
    </w:div>
    <w:div w:id="211505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327</ap:Words>
  <ap:Characters>1802</ap:Characters>
  <ap:DocSecurity>0</ap:DocSecurity>
  <ap:Lines>15</ap:Lines>
  <ap:Paragraphs>4</ap:Paragraphs>
  <ap:ScaleCrop>false</ap:ScaleCrop>
  <ap:LinksUpToDate>false</ap:LinksUpToDate>
  <ap:CharactersWithSpaces>2125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2026-03-10T15:13:00.0000000Z</dcterms:created>
  <dcterms:modified xsi:type="dcterms:W3CDTF">2026-03-10T15:13:00.0000000Z</dcterms:modified>
  <version/>
  <category/>
</coreProperties>
</file>