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897378" w:rsidRDefault="00897378" w14:paraId="4A102391" w14:textId="77777777">
      <w:pPr>
        <w:rPr>
          <w:lang w:val="en-US"/>
        </w:rPr>
      </w:pPr>
      <w:bookmarkStart w:name="bmkOndertekening" w:id="0"/>
      <w:bookmarkStart w:name="bmkMinuut" w:id="1"/>
      <w:bookmarkEnd w:id="0"/>
      <w:bookmarkEnd w:id="1"/>
    </w:p>
    <w:p w:rsidR="00897378" w:rsidP="00897378" w:rsidRDefault="00897378" w14:paraId="683140B9" w14:textId="77777777">
      <w:pPr>
        <w:rPr>
          <w:lang w:val="en-US"/>
        </w:rPr>
      </w:pPr>
    </w:p>
    <w:p w:rsidRPr="00A97BB8" w:rsidR="00897378" w:rsidP="00897378" w:rsidRDefault="00421FB1" w14:paraId="448CEB3F"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6D29BB42" w14:textId="77777777">
      <w:pPr>
        <w:pStyle w:val="Retouradres"/>
      </w:pPr>
    </w:p>
    <w:p w:rsidRPr="007539FC" w:rsidR="00897378" w:rsidP="00897378" w:rsidRDefault="00421FB1" w14:paraId="7501B7FA" w14:textId="77777777">
      <w:pPr>
        <w:outlineLvl w:val="0"/>
      </w:pPr>
      <w:r w:rsidRPr="007539FC">
        <w:t>De Voorzitter van de Tweede Kamer</w:t>
      </w:r>
    </w:p>
    <w:p w:rsidRPr="000853B5" w:rsidR="00897378" w:rsidP="00897378" w:rsidRDefault="00421FB1" w14:paraId="5DFBEC54" w14:textId="77777777">
      <w:pPr>
        <w:rPr>
          <w:lang w:val="de-DE"/>
        </w:rPr>
      </w:pPr>
      <w:r w:rsidRPr="000853B5">
        <w:rPr>
          <w:lang w:val="de-DE"/>
        </w:rPr>
        <w:t xml:space="preserve">der </w:t>
      </w:r>
      <w:proofErr w:type="spellStart"/>
      <w:r w:rsidRPr="000853B5">
        <w:rPr>
          <w:lang w:val="de-DE"/>
        </w:rPr>
        <w:t>Staten-Generaal</w:t>
      </w:r>
      <w:proofErr w:type="spellEnd"/>
    </w:p>
    <w:p w:rsidRPr="000853B5" w:rsidR="00897378" w:rsidP="00897378" w:rsidRDefault="00421FB1" w14:paraId="24A62BC2" w14:textId="77777777">
      <w:pPr>
        <w:rPr>
          <w:lang w:val="de-DE"/>
        </w:rPr>
      </w:pPr>
      <w:r w:rsidRPr="000853B5">
        <w:rPr>
          <w:lang w:val="de-DE"/>
        </w:rPr>
        <w:t>Postbus 20018</w:t>
      </w:r>
    </w:p>
    <w:p w:rsidRPr="000853B5" w:rsidR="00897378" w:rsidP="00897378" w:rsidRDefault="00421FB1" w14:paraId="15E971C5" w14:textId="77777777">
      <w:pPr>
        <w:rPr>
          <w:lang w:val="de-DE"/>
        </w:rPr>
      </w:pPr>
      <w:r w:rsidRPr="000853B5">
        <w:rPr>
          <w:lang w:val="de-DE"/>
        </w:rPr>
        <w:t>2500 EA  DEN HAAG</w:t>
      </w:r>
    </w:p>
    <w:p w:rsidRPr="000853B5" w:rsidR="00897378" w:rsidP="00897378" w:rsidRDefault="00897378" w14:paraId="37BE4033" w14:textId="77777777">
      <w:pPr>
        <w:rPr>
          <w:lang w:val="de-DE"/>
        </w:rPr>
      </w:pPr>
    </w:p>
    <w:p w:rsidRPr="000853B5" w:rsidR="00897378" w:rsidP="00897378" w:rsidRDefault="00897378" w14:paraId="18B1AFC2" w14:textId="77777777">
      <w:pPr>
        <w:rPr>
          <w:lang w:val="de-DE"/>
        </w:rPr>
      </w:pPr>
    </w:p>
    <w:p w:rsidRPr="000853B5" w:rsidR="00897378" w:rsidP="00897378" w:rsidRDefault="00897378" w14:paraId="73B06709" w14:textId="77777777">
      <w:pPr>
        <w:rPr>
          <w:lang w:val="de-DE"/>
        </w:rPr>
      </w:pPr>
    </w:p>
    <w:p w:rsidRPr="000853B5" w:rsidR="00897378" w:rsidP="00897378" w:rsidRDefault="00897378" w14:paraId="516DC200" w14:textId="77777777">
      <w:pPr>
        <w:rPr>
          <w:lang w:val="de-DE"/>
        </w:rPr>
      </w:pPr>
    </w:p>
    <w:p w:rsidRPr="000853B5" w:rsidR="00897378" w:rsidP="00897378" w:rsidRDefault="00897378" w14:paraId="7AB84C0B" w14:textId="77777777">
      <w:pPr>
        <w:rPr>
          <w:lang w:val="de-DE"/>
        </w:rPr>
      </w:pPr>
    </w:p>
    <w:p w:rsidRPr="000853B5" w:rsidR="00897378" w:rsidP="00897378" w:rsidRDefault="00897378" w14:paraId="0B4A3E3B" w14:textId="77777777">
      <w:pPr>
        <w:rPr>
          <w:lang w:val="de-DE"/>
        </w:rPr>
      </w:pPr>
    </w:p>
    <w:p w:rsidRPr="000853B5" w:rsidR="00897378" w:rsidP="00897378" w:rsidRDefault="00421FB1" w14:paraId="3A421734" w14:textId="5F9EFCF4">
      <w:pPr>
        <w:tabs>
          <w:tab w:val="left" w:pos="737"/>
        </w:tabs>
        <w:outlineLvl w:val="0"/>
        <w:rPr>
          <w:lang w:val="de-DE"/>
        </w:rPr>
      </w:pPr>
      <w:r w:rsidRPr="000853B5">
        <w:rPr>
          <w:lang w:val="de-DE"/>
        </w:rPr>
        <w:t>Datum</w:t>
      </w:r>
      <w:r w:rsidRPr="000853B5" w:rsidR="00D74EDF">
        <w:rPr>
          <w:lang w:val="de-DE"/>
        </w:rPr>
        <w:tab/>
      </w:r>
      <w:r w:rsidR="0045076E">
        <w:rPr>
          <w:lang w:val="de-DE"/>
        </w:rPr>
        <w:t xml:space="preserve">10 </w:t>
      </w:r>
      <w:proofErr w:type="spellStart"/>
      <w:r w:rsidR="0045076E">
        <w:rPr>
          <w:lang w:val="de-DE"/>
        </w:rPr>
        <w:t>maart</w:t>
      </w:r>
      <w:proofErr w:type="spellEnd"/>
      <w:r w:rsidR="0045076E">
        <w:rPr>
          <w:lang w:val="de-DE"/>
        </w:rPr>
        <w:t xml:space="preserve"> 2026</w:t>
      </w:r>
    </w:p>
    <w:p w:rsidRPr="007539FC" w:rsidR="00897378" w:rsidP="00897378" w:rsidRDefault="00421FB1" w14:paraId="14810175" w14:textId="77777777">
      <w:pPr>
        <w:tabs>
          <w:tab w:val="left" w:pos="737"/>
        </w:tabs>
      </w:pPr>
      <w:r w:rsidRPr="007539FC">
        <w:t>Betreft</w:t>
      </w:r>
      <w:r w:rsidRPr="007539FC">
        <w:tab/>
      </w:r>
      <w:r>
        <w:t>Kamervragen</w:t>
      </w:r>
    </w:p>
    <w:p w:rsidR="00897378" w:rsidP="00897378" w:rsidRDefault="00897378" w14:paraId="342197A2" w14:textId="77777777"/>
    <w:p w:rsidRPr="007539FC" w:rsidR="00897378" w:rsidP="00897378" w:rsidRDefault="00897378" w14:paraId="07C2E930" w14:textId="77777777"/>
    <w:p w:rsidR="00897378" w:rsidP="00897378" w:rsidRDefault="00897378" w14:paraId="5B7886EA" w14:textId="77777777"/>
    <w:p w:rsidR="00897378" w:rsidP="00897378" w:rsidRDefault="00421FB1" w14:paraId="39DCACDA" w14:textId="77777777">
      <w:r>
        <w:t>Geachte voorzitter,</w:t>
      </w:r>
    </w:p>
    <w:p w:rsidRPr="007539FC" w:rsidR="00897378" w:rsidP="00897378" w:rsidRDefault="00897378" w14:paraId="61E00BF9" w14:textId="77777777"/>
    <w:p w:rsidR="00897378" w:rsidP="00897378" w:rsidRDefault="00421FB1" w14:paraId="6B38350F" w14:textId="77777777">
      <w:pPr>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Pr>
          <w:spacing w:val="-2"/>
        </w:rPr>
        <w:t xml:space="preserve"> </w:t>
      </w:r>
      <w:r w:rsidR="00030D87">
        <w:rPr>
          <w:spacing w:val="-2"/>
        </w:rPr>
        <w:t xml:space="preserve">het </w:t>
      </w:r>
      <w:r w:rsidR="0097103E">
        <w:rPr>
          <w:spacing w:val="-2"/>
        </w:rPr>
        <w:t>lid</w:t>
      </w:r>
      <w:r w:rsidR="00030D87">
        <w:rPr>
          <w:spacing w:val="-2"/>
        </w:rPr>
        <w:t xml:space="preserve"> </w:t>
      </w:r>
      <w:proofErr w:type="spellStart"/>
      <w:r w:rsidR="00B25223">
        <w:t>Bushoff</w:t>
      </w:r>
      <w:proofErr w:type="spellEnd"/>
      <w:r w:rsidR="00B25223">
        <w:t xml:space="preserve"> (</w:t>
      </w:r>
      <w:r w:rsidR="00217110">
        <w:t>GroenLinks-</w:t>
      </w:r>
      <w:r w:rsidR="00B25223">
        <w:t>PvdA)</w:t>
      </w:r>
      <w:r w:rsidR="00674CA6">
        <w:t xml:space="preserve"> </w:t>
      </w:r>
      <w:r>
        <w:rPr>
          <w:spacing w:val="-2"/>
        </w:rPr>
        <w:t xml:space="preserve">over </w:t>
      </w:r>
      <w:r w:rsidR="00B25223">
        <w:t>slechtere zorg na overname huisartsenpraktijk door commerciële partij Arts en Zorg</w:t>
      </w:r>
      <w:r>
        <w:rPr>
          <w:spacing w:val="-2"/>
        </w:rPr>
        <w:t xml:space="preserve"> (</w:t>
      </w:r>
      <w:r w:rsidR="00B25223">
        <w:t>2026Z03098</w:t>
      </w:r>
      <w:r>
        <w:rPr>
          <w:spacing w:val="-2"/>
        </w:rPr>
        <w:t>).</w:t>
      </w:r>
    </w:p>
    <w:p w:rsidR="00897378" w:rsidP="00897378" w:rsidRDefault="00897378" w14:paraId="665865FA" w14:textId="77777777"/>
    <w:p w:rsidR="00897378" w:rsidP="00897378" w:rsidRDefault="00421FB1" w14:paraId="684D0674" w14:textId="77777777">
      <w:r>
        <w:t>Hoogachtend,</w:t>
      </w:r>
    </w:p>
    <w:p w:rsidR="00D22737" w:rsidP="00605234" w:rsidRDefault="00D22737" w14:paraId="6DFD79C9" w14:textId="77777777">
      <w:pPr>
        <w:rPr>
          <w:spacing w:val="-2"/>
        </w:rPr>
      </w:pPr>
    </w:p>
    <w:p w:rsidR="0097103E" w:rsidP="00D74EDF" w:rsidRDefault="00421FB1" w14:paraId="30361892"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minister van Volksgezondheid, </w:t>
      </w:r>
    </w:p>
    <w:p w:rsidRPr="00D74EDF" w:rsidR="00D74EDF" w:rsidP="00D74EDF" w:rsidRDefault="00421FB1" w14:paraId="265958F4"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Welzijn en Sport</w:t>
      </w:r>
      <w:r w:rsidR="0097103E">
        <w:rPr>
          <w:rFonts w:eastAsia="SimSun" w:cs="Lohit Hindi"/>
          <w:kern w:val="3"/>
          <w:szCs w:val="24"/>
          <w:lang w:eastAsia="zh-CN" w:bidi="hi-IN"/>
        </w:rPr>
        <w:t>,</w:t>
      </w:r>
    </w:p>
    <w:p w:rsidRPr="00D74EDF" w:rsidR="00D74EDF" w:rsidP="00D74EDF" w:rsidRDefault="00D74EDF" w14:paraId="4CB66028"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74EDF" w:rsidP="00D74EDF" w:rsidRDefault="00421FB1" w14:paraId="0B93BE5E" w14:textId="77777777">
      <w:pPr>
        <w:widowControl w:val="0"/>
        <w:suppressAutoHyphens/>
        <w:autoSpaceDN w:val="0"/>
        <w:textAlignment w:val="baseline"/>
      </w:pPr>
      <w:r>
        <w:cr/>
      </w:r>
      <w:r>
        <w:cr/>
      </w:r>
    </w:p>
    <w:p w:rsidR="0097103E" w:rsidP="00D74EDF" w:rsidRDefault="0097103E" w14:paraId="3DFADBD7" w14:textId="77777777">
      <w:pPr>
        <w:widowControl w:val="0"/>
        <w:suppressAutoHyphens/>
        <w:autoSpaceDN w:val="0"/>
        <w:textAlignment w:val="baseline"/>
      </w:pPr>
    </w:p>
    <w:p w:rsidRPr="00D74EDF" w:rsidR="0097103E" w:rsidP="00D74EDF" w:rsidRDefault="0097103E" w14:paraId="5BD089B7" w14:textId="77777777">
      <w:pPr>
        <w:widowControl w:val="0"/>
        <w:suppressAutoHyphens/>
        <w:autoSpaceDN w:val="0"/>
        <w:textAlignment w:val="baseline"/>
        <w:rPr>
          <w:rFonts w:eastAsia="SimSun" w:cs="Lohit Hindi"/>
          <w:kern w:val="3"/>
          <w:szCs w:val="18"/>
          <w:lang w:eastAsia="zh-CN" w:bidi="hi-IN"/>
        </w:rPr>
      </w:pPr>
    </w:p>
    <w:p w:rsidRPr="00D74EDF" w:rsidR="00D74EDF" w:rsidP="00D74EDF" w:rsidRDefault="00421FB1" w14:paraId="6A401DAD"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Sophie Hermans</w:t>
      </w:r>
    </w:p>
    <w:p w:rsidRPr="00D74EDF" w:rsidR="00D74EDF" w:rsidP="00D74EDF" w:rsidRDefault="00D74EDF" w14:paraId="38BF5AC7"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200A5179" w14:textId="77777777"/>
    <w:p w:rsidR="00180FCE" w:rsidP="00605234" w:rsidRDefault="00180FCE" w14:paraId="46E445E1" w14:textId="77777777"/>
    <w:p w:rsidR="00180FCE" w:rsidP="00605234" w:rsidRDefault="00180FCE" w14:paraId="3E59A80C" w14:textId="77777777"/>
    <w:p w:rsidR="00180FCE" w:rsidP="00605234" w:rsidRDefault="00180FCE" w14:paraId="1090B000" w14:textId="77777777"/>
    <w:p w:rsidR="000F2F05" w:rsidP="00A97BB8" w:rsidRDefault="000F2F05" w14:paraId="19BCA919" w14:textId="77777777"/>
    <w:p w:rsidR="00A97BB8" w:rsidP="00A97BB8" w:rsidRDefault="00A97BB8" w14:paraId="75AFE74A"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421FB1" w14:paraId="7848FF76" w14:textId="77777777">
      <w:r>
        <w:lastRenderedPageBreak/>
        <w:t xml:space="preserve">Antwoorden op </w:t>
      </w:r>
      <w:r w:rsidR="001E37CA">
        <w:t>K</w:t>
      </w:r>
      <w:r>
        <w:t>amervragen van</w:t>
      </w:r>
      <w:r w:rsidR="0097103E">
        <w:t xml:space="preserve"> het lid</w:t>
      </w:r>
      <w:r w:rsidR="00D1126F">
        <w:t xml:space="preserve"> </w:t>
      </w:r>
      <w:proofErr w:type="spellStart"/>
      <w:r w:rsidR="00B25223">
        <w:t>Bushoff</w:t>
      </w:r>
      <w:proofErr w:type="spellEnd"/>
      <w:r w:rsidR="00B25223">
        <w:t xml:space="preserve"> (</w:t>
      </w:r>
      <w:r w:rsidR="00030D87">
        <w:t>GroenLinks-</w:t>
      </w:r>
      <w:r w:rsidR="00B25223">
        <w:t>PvdA)</w:t>
      </w:r>
      <w:r w:rsidR="00B54A56">
        <w:t xml:space="preserve"> </w:t>
      </w:r>
      <w:r>
        <w:t>over</w:t>
      </w:r>
      <w:r w:rsidR="00B25223">
        <w:t xml:space="preserve"> slechtere zorg na overname huisartsenpraktijk door commerciële partij Arts en Zorg </w:t>
      </w:r>
      <w:r>
        <w:t>(</w:t>
      </w:r>
      <w:r w:rsidR="00B25223">
        <w:t>2026Z03098</w:t>
      </w:r>
      <w:r w:rsidR="0097103E">
        <w:t xml:space="preserve">, ingezonden </w:t>
      </w:r>
      <w:r>
        <w:t>)</w:t>
      </w:r>
      <w:r w:rsidR="00B25223">
        <w:t>.</w:t>
      </w:r>
    </w:p>
    <w:p w:rsidR="000853B5" w:rsidP="00A97BB8" w:rsidRDefault="000853B5" w14:paraId="237D3C31" w14:textId="77777777"/>
    <w:p w:rsidRPr="00AC75C3" w:rsidR="000853B5" w:rsidP="000853B5" w:rsidRDefault="00421FB1" w14:paraId="05F15ECF" w14:textId="77777777">
      <w:pPr>
        <w:rPr>
          <w:b/>
          <w:bCs/>
        </w:rPr>
      </w:pPr>
      <w:r w:rsidRPr="00AC75C3">
        <w:rPr>
          <w:b/>
          <w:bCs/>
        </w:rPr>
        <w:t>Vraag 1</w:t>
      </w:r>
    </w:p>
    <w:p w:rsidR="000853B5" w:rsidP="000853B5" w:rsidRDefault="00421FB1" w14:paraId="17CED4A3" w14:textId="77777777">
      <w:r w:rsidRPr="00B45D54">
        <w:t>Bent u bekend met de uitzending van Radar van 9 februari jl. over de slechte zorg bij commerci</w:t>
      </w:r>
      <w:r w:rsidRPr="00B45D54">
        <w:rPr>
          <w:rFonts w:hint="eastAsia"/>
        </w:rPr>
        <w:t>ë</w:t>
      </w:r>
      <w:r w:rsidRPr="00B45D54">
        <w:t>le</w:t>
      </w:r>
      <w:r>
        <w:t xml:space="preserve"> </w:t>
      </w:r>
      <w:r w:rsidRPr="00B45D54">
        <w:t>huisartsenpraktijk Arts en Zorg?[1]</w:t>
      </w:r>
    </w:p>
    <w:p w:rsidR="000853B5" w:rsidP="000853B5" w:rsidRDefault="000853B5" w14:paraId="74C035D9" w14:textId="77777777"/>
    <w:p w:rsidRPr="00AC75C3" w:rsidR="000853B5" w:rsidP="000853B5" w:rsidRDefault="00421FB1" w14:paraId="0CDEAE5C" w14:textId="77777777">
      <w:pPr>
        <w:rPr>
          <w:b/>
          <w:bCs/>
        </w:rPr>
      </w:pPr>
      <w:r w:rsidRPr="00AC75C3">
        <w:rPr>
          <w:b/>
          <w:bCs/>
        </w:rPr>
        <w:t>Antwoord</w:t>
      </w:r>
      <w:r>
        <w:rPr>
          <w:b/>
          <w:bCs/>
        </w:rPr>
        <w:t xml:space="preserve"> vraag</w:t>
      </w:r>
      <w:r w:rsidRPr="00AC75C3">
        <w:rPr>
          <w:b/>
          <w:bCs/>
        </w:rPr>
        <w:t xml:space="preserve"> 1</w:t>
      </w:r>
    </w:p>
    <w:p w:rsidR="000853B5" w:rsidP="000853B5" w:rsidRDefault="00421FB1" w14:paraId="55D3C1E2" w14:textId="77777777">
      <w:r>
        <w:t xml:space="preserve">Ja. </w:t>
      </w:r>
    </w:p>
    <w:p w:rsidRPr="00B45D54" w:rsidR="000853B5" w:rsidP="000853B5" w:rsidRDefault="000853B5" w14:paraId="37C1D95D" w14:textId="77777777"/>
    <w:p w:rsidRPr="00AC75C3" w:rsidR="000853B5" w:rsidP="000853B5" w:rsidRDefault="00421FB1" w14:paraId="22BC8B98" w14:textId="77777777">
      <w:pPr>
        <w:rPr>
          <w:b/>
          <w:bCs/>
        </w:rPr>
      </w:pPr>
      <w:r w:rsidRPr="00AC75C3">
        <w:rPr>
          <w:b/>
          <w:bCs/>
        </w:rPr>
        <w:t>Vraag 2</w:t>
      </w:r>
    </w:p>
    <w:p w:rsidR="000853B5" w:rsidP="000853B5" w:rsidRDefault="00421FB1" w14:paraId="364412A6" w14:textId="77777777">
      <w:r w:rsidRPr="00B45D54">
        <w:t>Deelt u de grote zorgen over de verhalen van pati</w:t>
      </w:r>
      <w:r w:rsidRPr="00B45D54">
        <w:rPr>
          <w:rFonts w:hint="eastAsia"/>
        </w:rPr>
        <w:t>ë</w:t>
      </w:r>
      <w:r w:rsidRPr="00B45D54">
        <w:t>nten bij Arts en Zorg, die soms zelfs in</w:t>
      </w:r>
      <w:r>
        <w:t xml:space="preserve"> </w:t>
      </w:r>
      <w:r w:rsidRPr="00B45D54">
        <w:t>levensgevaar komen doordat ze tegen digitale muren lopen, geen contact kunnen krijgen met de</w:t>
      </w:r>
      <w:r>
        <w:t xml:space="preserve"> </w:t>
      </w:r>
      <w:r w:rsidRPr="00B45D54">
        <w:t>praktijk of steeds wisselende artsen en praktijkondersteuners spreken?</w:t>
      </w:r>
    </w:p>
    <w:p w:rsidR="000853B5" w:rsidP="000853B5" w:rsidRDefault="000853B5" w14:paraId="6C8C2845" w14:textId="77777777"/>
    <w:p w:rsidRPr="00972C62" w:rsidR="000853B5" w:rsidP="000853B5" w:rsidRDefault="00421FB1" w14:paraId="57F1C139" w14:textId="77777777">
      <w:pPr>
        <w:rPr>
          <w:b/>
          <w:bCs/>
        </w:rPr>
      </w:pPr>
      <w:r w:rsidRPr="00972C62">
        <w:rPr>
          <w:b/>
          <w:bCs/>
        </w:rPr>
        <w:t xml:space="preserve">Antwoord </w:t>
      </w:r>
      <w:r>
        <w:rPr>
          <w:b/>
          <w:bCs/>
        </w:rPr>
        <w:t>vraag</w:t>
      </w:r>
      <w:r w:rsidRPr="00AC75C3">
        <w:rPr>
          <w:b/>
          <w:bCs/>
        </w:rPr>
        <w:t xml:space="preserve"> </w:t>
      </w:r>
      <w:r w:rsidRPr="00972C62">
        <w:rPr>
          <w:b/>
          <w:bCs/>
        </w:rPr>
        <w:t>2</w:t>
      </w:r>
    </w:p>
    <w:p w:rsidRPr="00D47923" w:rsidR="000853B5" w:rsidP="000853B5" w:rsidRDefault="00421FB1" w14:paraId="708E7FBF" w14:textId="77777777">
      <w:r>
        <w:t>Allereerst is het betreurenswaardig dat de patiënten waarover de uitzending van Radar gaat slechte ervaringen in de huisartsenzorg hebben. Goede en toegankelijke huisartsenzorg vormt het fundament van het Nederlandse zorgstelsel. Dat borgen we met wet- en regelgeving van de overheid en normen en richtlijnen van de beroepsgroepen. Deze beschrijven onder meer de eisen die aan de bereikbaarheid van een huisartsenpraktijk worden gesteld. De Inspectie Gezondheidszorg en Jeugd (IGJ) houdt aan de hand daarvan toez</w:t>
      </w:r>
      <w:r>
        <w:t>icht op kwaliteit en veiligheid van de zorg. Dit toezicht vindt mede plaats op basis van signalen, onder andere uit de media. De IGJ geeft aan dat zij de signalen uit de uitzending niet herkennen vanuit de meldingen en signalen die zij binnenkrijgen. In dat licht is het belangrijk dat patiënten die slechte ervaringen in de (huisartsen)zorg hebben ook een melding doen bij de IGJ. Overigens heeft de IGJ in 2023 reeds een inspectiebezoek aan een praktijk van Arts en Zorg gebracht en zij concludeerde toen dat d</w:t>
      </w:r>
      <w:r>
        <w:t>eze</w:t>
      </w:r>
      <w:r w:rsidRPr="00D47923">
        <w:t xml:space="preserve"> bij de getoetste onderwerpen </w:t>
      </w:r>
      <w:r>
        <w:t xml:space="preserve">voldeed </w:t>
      </w:r>
      <w:r w:rsidRPr="00D47923">
        <w:t>aan de geldende wet- en regelgeving.</w:t>
      </w:r>
      <w:r>
        <w:rPr>
          <w:rStyle w:val="Voetnootmarkering"/>
        </w:rPr>
        <w:footnoteReference w:id="1"/>
      </w:r>
      <w:r w:rsidR="00102389">
        <w:br/>
      </w:r>
    </w:p>
    <w:p w:rsidR="000853B5" w:rsidP="000853B5" w:rsidRDefault="00421FB1" w14:paraId="25C7ACA3" w14:textId="77777777">
      <w:r>
        <w:t xml:space="preserve">Naast bovengenoemde kaders moeten aanbieders van huisartsenzorg werken volgens de </w:t>
      </w:r>
      <w:r>
        <w:rPr>
          <w:i/>
          <w:iCs/>
        </w:rPr>
        <w:t xml:space="preserve">kernwaarden </w:t>
      </w:r>
      <w:r>
        <w:t>van de huisartsenzorg. Deze beschrijven onder meer het belang van continuïteit in de arts-patiëntrelatie. In lijn met afspraken in het Aanvullend Zorg- en Welzijnsakkoord (AZWA) heeft de beroepsgroep recent een uitgebreide duiding van deze kernwaarden opgeleverd.</w:t>
      </w:r>
      <w:r>
        <w:rPr>
          <w:rStyle w:val="Voetnootmarkering"/>
        </w:rPr>
        <w:footnoteReference w:id="2"/>
      </w:r>
      <w:r>
        <w:t xml:space="preserve"> Hiermee hebben zorgverzekeraars, zorgaanbieders en toezichthouders extra handvatten om te toetsen of een huisartsenpraktijk aan deze kernwaarden voldoet. Het kabinet verwacht van deze partijen dat zij de zorg conform de duiding van de kernwaarden organiseren. Partijen zullen de komende maanden, aan de hand van casuïstiek die onder meer door de IGJ zal worden ingebracht, waar nodig verdere concretisering aanbrengen. </w:t>
      </w:r>
      <w:r w:rsidRPr="0071008A">
        <w:rPr>
          <w:color w:val="000000" w:themeColor="text1"/>
        </w:rPr>
        <w:t>Daarmee wordt beoogd  de IGJ en de</w:t>
      </w:r>
      <w:r>
        <w:rPr>
          <w:color w:val="000000" w:themeColor="text1"/>
        </w:rPr>
        <w:t xml:space="preserve"> Nederlandse Zorgautoriteit</w:t>
      </w:r>
      <w:r w:rsidRPr="0071008A">
        <w:rPr>
          <w:color w:val="000000" w:themeColor="text1"/>
        </w:rPr>
        <w:t xml:space="preserve"> </w:t>
      </w:r>
      <w:r>
        <w:rPr>
          <w:color w:val="000000" w:themeColor="text1"/>
        </w:rPr>
        <w:t>(</w:t>
      </w:r>
      <w:proofErr w:type="spellStart"/>
      <w:r w:rsidRPr="0071008A">
        <w:rPr>
          <w:color w:val="000000" w:themeColor="text1"/>
        </w:rPr>
        <w:t>NZa</w:t>
      </w:r>
      <w:proofErr w:type="spellEnd"/>
      <w:r>
        <w:rPr>
          <w:color w:val="000000" w:themeColor="text1"/>
        </w:rPr>
        <w:t>)</w:t>
      </w:r>
      <w:r w:rsidR="00B23941">
        <w:rPr>
          <w:color w:val="000000" w:themeColor="text1"/>
        </w:rPr>
        <w:t xml:space="preserve"> meer handvatten te geven om vanuit hun toezicht eerder te kunnen </w:t>
      </w:r>
      <w:r w:rsidR="00B77298">
        <w:rPr>
          <w:color w:val="000000" w:themeColor="text1"/>
        </w:rPr>
        <w:t>interveniëren</w:t>
      </w:r>
      <w:r w:rsidRPr="0071008A">
        <w:rPr>
          <w:color w:val="000000" w:themeColor="text1"/>
        </w:rPr>
        <w:t xml:space="preserve"> </w:t>
      </w:r>
      <w:r w:rsidR="00B23941">
        <w:rPr>
          <w:color w:val="000000" w:themeColor="text1"/>
        </w:rPr>
        <w:t>en</w:t>
      </w:r>
      <w:r w:rsidRPr="0071008A">
        <w:rPr>
          <w:color w:val="000000" w:themeColor="text1"/>
        </w:rPr>
        <w:t xml:space="preserve"> zorgverzekeraars beter in staat te stellen gericht te contracteren en </w:t>
      </w:r>
      <w:r>
        <w:rPr>
          <w:color w:val="000000" w:themeColor="text1"/>
        </w:rPr>
        <w:t xml:space="preserve">zo </w:t>
      </w:r>
      <w:r w:rsidRPr="0071008A">
        <w:rPr>
          <w:color w:val="000000" w:themeColor="text1"/>
        </w:rPr>
        <w:t>de kwaliteit, toegankelijkheid en continuïteit van de huisartsenzorg duurzaam te borgen.</w:t>
      </w:r>
      <w:r>
        <w:t xml:space="preserve">  </w:t>
      </w:r>
    </w:p>
    <w:p w:rsidR="002B0238" w:rsidP="000853B5" w:rsidRDefault="002B0238" w14:paraId="7836B291" w14:textId="77777777"/>
    <w:p w:rsidR="000853B5" w:rsidP="000853B5" w:rsidRDefault="00421FB1" w14:paraId="656D5E35" w14:textId="77777777">
      <w:r>
        <w:t>Tot slot heeft de beroepsgroep recent aangegeven dat de toekomst van de huisartsenzorg hybride is, maar dat belangrijke randvoorwaarden in acht moeten worden genomen om digitale huisartsenzorg in te zetten.</w:t>
      </w:r>
      <w:r>
        <w:rPr>
          <w:rStyle w:val="Voetnootmarkering"/>
        </w:rPr>
        <w:footnoteReference w:id="3"/>
      </w:r>
      <w:r>
        <w:t xml:space="preserve"> Fysieke zorg moet daarbij altijd mogelijk zijn binnen dezelfde praktijk. In het kader van de kernwaarde ‘persoonsgericht’ dient besluitvorming over digitale of fysieke zorg te gebeuren op basis van samen beslissen.  </w:t>
      </w:r>
    </w:p>
    <w:p w:rsidRPr="00793ADA" w:rsidR="000853B5" w:rsidP="000853B5" w:rsidRDefault="000853B5" w14:paraId="2FC40912" w14:textId="77777777"/>
    <w:p w:rsidRPr="00997216" w:rsidR="000853B5" w:rsidP="000853B5" w:rsidRDefault="00421FB1" w14:paraId="0E9CCE02" w14:textId="77777777">
      <w:pPr>
        <w:rPr>
          <w:b/>
          <w:bCs/>
        </w:rPr>
      </w:pPr>
      <w:r w:rsidRPr="00997216">
        <w:rPr>
          <w:b/>
          <w:bCs/>
        </w:rPr>
        <w:t>Vraag 3</w:t>
      </w:r>
    </w:p>
    <w:p w:rsidR="000853B5" w:rsidP="000853B5" w:rsidRDefault="00421FB1" w14:paraId="3097EDBB" w14:textId="77777777">
      <w:r w:rsidRPr="00B45D54">
        <w:t>Hoe verklaart u dat deze wanpraktijken bij commerci</w:t>
      </w:r>
      <w:r w:rsidRPr="00B45D54">
        <w:rPr>
          <w:rFonts w:hint="eastAsia"/>
        </w:rPr>
        <w:t>ë</w:t>
      </w:r>
      <w:r w:rsidRPr="00B45D54">
        <w:t>le partijen blijven plaatsvinden, ondanks</w:t>
      </w:r>
      <w:r>
        <w:t xml:space="preserve"> </w:t>
      </w:r>
      <w:r w:rsidRPr="00B45D54">
        <w:t>eerdere stappen die mede op initiatief van de Kamer op dit terrein zijn gezet?</w:t>
      </w:r>
    </w:p>
    <w:p w:rsidR="000853B5" w:rsidP="000853B5" w:rsidRDefault="000853B5" w14:paraId="4F87F1F4" w14:textId="77777777"/>
    <w:p w:rsidR="000853B5" w:rsidP="000853B5" w:rsidRDefault="00421FB1" w14:paraId="2D5A015F" w14:textId="77777777">
      <w:pPr>
        <w:rPr>
          <w:b/>
          <w:bCs/>
          <w:highlight w:val="yellow"/>
        </w:rPr>
      </w:pPr>
      <w:r w:rsidRPr="00C24D7D">
        <w:rPr>
          <w:b/>
          <w:bCs/>
        </w:rPr>
        <w:t xml:space="preserve">Antwoord </w:t>
      </w:r>
      <w:r>
        <w:rPr>
          <w:b/>
          <w:bCs/>
        </w:rPr>
        <w:t>vraag</w:t>
      </w:r>
      <w:r w:rsidRPr="00AC75C3">
        <w:rPr>
          <w:b/>
          <w:bCs/>
        </w:rPr>
        <w:t xml:space="preserve"> </w:t>
      </w:r>
      <w:r w:rsidRPr="00C24D7D">
        <w:rPr>
          <w:b/>
          <w:bCs/>
        </w:rPr>
        <w:t>3</w:t>
      </w:r>
    </w:p>
    <w:p w:rsidR="000853B5" w:rsidP="000853B5" w:rsidRDefault="00421FB1" w14:paraId="70F36A48" w14:textId="77777777">
      <w:r>
        <w:t>Of er sprake is van wanpraktijken is aan toezichthoudende instanties om te beoordelen. Zoals aangegeven in het antwoord op vraag 2, herkent de IGJ de signalen uit de uitzending niet vanuit de meldingen en signalen die zij binnenkrijgen.</w:t>
      </w:r>
      <w:r w:rsidRPr="00336726" w:rsidR="00336726">
        <w:rPr>
          <w:rFonts w:ascii="Calibri" w:hAnsi="Calibri" w:cs="Calibri" w:eastAsiaTheme="minorHAnsi"/>
          <w:color w:val="000000"/>
          <w:sz w:val="22"/>
          <w:szCs w:val="22"/>
          <w:lang w:eastAsia="en-US"/>
        </w:rPr>
        <w:t xml:space="preserve"> </w:t>
      </w:r>
      <w:r w:rsidRPr="00336726" w:rsidR="00336726">
        <w:t xml:space="preserve">Signalen in de media kunnen voor de inspectie aanleiding zijn om extra </w:t>
      </w:r>
      <w:proofErr w:type="spellStart"/>
      <w:r w:rsidRPr="00336726" w:rsidR="00336726">
        <w:t>toezichtsactiviteiten</w:t>
      </w:r>
      <w:proofErr w:type="spellEnd"/>
      <w:r w:rsidRPr="00336726" w:rsidR="00336726">
        <w:t xml:space="preserve"> te starten.</w:t>
      </w:r>
      <w:r w:rsidR="00BE3DE1">
        <w:t xml:space="preserve"> </w:t>
      </w:r>
      <w:r>
        <w:t xml:space="preserve">Samen met partijen uit de huisartsenzorg en toezichthouders </w:t>
      </w:r>
      <w:proofErr w:type="spellStart"/>
      <w:r>
        <w:t>NZa</w:t>
      </w:r>
      <w:proofErr w:type="spellEnd"/>
      <w:r>
        <w:t xml:space="preserve"> en IGJ heeft het kabinet de afgelopen jaren belangrijke stappen gezet om risico’s van ketenvorming in de huisartsenzorg tegen te gaan. Deze stappen zijn gebaseerd op de aanbevelingen van de </w:t>
      </w:r>
      <w:proofErr w:type="spellStart"/>
      <w:r>
        <w:t>NZa</w:t>
      </w:r>
      <w:proofErr w:type="spellEnd"/>
      <w:r>
        <w:t xml:space="preserve"> en IGJ in hun rapport over de opkomst van bedrijfsketens in de huisartsenzorg</w:t>
      </w:r>
      <w:r>
        <w:rPr>
          <w:rStyle w:val="Voetnootmarkering"/>
        </w:rPr>
        <w:footnoteReference w:id="4"/>
      </w:r>
      <w:r>
        <w:t xml:space="preserve">. Een van deze stappen is de duiding van de kernwaarden van de huisartsenzorg door de beroepsgroep, waarover </w:t>
      </w:r>
      <w:r w:rsidR="00B37522">
        <w:t>de</w:t>
      </w:r>
      <w:r>
        <w:t xml:space="preserve"> Kamer recent is geïnformeerd.</w:t>
      </w:r>
      <w:r>
        <w:rPr>
          <w:rStyle w:val="Voetnootmarkering"/>
        </w:rPr>
        <w:footnoteReference w:id="5"/>
      </w:r>
      <w:r>
        <w:t xml:space="preserve"> Zorgverzekeraars gaan aan de slag met de vertaling hiervan in het inkoopbeleid. In het antwoord op vraag 2 is toegelicht welke stappen daarnaast zullen worden gezet. </w:t>
      </w:r>
    </w:p>
    <w:p w:rsidR="000853B5" w:rsidP="000853B5" w:rsidRDefault="00421FB1" w14:paraId="45414504" w14:textId="77777777">
      <w:r>
        <w:t xml:space="preserve">Tevens wordt een werkgroep opgezet waarin vroegtijdig signalen tussen partijen, waaronder zorgverzekeraars en toezichthouders, worden gedeeld. Het kabinet is ervan overtuigd dat onwenselijke ontwikkelingen op deze manier vroegtijdig kunnen worden gesignaleerd en gestopt. </w:t>
      </w:r>
    </w:p>
    <w:p w:rsidRPr="00793ADA" w:rsidR="000853B5" w:rsidP="000853B5" w:rsidRDefault="000853B5" w14:paraId="740183D7" w14:textId="77777777"/>
    <w:p w:rsidRPr="008F3F3C" w:rsidR="000853B5" w:rsidP="000853B5" w:rsidRDefault="00421FB1" w14:paraId="792BC3B1" w14:textId="77777777">
      <w:pPr>
        <w:rPr>
          <w:b/>
          <w:bCs/>
        </w:rPr>
      </w:pPr>
      <w:r w:rsidRPr="008F3F3C">
        <w:rPr>
          <w:b/>
          <w:bCs/>
        </w:rPr>
        <w:t>Vraag 4</w:t>
      </w:r>
    </w:p>
    <w:p w:rsidR="000853B5" w:rsidP="000853B5" w:rsidRDefault="00421FB1" w14:paraId="1EFF4F6B" w14:textId="77777777">
      <w:r w:rsidRPr="00B45D54">
        <w:t>Welke concrete stappen zijn er gezet na het faillissement van Co-</w:t>
      </w:r>
      <w:proofErr w:type="spellStart"/>
      <w:r w:rsidRPr="00B45D54">
        <w:t>Med</w:t>
      </w:r>
      <w:proofErr w:type="spellEnd"/>
      <w:r w:rsidRPr="00B45D54">
        <w:t>?</w:t>
      </w:r>
    </w:p>
    <w:p w:rsidR="000853B5" w:rsidP="000853B5" w:rsidRDefault="000853B5" w14:paraId="439687EC" w14:textId="77777777"/>
    <w:p w:rsidR="000853B5" w:rsidP="000853B5" w:rsidRDefault="00421FB1" w14:paraId="00E95097" w14:textId="77777777">
      <w:r w:rsidRPr="00D47923">
        <w:rPr>
          <w:b/>
          <w:bCs/>
        </w:rPr>
        <w:t xml:space="preserve">Antwoord </w:t>
      </w:r>
      <w:r>
        <w:rPr>
          <w:b/>
          <w:bCs/>
        </w:rPr>
        <w:t>vraag</w:t>
      </w:r>
      <w:r w:rsidRPr="00AC75C3">
        <w:rPr>
          <w:b/>
          <w:bCs/>
        </w:rPr>
        <w:t xml:space="preserve"> </w:t>
      </w:r>
      <w:r w:rsidRPr="00D47923">
        <w:rPr>
          <w:b/>
          <w:bCs/>
        </w:rPr>
        <w:t>4</w:t>
      </w:r>
      <w:r w:rsidRPr="00D47923">
        <w:t xml:space="preserve"> </w:t>
      </w:r>
    </w:p>
    <w:p w:rsidR="000853B5" w:rsidP="000853B5" w:rsidRDefault="00421FB1" w14:paraId="11C55AE5" w14:textId="77777777">
      <w:r>
        <w:t xml:space="preserve">De volgende stappen zijn en worden gezet: </w:t>
      </w:r>
    </w:p>
    <w:p w:rsidR="000853B5" w:rsidP="000853B5" w:rsidRDefault="00421FB1" w14:paraId="5B3CB2D8" w14:textId="77777777">
      <w:pPr>
        <w:pStyle w:val="Lijstalinea"/>
        <w:numPr>
          <w:ilvl w:val="0"/>
          <w:numId w:val="48"/>
        </w:numPr>
        <w:rPr>
          <w:lang w:val="nl-NL"/>
        </w:rPr>
      </w:pPr>
      <w:r w:rsidRPr="00974A6F">
        <w:rPr>
          <w:lang w:val="nl-NL"/>
        </w:rPr>
        <w:t>Het ministerie van VWS heeft, samen met de betrokken partijen, het faillissement van Co-</w:t>
      </w:r>
      <w:proofErr w:type="spellStart"/>
      <w:r w:rsidRPr="00974A6F">
        <w:rPr>
          <w:lang w:val="nl-NL"/>
        </w:rPr>
        <w:t>Med</w:t>
      </w:r>
      <w:proofErr w:type="spellEnd"/>
      <w:r w:rsidRPr="00974A6F">
        <w:rPr>
          <w:lang w:val="nl-NL"/>
        </w:rPr>
        <w:t xml:space="preserve"> laten evalueren. </w:t>
      </w:r>
      <w:r w:rsidR="002B0238">
        <w:rPr>
          <w:lang w:val="nl-NL"/>
        </w:rPr>
        <w:t>De Kamer is</w:t>
      </w:r>
      <w:r w:rsidRPr="00974A6F">
        <w:rPr>
          <w:lang w:val="nl-NL"/>
        </w:rPr>
        <w:t xml:space="preserve"> over de uitkomst van deze evaluatie geïnformeerd.</w:t>
      </w:r>
      <w:r>
        <w:rPr>
          <w:vertAlign w:val="superscript"/>
          <w:lang w:val="nl-NL"/>
        </w:rPr>
        <w:footnoteReference w:id="6"/>
      </w:r>
      <w:r w:rsidRPr="00974A6F">
        <w:rPr>
          <w:lang w:val="nl-NL"/>
        </w:rPr>
        <w:t xml:space="preserve"> Toezichthouders, zorgverzekeraars en het ministerie van VWS werken aan de verdere uitwerking en implementatie van de leerpunten uit deze evaluatie.</w:t>
      </w:r>
    </w:p>
    <w:p w:rsidR="000853B5" w:rsidP="000853B5" w:rsidRDefault="00421FB1" w14:paraId="42A601E4" w14:textId="77777777">
      <w:pPr>
        <w:pStyle w:val="Lijstalinea"/>
        <w:numPr>
          <w:ilvl w:val="0"/>
          <w:numId w:val="48"/>
        </w:numPr>
        <w:rPr>
          <w:lang w:val="nl-NL"/>
        </w:rPr>
      </w:pPr>
      <w:r w:rsidRPr="00974A6F">
        <w:rPr>
          <w:lang w:val="nl-NL"/>
        </w:rPr>
        <w:t xml:space="preserve">Naar aanleiding van het rapport van de </w:t>
      </w:r>
      <w:proofErr w:type="spellStart"/>
      <w:r w:rsidRPr="00974A6F">
        <w:rPr>
          <w:lang w:val="nl-NL"/>
        </w:rPr>
        <w:t>NZa</w:t>
      </w:r>
      <w:proofErr w:type="spellEnd"/>
      <w:r w:rsidRPr="00974A6F">
        <w:rPr>
          <w:lang w:val="nl-NL"/>
        </w:rPr>
        <w:t xml:space="preserve"> en IGJ ‘De opkomst van </w:t>
      </w:r>
      <w:r>
        <w:rPr>
          <w:lang w:val="nl-NL"/>
        </w:rPr>
        <w:t>bedrijfsketens in de huisartsenzorg</w:t>
      </w:r>
      <w:r w:rsidRPr="00974A6F">
        <w:rPr>
          <w:lang w:val="nl-NL"/>
        </w:rPr>
        <w:t xml:space="preserve">’ is, zoals aangegeven in het antwoord op vraag 2 en 3, door de beroepsgroep gewerkt aan </w:t>
      </w:r>
      <w:r>
        <w:rPr>
          <w:lang w:val="nl-NL"/>
        </w:rPr>
        <w:t>concretisering</w:t>
      </w:r>
      <w:r w:rsidRPr="00974A6F">
        <w:rPr>
          <w:lang w:val="nl-NL"/>
        </w:rPr>
        <w:t xml:space="preserve"> van de kernwaarden van de huisartsenzorg ten behoeve van de inkoop door </w:t>
      </w:r>
      <w:r w:rsidRPr="00974A6F">
        <w:rPr>
          <w:lang w:val="nl-NL"/>
        </w:rPr>
        <w:lastRenderedPageBreak/>
        <w:t>zorgverzekeraars en het toezicht van de IGJ</w:t>
      </w:r>
      <w:r>
        <w:rPr>
          <w:lang w:val="nl-NL"/>
        </w:rPr>
        <w:t xml:space="preserve"> en </w:t>
      </w:r>
      <w:proofErr w:type="spellStart"/>
      <w:r>
        <w:rPr>
          <w:lang w:val="nl-NL"/>
        </w:rPr>
        <w:t>NZa</w:t>
      </w:r>
      <w:proofErr w:type="spellEnd"/>
      <w:r>
        <w:rPr>
          <w:lang w:val="nl-NL"/>
        </w:rPr>
        <w:t>.</w:t>
      </w:r>
      <w:r w:rsidRPr="00974A6F">
        <w:rPr>
          <w:lang w:val="nl-NL"/>
        </w:rPr>
        <w:t xml:space="preserve"> </w:t>
      </w:r>
      <w:r w:rsidR="00B37522">
        <w:rPr>
          <w:lang w:val="nl-NL"/>
        </w:rPr>
        <w:t>De</w:t>
      </w:r>
      <w:r w:rsidRPr="00974A6F">
        <w:rPr>
          <w:lang w:val="nl-NL"/>
        </w:rPr>
        <w:t xml:space="preserve"> Kamer is hierover recent geïnformeerd.</w:t>
      </w:r>
      <w:r>
        <w:rPr>
          <w:rStyle w:val="Voetnootmarkering"/>
          <w:lang w:val="nl-NL"/>
        </w:rPr>
        <w:footnoteReference w:id="7"/>
      </w:r>
      <w:r w:rsidRPr="00974A6F">
        <w:rPr>
          <w:lang w:val="nl-NL"/>
        </w:rPr>
        <w:t xml:space="preserve"> </w:t>
      </w:r>
    </w:p>
    <w:p w:rsidR="000853B5" w:rsidP="000853B5" w:rsidRDefault="00421FB1" w14:paraId="75A35BE5" w14:textId="77777777">
      <w:pPr>
        <w:pStyle w:val="Lijstalinea"/>
        <w:numPr>
          <w:ilvl w:val="0"/>
          <w:numId w:val="48"/>
        </w:numPr>
        <w:rPr>
          <w:lang w:val="nl-NL"/>
        </w:rPr>
      </w:pPr>
      <w:r>
        <w:rPr>
          <w:lang w:val="nl-NL"/>
        </w:rPr>
        <w:t>Het kabinet zet verder in op</w:t>
      </w:r>
      <w:r w:rsidRPr="00974A6F">
        <w:rPr>
          <w:lang w:val="nl-NL"/>
        </w:rPr>
        <w:t xml:space="preserve"> het weren van niet integere zorgaanbieders en </w:t>
      </w:r>
      <w:r>
        <w:rPr>
          <w:lang w:val="nl-NL"/>
        </w:rPr>
        <w:t>het versterken van</w:t>
      </w:r>
      <w:r w:rsidRPr="00974A6F">
        <w:rPr>
          <w:lang w:val="nl-NL"/>
        </w:rPr>
        <w:t xml:space="preserve"> de continuïteit, toegankelijkheid en kwaliteit van zorg</w:t>
      </w:r>
      <w:r>
        <w:rPr>
          <w:lang w:val="nl-NL"/>
        </w:rPr>
        <w:t xml:space="preserve"> met:</w:t>
      </w:r>
      <w:r w:rsidRPr="00974A6F">
        <w:rPr>
          <w:lang w:val="nl-NL"/>
        </w:rPr>
        <w:t xml:space="preserve"> </w:t>
      </w:r>
    </w:p>
    <w:p w:rsidR="000853B5" w:rsidP="000853B5" w:rsidRDefault="00421FB1" w14:paraId="170958C1" w14:textId="77777777">
      <w:pPr>
        <w:pStyle w:val="Lijstalinea"/>
        <w:numPr>
          <w:ilvl w:val="1"/>
          <w:numId w:val="48"/>
        </w:numPr>
        <w:rPr>
          <w:lang w:val="nl-NL"/>
        </w:rPr>
      </w:pPr>
      <w:r>
        <w:rPr>
          <w:lang w:val="nl-NL"/>
        </w:rPr>
        <w:t>H</w:t>
      </w:r>
      <w:r w:rsidRPr="00974A6F">
        <w:rPr>
          <w:lang w:val="nl-NL"/>
        </w:rPr>
        <w:t>et wetsvoorstel integere bedrijfsvoering zorg- en jeugdhulpaanbieders (</w:t>
      </w:r>
      <w:proofErr w:type="spellStart"/>
      <w:r w:rsidRPr="00974A6F">
        <w:rPr>
          <w:lang w:val="nl-NL"/>
        </w:rPr>
        <w:t>Wibz</w:t>
      </w:r>
      <w:proofErr w:type="spellEnd"/>
      <w:r w:rsidRPr="00974A6F">
        <w:rPr>
          <w:lang w:val="nl-NL"/>
        </w:rPr>
        <w:t>).</w:t>
      </w:r>
      <w:r>
        <w:rPr>
          <w:vertAlign w:val="superscript"/>
          <w:lang w:val="nl-NL"/>
        </w:rPr>
        <w:footnoteReference w:id="8"/>
      </w:r>
      <w:r w:rsidRPr="00974A6F">
        <w:rPr>
          <w:lang w:val="nl-NL"/>
        </w:rPr>
        <w:t xml:space="preserve"> Dit wetsvoorstel beoogt onder andere voorwaarden te stellen aan winstuitkeringen en een norm voor integere bedrijfsvoering te introduceren. </w:t>
      </w:r>
    </w:p>
    <w:p w:rsidRPr="00974A6F" w:rsidR="000853B5" w:rsidP="000853B5" w:rsidRDefault="00421FB1" w14:paraId="5C9EA1A1" w14:textId="77777777">
      <w:pPr>
        <w:pStyle w:val="Lijstalinea"/>
        <w:numPr>
          <w:ilvl w:val="1"/>
          <w:numId w:val="48"/>
        </w:numPr>
        <w:rPr>
          <w:lang w:val="nl-NL"/>
        </w:rPr>
      </w:pPr>
      <w:r>
        <w:rPr>
          <w:lang w:val="nl-NL"/>
        </w:rPr>
        <w:t>H</w:t>
      </w:r>
      <w:r w:rsidRPr="00974A6F">
        <w:rPr>
          <w:lang w:val="nl-NL"/>
        </w:rPr>
        <w:t>et aanscherpen van de </w:t>
      </w:r>
      <w:proofErr w:type="spellStart"/>
      <w:r w:rsidRPr="00974A6F">
        <w:rPr>
          <w:lang w:val="nl-NL"/>
        </w:rPr>
        <w:t>zorgspecifieke</w:t>
      </w:r>
      <w:proofErr w:type="spellEnd"/>
      <w:r w:rsidRPr="00974A6F">
        <w:rPr>
          <w:lang w:val="nl-NL"/>
        </w:rPr>
        <w:t xml:space="preserve"> fusietoets (</w:t>
      </w:r>
      <w:proofErr w:type="spellStart"/>
      <w:r w:rsidRPr="00974A6F">
        <w:rPr>
          <w:lang w:val="nl-NL"/>
        </w:rPr>
        <w:t>Zft</w:t>
      </w:r>
      <w:proofErr w:type="spellEnd"/>
      <w:r w:rsidRPr="00974A6F">
        <w:rPr>
          <w:lang w:val="nl-NL"/>
        </w:rPr>
        <w:t xml:space="preserve">), waarbij de </w:t>
      </w:r>
      <w:proofErr w:type="spellStart"/>
      <w:r w:rsidRPr="00974A6F">
        <w:rPr>
          <w:lang w:val="nl-NL"/>
        </w:rPr>
        <w:t>NZa</w:t>
      </w:r>
      <w:proofErr w:type="spellEnd"/>
      <w:r w:rsidRPr="00974A6F">
        <w:rPr>
          <w:lang w:val="nl-NL"/>
        </w:rPr>
        <w:t> meer mogelijkheden krijgt om fusies en overnames te toetsen op kwaliteit van zorg, rechtmatige bedrijfsvoering en de continuïteit van zorg</w:t>
      </w:r>
      <w:r>
        <w:rPr>
          <w:vertAlign w:val="superscript"/>
        </w:rPr>
        <w:footnoteReference w:id="9"/>
      </w:r>
      <w:r w:rsidRPr="00974A6F">
        <w:rPr>
          <w:lang w:val="nl-NL"/>
        </w:rPr>
        <w:t xml:space="preserve">.  </w:t>
      </w:r>
    </w:p>
    <w:p w:rsidRPr="008F3F3C" w:rsidR="000853B5" w:rsidP="000853B5" w:rsidRDefault="00421FB1" w14:paraId="4CAB7C32" w14:textId="77777777">
      <w:pPr>
        <w:rPr>
          <w:b/>
          <w:bCs/>
        </w:rPr>
      </w:pPr>
      <w:r w:rsidRPr="008F3F3C">
        <w:rPr>
          <w:b/>
          <w:bCs/>
        </w:rPr>
        <w:t>Vraag 5</w:t>
      </w:r>
    </w:p>
    <w:p w:rsidR="000853B5" w:rsidP="000853B5" w:rsidRDefault="00421FB1" w14:paraId="69C87AC7" w14:textId="77777777">
      <w:r w:rsidRPr="00B45D54">
        <w:t>Hoe kan worden voorkomen dat het bij Arts en Zorg net zo uit de hand loopt als bij Co-</w:t>
      </w:r>
      <w:proofErr w:type="spellStart"/>
      <w:r w:rsidRPr="00B45D54">
        <w:t>Med</w:t>
      </w:r>
      <w:proofErr w:type="spellEnd"/>
      <w:r w:rsidRPr="00B45D54">
        <w:t>,</w:t>
      </w:r>
      <w:r>
        <w:t xml:space="preserve"> </w:t>
      </w:r>
      <w:r w:rsidRPr="00B45D54">
        <w:t xml:space="preserve">aangezien nu al een schrikbarend percentage van 42% </w:t>
      </w:r>
      <w:r w:rsidRPr="00B45D54">
        <w:t>van de pati</w:t>
      </w:r>
      <w:r w:rsidRPr="00B45D54">
        <w:rPr>
          <w:rFonts w:hint="eastAsia"/>
        </w:rPr>
        <w:t>ë</w:t>
      </w:r>
      <w:r w:rsidRPr="00B45D54">
        <w:t>nten negatieve gevolgen voor hun</w:t>
      </w:r>
      <w:r>
        <w:t xml:space="preserve"> </w:t>
      </w:r>
      <w:r w:rsidRPr="00B45D54">
        <w:t>gezondheid ervaart door de veranderingen in praktijken als gevolg van de overname?</w:t>
      </w:r>
    </w:p>
    <w:p w:rsidR="000853B5" w:rsidP="000853B5" w:rsidRDefault="000853B5" w14:paraId="4B1B24B8" w14:textId="77777777"/>
    <w:p w:rsidR="000853B5" w:rsidP="000853B5" w:rsidRDefault="00421FB1" w14:paraId="6B5C8D6B" w14:textId="77777777">
      <w:r w:rsidRPr="008F3F3C">
        <w:rPr>
          <w:b/>
          <w:bCs/>
        </w:rPr>
        <w:t xml:space="preserve">Antwoord </w:t>
      </w:r>
      <w:r>
        <w:rPr>
          <w:b/>
          <w:bCs/>
        </w:rPr>
        <w:t>vraag</w:t>
      </w:r>
      <w:r w:rsidRPr="00AC75C3">
        <w:rPr>
          <w:b/>
          <w:bCs/>
        </w:rPr>
        <w:t xml:space="preserve"> </w:t>
      </w:r>
      <w:r w:rsidRPr="008F3F3C">
        <w:rPr>
          <w:b/>
          <w:bCs/>
        </w:rPr>
        <w:t>5</w:t>
      </w:r>
      <w:r>
        <w:t xml:space="preserve"> </w:t>
      </w:r>
    </w:p>
    <w:p w:rsidR="000853B5" w:rsidP="000853B5" w:rsidRDefault="00421FB1" w14:paraId="58AA3542" w14:textId="77777777">
      <w:r w:rsidRPr="000E456E">
        <w:t xml:space="preserve">Het is aan </w:t>
      </w:r>
      <w:r>
        <w:t xml:space="preserve">de </w:t>
      </w:r>
      <w:r w:rsidRPr="000E456E">
        <w:t>onafhankelijke toezichthouders</w:t>
      </w:r>
      <w:r>
        <w:t xml:space="preserve"> IGJ en </w:t>
      </w:r>
      <w:proofErr w:type="spellStart"/>
      <w:r>
        <w:t>NZa</w:t>
      </w:r>
      <w:proofErr w:type="spellEnd"/>
      <w:r w:rsidRPr="000E456E">
        <w:t>, die toezien op de kwaliteit en het rechtmatig functioneren van een specifieke aanbieder, om in situaties waarin dat nodig is nader onderzoek te doen en effectief op te treden.</w:t>
      </w:r>
      <w:r>
        <w:t xml:space="preserve"> Ook </w:t>
      </w:r>
      <w:r w:rsidRPr="000E456E">
        <w:t>betrokken zorgverzekeraars, die de zorg inkopen</w:t>
      </w:r>
      <w:r>
        <w:t>, hebben een rol in de toets op het leveren van kwalitatief goede zorg en controle op declaraties. D</w:t>
      </w:r>
      <w:r w:rsidRPr="000E456E">
        <w:t xml:space="preserve">e </w:t>
      </w:r>
      <w:proofErr w:type="spellStart"/>
      <w:r w:rsidRPr="000E456E">
        <w:t>NZa</w:t>
      </w:r>
      <w:proofErr w:type="spellEnd"/>
      <w:r w:rsidRPr="000E456E">
        <w:t xml:space="preserve"> en IGJ </w:t>
      </w:r>
      <w:r>
        <w:t>hebben aangegeven</w:t>
      </w:r>
      <w:r w:rsidRPr="000E456E">
        <w:t xml:space="preserve"> dat zij de signalen </w:t>
      </w:r>
      <w:r>
        <w:t>niet herkennen vanuit de meldingen en signalen die zij binnenkrijgen. Desalniettemin vin</w:t>
      </w:r>
      <w:r>
        <w:t>dt het kabinet het belangrijk om, conform de leerpunten die volgen uit de evaluatie van Co-</w:t>
      </w:r>
      <w:proofErr w:type="spellStart"/>
      <w:r>
        <w:t>Med</w:t>
      </w:r>
      <w:proofErr w:type="spellEnd"/>
      <w:r>
        <w:t xml:space="preserve">, de signalen serieus te nemen en met de betrokken partijen en toezichthouders vinger aan de pols te houden. </w:t>
      </w:r>
    </w:p>
    <w:p w:rsidRPr="00B45D54" w:rsidR="000853B5" w:rsidP="000853B5" w:rsidRDefault="000853B5" w14:paraId="14CA1AB1" w14:textId="77777777"/>
    <w:p w:rsidRPr="00055B21" w:rsidR="000853B5" w:rsidP="000853B5" w:rsidRDefault="00421FB1" w14:paraId="286EB97D" w14:textId="77777777">
      <w:pPr>
        <w:rPr>
          <w:b/>
          <w:bCs/>
        </w:rPr>
      </w:pPr>
      <w:r w:rsidRPr="00055B21">
        <w:rPr>
          <w:b/>
          <w:bCs/>
        </w:rPr>
        <w:t>Vraag 6</w:t>
      </w:r>
    </w:p>
    <w:p w:rsidR="000853B5" w:rsidP="000853B5" w:rsidRDefault="00421FB1" w14:paraId="3ACECB4C" w14:textId="77777777">
      <w:r w:rsidRPr="00B45D54">
        <w:t>Hoe beziet u de klachten van pati</w:t>
      </w:r>
      <w:r w:rsidRPr="00B45D54">
        <w:rPr>
          <w:rFonts w:hint="eastAsia"/>
        </w:rPr>
        <w:t>ë</w:t>
      </w:r>
      <w:r w:rsidRPr="00B45D54">
        <w:t>nten over Arts en Zorg in relatie tot de gemaakte afspraken in het</w:t>
      </w:r>
      <w:r>
        <w:t xml:space="preserve"> </w:t>
      </w:r>
      <w:r w:rsidRPr="00B45D54">
        <w:t>Aanvullend Zorg- en Welzijnsakkoord (AZWA)? Deelt u de mening dat de praktijken van Arts en Zorg</w:t>
      </w:r>
      <w:r>
        <w:t xml:space="preserve"> </w:t>
      </w:r>
      <w:r w:rsidRPr="00B45D54">
        <w:t>ingaan tegen de afspraken in het AZWA en zo ja, welke acties gaat u ondernemen om deze</w:t>
      </w:r>
      <w:r>
        <w:t xml:space="preserve"> </w:t>
      </w:r>
      <w:r w:rsidRPr="00B45D54">
        <w:t>commerci</w:t>
      </w:r>
      <w:r w:rsidRPr="00B45D54">
        <w:rPr>
          <w:rFonts w:hint="eastAsia"/>
        </w:rPr>
        <w:t>ë</w:t>
      </w:r>
      <w:r w:rsidRPr="00B45D54">
        <w:t>le partij tot de orde te roepen?</w:t>
      </w:r>
    </w:p>
    <w:p w:rsidR="000853B5" w:rsidP="000853B5" w:rsidRDefault="000853B5" w14:paraId="2A5A091D" w14:textId="77777777"/>
    <w:p w:rsidRPr="00610CB7" w:rsidR="000853B5" w:rsidP="000853B5" w:rsidRDefault="00421FB1" w14:paraId="5B1C6397" w14:textId="77777777">
      <w:pPr>
        <w:rPr>
          <w:b/>
          <w:bCs/>
        </w:rPr>
      </w:pPr>
      <w:r w:rsidRPr="00610CB7">
        <w:rPr>
          <w:b/>
          <w:bCs/>
        </w:rPr>
        <w:t>Antwoord</w:t>
      </w:r>
      <w:r w:rsidRPr="000853B5">
        <w:rPr>
          <w:b/>
          <w:bCs/>
        </w:rPr>
        <w:t xml:space="preserve"> </w:t>
      </w:r>
      <w:r>
        <w:rPr>
          <w:b/>
          <w:bCs/>
        </w:rPr>
        <w:t>vraag</w:t>
      </w:r>
      <w:r w:rsidRPr="00610CB7">
        <w:rPr>
          <w:b/>
          <w:bCs/>
        </w:rPr>
        <w:t xml:space="preserve"> 6</w:t>
      </w:r>
    </w:p>
    <w:p w:rsidR="000853B5" w:rsidP="000853B5" w:rsidRDefault="00421FB1" w14:paraId="6B2591B0" w14:textId="77777777">
      <w:r>
        <w:t xml:space="preserve">Het is primair aan zorgverzekeraars en toezichthoudende instanties om te beoordelen of aanbieders voldoen aan wettelijke kaders, eisen vanuit de beroepsgroep en de kernwaarden van de huisartsenzorg. Zorgverzekeraars en toezichthouders hebben instrumenten om in te grijpen wanneer dat nodig is. </w:t>
      </w:r>
    </w:p>
    <w:p w:rsidR="000853B5" w:rsidP="000853B5" w:rsidRDefault="00421FB1" w14:paraId="1B52F41E" w14:textId="77777777">
      <w:r>
        <w:t xml:space="preserve">In het algemeen geldt dat in het AZWA concrete afspraken zijn gemaakt om de huisartsenzorg toegankelijk te houden en het werken met een vaste patiëntenpopulatie voor huisartsen weer de norm te maken. In een recente brief is </w:t>
      </w:r>
      <w:r w:rsidR="00B37522">
        <w:t>de</w:t>
      </w:r>
      <w:r>
        <w:t xml:space="preserve"> Kamer geïnformeerd over de voortgang van deze afspraken.</w:t>
      </w:r>
      <w:r>
        <w:rPr>
          <w:rStyle w:val="Voetnootmarkering"/>
        </w:rPr>
        <w:footnoteReference w:id="10"/>
      </w:r>
      <w:r>
        <w:t xml:space="preserve"> Een van de </w:t>
      </w:r>
      <w:r>
        <w:lastRenderedPageBreak/>
        <w:t xml:space="preserve">afspraken betreft de concretisering van de kernwaarden van de huisartsenzorg, die in antwoord op vraag 2 is beschreven.  </w:t>
      </w:r>
    </w:p>
    <w:p w:rsidR="000853B5" w:rsidP="000853B5" w:rsidRDefault="000853B5" w14:paraId="586BDB05" w14:textId="77777777"/>
    <w:p w:rsidRPr="00EC6F5D" w:rsidR="000853B5" w:rsidP="000853B5" w:rsidRDefault="00421FB1" w14:paraId="3CBE2A87" w14:textId="77777777">
      <w:pPr>
        <w:rPr>
          <w:b/>
          <w:bCs/>
        </w:rPr>
      </w:pPr>
      <w:r w:rsidRPr="00EC6F5D">
        <w:rPr>
          <w:b/>
          <w:bCs/>
        </w:rPr>
        <w:t>Vraag 7</w:t>
      </w:r>
    </w:p>
    <w:p w:rsidR="000853B5" w:rsidP="000853B5" w:rsidRDefault="00421FB1" w14:paraId="66726378" w14:textId="77777777">
      <w:r w:rsidRPr="00B45D54">
        <w:t xml:space="preserve">Deelt u de zorg over het waterbedeffect dat ontstaat door het gebrek aan goede zorg bij </w:t>
      </w:r>
      <w:r w:rsidRPr="00B45D54">
        <w:t>partijen als</w:t>
      </w:r>
      <w:r>
        <w:t xml:space="preserve"> </w:t>
      </w:r>
      <w:r w:rsidRPr="00B45D54">
        <w:t>Arts en Zorg, waarbij pati</w:t>
      </w:r>
      <w:r w:rsidRPr="00B45D54">
        <w:rPr>
          <w:rFonts w:hint="eastAsia"/>
        </w:rPr>
        <w:t>ë</w:t>
      </w:r>
      <w:r w:rsidRPr="00B45D54">
        <w:t>nten uit wanhoop uitwijken naar huisartsenpraktijken in andere dorpen en</w:t>
      </w:r>
      <w:r>
        <w:t xml:space="preserve"> </w:t>
      </w:r>
      <w:r w:rsidRPr="00B45D54">
        <w:t>wijken die vervolgens weer moeten overgaan tot een pati</w:t>
      </w:r>
      <w:r w:rsidRPr="00B45D54">
        <w:rPr>
          <w:rFonts w:hint="eastAsia"/>
        </w:rPr>
        <w:t>ë</w:t>
      </w:r>
      <w:r w:rsidRPr="00B45D54">
        <w:t>ntenstop? Hoe kunnen de afspraken uit het</w:t>
      </w:r>
      <w:r>
        <w:t xml:space="preserve"> </w:t>
      </w:r>
      <w:r w:rsidRPr="00B45D54">
        <w:t xml:space="preserve">AZWA en de voorstellen uit de initiatiefnota van het lid </w:t>
      </w:r>
      <w:proofErr w:type="spellStart"/>
      <w:r w:rsidRPr="00B45D54">
        <w:t>Bushoff</w:t>
      </w:r>
      <w:proofErr w:type="spellEnd"/>
      <w:r w:rsidRPr="00B45D54">
        <w:t xml:space="preserve"> </w:t>
      </w:r>
      <w:r w:rsidRPr="00B45D54">
        <w:rPr>
          <w:rFonts w:hint="eastAsia"/>
        </w:rPr>
        <w:t>‘</w:t>
      </w:r>
      <w:r w:rsidRPr="00B45D54">
        <w:t>Stop de commercie, steun de</w:t>
      </w:r>
      <w:r>
        <w:t xml:space="preserve"> </w:t>
      </w:r>
      <w:r w:rsidRPr="00B45D54">
        <w:t>huisarts</w:t>
      </w:r>
      <w:r w:rsidRPr="00B45D54">
        <w:rPr>
          <w:rFonts w:hint="eastAsia"/>
        </w:rPr>
        <w:t>’</w:t>
      </w:r>
      <w:r w:rsidRPr="00B45D54">
        <w:t>[2] bijdragen aan een oplossing hiervoor?</w:t>
      </w:r>
    </w:p>
    <w:p w:rsidR="000853B5" w:rsidP="000853B5" w:rsidRDefault="000853B5" w14:paraId="4D5ED80C" w14:textId="77777777"/>
    <w:p w:rsidRPr="00EC6F5D" w:rsidR="000853B5" w:rsidP="000853B5" w:rsidRDefault="00421FB1" w14:paraId="4A931BF3" w14:textId="77777777">
      <w:pPr>
        <w:rPr>
          <w:b/>
          <w:bCs/>
        </w:rPr>
      </w:pPr>
      <w:r w:rsidRPr="00EC6F5D">
        <w:rPr>
          <w:b/>
          <w:bCs/>
        </w:rPr>
        <w:t xml:space="preserve">Antwoord </w:t>
      </w:r>
      <w:r>
        <w:rPr>
          <w:b/>
          <w:bCs/>
        </w:rPr>
        <w:t>vraag</w:t>
      </w:r>
      <w:r w:rsidRPr="00AC75C3">
        <w:rPr>
          <w:b/>
          <w:bCs/>
        </w:rPr>
        <w:t xml:space="preserve"> </w:t>
      </w:r>
      <w:r w:rsidRPr="00EC6F5D">
        <w:rPr>
          <w:b/>
          <w:bCs/>
        </w:rPr>
        <w:t>7</w:t>
      </w:r>
    </w:p>
    <w:p w:rsidR="000853B5" w:rsidP="000853B5" w:rsidRDefault="00421FB1" w14:paraId="08A42015" w14:textId="77777777">
      <w:r>
        <w:t xml:space="preserve">Alle aanbieders van huisartsenzorg dienen te werken volgens de in het antwoord op vraag 2 beschreven kaders, normen, richtlijnen en kernwaarden. Zorgverzekeraars hebben een zorgplicht richting hun verzekerden en moeten er via de zorginkoop op sturen dat hun verzekerden goede zorg krijgen. Toezichthouders IGJ en </w:t>
      </w:r>
      <w:proofErr w:type="spellStart"/>
      <w:r>
        <w:t>NZa</w:t>
      </w:r>
      <w:proofErr w:type="spellEnd"/>
      <w:r>
        <w:t xml:space="preserve"> zien toe op de (wettelijke) verantwoordelijkheden van zorgaanbieders en zorgverzekeraars. </w:t>
      </w:r>
    </w:p>
    <w:p w:rsidR="002B0238" w:rsidP="000853B5" w:rsidRDefault="002B0238" w14:paraId="1B6F8133" w14:textId="77777777"/>
    <w:p w:rsidR="000853B5" w:rsidP="000853B5" w:rsidRDefault="00421FB1" w14:paraId="1FBC4484" w14:textId="77777777">
      <w:r>
        <w:t xml:space="preserve">Ook wanneer zorg volgens alle geldende kaders wordt geleverd, kan het zijn dat patiënten niet tevreden zijn over hun huisarts. In dat geval staat het hen vrij om een andere zorgaanbieder te zoeken. Het klopt dat de toegankelijkheid van huisartsenzorg, zeker in bepaalde gebieden, onder druk staat waardoor een andere aanbieder vinden niet eenvoudig of zelfs onmogelijk is. De afspraken in het AZWA over de huisartsenzorg zijn er, in lijn met de initiatiefnota van het lid </w:t>
      </w:r>
      <w:proofErr w:type="spellStart"/>
      <w:r>
        <w:t>Bushoff</w:t>
      </w:r>
      <w:proofErr w:type="spellEnd"/>
      <w:r>
        <w:t xml:space="preserve">, op gericht om de toegankelijkheid en continuïteit van huisartsenzorg overal in Nederland te borgen. Onder meer door middel van een landelijk ruil- en inschrijfsysteem voor patiënten is het doel om de toegankelijkheid van huisartsenzorg te vergroten. Dat neemt niet weg dat het voor mensen die reeds een huisarts in de buurt hebben lastig kan blijven om te wisselen van huisarts. Bij zo’n wens kunnen zij ook een beroep doen op de zorgbemiddeling van de zorgverzekeraar.   </w:t>
      </w:r>
    </w:p>
    <w:p w:rsidRPr="00B45D54" w:rsidR="000853B5" w:rsidP="000853B5" w:rsidRDefault="000853B5" w14:paraId="149D3E45" w14:textId="77777777"/>
    <w:p w:rsidR="000853B5" w:rsidP="000853B5" w:rsidRDefault="00421FB1" w14:paraId="6F6A8706" w14:textId="77777777">
      <w:pPr>
        <w:rPr>
          <w:b/>
          <w:bCs/>
        </w:rPr>
      </w:pPr>
      <w:r w:rsidRPr="008F3F3C">
        <w:rPr>
          <w:b/>
          <w:bCs/>
        </w:rPr>
        <w:t>Vraag 8</w:t>
      </w:r>
    </w:p>
    <w:p w:rsidRPr="008F3F3C" w:rsidR="000853B5" w:rsidP="000853B5" w:rsidRDefault="00421FB1" w14:paraId="64CAE697" w14:textId="77777777">
      <w:pPr>
        <w:rPr>
          <w:b/>
          <w:bCs/>
        </w:rPr>
      </w:pPr>
      <w:r w:rsidRPr="00B45D54">
        <w:t>Wat is de stand van zaken met betrekking tot de Kamerbreed aangenomen motie van het lid</w:t>
      </w:r>
      <w:r>
        <w:t xml:space="preserve"> </w:t>
      </w:r>
      <w:proofErr w:type="spellStart"/>
      <w:r w:rsidRPr="00B45D54">
        <w:t>Mohandis</w:t>
      </w:r>
      <w:proofErr w:type="spellEnd"/>
      <w:r w:rsidRPr="00B45D54">
        <w:t xml:space="preserve"> c.s.[3] over het over het opstellen van een uitvoeringsagenda in de huisartsenzorg naar</w:t>
      </w:r>
      <w:r>
        <w:t xml:space="preserve"> </w:t>
      </w:r>
      <w:r w:rsidRPr="00B45D54">
        <w:t xml:space="preserve">aanleiding van de initiatiefnota van het lid </w:t>
      </w:r>
      <w:proofErr w:type="spellStart"/>
      <w:r w:rsidRPr="00B45D54">
        <w:t>Bushoff</w:t>
      </w:r>
      <w:proofErr w:type="spellEnd"/>
      <w:r w:rsidRPr="00B45D54">
        <w:t>?</w:t>
      </w:r>
    </w:p>
    <w:p w:rsidR="000853B5" w:rsidP="000853B5" w:rsidRDefault="000853B5" w14:paraId="56FD20F8" w14:textId="77777777">
      <w:pPr>
        <w:rPr>
          <w:b/>
          <w:bCs/>
        </w:rPr>
      </w:pPr>
    </w:p>
    <w:p w:rsidRPr="00055B21" w:rsidR="000853B5" w:rsidP="000853B5" w:rsidRDefault="00421FB1" w14:paraId="47E6BC6F" w14:textId="77777777">
      <w:pPr>
        <w:rPr>
          <w:b/>
          <w:bCs/>
        </w:rPr>
      </w:pPr>
      <w:r w:rsidRPr="00055B21">
        <w:rPr>
          <w:b/>
          <w:bCs/>
        </w:rPr>
        <w:t xml:space="preserve">Antwoord </w:t>
      </w:r>
      <w:r>
        <w:rPr>
          <w:b/>
          <w:bCs/>
        </w:rPr>
        <w:t>vraag</w:t>
      </w:r>
      <w:r w:rsidRPr="00AC75C3">
        <w:rPr>
          <w:b/>
          <w:bCs/>
        </w:rPr>
        <w:t xml:space="preserve"> </w:t>
      </w:r>
      <w:r w:rsidRPr="00055B21">
        <w:rPr>
          <w:b/>
          <w:bCs/>
        </w:rPr>
        <w:t>8</w:t>
      </w:r>
    </w:p>
    <w:p w:rsidR="000853B5" w:rsidP="000853B5" w:rsidRDefault="00421FB1" w14:paraId="79D7CF34" w14:textId="77777777">
      <w:r w:rsidRPr="001C4FE0">
        <w:t xml:space="preserve">De motie </w:t>
      </w:r>
      <w:proofErr w:type="spellStart"/>
      <w:r w:rsidRPr="001C4FE0">
        <w:t>Mohandis</w:t>
      </w:r>
      <w:proofErr w:type="spellEnd"/>
      <w:r w:rsidRPr="001C4FE0">
        <w:t xml:space="preserve"> over het opstellen van </w:t>
      </w:r>
      <w:r w:rsidRPr="001C4FE0">
        <w:t>een uitvoeringsagenda beschouwt het kabinet als grote steun voor de werkagenda huisartsenzorg</w:t>
      </w:r>
      <w:r>
        <w:t xml:space="preserve"> zoals afgesproken met landelijke partijen</w:t>
      </w:r>
      <w:r w:rsidRPr="001C4FE0">
        <w:t xml:space="preserve"> in het AZWA. </w:t>
      </w:r>
    </w:p>
    <w:p w:rsidR="002B0238" w:rsidP="000853B5" w:rsidRDefault="002B0238" w14:paraId="6734F8C5" w14:textId="77777777"/>
    <w:p w:rsidR="000853B5" w:rsidP="000853B5" w:rsidRDefault="00421FB1" w14:paraId="76389992" w14:textId="77777777">
      <w:r>
        <w:t>De</w:t>
      </w:r>
      <w:r w:rsidRPr="001C4FE0">
        <w:t xml:space="preserve"> werkagenda huisartsenzorg in het AZWA </w:t>
      </w:r>
      <w:r>
        <w:t>is</w:t>
      </w:r>
      <w:r w:rsidRPr="001C4FE0">
        <w:t xml:space="preserve"> </w:t>
      </w:r>
      <w:r>
        <w:t xml:space="preserve">dan ook </w:t>
      </w:r>
      <w:r w:rsidRPr="001C4FE0">
        <w:t xml:space="preserve">bedoeld als de gevraagde uitvoeringsagenda </w:t>
      </w:r>
      <w:r>
        <w:t>en komt voor een groot deel overeen met de concrete voorstellen uit de initiatiefnota van het lid Bushoff.</w:t>
      </w:r>
      <w:r w:rsidR="00336726">
        <w:t xml:space="preserve"> Zoals gebruikelijk en toegezegd in de Kamerbrief van 2 februari jl.</w:t>
      </w:r>
      <w:r>
        <w:rPr>
          <w:rStyle w:val="Voetnootmarkering"/>
        </w:rPr>
        <w:footnoteReference w:id="11"/>
      </w:r>
      <w:r w:rsidR="00336726">
        <w:t xml:space="preserve"> zal ik de Kamer nader informeren over de voortgang van de afspraken die gemaakt zijn in het IZA en het AZWA, dit </w:t>
      </w:r>
      <w:r w:rsidR="00336726">
        <w:lastRenderedPageBreak/>
        <w:t>betreft ook</w:t>
      </w:r>
      <w:r>
        <w:t xml:space="preserve"> </w:t>
      </w:r>
      <w:r w:rsidRPr="001C4FE0">
        <w:t xml:space="preserve"> de voortgang op de gemaakte afspraken en de situatie in de huisartsenzorg.</w:t>
      </w:r>
      <w:r w:rsidR="00336726">
        <w:t xml:space="preserve"> De volgende Kamerbrief ontvangt de Kamer dit voorjaar.</w:t>
      </w:r>
    </w:p>
    <w:p w:rsidR="000853B5" w:rsidP="000853B5" w:rsidRDefault="000853B5" w14:paraId="7468677A" w14:textId="77777777">
      <w:pPr>
        <w:rPr>
          <w:b/>
          <w:bCs/>
        </w:rPr>
      </w:pPr>
    </w:p>
    <w:p w:rsidRPr="008F3F3C" w:rsidR="000853B5" w:rsidP="000853B5" w:rsidRDefault="00421FB1" w14:paraId="6456B3D2" w14:textId="77777777">
      <w:pPr>
        <w:rPr>
          <w:b/>
          <w:bCs/>
        </w:rPr>
      </w:pPr>
      <w:r w:rsidRPr="008F3F3C">
        <w:rPr>
          <w:b/>
          <w:bCs/>
        </w:rPr>
        <w:t>Vraag 9</w:t>
      </w:r>
    </w:p>
    <w:p w:rsidR="000853B5" w:rsidP="000853B5" w:rsidRDefault="00421FB1" w14:paraId="6D3D6CE8" w14:textId="77777777">
      <w:r w:rsidRPr="00B45D54">
        <w:t xml:space="preserve">Wanneer wordt de uitvoeringsagenda op basis van de motie </w:t>
      </w:r>
      <w:proofErr w:type="spellStart"/>
      <w:r w:rsidRPr="00B45D54">
        <w:t>Mohandis</w:t>
      </w:r>
      <w:proofErr w:type="spellEnd"/>
      <w:r w:rsidRPr="00B45D54">
        <w:t xml:space="preserve"> c.s. met de Kamer gedeeld?</w:t>
      </w:r>
    </w:p>
    <w:p w:rsidR="0097103E" w:rsidP="000853B5" w:rsidRDefault="0097103E" w14:paraId="6887F684" w14:textId="77777777"/>
    <w:p w:rsidR="000853B5" w:rsidP="000853B5" w:rsidRDefault="000853B5" w14:paraId="43091812" w14:textId="77777777"/>
    <w:p w:rsidRPr="008F3F3C" w:rsidR="000853B5" w:rsidP="000853B5" w:rsidRDefault="00421FB1" w14:paraId="4EED3684" w14:textId="77777777">
      <w:pPr>
        <w:rPr>
          <w:b/>
          <w:bCs/>
        </w:rPr>
      </w:pPr>
      <w:r w:rsidRPr="008F3F3C">
        <w:rPr>
          <w:b/>
          <w:bCs/>
        </w:rPr>
        <w:t xml:space="preserve">Antwoord </w:t>
      </w:r>
      <w:r>
        <w:rPr>
          <w:b/>
          <w:bCs/>
        </w:rPr>
        <w:t>vraag</w:t>
      </w:r>
      <w:r w:rsidRPr="00AC75C3">
        <w:rPr>
          <w:b/>
          <w:bCs/>
        </w:rPr>
        <w:t xml:space="preserve"> </w:t>
      </w:r>
      <w:r w:rsidRPr="008F3F3C">
        <w:rPr>
          <w:b/>
          <w:bCs/>
        </w:rPr>
        <w:t>9</w:t>
      </w:r>
    </w:p>
    <w:p w:rsidR="000853B5" w:rsidP="000853B5" w:rsidRDefault="00421FB1" w14:paraId="7D5146D5" w14:textId="77777777">
      <w:r>
        <w:t xml:space="preserve">Zoals aangegeven in het antwoord op vraag 8 is de </w:t>
      </w:r>
      <w:r w:rsidRPr="001C4FE0">
        <w:t>werkagenda huisartsenzorg in het AZWA bedoeld als de gevraagde uitvoeringsagenda</w:t>
      </w:r>
      <w:r>
        <w:t>.</w:t>
      </w:r>
      <w:r w:rsidR="00863750">
        <w:t xml:space="preserve"> De Kamer is in</w:t>
      </w:r>
      <w:r w:rsidR="00336726">
        <w:t xml:space="preserve"> de</w:t>
      </w:r>
      <w:r w:rsidR="00863750">
        <w:t xml:space="preserve"> brief van 3 november 2025 hierover geïnformeerd.</w:t>
      </w:r>
      <w:r>
        <w:rPr>
          <w:rStyle w:val="Voetnootmarkering"/>
        </w:rPr>
        <w:footnoteReference w:id="12"/>
      </w:r>
      <w:r>
        <w:t xml:space="preserve"> </w:t>
      </w:r>
      <w:r w:rsidRPr="001C4FE0">
        <w:t xml:space="preserve">Middels de IZA/AZWA-monitoring wordt </w:t>
      </w:r>
      <w:r w:rsidR="00B37522">
        <w:t>de</w:t>
      </w:r>
      <w:r w:rsidRPr="001C4FE0">
        <w:t xml:space="preserve"> Kamer meerdere keren per jaar geïnformeerd over de voortgang op de gemaakte afspraken en de situatie in de huisartsenzorg.</w:t>
      </w:r>
      <w:r>
        <w:t xml:space="preserve"> In de recent verzonden brief over de voortgang van de AZWA-afspraken huisartsenzorg is </w:t>
      </w:r>
      <w:r w:rsidR="00B37522">
        <w:t>de</w:t>
      </w:r>
      <w:r>
        <w:t xml:space="preserve"> Kamer geïnformeerd over de laatste stand van zaken van de uitvoering van de werkagenda.</w:t>
      </w:r>
      <w:r>
        <w:rPr>
          <w:rStyle w:val="Voetnootmarkering"/>
        </w:rPr>
        <w:footnoteReference w:id="13"/>
      </w:r>
    </w:p>
    <w:p w:rsidR="000853B5" w:rsidP="000853B5" w:rsidRDefault="000853B5" w14:paraId="32175443" w14:textId="77777777"/>
    <w:p w:rsidR="000853B5" w:rsidP="000853B5" w:rsidRDefault="00421FB1" w14:paraId="440863FC" w14:textId="77777777">
      <w:r w:rsidRPr="00F618FA">
        <w:rPr>
          <w:b/>
          <w:bCs/>
        </w:rPr>
        <w:t>Vraag 10</w:t>
      </w:r>
      <w:r w:rsidRPr="00B45D54">
        <w:t xml:space="preserve"> </w:t>
      </w:r>
      <w:r>
        <w:br/>
      </w:r>
      <w:r w:rsidRPr="00B45D54">
        <w:t>Op welke manier wordt extra inzet gepleegd op de voorstellen uit de initiatiefnota die volgens u al</w:t>
      </w:r>
      <w:r>
        <w:t xml:space="preserve"> </w:t>
      </w:r>
      <w:r w:rsidRPr="00B45D54">
        <w:t>staande praktijk waren maar nog onvoldoende effect hebben, zoals de motie verzocht?</w:t>
      </w:r>
    </w:p>
    <w:p w:rsidR="000853B5" w:rsidP="000853B5" w:rsidRDefault="000853B5" w14:paraId="10F085A1" w14:textId="77777777"/>
    <w:p w:rsidRPr="00F618FA" w:rsidR="000853B5" w:rsidP="000853B5" w:rsidRDefault="00421FB1" w14:paraId="7643251C" w14:textId="77777777">
      <w:pPr>
        <w:rPr>
          <w:b/>
          <w:bCs/>
        </w:rPr>
      </w:pPr>
      <w:r>
        <w:rPr>
          <w:b/>
          <w:bCs/>
        </w:rPr>
        <w:t>Antwoord vraag</w:t>
      </w:r>
      <w:r w:rsidRPr="00AC75C3">
        <w:rPr>
          <w:b/>
          <w:bCs/>
        </w:rPr>
        <w:t xml:space="preserve"> </w:t>
      </w:r>
      <w:r>
        <w:rPr>
          <w:b/>
          <w:bCs/>
        </w:rPr>
        <w:t xml:space="preserve">10 </w:t>
      </w:r>
    </w:p>
    <w:p w:rsidR="000853B5" w:rsidP="000853B5" w:rsidRDefault="00421FB1" w14:paraId="08F3A926" w14:textId="77777777">
      <w:r w:rsidRPr="00D648C0">
        <w:t>Met de werkagenda</w:t>
      </w:r>
      <w:r>
        <w:t xml:space="preserve"> in het AZWA</w:t>
      </w:r>
      <w:r w:rsidRPr="00D648C0">
        <w:t xml:space="preserve"> </w:t>
      </w:r>
      <w:r>
        <w:t>zet het kabinet</w:t>
      </w:r>
      <w:r w:rsidRPr="00D648C0">
        <w:t xml:space="preserve"> ook extra in op voorstellen die al staande praktijk zijn. Een voorbeeld hiervan is de aanvullende inzet op (financieel) maatwerk door </w:t>
      </w:r>
      <w:r>
        <w:t>zorg</w:t>
      </w:r>
      <w:r w:rsidRPr="00D648C0">
        <w:t xml:space="preserve">verzekeraars. Waar de staande praktijk is dat verschillende </w:t>
      </w:r>
      <w:r>
        <w:t>zorg</w:t>
      </w:r>
      <w:r w:rsidRPr="00D648C0">
        <w:t xml:space="preserve">verzekeraars al maatwerk in de huisartsenzorg toepassen, is met deze afspraak landelijk vastgelegd dat alle verzekeraars dit gaan doen en zijn afspraken gemaakt over de wijze waarop. </w:t>
      </w:r>
      <w:r w:rsidR="00B37522">
        <w:t>De</w:t>
      </w:r>
      <w:r>
        <w:t xml:space="preserve"> Kamer is over de uitvoering van deze afspraak recent geïnformeerd.</w:t>
      </w:r>
      <w:r>
        <w:rPr>
          <w:rStyle w:val="Voetnootmarkering"/>
        </w:rPr>
        <w:footnoteReference w:id="14"/>
      </w:r>
    </w:p>
    <w:p w:rsidR="000853B5" w:rsidP="000853B5" w:rsidRDefault="000853B5" w14:paraId="06ACC198" w14:textId="77777777"/>
    <w:p w:rsidRPr="00055B21" w:rsidR="000853B5" w:rsidP="000853B5" w:rsidRDefault="00421FB1" w14:paraId="2C8B8CD5" w14:textId="77777777">
      <w:pPr>
        <w:rPr>
          <w:b/>
          <w:bCs/>
        </w:rPr>
      </w:pPr>
      <w:r w:rsidRPr="00055B21">
        <w:rPr>
          <w:b/>
          <w:bCs/>
        </w:rPr>
        <w:t>Vraag 11</w:t>
      </w:r>
    </w:p>
    <w:p w:rsidR="000853B5" w:rsidP="000853B5" w:rsidRDefault="00421FB1" w14:paraId="00A68C18" w14:textId="77777777">
      <w:r w:rsidRPr="00B45D54">
        <w:t>Kunt u deze vragen los van elkaar beantwoorden?</w:t>
      </w:r>
    </w:p>
    <w:p w:rsidR="000853B5" w:rsidP="000853B5" w:rsidRDefault="000853B5" w14:paraId="1059177D" w14:textId="77777777"/>
    <w:p w:rsidRPr="00055B21" w:rsidR="000853B5" w:rsidP="000853B5" w:rsidRDefault="00421FB1" w14:paraId="44E6D4AD" w14:textId="77777777">
      <w:pPr>
        <w:rPr>
          <w:b/>
          <w:bCs/>
        </w:rPr>
      </w:pPr>
      <w:r w:rsidRPr="00055B21">
        <w:rPr>
          <w:b/>
          <w:bCs/>
        </w:rPr>
        <w:t xml:space="preserve">Antwoord </w:t>
      </w:r>
      <w:r>
        <w:rPr>
          <w:b/>
          <w:bCs/>
        </w:rPr>
        <w:t>vraag</w:t>
      </w:r>
      <w:r w:rsidRPr="00AC75C3">
        <w:rPr>
          <w:b/>
          <w:bCs/>
        </w:rPr>
        <w:t xml:space="preserve"> </w:t>
      </w:r>
      <w:r w:rsidRPr="00055B21">
        <w:rPr>
          <w:b/>
          <w:bCs/>
        </w:rPr>
        <w:t>11</w:t>
      </w:r>
    </w:p>
    <w:p w:rsidR="000853B5" w:rsidP="000853B5" w:rsidRDefault="00421FB1" w14:paraId="41476D8A" w14:textId="79DA4D48">
      <w:r>
        <w:t>Ja.</w:t>
      </w:r>
    </w:p>
    <w:p w:rsidR="00672289" w:rsidP="000853B5" w:rsidRDefault="00672289" w14:paraId="445F3927" w14:textId="77777777"/>
    <w:p w:rsidR="00672289" w:rsidP="000853B5" w:rsidRDefault="00672289" w14:paraId="39F16B57" w14:textId="77777777"/>
    <w:p w:rsidR="00672289" w:rsidP="000853B5" w:rsidRDefault="00672289" w14:paraId="58761B99" w14:textId="77777777"/>
    <w:p w:rsidR="00672289" w:rsidP="000853B5" w:rsidRDefault="00672289" w14:paraId="1261BE22" w14:textId="77777777"/>
    <w:p w:rsidR="00672289" w:rsidP="000853B5" w:rsidRDefault="00672289" w14:paraId="70C36CEC" w14:textId="77777777"/>
    <w:p w:rsidR="000853B5" w:rsidP="000853B5" w:rsidRDefault="000853B5" w14:paraId="6C422192" w14:textId="77777777"/>
    <w:p w:rsidRPr="00B45D54" w:rsidR="000853B5" w:rsidP="000853B5" w:rsidRDefault="000853B5" w14:paraId="400EC118" w14:textId="77777777"/>
    <w:p w:rsidRPr="00B45D54" w:rsidR="000853B5" w:rsidP="000853B5" w:rsidRDefault="00421FB1" w14:paraId="111294A8" w14:textId="77777777">
      <w:r w:rsidRPr="00B45D54">
        <w:t xml:space="preserve">[1] Radar, 9 februari 2026,'Klachten over grootste </w:t>
      </w:r>
      <w:r w:rsidRPr="00B45D54">
        <w:t>commerci</w:t>
      </w:r>
      <w:r w:rsidRPr="00B45D54">
        <w:rPr>
          <w:rFonts w:hint="eastAsia"/>
        </w:rPr>
        <w:t>ë</w:t>
      </w:r>
      <w:r w:rsidRPr="00B45D54">
        <w:t>le huisartsenpraktijk in Nederland', Uitzending</w:t>
      </w:r>
      <w:r>
        <w:t xml:space="preserve"> </w:t>
      </w:r>
      <w:r w:rsidRPr="00B45D54">
        <w:t>Radar 9 februari: Stijging VVE-bijdrage, rolstoel nooit geleverd en problemen bij commerci</w:t>
      </w:r>
      <w:r w:rsidRPr="00B45D54">
        <w:rPr>
          <w:rFonts w:hint="eastAsia"/>
        </w:rPr>
        <w:t>ë</w:t>
      </w:r>
      <w:r w:rsidRPr="00B45D54">
        <w:t>le</w:t>
      </w:r>
      <w:r>
        <w:t xml:space="preserve"> </w:t>
      </w:r>
      <w:r w:rsidRPr="00B45D54">
        <w:t>huisartsenpraktijk | Radar.</w:t>
      </w:r>
    </w:p>
    <w:p w:rsidRPr="00B45D54" w:rsidR="000853B5" w:rsidP="000853B5" w:rsidRDefault="00421FB1" w14:paraId="10DDA9D5" w14:textId="77777777">
      <w:r w:rsidRPr="00B45D54">
        <w:lastRenderedPageBreak/>
        <w:t xml:space="preserve">[2] Notaoverleg, 26 mei 2025, 'Initiatiefnota van het lid </w:t>
      </w:r>
      <w:proofErr w:type="spellStart"/>
      <w:r w:rsidRPr="00B45D54">
        <w:t>Bushoff</w:t>
      </w:r>
      <w:proofErr w:type="spellEnd"/>
      <w:r w:rsidRPr="00B45D54">
        <w:t xml:space="preserve"> - Stop de commercie, steun de huisarts. Een</w:t>
      </w:r>
      <w:r>
        <w:t xml:space="preserve"> </w:t>
      </w:r>
      <w:r w:rsidRPr="00B45D54">
        <w:t xml:space="preserve">plan voor toekomstbestendige huisartsenzorg (Kamerstuk 36666)' Initiatiefnota van het lid </w:t>
      </w:r>
      <w:proofErr w:type="spellStart"/>
      <w:r w:rsidRPr="00B45D54">
        <w:t>Bushoff</w:t>
      </w:r>
      <w:proofErr w:type="spellEnd"/>
      <w:r w:rsidRPr="00B45D54">
        <w:t xml:space="preserve"> - </w:t>
      </w:r>
      <w:r w:rsidRPr="00B45D54">
        <w:rPr>
          <w:rFonts w:hint="eastAsia"/>
        </w:rPr>
        <w:t>“</w:t>
      </w:r>
      <w:r w:rsidRPr="00B45D54">
        <w:t>Stop de</w:t>
      </w:r>
      <w:r>
        <w:t xml:space="preserve"> </w:t>
      </w:r>
      <w:r w:rsidRPr="00B45D54">
        <w:t>commercie, steun de huisarts. Een plan voor toekomstbestendige huisartsenzorg</w:t>
      </w:r>
      <w:r w:rsidRPr="00B45D54">
        <w:rPr>
          <w:rFonts w:hint="eastAsia"/>
        </w:rPr>
        <w:t>”</w:t>
      </w:r>
      <w:r w:rsidRPr="00B45D54">
        <w:t xml:space="preserve"> (Kamerstuk 36666) |</w:t>
      </w:r>
      <w:r>
        <w:t xml:space="preserve"> </w:t>
      </w:r>
      <w:r w:rsidRPr="00B45D54">
        <w:t>Tweede Kamer der Staten-Generaal.</w:t>
      </w:r>
    </w:p>
    <w:p w:rsidRPr="00B45D54" w:rsidR="000853B5" w:rsidP="000853B5" w:rsidRDefault="00421FB1" w14:paraId="22C8F7B8" w14:textId="77777777">
      <w:r w:rsidRPr="00B45D54">
        <w:t>[3] Kamerstuk 36666, nr. 5.</w:t>
      </w:r>
    </w:p>
    <w:p w:rsidR="000853B5" w:rsidP="00A97BB8" w:rsidRDefault="000853B5" w14:paraId="12D40F2F" w14:textId="77777777"/>
    <w:sectPr w:rsidR="000853B5"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71E80" w14:textId="77777777" w:rsidR="00F04397" w:rsidRDefault="00F04397">
      <w:pPr>
        <w:spacing w:line="240" w:lineRule="auto"/>
      </w:pPr>
      <w:r>
        <w:separator/>
      </w:r>
    </w:p>
  </w:endnote>
  <w:endnote w:type="continuationSeparator" w:id="0">
    <w:p w14:paraId="1A675473" w14:textId="77777777" w:rsidR="00F04397" w:rsidRDefault="00F043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00000000"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96031" w14:textId="77777777" w:rsidR="00D11661" w:rsidRDefault="00421FB1">
    <w:pPr>
      <w:pStyle w:val="Voettekst"/>
    </w:pPr>
    <w:r>
      <w:rPr>
        <w:noProof/>
      </w:rPr>
      <mc:AlternateContent>
        <mc:Choice Requires="wps">
          <w:drawing>
            <wp:anchor distT="0" distB="0" distL="114300" distR="114300" simplePos="0" relativeHeight="251655168" behindDoc="0" locked="0" layoutInCell="1" allowOverlap="1" wp14:anchorId="2ACA4545" wp14:editId="2CD041E8">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B28269" w14:textId="77777777" w:rsidR="00D11661" w:rsidRDefault="00421FB1"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ACA4545"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36B28269" w14:textId="77777777" w:rsidR="00D11661" w:rsidRDefault="00421FB1"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1DB1B" w14:textId="77777777" w:rsidR="00D11661" w:rsidRDefault="00421FB1">
    <w:pPr>
      <w:pStyle w:val="Voettekst"/>
    </w:pPr>
    <w:r>
      <w:rPr>
        <w:noProof/>
      </w:rPr>
      <mc:AlternateContent>
        <mc:Choice Requires="wps">
          <w:drawing>
            <wp:anchor distT="0" distB="0" distL="114300" distR="114300" simplePos="0" relativeHeight="251660288" behindDoc="0" locked="0" layoutInCell="1" allowOverlap="1" wp14:anchorId="4C7D32F4" wp14:editId="7A189407">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BB4066" w14:textId="77777777" w:rsidR="00D11661" w:rsidRDefault="00421FB1"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C7D32F4"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6ABB4066" w14:textId="77777777" w:rsidR="00D11661" w:rsidRDefault="00421FB1"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D2F55" w14:textId="77777777" w:rsidR="00F860AE" w:rsidRDefault="00421FB1">
    <w:pPr>
      <w:pStyle w:val="Voettekst"/>
    </w:pPr>
    <w:r>
      <w:rPr>
        <w:noProof/>
      </w:rPr>
      <mc:AlternateContent>
        <mc:Choice Requires="wps">
          <w:drawing>
            <wp:anchor distT="0" distB="0" distL="114300" distR="114300" simplePos="0" relativeHeight="251657216" behindDoc="0" locked="0" layoutInCell="1" allowOverlap="1" wp14:anchorId="1BF3C522" wp14:editId="71DE751A">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EB7579" w14:textId="77777777" w:rsidR="00D11661" w:rsidRDefault="00421FB1"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BF3C522"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72EB7579" w14:textId="77777777" w:rsidR="00D11661" w:rsidRDefault="00421FB1"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F6F0D" w14:textId="77777777" w:rsidR="00F04397" w:rsidRDefault="00F04397">
      <w:pPr>
        <w:spacing w:line="240" w:lineRule="auto"/>
      </w:pPr>
      <w:r>
        <w:separator/>
      </w:r>
    </w:p>
  </w:footnote>
  <w:footnote w:type="continuationSeparator" w:id="0">
    <w:p w14:paraId="014D2447" w14:textId="77777777" w:rsidR="00F04397" w:rsidRDefault="00F04397">
      <w:pPr>
        <w:spacing w:line="240" w:lineRule="auto"/>
      </w:pPr>
      <w:r>
        <w:continuationSeparator/>
      </w:r>
    </w:p>
  </w:footnote>
  <w:footnote w:id="1">
    <w:p w14:paraId="7E3F58C8" w14:textId="77777777" w:rsidR="000853B5" w:rsidRPr="008552A2" w:rsidRDefault="00421FB1" w:rsidP="000853B5">
      <w:pPr>
        <w:pStyle w:val="Voetnoottekst"/>
        <w:rPr>
          <w:sz w:val="16"/>
          <w:szCs w:val="16"/>
        </w:rPr>
      </w:pPr>
      <w:r w:rsidRPr="008552A2">
        <w:rPr>
          <w:rStyle w:val="Voetnootmarkering"/>
          <w:sz w:val="16"/>
          <w:szCs w:val="16"/>
        </w:rPr>
        <w:footnoteRef/>
      </w:r>
      <w:r w:rsidRPr="008552A2">
        <w:rPr>
          <w:sz w:val="16"/>
          <w:szCs w:val="16"/>
        </w:rPr>
        <w:t xml:space="preserve"> </w:t>
      </w:r>
      <w:hyperlink r:id="rId1" w:history="1">
        <w:r w:rsidR="000853B5" w:rsidRPr="008552A2">
          <w:rPr>
            <w:rStyle w:val="Hyperlink"/>
            <w:sz w:val="16"/>
            <w:szCs w:val="16"/>
          </w:rPr>
          <w:t>https://toezichtdocumenten.igj.nl/link/publicatie?publ=9cabb5a4-a9ed-4e96-93e2-de93ddc69607</w:t>
        </w:r>
      </w:hyperlink>
      <w:r w:rsidRPr="008552A2">
        <w:rPr>
          <w:sz w:val="16"/>
          <w:szCs w:val="16"/>
        </w:rPr>
        <w:t xml:space="preserve"> </w:t>
      </w:r>
    </w:p>
  </w:footnote>
  <w:footnote w:id="2">
    <w:p w14:paraId="5F3DF80D" w14:textId="77777777" w:rsidR="000853B5" w:rsidRPr="008552A2" w:rsidRDefault="00421FB1" w:rsidP="000853B5">
      <w:pPr>
        <w:pStyle w:val="Voetnoottekst"/>
        <w:rPr>
          <w:sz w:val="16"/>
          <w:szCs w:val="16"/>
        </w:rPr>
      </w:pPr>
      <w:r w:rsidRPr="008552A2">
        <w:rPr>
          <w:rStyle w:val="Voetnootmarkering"/>
          <w:sz w:val="16"/>
          <w:szCs w:val="16"/>
        </w:rPr>
        <w:footnoteRef/>
      </w:r>
      <w:r w:rsidRPr="008552A2">
        <w:rPr>
          <w:sz w:val="16"/>
          <w:szCs w:val="16"/>
        </w:rPr>
        <w:t xml:space="preserve"> </w:t>
      </w:r>
      <w:r w:rsidR="00863750">
        <w:rPr>
          <w:sz w:val="16"/>
          <w:szCs w:val="16"/>
        </w:rPr>
        <w:t>Kamerstukken II, 2025/2026, 33578, nr. 172</w:t>
      </w:r>
      <w:r w:rsidRPr="008552A2">
        <w:rPr>
          <w:sz w:val="16"/>
          <w:szCs w:val="16"/>
        </w:rPr>
        <w:t xml:space="preserve"> </w:t>
      </w:r>
    </w:p>
  </w:footnote>
  <w:footnote w:id="3">
    <w:p w14:paraId="6761ED40" w14:textId="77777777" w:rsidR="000853B5" w:rsidRPr="00701BC5" w:rsidRDefault="00421FB1" w:rsidP="000853B5">
      <w:pPr>
        <w:pStyle w:val="Voetnoottekst"/>
      </w:pPr>
      <w:r w:rsidRPr="008552A2">
        <w:rPr>
          <w:rStyle w:val="Voetnootmarkering"/>
          <w:sz w:val="16"/>
          <w:szCs w:val="16"/>
        </w:rPr>
        <w:footnoteRef/>
      </w:r>
      <w:r w:rsidRPr="008552A2">
        <w:rPr>
          <w:sz w:val="16"/>
          <w:szCs w:val="16"/>
        </w:rPr>
        <w:t xml:space="preserve"> </w:t>
      </w:r>
      <w:hyperlink r:id="rId2" w:history="1">
        <w:r w:rsidR="000853B5" w:rsidRPr="00D43843">
          <w:rPr>
            <w:rStyle w:val="Hyperlink"/>
            <w:sz w:val="16"/>
            <w:szCs w:val="16"/>
          </w:rPr>
          <w:t>https://www.nhg.org/thema/digitale-zorg/visie-op-digitale-huisartsenzorg/</w:t>
        </w:r>
      </w:hyperlink>
      <w:r>
        <w:rPr>
          <w:sz w:val="16"/>
          <w:szCs w:val="16"/>
        </w:rPr>
        <w:t xml:space="preserve"> </w:t>
      </w:r>
      <w:r w:rsidRPr="00C87FAF">
        <w:rPr>
          <w:highlight w:val="yellow"/>
        </w:rPr>
        <w:fldChar w:fldCharType="begin"/>
      </w:r>
      <w:r w:rsidRPr="00C87FAF">
        <w:rPr>
          <w:highlight w:val="yellow"/>
        </w:rPr>
        <w:instrText xml:space="preserve"> "https://www.nhg.org/thema/digitale-zorg/visie-op-digitale-huisartsenzorg/"</w:instrText>
      </w:r>
      <w:r w:rsidRPr="00C87FAF">
        <w:rPr>
          <w:highlight w:val="yellow"/>
        </w:rPr>
        <w:fldChar w:fldCharType="separate"/>
      </w:r>
      <w:r w:rsidRPr="00C87FAF">
        <w:rPr>
          <w:rStyle w:val="Hyperlink"/>
          <w:sz w:val="16"/>
          <w:szCs w:val="16"/>
          <w:highlight w:val="yellow"/>
        </w:rPr>
        <w:t>https://www.nhg.org/thema/digitale-zorg/visie-op-digitale-huisartsenzorg/</w:t>
      </w:r>
      <w:r w:rsidRPr="00C87FAF">
        <w:rPr>
          <w:highlight w:val="yellow"/>
        </w:rPr>
        <w:fldChar w:fldCharType="end"/>
      </w:r>
      <w:r w:rsidRPr="008552A2">
        <w:rPr>
          <w:sz w:val="16"/>
          <w:szCs w:val="16"/>
        </w:rPr>
        <w:t xml:space="preserve"> </w:t>
      </w:r>
    </w:p>
  </w:footnote>
  <w:footnote w:id="4">
    <w:p w14:paraId="32D7AAFC" w14:textId="77777777" w:rsidR="000853B5" w:rsidRPr="006C2E01" w:rsidRDefault="00421FB1" w:rsidP="000853B5">
      <w:pPr>
        <w:pStyle w:val="Voetnoottekst"/>
        <w:rPr>
          <w:sz w:val="16"/>
          <w:szCs w:val="16"/>
        </w:rPr>
      </w:pPr>
      <w:r w:rsidRPr="006C2E01">
        <w:rPr>
          <w:rStyle w:val="Voetnootmarkering"/>
          <w:sz w:val="20"/>
        </w:rPr>
        <w:footnoteRef/>
      </w:r>
      <w:r w:rsidRPr="006C2E01">
        <w:rPr>
          <w:sz w:val="20"/>
        </w:rPr>
        <w:t xml:space="preserve"> </w:t>
      </w:r>
      <w:hyperlink r:id="rId3" w:history="1">
        <w:r w:rsidR="000853B5" w:rsidRPr="006C2E01">
          <w:rPr>
            <w:rStyle w:val="Hyperlink"/>
            <w:sz w:val="16"/>
            <w:szCs w:val="16"/>
          </w:rPr>
          <w:t>https://puc.overheid.nl/nza/doc/PUC_758878_22/</w:t>
        </w:r>
      </w:hyperlink>
      <w:r w:rsidRPr="006C2E01">
        <w:rPr>
          <w:sz w:val="16"/>
          <w:szCs w:val="16"/>
        </w:rPr>
        <w:t xml:space="preserve"> </w:t>
      </w:r>
    </w:p>
  </w:footnote>
  <w:footnote w:id="5">
    <w:p w14:paraId="16C74D42" w14:textId="77777777" w:rsidR="000853B5" w:rsidRPr="00A83EAE" w:rsidRDefault="00421FB1" w:rsidP="000853B5">
      <w:pPr>
        <w:pStyle w:val="Voetnoottekst"/>
      </w:pPr>
      <w:r>
        <w:rPr>
          <w:rStyle w:val="Voetnootmarkering"/>
        </w:rPr>
        <w:footnoteRef/>
      </w:r>
      <w:r w:rsidRPr="00A83EAE">
        <w:t xml:space="preserve"> </w:t>
      </w:r>
      <w:r w:rsidR="00863750">
        <w:rPr>
          <w:sz w:val="16"/>
          <w:szCs w:val="16"/>
        </w:rPr>
        <w:t>Kamerstukken II, 2025/2026, 33578, nr. 172</w:t>
      </w:r>
    </w:p>
  </w:footnote>
  <w:footnote w:id="6">
    <w:p w14:paraId="76EB89EE" w14:textId="77777777" w:rsidR="000853B5" w:rsidRDefault="00421FB1" w:rsidP="000853B5">
      <w:pPr>
        <w:pStyle w:val="Voetnoottekst"/>
      </w:pPr>
      <w:r>
        <w:rPr>
          <w:rStyle w:val="Voetnootmarkering"/>
        </w:rPr>
        <w:footnoteRef/>
      </w:r>
      <w:r w:rsidRPr="008F3F3C">
        <w:t xml:space="preserve"> </w:t>
      </w:r>
      <w:r w:rsidRPr="008F3F3C">
        <w:rPr>
          <w:sz w:val="16"/>
          <w:szCs w:val="16"/>
        </w:rPr>
        <w:t>Kamerstukken II, 2025/2026, 33578, nr. 165.</w:t>
      </w:r>
    </w:p>
  </w:footnote>
  <w:footnote w:id="7">
    <w:p w14:paraId="45176F10" w14:textId="77777777" w:rsidR="000853B5" w:rsidRPr="00FA6327" w:rsidRDefault="00421FB1" w:rsidP="000853B5">
      <w:pPr>
        <w:pStyle w:val="Voetnoottekst"/>
      </w:pPr>
      <w:r>
        <w:rPr>
          <w:rStyle w:val="Voetnootmarkering"/>
        </w:rPr>
        <w:footnoteRef/>
      </w:r>
      <w:r w:rsidRPr="00FA6327">
        <w:t xml:space="preserve"> </w:t>
      </w:r>
      <w:r w:rsidR="00863750">
        <w:rPr>
          <w:sz w:val="16"/>
          <w:szCs w:val="16"/>
        </w:rPr>
        <w:t>Kamerstukken II, 2025/2026, 33578, nr. 172</w:t>
      </w:r>
    </w:p>
  </w:footnote>
  <w:footnote w:id="8">
    <w:p w14:paraId="2F0C9F8A" w14:textId="77777777" w:rsidR="000853B5" w:rsidRDefault="00421FB1" w:rsidP="000853B5">
      <w:pPr>
        <w:pStyle w:val="Voetnoottekst"/>
      </w:pPr>
      <w:r>
        <w:rPr>
          <w:rStyle w:val="Voetnootmarkering"/>
        </w:rPr>
        <w:footnoteRef/>
      </w:r>
      <w:r>
        <w:t xml:space="preserve"> </w:t>
      </w:r>
      <w:r>
        <w:rPr>
          <w:sz w:val="16"/>
          <w:szCs w:val="16"/>
        </w:rPr>
        <w:t>Kamerstukken II, 2024/25, 36686, nr. 2.</w:t>
      </w:r>
    </w:p>
  </w:footnote>
  <w:footnote w:id="9">
    <w:p w14:paraId="12514C19" w14:textId="77777777" w:rsidR="000853B5" w:rsidRDefault="00421FB1" w:rsidP="000853B5">
      <w:pPr>
        <w:pStyle w:val="Voetnoottekst"/>
        <w:rPr>
          <w:sz w:val="16"/>
          <w:szCs w:val="16"/>
        </w:rPr>
      </w:pPr>
      <w:r w:rsidRPr="006C2E01">
        <w:rPr>
          <w:rStyle w:val="Voetnootmarkering"/>
          <w:sz w:val="20"/>
        </w:rPr>
        <w:footnoteRef/>
      </w:r>
      <w:r w:rsidRPr="006C2E01">
        <w:rPr>
          <w:sz w:val="20"/>
        </w:rPr>
        <w:t xml:space="preserve"> </w:t>
      </w:r>
      <w:r>
        <w:rPr>
          <w:sz w:val="16"/>
          <w:szCs w:val="16"/>
        </w:rPr>
        <w:t>Kamerstukken II, 2024/25, 31765 nr. 899.</w:t>
      </w:r>
    </w:p>
  </w:footnote>
  <w:footnote w:id="10">
    <w:p w14:paraId="53E12230" w14:textId="77777777" w:rsidR="000853B5" w:rsidRPr="00610CB7" w:rsidRDefault="00421FB1" w:rsidP="000853B5">
      <w:pPr>
        <w:pStyle w:val="Voetnoottekst"/>
      </w:pPr>
      <w:r>
        <w:rPr>
          <w:rStyle w:val="Voetnootmarkering"/>
        </w:rPr>
        <w:footnoteRef/>
      </w:r>
      <w:r w:rsidRPr="00610CB7">
        <w:t xml:space="preserve"> </w:t>
      </w:r>
      <w:r w:rsidR="00863750">
        <w:rPr>
          <w:sz w:val="16"/>
          <w:szCs w:val="16"/>
        </w:rPr>
        <w:t>Kamerstukken II, 2025/2026, 33578, nr. 172</w:t>
      </w:r>
    </w:p>
  </w:footnote>
  <w:footnote w:id="11">
    <w:p w14:paraId="7EE973BC" w14:textId="77777777" w:rsidR="00336726" w:rsidRPr="00F15743" w:rsidRDefault="00421FB1" w:rsidP="00336726">
      <w:pPr>
        <w:pStyle w:val="Voetnoottekst"/>
        <w:rPr>
          <w:sz w:val="16"/>
          <w:szCs w:val="16"/>
        </w:rPr>
      </w:pPr>
      <w:r>
        <w:rPr>
          <w:rStyle w:val="Voetnootmarkering"/>
        </w:rPr>
        <w:footnoteRef/>
      </w:r>
      <w:r>
        <w:t xml:space="preserve"> </w:t>
      </w:r>
      <w:r w:rsidRPr="00F15743">
        <w:rPr>
          <w:sz w:val="16"/>
          <w:szCs w:val="16"/>
        </w:rPr>
        <w:t>K</w:t>
      </w:r>
      <w:r w:rsidR="002E6736" w:rsidRPr="00F15743">
        <w:rPr>
          <w:sz w:val="16"/>
          <w:szCs w:val="16"/>
        </w:rPr>
        <w:t>amerstukken II, 2025/2026,</w:t>
      </w:r>
      <w:r w:rsidRPr="00F15743">
        <w:rPr>
          <w:sz w:val="16"/>
          <w:szCs w:val="16"/>
        </w:rPr>
        <w:t xml:space="preserve"> 29 247, nr. 480.</w:t>
      </w:r>
    </w:p>
  </w:footnote>
  <w:footnote w:id="12">
    <w:p w14:paraId="5D09ED81" w14:textId="77777777" w:rsidR="00863750" w:rsidRPr="00F15743" w:rsidRDefault="00421FB1">
      <w:pPr>
        <w:pStyle w:val="Voetnoottekst"/>
        <w:rPr>
          <w:sz w:val="16"/>
          <w:szCs w:val="16"/>
        </w:rPr>
      </w:pPr>
      <w:r w:rsidRPr="00F15743">
        <w:rPr>
          <w:rStyle w:val="Voetnootmarkering"/>
          <w:sz w:val="16"/>
          <w:szCs w:val="16"/>
        </w:rPr>
        <w:footnoteRef/>
      </w:r>
      <w:r w:rsidRPr="00F15743">
        <w:rPr>
          <w:sz w:val="16"/>
          <w:szCs w:val="16"/>
        </w:rPr>
        <w:t xml:space="preserve"> Kamerstukken II, 2025/2026, 33578, nr. 36 666</w:t>
      </w:r>
    </w:p>
  </w:footnote>
  <w:footnote w:id="13">
    <w:p w14:paraId="60E95197" w14:textId="77777777" w:rsidR="000853B5" w:rsidRPr="00F15743" w:rsidRDefault="00421FB1" w:rsidP="000853B5">
      <w:pPr>
        <w:pStyle w:val="Voetnoottekst"/>
        <w:rPr>
          <w:sz w:val="16"/>
          <w:szCs w:val="16"/>
        </w:rPr>
      </w:pPr>
      <w:r w:rsidRPr="00F15743">
        <w:rPr>
          <w:rStyle w:val="Voetnootmarkering"/>
          <w:sz w:val="16"/>
          <w:szCs w:val="16"/>
        </w:rPr>
        <w:footnoteRef/>
      </w:r>
      <w:r w:rsidRPr="00F15743">
        <w:rPr>
          <w:sz w:val="16"/>
          <w:szCs w:val="16"/>
        </w:rPr>
        <w:t xml:space="preserve"> </w:t>
      </w:r>
      <w:r w:rsidR="00863750" w:rsidRPr="002E6736">
        <w:rPr>
          <w:sz w:val="16"/>
          <w:szCs w:val="16"/>
        </w:rPr>
        <w:t>Kamerstukken II, 2025/2026, 33578, nr. 172</w:t>
      </w:r>
    </w:p>
  </w:footnote>
  <w:footnote w:id="14">
    <w:p w14:paraId="71EC04FD" w14:textId="77777777" w:rsidR="000853B5" w:rsidRPr="00F15743" w:rsidRDefault="00421FB1" w:rsidP="000853B5">
      <w:pPr>
        <w:pStyle w:val="Voetnoottekst"/>
        <w:rPr>
          <w:sz w:val="16"/>
          <w:szCs w:val="16"/>
        </w:rPr>
      </w:pPr>
      <w:r w:rsidRPr="00F15743">
        <w:rPr>
          <w:rStyle w:val="Voetnootmarkering"/>
          <w:sz w:val="16"/>
          <w:szCs w:val="16"/>
        </w:rPr>
        <w:footnoteRef/>
      </w:r>
      <w:r w:rsidRPr="00F15743">
        <w:rPr>
          <w:sz w:val="16"/>
          <w:szCs w:val="16"/>
        </w:rPr>
        <w:t xml:space="preserve"> </w:t>
      </w:r>
      <w:r w:rsidR="00863750" w:rsidRPr="002E6736">
        <w:rPr>
          <w:sz w:val="16"/>
          <w:szCs w:val="16"/>
        </w:rPr>
        <w:t>Kamerstukken II, 2025/2026, 33578, nr. 172</w:t>
      </w:r>
    </w:p>
    <w:p w14:paraId="068856C6" w14:textId="77777777" w:rsidR="000853B5" w:rsidRPr="00D648C0" w:rsidRDefault="000853B5" w:rsidP="000853B5">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35774" w14:textId="77777777" w:rsidR="00F860AE" w:rsidRDefault="00421FB1"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015E4241" wp14:editId="18207B34">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13313B"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15E4241"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3613313B"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4C423" w14:textId="77777777" w:rsidR="00F860AE" w:rsidRDefault="00421FB1">
    <w:pPr>
      <w:pStyle w:val="Koptekst"/>
    </w:pPr>
    <w:r>
      <w:rPr>
        <w:noProof/>
      </w:rPr>
      <w:drawing>
        <wp:anchor distT="0" distB="0" distL="114300" distR="114300" simplePos="0" relativeHeight="251658240" behindDoc="0" locked="0" layoutInCell="1" allowOverlap="1" wp14:anchorId="3123273A" wp14:editId="2CA496EE">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6532A2" w14:textId="77777777" w:rsidR="00F860AE" w:rsidRDefault="00421FB1">
    <w:pPr>
      <w:pStyle w:val="Koptekst"/>
    </w:pPr>
    <w:r w:rsidRPr="002A273F">
      <w:rPr>
        <w:noProof/>
      </w:rPr>
      <mc:AlternateContent>
        <mc:Choice Requires="wps">
          <w:drawing>
            <wp:anchor distT="0" distB="0" distL="114300" distR="114300" simplePos="0" relativeHeight="251659264" behindDoc="0" locked="0" layoutInCell="1" allowOverlap="1" wp14:anchorId="413EE2CB" wp14:editId="248F5C07">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0AD6A" w14:textId="77777777" w:rsidR="00F860AE" w:rsidRDefault="00421FB1" w:rsidP="00A97BB8">
                          <w:pPr>
                            <w:pStyle w:val="Afzendgegevens"/>
                          </w:pPr>
                          <w:r>
                            <w:t>Bezoekadres:</w:t>
                          </w:r>
                        </w:p>
                        <w:p w14:paraId="32E99C64" w14:textId="77777777" w:rsidR="00F860AE" w:rsidRDefault="00421FB1" w:rsidP="00A97BB8">
                          <w:pPr>
                            <w:pStyle w:val="Afzendgegevens"/>
                          </w:pPr>
                          <w:r>
                            <w:t>Parnassusplein 5</w:t>
                          </w:r>
                        </w:p>
                        <w:p w14:paraId="47217CD9" w14:textId="77777777" w:rsidR="00F860AE" w:rsidRDefault="00421FB1" w:rsidP="00A97BB8">
                          <w:pPr>
                            <w:pStyle w:val="Afzendgegevens"/>
                          </w:pPr>
                          <w:r>
                            <w:t>251</w:t>
                          </w:r>
                          <w:r w:rsidR="00375EAB">
                            <w:t>1</w:t>
                          </w:r>
                          <w:r>
                            <w:t xml:space="preserve"> </w:t>
                          </w:r>
                          <w:r w:rsidR="00375EAB">
                            <w:t>VX</w:t>
                          </w:r>
                          <w:r>
                            <w:t xml:space="preserve"> </w:t>
                          </w:r>
                          <w:r w:rsidR="009A0B66">
                            <w:t xml:space="preserve"> </w:t>
                          </w:r>
                          <w:r w:rsidR="00375EAB">
                            <w:t>Den Haag</w:t>
                          </w:r>
                        </w:p>
                        <w:p w14:paraId="6ABF6679" w14:textId="77777777" w:rsidR="00F860AE" w:rsidRDefault="00421FB1" w:rsidP="00A97BB8">
                          <w:pPr>
                            <w:pStyle w:val="Afzendgegevens"/>
                            <w:tabs>
                              <w:tab w:val="left" w:pos="170"/>
                            </w:tabs>
                          </w:pPr>
                          <w:r>
                            <w:t>T</w:t>
                          </w:r>
                          <w:r>
                            <w:tab/>
                            <w:t>070 340 79 11</w:t>
                          </w:r>
                        </w:p>
                        <w:p w14:paraId="4BCB2166" w14:textId="77777777" w:rsidR="00F860AE" w:rsidRDefault="00421FB1" w:rsidP="00A97BB8">
                          <w:pPr>
                            <w:pStyle w:val="Afzendgegevens"/>
                            <w:tabs>
                              <w:tab w:val="left" w:pos="170"/>
                            </w:tabs>
                          </w:pPr>
                          <w:r>
                            <w:t>F</w:t>
                          </w:r>
                          <w:r>
                            <w:tab/>
                            <w:t>070 340 78 34</w:t>
                          </w:r>
                        </w:p>
                        <w:p w14:paraId="4ACD200B" w14:textId="77777777" w:rsidR="00F860AE" w:rsidRDefault="00421FB1" w:rsidP="00A97BB8">
                          <w:pPr>
                            <w:pStyle w:val="Afzendgegevens"/>
                          </w:pPr>
                          <w:r>
                            <w:t>www.</w:t>
                          </w:r>
                          <w:r w:rsidR="00C2746E">
                            <w:t>rijksoverheid</w:t>
                          </w:r>
                          <w:r>
                            <w:t>.nl</w:t>
                          </w:r>
                        </w:p>
                        <w:p w14:paraId="3A53259B" w14:textId="77777777" w:rsidR="00F860AE" w:rsidRDefault="00F860AE" w:rsidP="00A97BB8">
                          <w:pPr>
                            <w:pStyle w:val="Afzendgegevenswitregel2"/>
                          </w:pPr>
                        </w:p>
                        <w:p w14:paraId="22D67C75" w14:textId="77777777" w:rsidR="00F860AE" w:rsidRDefault="00421FB1" w:rsidP="00A97BB8">
                          <w:pPr>
                            <w:pStyle w:val="Afzendgegevenskopjes"/>
                          </w:pPr>
                          <w:r>
                            <w:t>Ons kenmerk</w:t>
                          </w:r>
                        </w:p>
                        <w:p w14:paraId="1971637B" w14:textId="77777777" w:rsidR="00D74EDF" w:rsidRPr="00420166" w:rsidRDefault="00421FB1" w:rsidP="00D74EDF">
                          <w:pPr>
                            <w:pStyle w:val="Huisstijl-Referentiegegevens"/>
                          </w:pPr>
                          <w:r>
                            <w:t>4352365-1094282-CZ</w:t>
                          </w:r>
                        </w:p>
                        <w:p w14:paraId="2E022A65" w14:textId="77777777" w:rsidR="00F860AE" w:rsidRDefault="00F860AE" w:rsidP="00A97BB8">
                          <w:pPr>
                            <w:pStyle w:val="Afzendgegevenswitregel1"/>
                          </w:pPr>
                        </w:p>
                        <w:p w14:paraId="24212DD3" w14:textId="77777777" w:rsidR="00F860AE" w:rsidRDefault="00421FB1" w:rsidP="00A97BB8">
                          <w:pPr>
                            <w:pStyle w:val="Afzendgegevenskopjes"/>
                          </w:pPr>
                          <w:r>
                            <w:t>Bijlagen</w:t>
                          </w:r>
                        </w:p>
                        <w:p w14:paraId="27E7B5EB" w14:textId="77777777" w:rsidR="00F860AE" w:rsidRDefault="00421FB1" w:rsidP="00A97BB8">
                          <w:pPr>
                            <w:pStyle w:val="Afzendgegevens"/>
                          </w:pPr>
                          <w:bookmarkStart w:id="4" w:name="bmkBijlagen"/>
                          <w:bookmarkEnd w:id="4"/>
                          <w:r>
                            <w:t>1</w:t>
                          </w:r>
                        </w:p>
                        <w:p w14:paraId="7F3AD009" w14:textId="77777777" w:rsidR="00F860AE" w:rsidRDefault="00F860AE" w:rsidP="00A97BB8">
                          <w:pPr>
                            <w:pStyle w:val="Afzendgegevenswitregel1"/>
                          </w:pPr>
                        </w:p>
                        <w:p w14:paraId="0E4BD70B" w14:textId="77777777" w:rsidR="00F860AE" w:rsidRDefault="00421FB1" w:rsidP="00A97BB8">
                          <w:pPr>
                            <w:pStyle w:val="Afzendgegevenskopjes"/>
                          </w:pPr>
                          <w:r>
                            <w:t>Datum document</w:t>
                          </w:r>
                        </w:p>
                        <w:p w14:paraId="0E857885" w14:textId="77777777" w:rsidR="00D74EDF" w:rsidRPr="00D74EDF" w:rsidRDefault="00421FB1" w:rsidP="00D74EDF">
                          <w:pPr>
                            <w:spacing w:line="180" w:lineRule="atLeast"/>
                            <w:rPr>
                              <w:rFonts w:eastAsia="SimSun"/>
                              <w:sz w:val="13"/>
                            </w:rPr>
                          </w:pPr>
                          <w:bookmarkStart w:id="5" w:name="bmkUwBrief"/>
                          <w:bookmarkEnd w:id="5"/>
                          <w:r>
                            <w:rPr>
                              <w:rFonts w:eastAsia="SimSun"/>
                              <w:sz w:val="13"/>
                              <w:szCs w:val="13"/>
                            </w:rPr>
                            <w:t>12 februari 2026</w:t>
                          </w:r>
                        </w:p>
                        <w:p w14:paraId="316D50A6" w14:textId="77777777" w:rsidR="00F860AE" w:rsidRDefault="00F860AE" w:rsidP="00A97BB8">
                          <w:pPr>
                            <w:pStyle w:val="Afzendgegevenswitregel1"/>
                          </w:pPr>
                        </w:p>
                        <w:p w14:paraId="49BBAAF9" w14:textId="77777777" w:rsidR="00F860AE" w:rsidRPr="00C45528" w:rsidRDefault="00421FB1" w:rsidP="00A97BB8">
                          <w:pPr>
                            <w:pStyle w:val="Afzendgegevens"/>
                            <w:rPr>
                              <w:i/>
                            </w:rPr>
                          </w:pPr>
                          <w:r>
                            <w:rPr>
                              <w:i/>
                            </w:rPr>
                            <w:t xml:space="preserve">Correspondentie uitsluitend richten aan het retouradres met </w:t>
                          </w:r>
                          <w:r>
                            <w:rPr>
                              <w:i/>
                            </w:rPr>
                            <w:t>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413EE2CB"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5760AD6A" w14:textId="77777777" w:rsidR="00F860AE" w:rsidRDefault="00421FB1" w:rsidP="00A97BB8">
                    <w:pPr>
                      <w:pStyle w:val="Afzendgegevens"/>
                    </w:pPr>
                    <w:r>
                      <w:t>Bezoekadres:</w:t>
                    </w:r>
                  </w:p>
                  <w:p w14:paraId="32E99C64" w14:textId="77777777" w:rsidR="00F860AE" w:rsidRDefault="00421FB1" w:rsidP="00A97BB8">
                    <w:pPr>
                      <w:pStyle w:val="Afzendgegevens"/>
                    </w:pPr>
                    <w:r>
                      <w:t>Parnassusplein 5</w:t>
                    </w:r>
                  </w:p>
                  <w:p w14:paraId="47217CD9" w14:textId="77777777" w:rsidR="00F860AE" w:rsidRDefault="00421FB1" w:rsidP="00A97BB8">
                    <w:pPr>
                      <w:pStyle w:val="Afzendgegevens"/>
                    </w:pPr>
                    <w:r>
                      <w:t>251</w:t>
                    </w:r>
                    <w:r w:rsidR="00375EAB">
                      <w:t>1</w:t>
                    </w:r>
                    <w:r>
                      <w:t xml:space="preserve"> </w:t>
                    </w:r>
                    <w:r w:rsidR="00375EAB">
                      <w:t>VX</w:t>
                    </w:r>
                    <w:r>
                      <w:t xml:space="preserve"> </w:t>
                    </w:r>
                    <w:r w:rsidR="009A0B66">
                      <w:t xml:space="preserve"> </w:t>
                    </w:r>
                    <w:r w:rsidR="00375EAB">
                      <w:t>Den Haag</w:t>
                    </w:r>
                  </w:p>
                  <w:p w14:paraId="6ABF6679" w14:textId="77777777" w:rsidR="00F860AE" w:rsidRDefault="00421FB1" w:rsidP="00A97BB8">
                    <w:pPr>
                      <w:pStyle w:val="Afzendgegevens"/>
                      <w:tabs>
                        <w:tab w:val="left" w:pos="170"/>
                      </w:tabs>
                    </w:pPr>
                    <w:r>
                      <w:t>T</w:t>
                    </w:r>
                    <w:r>
                      <w:tab/>
                      <w:t>070 340 79 11</w:t>
                    </w:r>
                  </w:p>
                  <w:p w14:paraId="4BCB2166" w14:textId="77777777" w:rsidR="00F860AE" w:rsidRDefault="00421FB1" w:rsidP="00A97BB8">
                    <w:pPr>
                      <w:pStyle w:val="Afzendgegevens"/>
                      <w:tabs>
                        <w:tab w:val="left" w:pos="170"/>
                      </w:tabs>
                    </w:pPr>
                    <w:r>
                      <w:t>F</w:t>
                    </w:r>
                    <w:r>
                      <w:tab/>
                      <w:t>070 340 78 34</w:t>
                    </w:r>
                  </w:p>
                  <w:p w14:paraId="4ACD200B" w14:textId="77777777" w:rsidR="00F860AE" w:rsidRDefault="00421FB1" w:rsidP="00A97BB8">
                    <w:pPr>
                      <w:pStyle w:val="Afzendgegevens"/>
                    </w:pPr>
                    <w:r>
                      <w:t>www.</w:t>
                    </w:r>
                    <w:r w:rsidR="00C2746E">
                      <w:t>rijksoverheid</w:t>
                    </w:r>
                    <w:r>
                      <w:t>.nl</w:t>
                    </w:r>
                  </w:p>
                  <w:p w14:paraId="3A53259B" w14:textId="77777777" w:rsidR="00F860AE" w:rsidRDefault="00F860AE" w:rsidP="00A97BB8">
                    <w:pPr>
                      <w:pStyle w:val="Afzendgegevenswitregel2"/>
                    </w:pPr>
                  </w:p>
                  <w:p w14:paraId="22D67C75" w14:textId="77777777" w:rsidR="00F860AE" w:rsidRDefault="00421FB1" w:rsidP="00A97BB8">
                    <w:pPr>
                      <w:pStyle w:val="Afzendgegevenskopjes"/>
                    </w:pPr>
                    <w:r>
                      <w:t>Ons kenmerk</w:t>
                    </w:r>
                  </w:p>
                  <w:p w14:paraId="1971637B" w14:textId="77777777" w:rsidR="00D74EDF" w:rsidRPr="00420166" w:rsidRDefault="00421FB1" w:rsidP="00D74EDF">
                    <w:pPr>
                      <w:pStyle w:val="Huisstijl-Referentiegegevens"/>
                    </w:pPr>
                    <w:r>
                      <w:t>4352365-1094282-CZ</w:t>
                    </w:r>
                  </w:p>
                  <w:p w14:paraId="2E022A65" w14:textId="77777777" w:rsidR="00F860AE" w:rsidRDefault="00F860AE" w:rsidP="00A97BB8">
                    <w:pPr>
                      <w:pStyle w:val="Afzendgegevenswitregel1"/>
                    </w:pPr>
                  </w:p>
                  <w:p w14:paraId="24212DD3" w14:textId="77777777" w:rsidR="00F860AE" w:rsidRDefault="00421FB1" w:rsidP="00A97BB8">
                    <w:pPr>
                      <w:pStyle w:val="Afzendgegevenskopjes"/>
                    </w:pPr>
                    <w:r>
                      <w:t>Bijlagen</w:t>
                    </w:r>
                  </w:p>
                  <w:p w14:paraId="27E7B5EB" w14:textId="77777777" w:rsidR="00F860AE" w:rsidRDefault="00421FB1" w:rsidP="00A97BB8">
                    <w:pPr>
                      <w:pStyle w:val="Afzendgegevens"/>
                    </w:pPr>
                    <w:bookmarkStart w:id="6" w:name="bmkBijlagen"/>
                    <w:bookmarkEnd w:id="6"/>
                    <w:r>
                      <w:t>1</w:t>
                    </w:r>
                  </w:p>
                  <w:p w14:paraId="7F3AD009" w14:textId="77777777" w:rsidR="00F860AE" w:rsidRDefault="00F860AE" w:rsidP="00A97BB8">
                    <w:pPr>
                      <w:pStyle w:val="Afzendgegevenswitregel1"/>
                    </w:pPr>
                  </w:p>
                  <w:p w14:paraId="0E4BD70B" w14:textId="77777777" w:rsidR="00F860AE" w:rsidRDefault="00421FB1" w:rsidP="00A97BB8">
                    <w:pPr>
                      <w:pStyle w:val="Afzendgegevenskopjes"/>
                    </w:pPr>
                    <w:r>
                      <w:t>Datum document</w:t>
                    </w:r>
                  </w:p>
                  <w:p w14:paraId="0E857885" w14:textId="77777777" w:rsidR="00D74EDF" w:rsidRPr="00D74EDF" w:rsidRDefault="00421FB1" w:rsidP="00D74EDF">
                    <w:pPr>
                      <w:spacing w:line="180" w:lineRule="atLeast"/>
                      <w:rPr>
                        <w:rFonts w:eastAsia="SimSun"/>
                        <w:sz w:val="13"/>
                      </w:rPr>
                    </w:pPr>
                    <w:bookmarkStart w:id="7" w:name="bmkUwBrief"/>
                    <w:bookmarkEnd w:id="7"/>
                    <w:r>
                      <w:rPr>
                        <w:rFonts w:eastAsia="SimSun"/>
                        <w:sz w:val="13"/>
                        <w:szCs w:val="13"/>
                      </w:rPr>
                      <w:t>12 februari 2026</w:t>
                    </w:r>
                  </w:p>
                  <w:p w14:paraId="316D50A6" w14:textId="77777777" w:rsidR="00F860AE" w:rsidRDefault="00F860AE" w:rsidP="00A97BB8">
                    <w:pPr>
                      <w:pStyle w:val="Afzendgegevenswitregel1"/>
                    </w:pPr>
                  </w:p>
                  <w:p w14:paraId="49BBAAF9" w14:textId="77777777" w:rsidR="00F860AE" w:rsidRPr="00C45528" w:rsidRDefault="00421FB1" w:rsidP="00A97BB8">
                    <w:pPr>
                      <w:pStyle w:val="Afzendgegevens"/>
                      <w:rPr>
                        <w:i/>
                      </w:rPr>
                    </w:pPr>
                    <w:r>
                      <w:rPr>
                        <w:i/>
                      </w:rPr>
                      <w:t xml:space="preserve">Correspondentie uitsluitend richten aan het retouradres met </w:t>
                    </w:r>
                    <w:r>
                      <w:rPr>
                        <w:i/>
                      </w:rPr>
                      <w:t>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0073" w14:textId="77777777" w:rsidR="00F860AE" w:rsidRDefault="00F860AE">
    <w:pPr>
      <w:pStyle w:val="Koptekst"/>
    </w:pPr>
  </w:p>
  <w:p w14:paraId="61483010"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23DA0C87"/>
    <w:multiLevelType w:val="hybridMultilevel"/>
    <w:tmpl w:val="9488AC90"/>
    <w:lvl w:ilvl="0" w:tplc="F73EAF64">
      <w:start w:val="1"/>
      <w:numFmt w:val="bullet"/>
      <w:lvlText w:val=""/>
      <w:lvlJc w:val="left"/>
      <w:pPr>
        <w:ind w:left="720" w:hanging="360"/>
      </w:pPr>
      <w:rPr>
        <w:rFonts w:ascii="Symbol" w:hAnsi="Symbol" w:hint="default"/>
      </w:rPr>
    </w:lvl>
    <w:lvl w:ilvl="1" w:tplc="FFA4F34E">
      <w:start w:val="1"/>
      <w:numFmt w:val="bullet"/>
      <w:lvlText w:val="o"/>
      <w:lvlJc w:val="left"/>
      <w:pPr>
        <w:ind w:left="1440" w:hanging="360"/>
      </w:pPr>
      <w:rPr>
        <w:rFonts w:ascii="Courier New" w:hAnsi="Courier New" w:cs="Courier New" w:hint="default"/>
      </w:rPr>
    </w:lvl>
    <w:lvl w:ilvl="2" w:tplc="C2828DC2" w:tentative="1">
      <w:start w:val="1"/>
      <w:numFmt w:val="bullet"/>
      <w:lvlText w:val=""/>
      <w:lvlJc w:val="left"/>
      <w:pPr>
        <w:ind w:left="2160" w:hanging="360"/>
      </w:pPr>
      <w:rPr>
        <w:rFonts w:ascii="Wingdings" w:hAnsi="Wingdings" w:hint="default"/>
      </w:rPr>
    </w:lvl>
    <w:lvl w:ilvl="3" w:tplc="DC44D9A6" w:tentative="1">
      <w:start w:val="1"/>
      <w:numFmt w:val="bullet"/>
      <w:lvlText w:val=""/>
      <w:lvlJc w:val="left"/>
      <w:pPr>
        <w:ind w:left="2880" w:hanging="360"/>
      </w:pPr>
      <w:rPr>
        <w:rFonts w:ascii="Symbol" w:hAnsi="Symbol" w:hint="default"/>
      </w:rPr>
    </w:lvl>
    <w:lvl w:ilvl="4" w:tplc="2CAE55DA" w:tentative="1">
      <w:start w:val="1"/>
      <w:numFmt w:val="bullet"/>
      <w:lvlText w:val="o"/>
      <w:lvlJc w:val="left"/>
      <w:pPr>
        <w:ind w:left="3600" w:hanging="360"/>
      </w:pPr>
      <w:rPr>
        <w:rFonts w:ascii="Courier New" w:hAnsi="Courier New" w:cs="Courier New" w:hint="default"/>
      </w:rPr>
    </w:lvl>
    <w:lvl w:ilvl="5" w:tplc="FFAE3CDA" w:tentative="1">
      <w:start w:val="1"/>
      <w:numFmt w:val="bullet"/>
      <w:lvlText w:val=""/>
      <w:lvlJc w:val="left"/>
      <w:pPr>
        <w:ind w:left="4320" w:hanging="360"/>
      </w:pPr>
      <w:rPr>
        <w:rFonts w:ascii="Wingdings" w:hAnsi="Wingdings" w:hint="default"/>
      </w:rPr>
    </w:lvl>
    <w:lvl w:ilvl="6" w:tplc="FC607568" w:tentative="1">
      <w:start w:val="1"/>
      <w:numFmt w:val="bullet"/>
      <w:lvlText w:val=""/>
      <w:lvlJc w:val="left"/>
      <w:pPr>
        <w:ind w:left="5040" w:hanging="360"/>
      </w:pPr>
      <w:rPr>
        <w:rFonts w:ascii="Symbol" w:hAnsi="Symbol" w:hint="default"/>
      </w:rPr>
    </w:lvl>
    <w:lvl w:ilvl="7" w:tplc="AEFEC226" w:tentative="1">
      <w:start w:val="1"/>
      <w:numFmt w:val="bullet"/>
      <w:lvlText w:val="o"/>
      <w:lvlJc w:val="left"/>
      <w:pPr>
        <w:ind w:left="5760" w:hanging="360"/>
      </w:pPr>
      <w:rPr>
        <w:rFonts w:ascii="Courier New" w:hAnsi="Courier New" w:cs="Courier New" w:hint="default"/>
      </w:rPr>
    </w:lvl>
    <w:lvl w:ilvl="8" w:tplc="D484656E" w:tentative="1">
      <w:start w:val="1"/>
      <w:numFmt w:val="bullet"/>
      <w:lvlText w:val=""/>
      <w:lvlJc w:val="left"/>
      <w:pPr>
        <w:ind w:left="6480" w:hanging="360"/>
      </w:pPr>
      <w:rPr>
        <w:rFonts w:ascii="Wingdings" w:hAnsi="Wingdings" w:hint="default"/>
      </w:r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2"/>
  </w:num>
  <w:num w:numId="19" w16cid:durableId="696269844">
    <w:abstractNumId w:val="12"/>
  </w:num>
  <w:num w:numId="20" w16cid:durableId="1098525244">
    <w:abstractNumId w:val="12"/>
  </w:num>
  <w:num w:numId="21" w16cid:durableId="2129426255">
    <w:abstractNumId w:val="13"/>
  </w:num>
  <w:num w:numId="22" w16cid:durableId="1025591674">
    <w:abstractNumId w:val="7"/>
  </w:num>
  <w:num w:numId="23" w16cid:durableId="203370091">
    <w:abstractNumId w:val="6"/>
  </w:num>
  <w:num w:numId="24" w16cid:durableId="194849947">
    <w:abstractNumId w:val="10"/>
  </w:num>
  <w:num w:numId="25" w16cid:durableId="1600524426">
    <w:abstractNumId w:val="13"/>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2"/>
  </w:num>
  <w:num w:numId="36" w16cid:durableId="1474831825">
    <w:abstractNumId w:val="12"/>
  </w:num>
  <w:num w:numId="37" w16cid:durableId="1663505895">
    <w:abstractNumId w:val="12"/>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13508324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26F48"/>
    <w:rsid w:val="00030D87"/>
    <w:rsid w:val="0003701D"/>
    <w:rsid w:val="0004156C"/>
    <w:rsid w:val="00044264"/>
    <w:rsid w:val="000443E7"/>
    <w:rsid w:val="00055B21"/>
    <w:rsid w:val="00067C7F"/>
    <w:rsid w:val="000853B5"/>
    <w:rsid w:val="000905C8"/>
    <w:rsid w:val="00091E11"/>
    <w:rsid w:val="000C3852"/>
    <w:rsid w:val="000C6771"/>
    <w:rsid w:val="000D3311"/>
    <w:rsid w:val="000E456E"/>
    <w:rsid w:val="000E4C38"/>
    <w:rsid w:val="000F262C"/>
    <w:rsid w:val="000F2F05"/>
    <w:rsid w:val="000F3F37"/>
    <w:rsid w:val="00102389"/>
    <w:rsid w:val="00106828"/>
    <w:rsid w:val="00106D6E"/>
    <w:rsid w:val="00111ABC"/>
    <w:rsid w:val="00112CD5"/>
    <w:rsid w:val="00117AEC"/>
    <w:rsid w:val="00126768"/>
    <w:rsid w:val="00132B19"/>
    <w:rsid w:val="0015027E"/>
    <w:rsid w:val="00166333"/>
    <w:rsid w:val="0017367B"/>
    <w:rsid w:val="00175915"/>
    <w:rsid w:val="00180FCE"/>
    <w:rsid w:val="0018245B"/>
    <w:rsid w:val="00191A6E"/>
    <w:rsid w:val="001C22D9"/>
    <w:rsid w:val="001C4FE0"/>
    <w:rsid w:val="001E37CA"/>
    <w:rsid w:val="001E4AA7"/>
    <w:rsid w:val="00206CA2"/>
    <w:rsid w:val="00211CA7"/>
    <w:rsid w:val="00214C80"/>
    <w:rsid w:val="00217110"/>
    <w:rsid w:val="00261464"/>
    <w:rsid w:val="0026437C"/>
    <w:rsid w:val="002772AE"/>
    <w:rsid w:val="0027737A"/>
    <w:rsid w:val="00282965"/>
    <w:rsid w:val="00283FB4"/>
    <w:rsid w:val="002937FB"/>
    <w:rsid w:val="002A273F"/>
    <w:rsid w:val="002A4808"/>
    <w:rsid w:val="002A7945"/>
    <w:rsid w:val="002A7FF7"/>
    <w:rsid w:val="002B0238"/>
    <w:rsid w:val="002C728A"/>
    <w:rsid w:val="002E350C"/>
    <w:rsid w:val="002E382F"/>
    <w:rsid w:val="002E6736"/>
    <w:rsid w:val="002F7E90"/>
    <w:rsid w:val="00305A22"/>
    <w:rsid w:val="00312E83"/>
    <w:rsid w:val="00323A44"/>
    <w:rsid w:val="0032468A"/>
    <w:rsid w:val="00330C81"/>
    <w:rsid w:val="00336726"/>
    <w:rsid w:val="003408F7"/>
    <w:rsid w:val="00342416"/>
    <w:rsid w:val="00347E60"/>
    <w:rsid w:val="003565EF"/>
    <w:rsid w:val="00375EAB"/>
    <w:rsid w:val="00394BD1"/>
    <w:rsid w:val="003977E9"/>
    <w:rsid w:val="003A0FCD"/>
    <w:rsid w:val="003A5B44"/>
    <w:rsid w:val="003F281F"/>
    <w:rsid w:val="00411945"/>
    <w:rsid w:val="00420166"/>
    <w:rsid w:val="00440752"/>
    <w:rsid w:val="00443B68"/>
    <w:rsid w:val="004462A9"/>
    <w:rsid w:val="0045076E"/>
    <w:rsid w:val="004804A9"/>
    <w:rsid w:val="004832EE"/>
    <w:rsid w:val="004868E0"/>
    <w:rsid w:val="00494227"/>
    <w:rsid w:val="004B5A41"/>
    <w:rsid w:val="004C28CC"/>
    <w:rsid w:val="004D3EE4"/>
    <w:rsid w:val="004F4498"/>
    <w:rsid w:val="004F7466"/>
    <w:rsid w:val="00506C21"/>
    <w:rsid w:val="00525092"/>
    <w:rsid w:val="00537EB3"/>
    <w:rsid w:val="00547739"/>
    <w:rsid w:val="00553742"/>
    <w:rsid w:val="00586002"/>
    <w:rsid w:val="005A273B"/>
    <w:rsid w:val="005A668A"/>
    <w:rsid w:val="005C218F"/>
    <w:rsid w:val="005C4279"/>
    <w:rsid w:val="005C55B1"/>
    <w:rsid w:val="00605234"/>
    <w:rsid w:val="00610CB7"/>
    <w:rsid w:val="006339DB"/>
    <w:rsid w:val="00634D71"/>
    <w:rsid w:val="00635330"/>
    <w:rsid w:val="00640B7F"/>
    <w:rsid w:val="0065343A"/>
    <w:rsid w:val="00656DE0"/>
    <w:rsid w:val="00664686"/>
    <w:rsid w:val="00670F32"/>
    <w:rsid w:val="00670F96"/>
    <w:rsid w:val="00672289"/>
    <w:rsid w:val="00674CA6"/>
    <w:rsid w:val="00680FCF"/>
    <w:rsid w:val="006C0CC8"/>
    <w:rsid w:val="006C2E01"/>
    <w:rsid w:val="006D4913"/>
    <w:rsid w:val="006E07B5"/>
    <w:rsid w:val="00701BC5"/>
    <w:rsid w:val="0071008A"/>
    <w:rsid w:val="00721401"/>
    <w:rsid w:val="007275B8"/>
    <w:rsid w:val="00727E4A"/>
    <w:rsid w:val="0075008E"/>
    <w:rsid w:val="007539FC"/>
    <w:rsid w:val="00754BBC"/>
    <w:rsid w:val="007553A0"/>
    <w:rsid w:val="00756CC5"/>
    <w:rsid w:val="007605B0"/>
    <w:rsid w:val="00773942"/>
    <w:rsid w:val="00793ADA"/>
    <w:rsid w:val="00794A93"/>
    <w:rsid w:val="007C0BC6"/>
    <w:rsid w:val="007D6882"/>
    <w:rsid w:val="007E0CC3"/>
    <w:rsid w:val="007E13A5"/>
    <w:rsid w:val="007F5AEE"/>
    <w:rsid w:val="007F63F2"/>
    <w:rsid w:val="00803A9A"/>
    <w:rsid w:val="00803C7D"/>
    <w:rsid w:val="008232FE"/>
    <w:rsid w:val="0082399F"/>
    <w:rsid w:val="00850932"/>
    <w:rsid w:val="008552A2"/>
    <w:rsid w:val="008570F5"/>
    <w:rsid w:val="00861D19"/>
    <w:rsid w:val="00863750"/>
    <w:rsid w:val="00891202"/>
    <w:rsid w:val="00893AFA"/>
    <w:rsid w:val="00897378"/>
    <w:rsid w:val="00897ABA"/>
    <w:rsid w:val="008A42E7"/>
    <w:rsid w:val="008B19C6"/>
    <w:rsid w:val="008C4C17"/>
    <w:rsid w:val="008D0F4A"/>
    <w:rsid w:val="008E5C66"/>
    <w:rsid w:val="008F3F3C"/>
    <w:rsid w:val="008F5C23"/>
    <w:rsid w:val="009071A4"/>
    <w:rsid w:val="00907302"/>
    <w:rsid w:val="00907AC4"/>
    <w:rsid w:val="009368F6"/>
    <w:rsid w:val="00953854"/>
    <w:rsid w:val="0096086B"/>
    <w:rsid w:val="009608D3"/>
    <w:rsid w:val="009615EB"/>
    <w:rsid w:val="0096635E"/>
    <w:rsid w:val="0097103E"/>
    <w:rsid w:val="00972C62"/>
    <w:rsid w:val="0097481D"/>
    <w:rsid w:val="00974A6F"/>
    <w:rsid w:val="009945B3"/>
    <w:rsid w:val="00995A27"/>
    <w:rsid w:val="00997216"/>
    <w:rsid w:val="009A0B66"/>
    <w:rsid w:val="009A49A3"/>
    <w:rsid w:val="009A70FD"/>
    <w:rsid w:val="009B7B79"/>
    <w:rsid w:val="009C1DFC"/>
    <w:rsid w:val="009D1389"/>
    <w:rsid w:val="009E49D6"/>
    <w:rsid w:val="009E6362"/>
    <w:rsid w:val="00A00443"/>
    <w:rsid w:val="00A0347D"/>
    <w:rsid w:val="00A1272F"/>
    <w:rsid w:val="00A1671E"/>
    <w:rsid w:val="00A257D1"/>
    <w:rsid w:val="00A439C2"/>
    <w:rsid w:val="00A46115"/>
    <w:rsid w:val="00A75276"/>
    <w:rsid w:val="00A83EAE"/>
    <w:rsid w:val="00A907B9"/>
    <w:rsid w:val="00A97BB8"/>
    <w:rsid w:val="00AB4A9A"/>
    <w:rsid w:val="00AB6116"/>
    <w:rsid w:val="00AC17D5"/>
    <w:rsid w:val="00AC2BFA"/>
    <w:rsid w:val="00AC75C3"/>
    <w:rsid w:val="00AE5E7A"/>
    <w:rsid w:val="00B12BDC"/>
    <w:rsid w:val="00B23941"/>
    <w:rsid w:val="00B25223"/>
    <w:rsid w:val="00B37522"/>
    <w:rsid w:val="00B4064E"/>
    <w:rsid w:val="00B42A63"/>
    <w:rsid w:val="00B43456"/>
    <w:rsid w:val="00B452FA"/>
    <w:rsid w:val="00B45D54"/>
    <w:rsid w:val="00B54A56"/>
    <w:rsid w:val="00B55170"/>
    <w:rsid w:val="00B566C7"/>
    <w:rsid w:val="00B6471C"/>
    <w:rsid w:val="00B65DEA"/>
    <w:rsid w:val="00B77298"/>
    <w:rsid w:val="00B83641"/>
    <w:rsid w:val="00B963F2"/>
    <w:rsid w:val="00BA19A7"/>
    <w:rsid w:val="00BC75A2"/>
    <w:rsid w:val="00BD7550"/>
    <w:rsid w:val="00BE11D3"/>
    <w:rsid w:val="00BE3ABA"/>
    <w:rsid w:val="00BE3DE1"/>
    <w:rsid w:val="00BF1E5F"/>
    <w:rsid w:val="00C2219A"/>
    <w:rsid w:val="00C24D7D"/>
    <w:rsid w:val="00C2746E"/>
    <w:rsid w:val="00C4394F"/>
    <w:rsid w:val="00C45528"/>
    <w:rsid w:val="00C742D7"/>
    <w:rsid w:val="00C76AFD"/>
    <w:rsid w:val="00C82674"/>
    <w:rsid w:val="00C87FAF"/>
    <w:rsid w:val="00C9417E"/>
    <w:rsid w:val="00CA481F"/>
    <w:rsid w:val="00CB09AE"/>
    <w:rsid w:val="00CB0D2C"/>
    <w:rsid w:val="00CC2EDD"/>
    <w:rsid w:val="00CF2030"/>
    <w:rsid w:val="00D0069C"/>
    <w:rsid w:val="00D01419"/>
    <w:rsid w:val="00D1126F"/>
    <w:rsid w:val="00D11661"/>
    <w:rsid w:val="00D15FB3"/>
    <w:rsid w:val="00D22737"/>
    <w:rsid w:val="00D324DD"/>
    <w:rsid w:val="00D43843"/>
    <w:rsid w:val="00D47923"/>
    <w:rsid w:val="00D648C0"/>
    <w:rsid w:val="00D66608"/>
    <w:rsid w:val="00D74EDF"/>
    <w:rsid w:val="00D81FF9"/>
    <w:rsid w:val="00D82490"/>
    <w:rsid w:val="00D87848"/>
    <w:rsid w:val="00D87E92"/>
    <w:rsid w:val="00D97A0B"/>
    <w:rsid w:val="00DC5645"/>
    <w:rsid w:val="00E00E6C"/>
    <w:rsid w:val="00E16C64"/>
    <w:rsid w:val="00E57FE4"/>
    <w:rsid w:val="00E61B7A"/>
    <w:rsid w:val="00E703F4"/>
    <w:rsid w:val="00EA6D30"/>
    <w:rsid w:val="00EB2F0F"/>
    <w:rsid w:val="00EB49A6"/>
    <w:rsid w:val="00EC6F5D"/>
    <w:rsid w:val="00ED6774"/>
    <w:rsid w:val="00EE6EBB"/>
    <w:rsid w:val="00F01F8C"/>
    <w:rsid w:val="00F04397"/>
    <w:rsid w:val="00F06AF8"/>
    <w:rsid w:val="00F15743"/>
    <w:rsid w:val="00F20C99"/>
    <w:rsid w:val="00F306B5"/>
    <w:rsid w:val="00F358D8"/>
    <w:rsid w:val="00F36B68"/>
    <w:rsid w:val="00F60FF6"/>
    <w:rsid w:val="00F618FA"/>
    <w:rsid w:val="00F860AE"/>
    <w:rsid w:val="00F93113"/>
    <w:rsid w:val="00FA6327"/>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BE5D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0853B5"/>
    <w:pPr>
      <w:spacing w:after="160" w:line="259" w:lineRule="auto"/>
      <w:ind w:left="720"/>
      <w:contextualSpacing/>
    </w:pPr>
    <w:rPr>
      <w:rFonts w:eastAsiaTheme="minorHAnsi" w:cstheme="minorBidi"/>
      <w:kern w:val="2"/>
      <w:szCs w:val="22"/>
      <w:lang w:val="en-US" w:eastAsia="en-US"/>
      <w14:ligatures w14:val="standardContextual"/>
    </w:rPr>
  </w:style>
  <w:style w:type="character" w:customStyle="1" w:styleId="VoetnoottekstChar">
    <w:name w:val="Voetnoottekst Char"/>
    <w:basedOn w:val="Standaardalinea-lettertype"/>
    <w:link w:val="Voetnoottekst"/>
    <w:uiPriority w:val="99"/>
    <w:semiHidden/>
    <w:rsid w:val="000853B5"/>
    <w:rPr>
      <w:rFonts w:ascii="Verdana" w:hAnsi="Verdana"/>
      <w:sz w:val="18"/>
    </w:rPr>
  </w:style>
  <w:style w:type="character" w:styleId="Voetnootmarkering">
    <w:name w:val="footnote reference"/>
    <w:basedOn w:val="Standaardalinea-lettertype"/>
    <w:uiPriority w:val="99"/>
    <w:unhideWhenUsed/>
    <w:rsid w:val="000853B5"/>
    <w:rPr>
      <w:vertAlign w:val="superscript"/>
    </w:rPr>
  </w:style>
  <w:style w:type="character" w:styleId="Hyperlink">
    <w:name w:val="Hyperlink"/>
    <w:basedOn w:val="Standaardalinea-lettertype"/>
    <w:uiPriority w:val="99"/>
    <w:unhideWhenUsed/>
    <w:rsid w:val="000853B5"/>
    <w:rPr>
      <w:color w:val="0563C1" w:themeColor="hyperlink"/>
      <w:u w:val="single"/>
    </w:rPr>
  </w:style>
  <w:style w:type="paragraph" w:styleId="Revisie">
    <w:name w:val="Revision"/>
    <w:hidden/>
    <w:uiPriority w:val="99"/>
    <w:semiHidden/>
    <w:rsid w:val="00B23941"/>
    <w:rPr>
      <w:rFonts w:ascii="Verdana" w:hAnsi="Verdana"/>
      <w:sz w:val="18"/>
    </w:rPr>
  </w:style>
  <w:style w:type="character" w:styleId="Verwijzingopmerking">
    <w:name w:val="annotation reference"/>
    <w:basedOn w:val="Standaardalinea-lettertype"/>
    <w:rsid w:val="00B23941"/>
    <w:rPr>
      <w:sz w:val="16"/>
      <w:szCs w:val="16"/>
    </w:rPr>
  </w:style>
  <w:style w:type="paragraph" w:styleId="Onderwerpvanopmerking">
    <w:name w:val="annotation subject"/>
    <w:basedOn w:val="Tekstopmerking"/>
    <w:next w:val="Tekstopmerking"/>
    <w:link w:val="OnderwerpvanopmerkingChar"/>
    <w:semiHidden/>
    <w:unhideWhenUsed/>
    <w:rsid w:val="00B23941"/>
    <w:rPr>
      <w:b/>
      <w:bCs/>
      <w:sz w:val="20"/>
    </w:rPr>
  </w:style>
  <w:style w:type="character" w:customStyle="1" w:styleId="TekstopmerkingChar">
    <w:name w:val="Tekst opmerking Char"/>
    <w:basedOn w:val="Standaardalinea-lettertype"/>
    <w:link w:val="Tekstopmerking"/>
    <w:semiHidden/>
    <w:rsid w:val="00B23941"/>
    <w:rPr>
      <w:rFonts w:ascii="Verdana" w:hAnsi="Verdana"/>
      <w:sz w:val="18"/>
    </w:rPr>
  </w:style>
  <w:style w:type="character" w:customStyle="1" w:styleId="OnderwerpvanopmerkingChar">
    <w:name w:val="Onderwerp van opmerking Char"/>
    <w:basedOn w:val="TekstopmerkingChar"/>
    <w:link w:val="Onderwerpvanopmerking"/>
    <w:semiHidden/>
    <w:rsid w:val="00B23941"/>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puc.overheid.nl/nza/doc/PUC_758878_22/" TargetMode="External"/><Relationship Id="rId2" Type="http://schemas.openxmlformats.org/officeDocument/2006/relationships/hyperlink" Target="https://www.nhg.org/thema/digitale-zorg/visie-op-digitale-huisartsenzorg/" TargetMode="External"/><Relationship Id="rId1" Type="http://schemas.openxmlformats.org/officeDocument/2006/relationships/hyperlink" Target="https://toezichtdocumenten.igj.nl/link/publicatie?publ=9cabb5a4-a9ed-4e96-93e2-de93ddc6960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2065</ap:Words>
  <ap:Characters>11545</ap:Characters>
  <ap:DocSecurity>0</ap:DocSecurity>
  <ap:Lines>96</ap:Lines>
  <ap:Paragraphs>27</ap:Paragraphs>
  <ap:ScaleCrop>false</ap:ScaleCrop>
  <ap:LinksUpToDate>false</ap:LinksUpToDate>
  <ap:CharactersWithSpaces>13583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2026-03-10T15:42:00.0000000Z</dcterms:created>
  <dcterms:modified xsi:type="dcterms:W3CDTF">2026-03-10T15:42:00.0000000Z</dcterms:modified>
  <dc:description>------------------------</dc:description>
  <dc:subject/>
  <dc:title/>
  <keywords/>
  <version/>
  <category/>
</coreProperties>
</file>