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E47A17" w14:paraId="1A6B993F" w14:textId="77777777"/>
    <w:p w:rsidR="006D1D2E" w:rsidP="006D1D2E" w14:paraId="2CE2C67A" w14:textId="77777777">
      <w:pPr>
        <w:pStyle w:val="WitregelW1bodytekst"/>
      </w:pPr>
      <w:r>
        <w:t xml:space="preserve">Hierbij ontvangt u de antwoorden op de schriftelijke vragen die zijn gesteld door het lid </w:t>
      </w:r>
      <w:r>
        <w:t>Mooiman</w:t>
      </w:r>
      <w:r>
        <w:t xml:space="preserve"> (PVV) over de druk van expats op de woningmarkt. De vragen zijn ingezonden 26 januari 2026 met het 2026Z01358.</w:t>
      </w:r>
    </w:p>
    <w:p w:rsidRPr="006D1D2E" w:rsidR="006D1D2E" w:rsidP="006D1D2E" w14:paraId="12E4FFD4" w14:textId="77777777"/>
    <w:p w:rsidR="00E47A17" w14:paraId="763722C2" w14:textId="77777777"/>
    <w:p w:rsidR="00F06CCE" w:rsidP="00F06CCE" w14:paraId="3C3D55E7" w14:textId="77777777">
      <w:r>
        <w:t>De minister van Volkshuisvesting en Ruimtelijke Ordening</w:t>
      </w:r>
      <w:r w:rsidRPr="0D480AA6">
        <w:rPr>
          <w:i/>
          <w:iCs/>
        </w:rPr>
        <w:t>,</w:t>
      </w:r>
    </w:p>
    <w:p w:rsidR="00F06CCE" w:rsidP="00F06CCE" w14:paraId="18154847" w14:textId="77777777"/>
    <w:p w:rsidR="00F06CCE" w:rsidP="00F06CCE" w14:paraId="0382789B" w14:textId="77777777"/>
    <w:p w:rsidR="00F06CCE" w:rsidP="00F06CCE" w14:paraId="3F597740" w14:textId="77777777"/>
    <w:p w:rsidR="00F06CCE" w:rsidP="00F06CCE" w14:paraId="66409AC7" w14:textId="77777777"/>
    <w:p w:rsidR="00F06CCE" w:rsidP="00F06CCE" w14:paraId="577EBDE7" w14:textId="77777777">
      <w:r>
        <w:t>Elanor</w:t>
      </w:r>
      <w:r>
        <w:t xml:space="preserve"> Boekholt-O'Sullivan</w:t>
      </w:r>
    </w:p>
    <w:p w:rsidR="006D1D2E" w14:paraId="34481931" w14:textId="77777777"/>
    <w:p w:rsidR="006D1D2E" w14:paraId="4CFB3136" w14:textId="77777777"/>
    <w:p w:rsidR="006D1D2E" w14:paraId="5B9BB83C" w14:textId="77777777"/>
    <w:p w:rsidR="006D1D2E" w14:paraId="7FF7CAE8" w14:textId="77777777"/>
    <w:p w:rsidR="006D1D2E" w14:paraId="603022CF" w14:textId="77777777"/>
    <w:p w:rsidR="006D1D2E" w14:paraId="31B45B35" w14:textId="77777777"/>
    <w:p w:rsidR="006D1D2E" w14:paraId="6F1BCB54" w14:textId="77777777"/>
    <w:p w:rsidR="006D1D2E" w14:paraId="185455DF" w14:textId="77777777"/>
    <w:p w:rsidR="006D1D2E" w14:paraId="766F0554" w14:textId="77777777"/>
    <w:p w:rsidR="006D1D2E" w14:paraId="1C2C65FF" w14:textId="77777777"/>
    <w:p w:rsidR="006D1D2E" w14:paraId="6E51B27D" w14:textId="77777777"/>
    <w:p w:rsidR="006D1D2E" w14:paraId="4F3950DB" w14:textId="77777777"/>
    <w:p w:rsidR="006D1D2E" w14:paraId="64DFCDAE" w14:textId="77777777"/>
    <w:p w:rsidR="006D1D2E" w14:paraId="78E26A2B" w14:textId="77777777"/>
    <w:p w:rsidR="006D1D2E" w14:paraId="210FEB49" w14:textId="77777777"/>
    <w:p w:rsidR="006D1D2E" w14:paraId="7AC20624" w14:textId="77777777"/>
    <w:p w:rsidR="006D1D2E" w14:paraId="00727CE2" w14:textId="77777777"/>
    <w:p w:rsidR="006D1D2E" w14:paraId="432D897F" w14:textId="77777777"/>
    <w:p w:rsidR="006D1D2E" w14:paraId="4500AB19" w14:textId="77777777"/>
    <w:p w:rsidR="006D1D2E" w14:paraId="45B0BAD8" w14:textId="77777777"/>
    <w:p w:rsidR="00F06CCE" w14:paraId="27FCC55D" w14:textId="77777777"/>
    <w:p w:rsidR="006D1D2E" w14:paraId="272C52E9" w14:textId="77777777"/>
    <w:p w:rsidR="006D1D2E" w14:paraId="6A756B1D" w14:textId="77777777"/>
    <w:p w:rsidR="006D1D2E" w14:paraId="359B39C3" w14:textId="77777777"/>
    <w:p w:rsidR="006D1D2E" w14:paraId="1F03BBD8" w14:textId="77777777"/>
    <w:p w:rsidR="006D1D2E" w14:paraId="6D4A0450" w14:textId="77777777"/>
    <w:p w:rsidR="006D1D2E" w14:paraId="4B946FC4" w14:textId="77777777"/>
    <w:p w:rsidRPr="006D1D2E" w:rsidR="006D1D2E" w:rsidP="0D480AA6" w14:paraId="1890920A" w14:textId="77777777">
      <w:pPr>
        <w:autoSpaceDN/>
        <w:spacing w:line="240" w:lineRule="auto"/>
        <w:textAlignment w:val="auto"/>
        <w:rPr>
          <w:rFonts w:eastAsia="Aptos" w:cs="Times New Roman"/>
          <w:b/>
          <w:bCs/>
          <w:color w:val="auto"/>
          <w:lang w:eastAsia="en-US"/>
        </w:rPr>
      </w:pPr>
      <w:r w:rsidRPr="006D1D2E">
        <w:rPr>
          <w:rFonts w:eastAsia="Aptos" w:cs="Times New Roman"/>
          <w:b/>
          <w:bCs/>
          <w:color w:val="auto"/>
          <w:kern w:val="2"/>
          <w:lang w:eastAsia="en-US"/>
          <w14:ligatures w14:val="standardContextual"/>
        </w:rPr>
        <w:t>2026Z01358</w:t>
      </w:r>
    </w:p>
    <w:p w:rsidRPr="006D1D2E" w:rsidR="006D1D2E" w:rsidP="0D480AA6" w14:paraId="7D3F4952" w14:textId="77777777">
      <w:pPr>
        <w:autoSpaceDN/>
        <w:spacing w:line="240" w:lineRule="auto"/>
        <w:textAlignment w:val="auto"/>
        <w:rPr>
          <w:rFonts w:eastAsia="Aptos" w:cs="Times New Roman"/>
          <w:b/>
          <w:bCs/>
          <w:color w:val="auto"/>
          <w:lang w:eastAsia="en-US"/>
        </w:rPr>
      </w:pPr>
      <w:r w:rsidRPr="006D1D2E">
        <w:rPr>
          <w:rFonts w:eastAsia="Aptos" w:cs="Times New Roman"/>
          <w:b/>
          <w:bCs/>
          <w:color w:val="auto"/>
          <w:kern w:val="2"/>
          <w:lang w:eastAsia="en-US"/>
          <w14:ligatures w14:val="standardContextual"/>
        </w:rPr>
        <w:t xml:space="preserve">Vragen van het lid </w:t>
      </w:r>
      <w:r w:rsidRPr="006D1D2E">
        <w:rPr>
          <w:rFonts w:eastAsia="Aptos" w:cs="Times New Roman"/>
          <w:b/>
          <w:bCs/>
          <w:color w:val="auto"/>
          <w:kern w:val="2"/>
          <w:lang w:eastAsia="en-US"/>
          <w14:ligatures w14:val="standardContextual"/>
        </w:rPr>
        <w:t>Mooiman</w:t>
      </w:r>
      <w:r w:rsidRPr="006D1D2E">
        <w:rPr>
          <w:rFonts w:eastAsia="Aptos" w:cs="Times New Roman"/>
          <w:b/>
          <w:bCs/>
          <w:color w:val="auto"/>
          <w:kern w:val="2"/>
          <w:lang w:eastAsia="en-US"/>
          <w14:ligatures w14:val="standardContextual"/>
        </w:rPr>
        <w:t xml:space="preserve"> (PVV) aan de minister van Volkshuisvesting en Ruimtelijke Ordening over de druk van expats op de woningmarkt (ingezonden 26 januari 2026)</w:t>
      </w:r>
    </w:p>
    <w:p w:rsidRPr="006D1D2E" w:rsidR="006D1D2E" w:rsidP="006D1D2E" w14:paraId="7FECB7C3" w14:textId="77777777">
      <w:pPr>
        <w:autoSpaceDN/>
        <w:spacing w:line="240" w:lineRule="auto"/>
        <w:textAlignment w:val="auto"/>
        <w:rPr>
          <w:rFonts w:eastAsia="Aptos" w:cs="Times New Roman"/>
          <w:color w:val="auto"/>
          <w:kern w:val="2"/>
          <w:lang w:eastAsia="en-US"/>
          <w14:ligatures w14:val="standardContextual"/>
        </w:rPr>
      </w:pPr>
    </w:p>
    <w:p w:rsidRPr="006D1D2E" w:rsidR="006D1D2E" w:rsidP="0D480AA6" w14:paraId="3752A01D" w14:textId="77777777">
      <w:pPr>
        <w:autoSpaceDN/>
        <w:spacing w:line="240" w:lineRule="auto"/>
        <w:textAlignment w:val="auto"/>
        <w:rPr>
          <w:rFonts w:eastAsia="Aptos" w:cs="Times New Roman"/>
          <w:b/>
          <w:bCs/>
          <w:color w:val="auto"/>
          <w:lang w:eastAsia="en-US"/>
        </w:rPr>
      </w:pPr>
      <w:r w:rsidRPr="006D1D2E">
        <w:rPr>
          <w:rFonts w:eastAsia="Aptos" w:cs="Times New Roman"/>
          <w:b/>
          <w:bCs/>
          <w:color w:val="auto"/>
          <w:kern w:val="2"/>
          <w:lang w:eastAsia="en-US"/>
          <w14:ligatures w14:val="standardContextual"/>
        </w:rPr>
        <w:t>Vraag 1</w:t>
      </w:r>
      <w:r w:rsidRPr="006D1D2E">
        <w:rPr>
          <w:rFonts w:eastAsia="Aptos" w:cs="Times New Roman"/>
          <w:b/>
          <w:bCs/>
          <w:color w:val="auto"/>
          <w:kern w:val="2"/>
          <w:lang w:eastAsia="en-US"/>
          <w14:ligatures w14:val="standardContextual"/>
        </w:rPr>
        <w:br/>
      </w:r>
      <w:r w:rsidRPr="006D1D2E">
        <w:rPr>
          <w:rFonts w:eastAsia="Aptos" w:cs="Times New Roman"/>
          <w:color w:val="auto"/>
          <w:kern w:val="2"/>
          <w:lang w:eastAsia="en-US"/>
          <w14:ligatures w14:val="standardContextual"/>
        </w:rPr>
        <w:t>Bent u bekend met het artikel van het Eindhovens Dagblad waarin valt te lezen dat op de particuliere woningmarkt expats meestal winnen van starters die hier zijn geboren en getogen, vanwege ruimere salarissen en fiscale voordelen?[1]</w:t>
      </w:r>
      <w:r w:rsidRPr="006D1D2E">
        <w:rPr>
          <w:rFonts w:eastAsia="Aptos" w:cs="Times New Roman"/>
          <w:color w:val="auto"/>
          <w:kern w:val="2"/>
          <w:lang w:eastAsia="en-US"/>
          <w14:ligatures w14:val="standardContextual"/>
        </w:rPr>
        <w:br/>
      </w:r>
      <w:r w:rsidRPr="006D1D2E">
        <w:rPr>
          <w:rFonts w:eastAsia="Aptos" w:cs="Times New Roman"/>
          <w:color w:val="auto"/>
          <w:kern w:val="2"/>
          <w:lang w:eastAsia="en-US"/>
          <w14:ligatures w14:val="standardContextual"/>
        </w:rPr>
        <w:br/>
      </w:r>
      <w:r w:rsidRPr="006D1D2E">
        <w:rPr>
          <w:rFonts w:eastAsia="Aptos" w:cs="Times New Roman"/>
          <w:b/>
          <w:bCs/>
          <w:color w:val="auto"/>
          <w:kern w:val="2"/>
          <w:lang w:eastAsia="en-US"/>
          <w14:ligatures w14:val="standardContextual"/>
        </w:rPr>
        <w:t>Antwoord op vraag 1</w:t>
      </w:r>
    </w:p>
    <w:p w:rsidRPr="006D1D2E" w:rsidR="006D1D2E" w:rsidP="0D480AA6" w14:paraId="77D53E24" w14:textId="77777777">
      <w:pPr>
        <w:autoSpaceDN/>
        <w:spacing w:line="240" w:lineRule="auto"/>
        <w:textAlignment w:val="auto"/>
        <w:rPr>
          <w:rFonts w:eastAsia="Aptos" w:cs="Times New Roman"/>
          <w:color w:val="auto"/>
          <w:lang w:eastAsia="en-US"/>
        </w:rPr>
      </w:pPr>
      <w:r w:rsidRPr="006D1D2E">
        <w:rPr>
          <w:rFonts w:eastAsia="Aptos" w:cs="Times New Roman"/>
          <w:color w:val="auto"/>
          <w:kern w:val="2"/>
          <w:lang w:eastAsia="en-US"/>
          <w14:ligatures w14:val="standardContextual"/>
        </w:rPr>
        <w:t>Ja.</w:t>
      </w:r>
    </w:p>
    <w:p w:rsidRPr="006D1D2E" w:rsidR="006D1D2E" w:rsidP="006D1D2E" w14:paraId="4ABDE177" w14:textId="77777777">
      <w:pPr>
        <w:autoSpaceDN/>
        <w:spacing w:line="240" w:lineRule="auto"/>
        <w:textAlignment w:val="auto"/>
        <w:rPr>
          <w:rFonts w:eastAsia="Aptos" w:cs="Times New Roman"/>
          <w:color w:val="auto"/>
          <w:kern w:val="2"/>
          <w:lang w:eastAsia="en-US"/>
          <w14:ligatures w14:val="standardContextual"/>
        </w:rPr>
      </w:pPr>
    </w:p>
    <w:p w:rsidRPr="006D1D2E" w:rsidR="006D1D2E" w:rsidP="0D480AA6" w14:paraId="717F6BC4" w14:textId="77777777">
      <w:pPr>
        <w:autoSpaceDN/>
        <w:spacing w:line="240" w:lineRule="auto"/>
        <w:textAlignment w:val="auto"/>
        <w:rPr>
          <w:rFonts w:eastAsia="Aptos" w:cs="Times New Roman"/>
          <w:color w:val="auto"/>
          <w:lang w:eastAsia="en-US"/>
        </w:rPr>
      </w:pPr>
      <w:r w:rsidRPr="006D1D2E">
        <w:rPr>
          <w:rFonts w:eastAsia="Aptos" w:cs="Times New Roman"/>
          <w:b/>
          <w:bCs/>
          <w:color w:val="auto"/>
          <w:kern w:val="2"/>
          <w:lang w:eastAsia="en-US"/>
          <w14:ligatures w14:val="standardContextual"/>
        </w:rPr>
        <w:t>Vraag 2</w:t>
      </w:r>
      <w:r w:rsidRPr="006D1D2E">
        <w:rPr>
          <w:rFonts w:eastAsia="Aptos" w:cs="Times New Roman"/>
          <w:b/>
          <w:bCs/>
          <w:color w:val="auto"/>
          <w:kern w:val="2"/>
          <w:lang w:eastAsia="en-US"/>
          <w14:ligatures w14:val="standardContextual"/>
        </w:rPr>
        <w:br/>
      </w:r>
      <w:r w:rsidRPr="006D1D2E">
        <w:rPr>
          <w:rFonts w:eastAsia="Aptos" w:cs="Times New Roman"/>
          <w:color w:val="auto"/>
          <w:kern w:val="2"/>
          <w:lang w:eastAsia="en-US"/>
          <w14:ligatures w14:val="standardContextual"/>
        </w:rPr>
        <w:t xml:space="preserve">Kunt u per gemeente binnen de G4 en G40 aangeven wat het totale aandeel van expats is binnen de </w:t>
      </w:r>
      <w:r w:rsidRPr="006D1D2E">
        <w:rPr>
          <w:rFonts w:eastAsia="Aptos" w:cs="Times New Roman"/>
          <w:color w:val="auto"/>
          <w:kern w:val="2"/>
          <w:lang w:eastAsia="en-US"/>
          <w14:ligatures w14:val="standardContextual"/>
        </w:rPr>
        <w:t>middenhuur</w:t>
      </w:r>
      <w:r w:rsidRPr="006D1D2E">
        <w:rPr>
          <w:rFonts w:eastAsia="Aptos" w:cs="Times New Roman"/>
          <w:color w:val="auto"/>
          <w:kern w:val="2"/>
          <w:lang w:eastAsia="en-US"/>
          <w14:ligatures w14:val="standardContextual"/>
        </w:rPr>
        <w:t xml:space="preserve"> en vrijesectorhuur? Kunt u daarbij aangeven welke definitie van expat wordt</w:t>
      </w:r>
      <w:r>
        <w:rPr>
          <w:rFonts w:eastAsia="Aptos" w:cs="Times New Roman"/>
          <w:color w:val="auto"/>
          <w:kern w:val="2"/>
          <w:lang w:eastAsia="en-US"/>
          <w14:ligatures w14:val="standardContextual"/>
        </w:rPr>
        <w:t xml:space="preserve"> </w:t>
      </w:r>
      <w:r w:rsidRPr="006D1D2E">
        <w:rPr>
          <w:rFonts w:eastAsia="Aptos" w:cs="Times New Roman"/>
          <w:color w:val="auto"/>
          <w:kern w:val="2"/>
          <w:lang w:eastAsia="en-US"/>
          <w14:ligatures w14:val="standardContextual"/>
        </w:rPr>
        <w:t>gehanteerd? Zo nee, waarom niet?</w:t>
      </w:r>
    </w:p>
    <w:p w:rsidRPr="006D1D2E" w:rsidR="006D1D2E" w:rsidP="006D1D2E" w14:paraId="405640BB" w14:textId="77777777">
      <w:pPr>
        <w:autoSpaceDN/>
        <w:spacing w:line="240" w:lineRule="auto"/>
        <w:textAlignment w:val="auto"/>
        <w:rPr>
          <w:rFonts w:eastAsia="Aptos" w:cs="Times New Roman"/>
          <w:color w:val="auto"/>
          <w:kern w:val="2"/>
          <w:lang w:eastAsia="en-US"/>
          <w14:ligatures w14:val="standardContextual"/>
        </w:rPr>
      </w:pPr>
    </w:p>
    <w:p w:rsidRPr="006D1D2E" w:rsidR="006D1D2E" w:rsidP="0D480AA6" w14:paraId="47FE0998" w14:textId="77777777">
      <w:pPr>
        <w:autoSpaceDN/>
        <w:spacing w:line="240" w:lineRule="auto"/>
        <w:textAlignment w:val="auto"/>
        <w:rPr>
          <w:rFonts w:eastAsia="Aptos" w:cs="Times New Roman"/>
          <w:color w:val="auto"/>
          <w:lang w:eastAsia="en-US"/>
        </w:rPr>
      </w:pPr>
      <w:r w:rsidRPr="006D1D2E">
        <w:rPr>
          <w:rFonts w:eastAsia="Aptos" w:cs="Times New Roman"/>
          <w:b/>
          <w:bCs/>
          <w:color w:val="auto"/>
          <w:kern w:val="2"/>
          <w:lang w:eastAsia="en-US"/>
          <w14:ligatures w14:val="standardContextual"/>
        </w:rPr>
        <w:t>Vraag 3</w:t>
      </w:r>
      <w:r w:rsidRPr="006D1D2E">
        <w:rPr>
          <w:rFonts w:eastAsia="Aptos" w:cs="Times New Roman"/>
          <w:b/>
          <w:bCs/>
          <w:color w:val="auto"/>
          <w:kern w:val="2"/>
          <w:lang w:eastAsia="en-US"/>
          <w14:ligatures w14:val="standardContextual"/>
        </w:rPr>
        <w:br/>
      </w:r>
      <w:r w:rsidRPr="006D1D2E">
        <w:rPr>
          <w:rFonts w:eastAsia="Aptos" w:cs="Times New Roman"/>
          <w:color w:val="auto"/>
          <w:kern w:val="2"/>
          <w:lang w:eastAsia="en-US"/>
          <w14:ligatures w14:val="standardContextual"/>
        </w:rPr>
        <w:t>Kunt u per gemeente binnen de G4 en G40 aangeven welk percentage van de jaarlijks vrijkomende middenhuurwoningen en vrijesectorhuurwoningen wordt verhuurd aan expats? Zo nee, waarom niet?</w:t>
      </w:r>
      <w:r w:rsidRPr="006D1D2E">
        <w:rPr>
          <w:rFonts w:eastAsia="Aptos" w:cs="Times New Roman"/>
          <w:color w:val="auto"/>
          <w:kern w:val="2"/>
          <w:lang w:eastAsia="en-US"/>
          <w14:ligatures w14:val="standardContextual"/>
        </w:rPr>
        <w:br/>
      </w:r>
      <w:r w:rsidRPr="006D1D2E">
        <w:rPr>
          <w:rFonts w:eastAsia="Aptos" w:cs="Times New Roman"/>
          <w:color w:val="auto"/>
          <w:kern w:val="2"/>
          <w:lang w:eastAsia="en-US"/>
          <w14:ligatures w14:val="standardContextual"/>
        </w:rPr>
        <w:br/>
      </w:r>
      <w:r w:rsidRPr="006D1D2E">
        <w:rPr>
          <w:rFonts w:eastAsia="Aptos" w:cs="Times New Roman"/>
          <w:b/>
          <w:bCs/>
          <w:color w:val="auto"/>
          <w:kern w:val="2"/>
          <w:lang w:eastAsia="en-US"/>
          <w14:ligatures w14:val="standardContextual"/>
        </w:rPr>
        <w:t>Antwoord op vraag 2 en 3</w:t>
      </w:r>
      <w:r w:rsidRPr="006D1D2E">
        <w:rPr>
          <w:rFonts w:eastAsia="Aptos" w:cs="Times New Roman"/>
          <w:b/>
          <w:bCs/>
          <w:color w:val="auto"/>
          <w:kern w:val="2"/>
          <w:lang w:eastAsia="en-US"/>
          <w14:ligatures w14:val="standardContextual"/>
        </w:rPr>
        <w:br/>
      </w:r>
      <w:r w:rsidRPr="006D1D2E">
        <w:rPr>
          <w:rFonts w:eastAsia="Aptos" w:cs="Times New Roman"/>
          <w:color w:val="auto"/>
          <w:kern w:val="2"/>
          <w:lang w:eastAsia="en-US"/>
          <w14:ligatures w14:val="standardContextual"/>
        </w:rPr>
        <w:t xml:space="preserve">In heb geen zicht op wat per gemeente binnen de G4 en G40 het totale aandeel van expats is binnen de </w:t>
      </w:r>
      <w:r w:rsidRPr="006D1D2E">
        <w:rPr>
          <w:rFonts w:eastAsia="Aptos" w:cs="Times New Roman"/>
          <w:color w:val="auto"/>
          <w:kern w:val="2"/>
          <w:lang w:eastAsia="en-US"/>
          <w14:ligatures w14:val="standardContextual"/>
        </w:rPr>
        <w:t>middenhuur</w:t>
      </w:r>
      <w:r w:rsidRPr="006D1D2E">
        <w:rPr>
          <w:rFonts w:eastAsia="Aptos" w:cs="Times New Roman"/>
          <w:color w:val="auto"/>
          <w:kern w:val="2"/>
          <w:lang w:eastAsia="en-US"/>
          <w14:ligatures w14:val="standardContextual"/>
        </w:rPr>
        <w:t xml:space="preserve"> en de </w:t>
      </w:r>
      <w:r w:rsidRPr="006D1D2E">
        <w:rPr>
          <w:rFonts w:eastAsia="Aptos" w:cs="Times New Roman"/>
          <w:color w:val="auto"/>
          <w:kern w:val="2"/>
          <w:lang w:eastAsia="en-US"/>
          <w14:ligatures w14:val="standardContextual"/>
        </w:rPr>
        <w:t>vrijsectorhuur</w:t>
      </w:r>
      <w:r w:rsidRPr="006D1D2E">
        <w:rPr>
          <w:rFonts w:eastAsia="Aptos" w:cs="Times New Roman"/>
          <w:color w:val="auto"/>
          <w:kern w:val="2"/>
          <w:lang w:eastAsia="en-US"/>
          <w14:ligatures w14:val="standardContextual"/>
        </w:rPr>
        <w:t>, evenals welk percentage van de jaarlijkse vrijkomende midden- en vrijesectorhuurwoningen in de G4 en G40 gemeenten wordt verhuurd aan expats.</w:t>
      </w:r>
    </w:p>
    <w:p w:rsidRPr="006D1D2E" w:rsidR="006D1D2E" w:rsidP="006D1D2E" w14:paraId="77C2E6E1" w14:textId="77777777">
      <w:pPr>
        <w:autoSpaceDN/>
        <w:spacing w:line="240" w:lineRule="auto"/>
        <w:textAlignment w:val="auto"/>
        <w:rPr>
          <w:rFonts w:eastAsia="Aptos" w:cs="Times New Roman"/>
          <w:color w:val="auto"/>
          <w:kern w:val="2"/>
          <w:lang w:eastAsia="en-US"/>
          <w14:ligatures w14:val="standardContextual"/>
        </w:rPr>
      </w:pPr>
    </w:p>
    <w:p w:rsidRPr="006D1D2E" w:rsidR="006D1D2E" w:rsidP="0D480AA6" w14:paraId="0B203DB4" w14:textId="77777777">
      <w:pPr>
        <w:autoSpaceDN/>
        <w:spacing w:line="240" w:lineRule="auto"/>
        <w:textAlignment w:val="auto"/>
        <w:rPr>
          <w:rFonts w:eastAsia="Aptos" w:cs="Times New Roman"/>
          <w:color w:val="auto"/>
          <w:lang w:eastAsia="en-US"/>
        </w:rPr>
      </w:pPr>
      <w:r w:rsidRPr="006D1D2E">
        <w:rPr>
          <w:rFonts w:eastAsia="Aptos" w:cs="Times New Roman"/>
          <w:color w:val="auto"/>
          <w:kern w:val="2"/>
          <w:lang w:eastAsia="en-US"/>
          <w14:ligatures w14:val="standardContextual"/>
        </w:rPr>
        <w:t>Wel heeft de Nederlandse Vereniging van Makelaars (NVM) onlangs een publicatie uitgebracht waarin zij inzicht geven in de omvang en invloed van internationals op de woningmarkt.</w:t>
      </w:r>
      <w:r>
        <w:rPr>
          <w:rFonts w:eastAsia="Aptos" w:cs="Times New Roman"/>
          <w:color w:val="auto"/>
          <w:kern w:val="2"/>
          <w:vertAlign w:val="superscript"/>
          <w:lang w:eastAsia="en-US"/>
          <w14:ligatures w14:val="standardContextual"/>
        </w:rPr>
        <w:footnoteReference w:id="2"/>
      </w:r>
      <w:r w:rsidRPr="006D1D2E">
        <w:rPr>
          <w:rFonts w:eastAsia="Aptos" w:cs="Times New Roman"/>
          <w:color w:val="auto"/>
          <w:kern w:val="2"/>
          <w:lang w:eastAsia="en-US"/>
          <w14:ligatures w14:val="standardContextual"/>
        </w:rPr>
        <w:t xml:space="preserve"> In deze publicatie wordt onder internationals verstaan: alle anderstaligen die zich voor langere tijd in Nederland vestigen en via een NVM</w:t>
      </w:r>
      <w:r w:rsidR="00FD00A3">
        <w:rPr>
          <w:rFonts w:eastAsia="Aptos" w:cs="Times New Roman"/>
          <w:color w:val="auto"/>
          <w:kern w:val="2"/>
          <w:lang w:eastAsia="en-US"/>
          <w14:ligatures w14:val="standardContextual"/>
        </w:rPr>
        <w:t>-</w:t>
      </w:r>
      <w:r w:rsidRPr="006D1D2E">
        <w:rPr>
          <w:rFonts w:eastAsia="Aptos" w:cs="Times New Roman"/>
          <w:color w:val="auto"/>
          <w:kern w:val="2"/>
          <w:lang w:eastAsia="en-US"/>
          <w14:ligatures w14:val="standardContextual"/>
        </w:rPr>
        <w:t xml:space="preserve">makelaar een woning huren of kopen. Dit betreft onder andere expats, buitenlandse studenten, arbeidsmigranten en andere buitenlanders, zoals ondernemers. Ten aanzien van de huurmarkt kijken zij specifiek naar het midden- en vrijehuursegment. De sociale huursector wordt niet meegenomen in de cijfers. </w:t>
      </w:r>
      <w:r w:rsidR="00177426">
        <w:rPr>
          <w:rFonts w:eastAsia="Aptos" w:cs="Times New Roman"/>
          <w:color w:val="auto"/>
          <w:kern w:val="2"/>
          <w:lang w:eastAsia="en-US"/>
          <w14:ligatures w14:val="standardContextual"/>
        </w:rPr>
        <w:t xml:space="preserve">Dit is logisch gegeven deze internationals doorgaans niet aanmerking komen voor een sociale huurwoning. Bij expats zal het inkomen doorgaans te hoog zijn om in aanmerking te komen voor een sociale huurwoning. Daarnaast geldt dat internationals geen wachttijd hebben opgebouwd. Ook in de gevallen waarin zij een inkomen onder de sociale huurgrens hebben, zullen zijn door het niet hebben van wachttijd vaak aangewezen zijn op het midden- of vrijehuursegment. </w:t>
      </w:r>
    </w:p>
    <w:p w:rsidRPr="006D1D2E" w:rsidR="006D1D2E" w:rsidP="006D1D2E" w14:paraId="6EEBCE85" w14:textId="77777777">
      <w:pPr>
        <w:autoSpaceDN/>
        <w:spacing w:line="240" w:lineRule="auto"/>
        <w:textAlignment w:val="auto"/>
        <w:rPr>
          <w:rFonts w:eastAsia="Aptos" w:cs="Times New Roman"/>
          <w:color w:val="auto"/>
          <w:kern w:val="2"/>
          <w:lang w:eastAsia="en-US"/>
          <w14:ligatures w14:val="standardContextual"/>
        </w:rPr>
      </w:pPr>
    </w:p>
    <w:p w:rsidRPr="006D1D2E" w:rsidR="006D1D2E" w:rsidP="0D480AA6" w14:paraId="675EC3FE" w14:textId="77777777">
      <w:pPr>
        <w:autoSpaceDN/>
        <w:spacing w:line="240" w:lineRule="auto"/>
        <w:textAlignment w:val="auto"/>
        <w:rPr>
          <w:rFonts w:eastAsia="Aptos" w:cs="Times New Roman"/>
          <w:color w:val="auto"/>
          <w:lang w:eastAsia="en-US"/>
        </w:rPr>
      </w:pPr>
      <w:r w:rsidRPr="006D1D2E">
        <w:rPr>
          <w:rFonts w:eastAsia="Aptos" w:cs="Times New Roman"/>
          <w:color w:val="auto"/>
          <w:kern w:val="2"/>
          <w:lang w:eastAsia="en-US"/>
          <w14:ligatures w14:val="standardContextual"/>
        </w:rPr>
        <w:t>Landelijk gezien is één op de vier huurders via een NVM</w:t>
      </w:r>
      <w:r w:rsidR="0025312F">
        <w:rPr>
          <w:rFonts w:eastAsia="Aptos" w:cs="Times New Roman"/>
          <w:color w:val="auto"/>
          <w:kern w:val="2"/>
          <w:lang w:eastAsia="en-US"/>
          <w14:ligatures w14:val="standardContextual"/>
        </w:rPr>
        <w:t>-</w:t>
      </w:r>
      <w:r w:rsidRPr="006D1D2E">
        <w:rPr>
          <w:rFonts w:eastAsia="Aptos" w:cs="Times New Roman"/>
          <w:color w:val="auto"/>
          <w:kern w:val="2"/>
          <w:lang w:eastAsia="en-US"/>
          <w14:ligatures w14:val="standardContextual"/>
        </w:rPr>
        <w:t xml:space="preserve">makelaar een </w:t>
      </w:r>
      <w:r w:rsidRPr="006D1D2E">
        <w:rPr>
          <w:rFonts w:eastAsia="Aptos" w:cs="Times New Roman"/>
          <w:color w:val="auto"/>
          <w:kern w:val="2"/>
          <w:lang w:eastAsia="en-US"/>
          <w14:ligatures w14:val="standardContextual"/>
        </w:rPr>
        <w:t>international</w:t>
      </w:r>
      <w:r w:rsidRPr="006D1D2E">
        <w:rPr>
          <w:rFonts w:eastAsia="Aptos" w:cs="Times New Roman"/>
          <w:color w:val="auto"/>
          <w:kern w:val="2"/>
          <w:lang w:eastAsia="en-US"/>
          <w14:ligatures w14:val="standardContextual"/>
        </w:rPr>
        <w:t xml:space="preserve">. Dit aandeel is de afgelopen jaren redelijk stabiel gebleven. De markt voor internationals is vrij geconcentreerd: in totaal zijn 16 van de 344 gemeenten verantwoordelijk voor 85% van alle door internationals gehuurde woningen in de periode 2024 en de eerste helft van 2025. </w:t>
      </w:r>
    </w:p>
    <w:p w:rsidRPr="006D1D2E" w:rsidR="006D1D2E" w:rsidP="006D1D2E" w14:paraId="3991D4E5" w14:textId="77777777">
      <w:pPr>
        <w:autoSpaceDN/>
        <w:spacing w:line="240" w:lineRule="auto"/>
        <w:textAlignment w:val="auto"/>
        <w:rPr>
          <w:rFonts w:eastAsia="Aptos" w:cs="Times New Roman"/>
          <w:color w:val="auto"/>
          <w:kern w:val="2"/>
          <w:lang w:eastAsia="en-US"/>
          <w14:ligatures w14:val="standardContextual"/>
        </w:rPr>
      </w:pPr>
    </w:p>
    <w:p w:rsidR="006D1D2E" w:rsidP="006D1D2E" w14:paraId="2AA12511" w14:textId="77777777">
      <w:pPr>
        <w:autoSpaceDN/>
        <w:spacing w:line="240" w:lineRule="auto"/>
        <w:textAlignment w:val="auto"/>
        <w:rPr>
          <w:rFonts w:eastAsia="Aptos" w:cs="Times New Roman"/>
          <w:color w:val="auto"/>
          <w:kern w:val="2"/>
          <w:lang w:eastAsia="en-US"/>
          <w14:ligatures w14:val="standardContextual"/>
        </w:rPr>
      </w:pPr>
      <w:r w:rsidRPr="006D1D2E">
        <w:rPr>
          <w:rFonts w:eastAsia="Aptos" w:cs="Times New Roman"/>
          <w:color w:val="auto"/>
          <w:kern w:val="2"/>
          <w:lang w:eastAsia="en-US"/>
          <w14:ligatures w14:val="standardContextual"/>
        </w:rPr>
        <w:t xml:space="preserve">In 2024 en de eerste helft van 2025 waren vooral Amsterdam en Den Haag populair onder hurende internationals. Ruim 60% van de hurende internationals vestigden zich in deze gemeenten. Als wordt gekeken naar de gemeenten met het hoogste aandeel internationals in alle huurders zien we dat naast Amsterdam en Den Haag ook de randgemeenten van Den Haag populair zijn. Den Haag en de randgemeenten zijn populair doordat de vele internationale organisaties en </w:t>
      </w:r>
      <w:r w:rsidRPr="006D1D2E">
        <w:rPr>
          <w:rFonts w:eastAsia="Aptos" w:cs="Times New Roman"/>
          <w:color w:val="auto"/>
          <w:kern w:val="2"/>
          <w:lang w:eastAsia="en-US"/>
          <w14:ligatures w14:val="standardContextual"/>
        </w:rPr>
        <w:t xml:space="preserve">ambassades onder meer diplomaten en NGO-medewerkers aantrekken. De onderstaande tabel laat de top 10 gemeenten naar aandeel internationals op de huurmarkt zien. </w:t>
      </w:r>
    </w:p>
    <w:p w:rsidRPr="006D1D2E" w:rsidR="00F06CCE" w:rsidP="006D1D2E" w14:paraId="0317C8C8" w14:textId="77777777">
      <w:pPr>
        <w:autoSpaceDN/>
        <w:spacing w:line="240" w:lineRule="auto"/>
        <w:textAlignment w:val="auto"/>
        <w:rPr>
          <w:rFonts w:eastAsia="Aptos" w:cs="Times New Roman"/>
          <w:color w:val="auto"/>
          <w:kern w:val="2"/>
          <w:lang w:eastAsia="en-US"/>
          <w14:ligatures w14:val="standardContextual"/>
        </w:rPr>
      </w:pPr>
    </w:p>
    <w:tbl>
      <w:tblPr>
        <w:tblStyle w:val="Tabelraster1"/>
        <w:tblW w:w="0" w:type="auto"/>
        <w:tblLook w:val="04A0"/>
      </w:tblPr>
      <w:tblGrid>
        <w:gridCol w:w="3390"/>
        <w:gridCol w:w="3391"/>
      </w:tblGrid>
      <w:tr w:rsidTr="0D480AA6" w14:paraId="0503BBCB" w14:textId="77777777">
        <w:tblPrEx>
          <w:tblW w:w="0" w:type="auto"/>
          <w:tblLook w:val="04A0"/>
        </w:tblPrEx>
        <w:trPr>
          <w:trHeight w:val="263"/>
        </w:trPr>
        <w:tc>
          <w:tcPr>
            <w:tcW w:w="6781" w:type="dxa"/>
            <w:gridSpan w:val="2"/>
            <w:shd w:val="clear" w:color="auto" w:fill="808080" w:themeFill="text1" w:themeFillTint="7F"/>
          </w:tcPr>
          <w:p w:rsidRPr="006D1D2E" w:rsidR="006D1D2E" w:rsidP="0D480AA6" w14:paraId="427E5EB2" w14:textId="77777777">
            <w:pPr>
              <w:spacing w:line="240" w:lineRule="auto"/>
              <w:jc w:val="center"/>
              <w:rPr>
                <w:color w:val="FFFFFF" w:themeColor="background1"/>
                <w:sz w:val="16"/>
                <w:szCs w:val="16"/>
              </w:rPr>
            </w:pPr>
            <w:r w:rsidRPr="0D480AA6">
              <w:rPr>
                <w:color w:val="FFFFFF" w:themeColor="background1"/>
                <w:sz w:val="16"/>
                <w:szCs w:val="16"/>
              </w:rPr>
              <w:t>Top 10 gemeenten naar aandeel internationals op de huurmarkt</w:t>
            </w:r>
          </w:p>
        </w:tc>
      </w:tr>
      <w:tr w:rsidTr="0D480AA6" w14:paraId="679847EA" w14:textId="77777777">
        <w:tblPrEx>
          <w:tblW w:w="0" w:type="auto"/>
          <w:tblLook w:val="04A0"/>
        </w:tblPrEx>
        <w:trPr>
          <w:trHeight w:val="281"/>
        </w:trPr>
        <w:tc>
          <w:tcPr>
            <w:tcW w:w="3390" w:type="dxa"/>
            <w:shd w:val="clear" w:color="auto" w:fill="D9D9D9" w:themeFill="background1" w:themeFillShade="D9"/>
          </w:tcPr>
          <w:p w:rsidRPr="006D1D2E" w:rsidR="006D1D2E" w:rsidP="0D480AA6" w14:paraId="7B481F27" w14:textId="77777777">
            <w:pPr>
              <w:spacing w:line="240" w:lineRule="auto"/>
              <w:rPr>
                <w:color w:val="auto"/>
                <w:sz w:val="16"/>
                <w:szCs w:val="16"/>
              </w:rPr>
            </w:pPr>
            <w:r w:rsidRPr="0D480AA6">
              <w:rPr>
                <w:color w:val="auto"/>
                <w:sz w:val="16"/>
                <w:szCs w:val="16"/>
              </w:rPr>
              <w:t>Gemeente</w:t>
            </w:r>
          </w:p>
        </w:tc>
        <w:tc>
          <w:tcPr>
            <w:tcW w:w="3390" w:type="dxa"/>
            <w:shd w:val="clear" w:color="auto" w:fill="D9D9D9" w:themeFill="background1" w:themeFillShade="D9"/>
          </w:tcPr>
          <w:p w:rsidRPr="006D1D2E" w:rsidR="006D1D2E" w:rsidP="0D480AA6" w14:paraId="18E01527" w14:textId="77777777">
            <w:pPr>
              <w:spacing w:line="240" w:lineRule="auto"/>
              <w:rPr>
                <w:color w:val="auto"/>
                <w:sz w:val="16"/>
                <w:szCs w:val="16"/>
              </w:rPr>
            </w:pPr>
            <w:r w:rsidRPr="0D480AA6">
              <w:rPr>
                <w:color w:val="auto"/>
                <w:sz w:val="16"/>
                <w:szCs w:val="16"/>
              </w:rPr>
              <w:t>Aandeel</w:t>
            </w:r>
          </w:p>
        </w:tc>
      </w:tr>
      <w:tr w:rsidTr="0D480AA6" w14:paraId="77880CA0" w14:textId="77777777">
        <w:tblPrEx>
          <w:tblW w:w="0" w:type="auto"/>
          <w:tblLook w:val="04A0"/>
        </w:tblPrEx>
        <w:trPr>
          <w:trHeight w:val="263"/>
        </w:trPr>
        <w:tc>
          <w:tcPr>
            <w:tcW w:w="3390" w:type="dxa"/>
          </w:tcPr>
          <w:p w:rsidRPr="006D1D2E" w:rsidR="006D1D2E" w:rsidP="0D480AA6" w14:paraId="580BD88A" w14:textId="77777777">
            <w:pPr>
              <w:spacing w:line="240" w:lineRule="auto"/>
              <w:rPr>
                <w:color w:val="auto"/>
                <w:sz w:val="16"/>
                <w:szCs w:val="16"/>
              </w:rPr>
            </w:pPr>
            <w:r w:rsidRPr="0D480AA6">
              <w:rPr>
                <w:color w:val="auto"/>
                <w:sz w:val="16"/>
                <w:szCs w:val="16"/>
              </w:rPr>
              <w:t>Wassenaar</w:t>
            </w:r>
          </w:p>
        </w:tc>
        <w:tc>
          <w:tcPr>
            <w:tcW w:w="3390" w:type="dxa"/>
          </w:tcPr>
          <w:p w:rsidRPr="006D1D2E" w:rsidR="006D1D2E" w:rsidP="0D480AA6" w14:paraId="597EFBA0" w14:textId="77777777">
            <w:pPr>
              <w:spacing w:line="240" w:lineRule="auto"/>
              <w:rPr>
                <w:color w:val="auto"/>
                <w:sz w:val="16"/>
                <w:szCs w:val="16"/>
              </w:rPr>
            </w:pPr>
            <w:r w:rsidRPr="0D480AA6">
              <w:rPr>
                <w:color w:val="auto"/>
                <w:sz w:val="16"/>
                <w:szCs w:val="16"/>
              </w:rPr>
              <w:t>74%</w:t>
            </w:r>
          </w:p>
        </w:tc>
      </w:tr>
      <w:tr w:rsidTr="0D480AA6" w14:paraId="1D328C74" w14:textId="77777777">
        <w:tblPrEx>
          <w:tblW w:w="0" w:type="auto"/>
          <w:tblLook w:val="04A0"/>
        </w:tblPrEx>
        <w:trPr>
          <w:trHeight w:val="263"/>
        </w:trPr>
        <w:tc>
          <w:tcPr>
            <w:tcW w:w="3390" w:type="dxa"/>
          </w:tcPr>
          <w:p w:rsidRPr="006D1D2E" w:rsidR="006D1D2E" w:rsidP="0D480AA6" w14:paraId="39595EB8" w14:textId="77777777">
            <w:pPr>
              <w:spacing w:line="240" w:lineRule="auto"/>
              <w:rPr>
                <w:color w:val="auto"/>
                <w:sz w:val="16"/>
                <w:szCs w:val="16"/>
              </w:rPr>
            </w:pPr>
            <w:r w:rsidRPr="0D480AA6">
              <w:rPr>
                <w:color w:val="auto"/>
                <w:sz w:val="16"/>
                <w:szCs w:val="16"/>
              </w:rPr>
              <w:t>Leidschendam-Voorburg</w:t>
            </w:r>
          </w:p>
        </w:tc>
        <w:tc>
          <w:tcPr>
            <w:tcW w:w="3390" w:type="dxa"/>
          </w:tcPr>
          <w:p w:rsidRPr="006D1D2E" w:rsidR="006D1D2E" w:rsidP="0D480AA6" w14:paraId="349397C7" w14:textId="77777777">
            <w:pPr>
              <w:spacing w:line="240" w:lineRule="auto"/>
              <w:rPr>
                <w:color w:val="auto"/>
                <w:sz w:val="16"/>
                <w:szCs w:val="16"/>
              </w:rPr>
            </w:pPr>
            <w:r w:rsidRPr="0D480AA6">
              <w:rPr>
                <w:color w:val="auto"/>
                <w:sz w:val="16"/>
                <w:szCs w:val="16"/>
              </w:rPr>
              <w:t>69%</w:t>
            </w:r>
          </w:p>
        </w:tc>
      </w:tr>
      <w:tr w:rsidTr="0D480AA6" w14:paraId="44ECADA9" w14:textId="77777777">
        <w:tblPrEx>
          <w:tblW w:w="0" w:type="auto"/>
          <w:tblLook w:val="04A0"/>
        </w:tblPrEx>
        <w:trPr>
          <w:trHeight w:val="263"/>
        </w:trPr>
        <w:tc>
          <w:tcPr>
            <w:tcW w:w="3390" w:type="dxa"/>
          </w:tcPr>
          <w:p w:rsidRPr="006D1D2E" w:rsidR="006D1D2E" w:rsidP="0D480AA6" w14:paraId="37430BD8" w14:textId="77777777">
            <w:pPr>
              <w:spacing w:line="240" w:lineRule="auto"/>
              <w:rPr>
                <w:color w:val="auto"/>
                <w:sz w:val="16"/>
                <w:szCs w:val="16"/>
              </w:rPr>
            </w:pPr>
            <w:r w:rsidRPr="0D480AA6">
              <w:rPr>
                <w:color w:val="auto"/>
                <w:sz w:val="16"/>
                <w:szCs w:val="16"/>
              </w:rPr>
              <w:t>Den Haag</w:t>
            </w:r>
          </w:p>
        </w:tc>
        <w:tc>
          <w:tcPr>
            <w:tcW w:w="3390" w:type="dxa"/>
          </w:tcPr>
          <w:p w:rsidRPr="006D1D2E" w:rsidR="006D1D2E" w:rsidP="0D480AA6" w14:paraId="222A1ECF" w14:textId="77777777">
            <w:pPr>
              <w:spacing w:line="240" w:lineRule="auto"/>
              <w:rPr>
                <w:color w:val="auto"/>
                <w:sz w:val="16"/>
                <w:szCs w:val="16"/>
              </w:rPr>
            </w:pPr>
            <w:r w:rsidRPr="0D480AA6">
              <w:rPr>
                <w:color w:val="auto"/>
                <w:sz w:val="16"/>
                <w:szCs w:val="16"/>
              </w:rPr>
              <w:t>62%</w:t>
            </w:r>
          </w:p>
        </w:tc>
      </w:tr>
      <w:tr w:rsidTr="0D480AA6" w14:paraId="02F92589" w14:textId="77777777">
        <w:tblPrEx>
          <w:tblW w:w="0" w:type="auto"/>
          <w:tblLook w:val="04A0"/>
        </w:tblPrEx>
        <w:trPr>
          <w:trHeight w:val="281"/>
        </w:trPr>
        <w:tc>
          <w:tcPr>
            <w:tcW w:w="3390" w:type="dxa"/>
          </w:tcPr>
          <w:p w:rsidRPr="006D1D2E" w:rsidR="006D1D2E" w:rsidP="0D480AA6" w14:paraId="46CF0AA7" w14:textId="77777777">
            <w:pPr>
              <w:spacing w:line="240" w:lineRule="auto"/>
              <w:rPr>
                <w:color w:val="auto"/>
                <w:sz w:val="16"/>
                <w:szCs w:val="16"/>
              </w:rPr>
            </w:pPr>
            <w:r w:rsidRPr="0D480AA6">
              <w:rPr>
                <w:color w:val="auto"/>
                <w:sz w:val="16"/>
                <w:szCs w:val="16"/>
              </w:rPr>
              <w:t>Amsterdam</w:t>
            </w:r>
          </w:p>
        </w:tc>
        <w:tc>
          <w:tcPr>
            <w:tcW w:w="3390" w:type="dxa"/>
          </w:tcPr>
          <w:p w:rsidRPr="006D1D2E" w:rsidR="006D1D2E" w:rsidP="0D480AA6" w14:paraId="0FD895D7" w14:textId="77777777">
            <w:pPr>
              <w:spacing w:line="240" w:lineRule="auto"/>
              <w:rPr>
                <w:color w:val="auto"/>
                <w:sz w:val="16"/>
                <w:szCs w:val="16"/>
              </w:rPr>
            </w:pPr>
            <w:r w:rsidRPr="0D480AA6">
              <w:rPr>
                <w:color w:val="auto"/>
                <w:sz w:val="16"/>
                <w:szCs w:val="16"/>
              </w:rPr>
              <w:t>53%</w:t>
            </w:r>
          </w:p>
        </w:tc>
      </w:tr>
      <w:tr w:rsidTr="0D480AA6" w14:paraId="1BF24D09" w14:textId="77777777">
        <w:tblPrEx>
          <w:tblW w:w="0" w:type="auto"/>
          <w:tblLook w:val="04A0"/>
        </w:tblPrEx>
        <w:trPr>
          <w:trHeight w:val="263"/>
        </w:trPr>
        <w:tc>
          <w:tcPr>
            <w:tcW w:w="3390" w:type="dxa"/>
          </w:tcPr>
          <w:p w:rsidRPr="006D1D2E" w:rsidR="006D1D2E" w:rsidP="0D480AA6" w14:paraId="2B21B6BD" w14:textId="77777777">
            <w:pPr>
              <w:spacing w:line="240" w:lineRule="auto"/>
              <w:rPr>
                <w:color w:val="auto"/>
                <w:sz w:val="16"/>
                <w:szCs w:val="16"/>
              </w:rPr>
            </w:pPr>
            <w:r w:rsidRPr="0D480AA6">
              <w:rPr>
                <w:color w:val="auto"/>
                <w:sz w:val="16"/>
                <w:szCs w:val="16"/>
              </w:rPr>
              <w:t>Delft</w:t>
            </w:r>
          </w:p>
        </w:tc>
        <w:tc>
          <w:tcPr>
            <w:tcW w:w="3390" w:type="dxa"/>
          </w:tcPr>
          <w:p w:rsidRPr="006D1D2E" w:rsidR="006D1D2E" w:rsidP="0D480AA6" w14:paraId="476C2C75" w14:textId="77777777">
            <w:pPr>
              <w:spacing w:line="240" w:lineRule="auto"/>
              <w:rPr>
                <w:color w:val="auto"/>
                <w:sz w:val="16"/>
                <w:szCs w:val="16"/>
              </w:rPr>
            </w:pPr>
            <w:r w:rsidRPr="0D480AA6">
              <w:rPr>
                <w:color w:val="auto"/>
                <w:sz w:val="16"/>
                <w:szCs w:val="16"/>
              </w:rPr>
              <w:t>50%</w:t>
            </w:r>
          </w:p>
        </w:tc>
      </w:tr>
      <w:tr w:rsidTr="0D480AA6" w14:paraId="2449747B" w14:textId="77777777">
        <w:tblPrEx>
          <w:tblW w:w="0" w:type="auto"/>
          <w:tblLook w:val="04A0"/>
        </w:tblPrEx>
        <w:trPr>
          <w:trHeight w:val="263"/>
        </w:trPr>
        <w:tc>
          <w:tcPr>
            <w:tcW w:w="3390" w:type="dxa"/>
          </w:tcPr>
          <w:p w:rsidRPr="006D1D2E" w:rsidR="006D1D2E" w:rsidP="0D480AA6" w14:paraId="39822584" w14:textId="77777777">
            <w:pPr>
              <w:spacing w:line="240" w:lineRule="auto"/>
              <w:rPr>
                <w:color w:val="auto"/>
                <w:sz w:val="16"/>
                <w:szCs w:val="16"/>
              </w:rPr>
            </w:pPr>
            <w:r w:rsidRPr="0D480AA6">
              <w:rPr>
                <w:color w:val="auto"/>
                <w:sz w:val="16"/>
                <w:szCs w:val="16"/>
              </w:rPr>
              <w:t>Amstelveen</w:t>
            </w:r>
          </w:p>
        </w:tc>
        <w:tc>
          <w:tcPr>
            <w:tcW w:w="3390" w:type="dxa"/>
          </w:tcPr>
          <w:p w:rsidRPr="006D1D2E" w:rsidR="006D1D2E" w:rsidP="0D480AA6" w14:paraId="50E60B39" w14:textId="77777777">
            <w:pPr>
              <w:spacing w:line="240" w:lineRule="auto"/>
              <w:rPr>
                <w:color w:val="auto"/>
                <w:sz w:val="16"/>
                <w:szCs w:val="16"/>
              </w:rPr>
            </w:pPr>
            <w:r w:rsidRPr="0D480AA6">
              <w:rPr>
                <w:color w:val="auto"/>
                <w:sz w:val="16"/>
                <w:szCs w:val="16"/>
              </w:rPr>
              <w:t>45%</w:t>
            </w:r>
          </w:p>
        </w:tc>
      </w:tr>
      <w:tr w:rsidTr="0D480AA6" w14:paraId="67245B28" w14:textId="77777777">
        <w:tblPrEx>
          <w:tblW w:w="0" w:type="auto"/>
          <w:tblLook w:val="04A0"/>
        </w:tblPrEx>
        <w:trPr>
          <w:trHeight w:val="263"/>
        </w:trPr>
        <w:tc>
          <w:tcPr>
            <w:tcW w:w="3390" w:type="dxa"/>
          </w:tcPr>
          <w:p w:rsidRPr="006D1D2E" w:rsidR="006D1D2E" w:rsidP="0D480AA6" w14:paraId="3106664E" w14:textId="77777777">
            <w:pPr>
              <w:spacing w:line="240" w:lineRule="auto"/>
              <w:rPr>
                <w:color w:val="auto"/>
                <w:sz w:val="16"/>
                <w:szCs w:val="16"/>
              </w:rPr>
            </w:pPr>
            <w:r w:rsidRPr="0D480AA6">
              <w:rPr>
                <w:color w:val="auto"/>
                <w:sz w:val="16"/>
                <w:szCs w:val="16"/>
              </w:rPr>
              <w:t>Hilversum</w:t>
            </w:r>
          </w:p>
        </w:tc>
        <w:tc>
          <w:tcPr>
            <w:tcW w:w="3390" w:type="dxa"/>
          </w:tcPr>
          <w:p w:rsidRPr="006D1D2E" w:rsidR="006D1D2E" w:rsidP="0D480AA6" w14:paraId="5D8F8D16" w14:textId="77777777">
            <w:pPr>
              <w:spacing w:line="240" w:lineRule="auto"/>
              <w:rPr>
                <w:color w:val="auto"/>
                <w:sz w:val="16"/>
                <w:szCs w:val="16"/>
              </w:rPr>
            </w:pPr>
            <w:r w:rsidRPr="0D480AA6">
              <w:rPr>
                <w:color w:val="auto"/>
                <w:sz w:val="16"/>
                <w:szCs w:val="16"/>
              </w:rPr>
              <w:t>32%</w:t>
            </w:r>
          </w:p>
        </w:tc>
      </w:tr>
      <w:tr w:rsidTr="0D480AA6" w14:paraId="47ED23D3" w14:textId="77777777">
        <w:tblPrEx>
          <w:tblW w:w="0" w:type="auto"/>
          <w:tblLook w:val="04A0"/>
        </w:tblPrEx>
        <w:trPr>
          <w:trHeight w:val="281"/>
        </w:trPr>
        <w:tc>
          <w:tcPr>
            <w:tcW w:w="3390" w:type="dxa"/>
          </w:tcPr>
          <w:p w:rsidRPr="006D1D2E" w:rsidR="006D1D2E" w:rsidP="0D480AA6" w14:paraId="78CA0962" w14:textId="77777777">
            <w:pPr>
              <w:spacing w:line="240" w:lineRule="auto"/>
              <w:rPr>
                <w:color w:val="auto"/>
                <w:sz w:val="16"/>
                <w:szCs w:val="16"/>
              </w:rPr>
            </w:pPr>
            <w:r w:rsidRPr="0D480AA6">
              <w:rPr>
                <w:color w:val="auto"/>
                <w:sz w:val="16"/>
                <w:szCs w:val="16"/>
              </w:rPr>
              <w:t>Haarlem</w:t>
            </w:r>
          </w:p>
        </w:tc>
        <w:tc>
          <w:tcPr>
            <w:tcW w:w="3390" w:type="dxa"/>
          </w:tcPr>
          <w:p w:rsidRPr="006D1D2E" w:rsidR="006D1D2E" w:rsidP="0D480AA6" w14:paraId="79D6FE77" w14:textId="77777777">
            <w:pPr>
              <w:spacing w:line="240" w:lineRule="auto"/>
              <w:rPr>
                <w:color w:val="auto"/>
                <w:sz w:val="16"/>
                <w:szCs w:val="16"/>
              </w:rPr>
            </w:pPr>
            <w:r w:rsidRPr="0D480AA6">
              <w:rPr>
                <w:color w:val="auto"/>
                <w:sz w:val="16"/>
                <w:szCs w:val="16"/>
              </w:rPr>
              <w:t>30%</w:t>
            </w:r>
          </w:p>
        </w:tc>
      </w:tr>
      <w:tr w:rsidTr="0D480AA6" w14:paraId="2B63FD85" w14:textId="77777777">
        <w:tblPrEx>
          <w:tblW w:w="0" w:type="auto"/>
          <w:tblLook w:val="04A0"/>
        </w:tblPrEx>
        <w:trPr>
          <w:trHeight w:val="263"/>
        </w:trPr>
        <w:tc>
          <w:tcPr>
            <w:tcW w:w="3390" w:type="dxa"/>
          </w:tcPr>
          <w:p w:rsidRPr="006D1D2E" w:rsidR="006D1D2E" w:rsidP="0D480AA6" w14:paraId="6F843495" w14:textId="77777777">
            <w:pPr>
              <w:spacing w:line="240" w:lineRule="auto"/>
              <w:rPr>
                <w:color w:val="auto"/>
                <w:sz w:val="16"/>
                <w:szCs w:val="16"/>
              </w:rPr>
            </w:pPr>
            <w:r w:rsidRPr="0D480AA6">
              <w:rPr>
                <w:color w:val="auto"/>
                <w:sz w:val="16"/>
                <w:szCs w:val="16"/>
              </w:rPr>
              <w:t>Leiden</w:t>
            </w:r>
          </w:p>
        </w:tc>
        <w:tc>
          <w:tcPr>
            <w:tcW w:w="3390" w:type="dxa"/>
          </w:tcPr>
          <w:p w:rsidRPr="006D1D2E" w:rsidR="006D1D2E" w:rsidP="0D480AA6" w14:paraId="3DE23DA7" w14:textId="77777777">
            <w:pPr>
              <w:spacing w:line="240" w:lineRule="auto"/>
              <w:rPr>
                <w:color w:val="auto"/>
                <w:sz w:val="16"/>
                <w:szCs w:val="16"/>
              </w:rPr>
            </w:pPr>
            <w:r w:rsidRPr="0D480AA6">
              <w:rPr>
                <w:color w:val="auto"/>
                <w:sz w:val="16"/>
                <w:szCs w:val="16"/>
              </w:rPr>
              <w:t>26%</w:t>
            </w:r>
          </w:p>
        </w:tc>
      </w:tr>
      <w:tr w:rsidTr="0D480AA6" w14:paraId="3502DAB3" w14:textId="77777777">
        <w:tblPrEx>
          <w:tblW w:w="0" w:type="auto"/>
          <w:tblLook w:val="04A0"/>
        </w:tblPrEx>
        <w:trPr>
          <w:trHeight w:val="263"/>
        </w:trPr>
        <w:tc>
          <w:tcPr>
            <w:tcW w:w="3390" w:type="dxa"/>
          </w:tcPr>
          <w:p w:rsidRPr="006D1D2E" w:rsidR="006D1D2E" w:rsidP="0D480AA6" w14:paraId="3601A697" w14:textId="77777777">
            <w:pPr>
              <w:spacing w:line="240" w:lineRule="auto"/>
              <w:rPr>
                <w:color w:val="auto"/>
                <w:sz w:val="16"/>
                <w:szCs w:val="16"/>
              </w:rPr>
            </w:pPr>
            <w:r w:rsidRPr="0D480AA6">
              <w:rPr>
                <w:color w:val="auto"/>
                <w:sz w:val="16"/>
                <w:szCs w:val="16"/>
              </w:rPr>
              <w:t>Diemen</w:t>
            </w:r>
          </w:p>
        </w:tc>
        <w:tc>
          <w:tcPr>
            <w:tcW w:w="3390" w:type="dxa"/>
          </w:tcPr>
          <w:p w:rsidRPr="006D1D2E" w:rsidR="006D1D2E" w:rsidP="0D480AA6" w14:paraId="7860CF6F" w14:textId="77777777">
            <w:pPr>
              <w:spacing w:line="240" w:lineRule="auto"/>
              <w:rPr>
                <w:color w:val="auto"/>
                <w:sz w:val="16"/>
                <w:szCs w:val="16"/>
              </w:rPr>
            </w:pPr>
            <w:r w:rsidRPr="0D480AA6">
              <w:rPr>
                <w:color w:val="auto"/>
                <w:sz w:val="16"/>
                <w:szCs w:val="16"/>
              </w:rPr>
              <w:t>25%</w:t>
            </w:r>
          </w:p>
        </w:tc>
      </w:tr>
    </w:tbl>
    <w:p w:rsidRPr="006D1D2E" w:rsidR="006D1D2E" w:rsidP="0D480AA6" w14:paraId="498CC4CB" w14:textId="77777777">
      <w:pPr>
        <w:autoSpaceDN/>
        <w:spacing w:line="240" w:lineRule="auto"/>
        <w:textAlignment w:val="auto"/>
        <w:rPr>
          <w:rFonts w:eastAsia="Aptos" w:cs="Times New Roman"/>
          <w:color w:val="auto"/>
          <w:sz w:val="16"/>
          <w:szCs w:val="16"/>
          <w:lang w:eastAsia="en-US"/>
        </w:rPr>
      </w:pPr>
      <w:r w:rsidRPr="006D1D2E">
        <w:rPr>
          <w:rFonts w:eastAsia="Aptos" w:cs="Times New Roman"/>
          <w:color w:val="auto"/>
          <w:kern w:val="2"/>
          <w:sz w:val="16"/>
          <w:szCs w:val="16"/>
          <w:lang w:eastAsia="en-US"/>
          <w14:ligatures w14:val="standardContextual"/>
        </w:rPr>
        <w:t xml:space="preserve">Bron: NVM, Internationals op de woningmarkt </w:t>
      </w:r>
    </w:p>
    <w:p w:rsidRPr="006D1D2E" w:rsidR="006D1D2E" w:rsidP="006D1D2E" w14:paraId="38666954" w14:textId="77777777">
      <w:pPr>
        <w:autoSpaceDN/>
        <w:spacing w:line="240" w:lineRule="auto"/>
        <w:textAlignment w:val="auto"/>
        <w:rPr>
          <w:rFonts w:eastAsia="Aptos" w:cs="Times New Roman"/>
          <w:color w:val="auto"/>
          <w:kern w:val="2"/>
          <w:lang w:eastAsia="en-US"/>
          <w14:ligatures w14:val="standardContextual"/>
        </w:rPr>
      </w:pPr>
    </w:p>
    <w:p w:rsidRPr="006D1D2E" w:rsidR="006D1D2E" w:rsidP="0D480AA6" w14:paraId="4BE37D3A" w14:textId="77777777">
      <w:pPr>
        <w:autoSpaceDN/>
        <w:spacing w:line="240" w:lineRule="auto"/>
        <w:textAlignment w:val="auto"/>
        <w:rPr>
          <w:rFonts w:eastAsia="Aptos" w:cs="Times New Roman"/>
          <w:b/>
          <w:bCs/>
          <w:color w:val="auto"/>
          <w:lang w:eastAsia="en-US"/>
        </w:rPr>
      </w:pPr>
      <w:r w:rsidRPr="006D1D2E">
        <w:rPr>
          <w:rFonts w:eastAsia="Aptos" w:cs="Times New Roman"/>
          <w:b/>
          <w:bCs/>
          <w:color w:val="auto"/>
          <w:kern w:val="2"/>
          <w:lang w:eastAsia="en-US"/>
          <w14:ligatures w14:val="standardContextual"/>
        </w:rPr>
        <w:t>Vraag 4</w:t>
      </w:r>
      <w:r w:rsidRPr="006D1D2E">
        <w:rPr>
          <w:rFonts w:eastAsia="Aptos" w:cs="Times New Roman"/>
          <w:b/>
          <w:bCs/>
          <w:color w:val="auto"/>
          <w:kern w:val="2"/>
          <w:lang w:eastAsia="en-US"/>
          <w14:ligatures w14:val="standardContextual"/>
        </w:rPr>
        <w:br/>
      </w:r>
      <w:r w:rsidRPr="006D1D2E">
        <w:rPr>
          <w:rFonts w:eastAsia="Aptos" w:cs="Times New Roman"/>
          <w:color w:val="auto"/>
          <w:kern w:val="2"/>
          <w:lang w:eastAsia="en-US"/>
          <w14:ligatures w14:val="standardContextual"/>
        </w:rPr>
        <w:t>Welke maatregelen heeft u momenteel tot uw beschikking om het gebruik van middenhuurwoningen, vrijesectorhuurwoningen en koopwoningen door expats te beperken, en bent u bereid aanvullende maatregelen te onderzoeken of voor te stellen om de positie van Nederlandse starters ten opzichte van expats te verbeteren?</w:t>
      </w:r>
      <w:r w:rsidRPr="006D1D2E">
        <w:rPr>
          <w:rFonts w:eastAsia="Aptos" w:cs="Times New Roman"/>
          <w:color w:val="auto"/>
          <w:kern w:val="2"/>
          <w:lang w:eastAsia="en-US"/>
          <w14:ligatures w14:val="standardContextual"/>
        </w:rPr>
        <w:br/>
      </w:r>
      <w:r w:rsidRPr="006D1D2E">
        <w:rPr>
          <w:rFonts w:eastAsia="Aptos" w:cs="Times New Roman"/>
          <w:color w:val="auto"/>
          <w:kern w:val="2"/>
          <w:lang w:eastAsia="en-US"/>
          <w14:ligatures w14:val="standardContextual"/>
        </w:rPr>
        <w:br/>
      </w:r>
      <w:r w:rsidRPr="006D1D2E">
        <w:rPr>
          <w:rFonts w:eastAsia="Aptos" w:cs="Times New Roman"/>
          <w:b/>
          <w:bCs/>
          <w:color w:val="auto"/>
          <w:kern w:val="2"/>
          <w:lang w:eastAsia="en-US"/>
          <w14:ligatures w14:val="standardContextual"/>
        </w:rPr>
        <w:t>Antwoord op vraag 4</w:t>
      </w:r>
    </w:p>
    <w:p w:rsidRPr="006D1D2E" w:rsidR="006D1D2E" w:rsidP="0D480AA6" w14:paraId="7147FF5F" w14:textId="77777777">
      <w:pPr>
        <w:autoSpaceDN/>
        <w:spacing w:line="240" w:lineRule="auto"/>
        <w:textAlignment w:val="auto"/>
        <w:rPr>
          <w:rFonts w:eastAsia="Aptos" w:cs="Times New Roman"/>
          <w:color w:val="auto"/>
          <w:lang w:eastAsia="en-US"/>
        </w:rPr>
      </w:pPr>
      <w:r w:rsidRPr="006D1D2E">
        <w:rPr>
          <w:rFonts w:eastAsia="Aptos" w:cs="Times New Roman"/>
          <w:color w:val="auto"/>
          <w:kern w:val="2"/>
          <w:lang w:eastAsia="en-US"/>
          <w14:ligatures w14:val="standardContextual"/>
        </w:rPr>
        <w:t>De Huisvestingswet</w:t>
      </w:r>
      <w:r w:rsidR="00EF4026">
        <w:rPr>
          <w:rFonts w:eastAsia="Aptos" w:cs="Times New Roman"/>
          <w:color w:val="auto"/>
          <w:kern w:val="2"/>
          <w:lang w:eastAsia="en-US"/>
          <w14:ligatures w14:val="standardContextual"/>
        </w:rPr>
        <w:t xml:space="preserve"> 2014</w:t>
      </w:r>
      <w:r w:rsidRPr="006D1D2E">
        <w:rPr>
          <w:rFonts w:eastAsia="Aptos" w:cs="Times New Roman"/>
          <w:color w:val="auto"/>
          <w:kern w:val="2"/>
          <w:lang w:eastAsia="en-US"/>
          <w14:ligatures w14:val="standardContextual"/>
        </w:rPr>
        <w:t xml:space="preserve"> biedt gemeenten de mogelijkheid om toewijzingscriteria en voorrangsregels voor woonruimten te stellen via een </w:t>
      </w:r>
      <w:r w:rsidR="00605A40">
        <w:rPr>
          <w:rFonts w:eastAsia="Aptos" w:cs="Times New Roman"/>
          <w:color w:val="auto"/>
          <w:kern w:val="2"/>
          <w:lang w:eastAsia="en-US"/>
          <w14:ligatures w14:val="standardContextual"/>
        </w:rPr>
        <w:t>h</w:t>
      </w:r>
      <w:r w:rsidRPr="006D1D2E">
        <w:rPr>
          <w:rFonts w:eastAsia="Aptos" w:cs="Times New Roman"/>
          <w:color w:val="auto"/>
          <w:kern w:val="2"/>
          <w:lang w:eastAsia="en-US"/>
          <w14:ligatures w14:val="standardContextual"/>
        </w:rPr>
        <w:t xml:space="preserve">uisvestingsverordening. Dit kan worden gebruikt voor sociale huur, </w:t>
      </w:r>
      <w:r w:rsidRPr="006D1D2E">
        <w:rPr>
          <w:rFonts w:eastAsia="Aptos" w:cs="Times New Roman"/>
          <w:color w:val="auto"/>
          <w:kern w:val="2"/>
          <w:lang w:eastAsia="en-US"/>
          <w14:ligatures w14:val="standardContextual"/>
        </w:rPr>
        <w:t>middenhuur</w:t>
      </w:r>
      <w:r w:rsidRPr="006D1D2E">
        <w:rPr>
          <w:rFonts w:eastAsia="Aptos" w:cs="Times New Roman"/>
          <w:color w:val="auto"/>
          <w:kern w:val="2"/>
          <w:lang w:eastAsia="en-US"/>
          <w14:ligatures w14:val="standardContextual"/>
        </w:rPr>
        <w:t xml:space="preserve"> en </w:t>
      </w:r>
      <w:r w:rsidR="00007E61">
        <w:rPr>
          <w:rFonts w:eastAsia="Aptos" w:cs="Times New Roman"/>
          <w:color w:val="auto"/>
          <w:kern w:val="2"/>
          <w:lang w:eastAsia="en-US"/>
          <w14:ligatures w14:val="standardContextual"/>
        </w:rPr>
        <w:t xml:space="preserve">(nieuwbouw) </w:t>
      </w:r>
      <w:r w:rsidRPr="006D1D2E">
        <w:rPr>
          <w:rFonts w:eastAsia="Aptos" w:cs="Times New Roman"/>
          <w:color w:val="auto"/>
          <w:kern w:val="2"/>
          <w:lang w:eastAsia="en-US"/>
          <w14:ligatures w14:val="standardContextual"/>
        </w:rPr>
        <w:t xml:space="preserve">betaalbare koop, indien er sprake is van schaarste aan woonruimte in die segmenten. Een van deze mogelijkheden is om bij de toewijzing voorrang te geven aan mensen met een </w:t>
      </w:r>
      <w:r w:rsidR="00EF4026">
        <w:rPr>
          <w:rFonts w:eastAsia="Aptos" w:cs="Times New Roman"/>
          <w:color w:val="auto"/>
          <w:kern w:val="2"/>
          <w:lang w:eastAsia="en-US"/>
          <w14:ligatures w14:val="standardContextual"/>
        </w:rPr>
        <w:t>maatschappelijke</w:t>
      </w:r>
      <w:r w:rsidRPr="006D1D2E" w:rsidR="00EF4026">
        <w:rPr>
          <w:rFonts w:eastAsia="Aptos" w:cs="Times New Roman"/>
          <w:color w:val="auto"/>
          <w:kern w:val="2"/>
          <w:lang w:eastAsia="en-US"/>
          <w14:ligatures w14:val="standardContextual"/>
        </w:rPr>
        <w:t xml:space="preserve"> </w:t>
      </w:r>
      <w:r w:rsidRPr="006D1D2E">
        <w:rPr>
          <w:rFonts w:eastAsia="Aptos" w:cs="Times New Roman"/>
          <w:color w:val="auto"/>
          <w:kern w:val="2"/>
          <w:lang w:eastAsia="en-US"/>
          <w14:ligatures w14:val="standardContextual"/>
        </w:rPr>
        <w:t>of economische binding.</w:t>
      </w:r>
      <w:r>
        <w:rPr>
          <w:rStyle w:val="FootnoteReference"/>
          <w:rFonts w:eastAsia="Aptos" w:cs="Times New Roman"/>
          <w:color w:val="auto"/>
          <w:kern w:val="2"/>
          <w:lang w:eastAsia="en-US"/>
          <w14:ligatures w14:val="standardContextual"/>
        </w:rPr>
        <w:footnoteReference w:id="3"/>
      </w:r>
      <w:r w:rsidRPr="006D1D2E">
        <w:rPr>
          <w:rFonts w:eastAsia="Aptos" w:cs="Times New Roman"/>
          <w:color w:val="auto"/>
          <w:kern w:val="2"/>
          <w:lang w:eastAsia="en-US"/>
          <w14:ligatures w14:val="standardContextual"/>
        </w:rPr>
        <w:t xml:space="preserve"> </w:t>
      </w:r>
      <w:r w:rsidRPr="00753AC0">
        <w:rPr>
          <w:rFonts w:eastAsia="Aptos" w:cs="Times New Roman"/>
          <w:color w:val="auto"/>
          <w:kern w:val="2"/>
          <w:lang w:eastAsia="en-US"/>
          <w14:ligatures w14:val="standardContextual"/>
        </w:rPr>
        <w:t>Gemeenten kunnen hiermee bijvoorbeeld</w:t>
      </w:r>
      <w:r w:rsidRPr="006D1D2E">
        <w:rPr>
          <w:rFonts w:eastAsia="Aptos" w:cs="Times New Roman"/>
          <w:color w:val="auto"/>
          <w:kern w:val="2"/>
          <w:lang w:eastAsia="en-US"/>
          <w14:ligatures w14:val="standardContextual"/>
        </w:rPr>
        <w:t xml:space="preserve"> voorrang verlenen aan mensen die al woonachtig zijn in de gemeente. Tot 50% van de in de Huisvestingsverordening aangewezen </w:t>
      </w:r>
      <w:r w:rsidR="00844E3C">
        <w:rPr>
          <w:rFonts w:eastAsia="Aptos" w:cs="Times New Roman"/>
          <w:color w:val="auto"/>
          <w:kern w:val="2"/>
          <w:lang w:eastAsia="en-US"/>
          <w14:ligatures w14:val="standardContextual"/>
        </w:rPr>
        <w:t>categorieën van woonruimte</w:t>
      </w:r>
      <w:r w:rsidRPr="006D1D2E" w:rsidR="00844E3C">
        <w:rPr>
          <w:rFonts w:eastAsia="Aptos" w:cs="Times New Roman"/>
          <w:color w:val="auto"/>
          <w:kern w:val="2"/>
          <w:lang w:eastAsia="en-US"/>
          <w14:ligatures w14:val="standardContextual"/>
        </w:rPr>
        <w:t xml:space="preserve"> </w:t>
      </w:r>
      <w:r w:rsidRPr="006D1D2E">
        <w:rPr>
          <w:rFonts w:eastAsia="Aptos" w:cs="Times New Roman"/>
          <w:color w:val="auto"/>
          <w:kern w:val="2"/>
          <w:lang w:eastAsia="en-US"/>
          <w14:ligatures w14:val="standardContextual"/>
        </w:rPr>
        <w:t xml:space="preserve">mogen gemeenten toewijzen aan mensen met een </w:t>
      </w:r>
      <w:r w:rsidR="00844E3C">
        <w:rPr>
          <w:rFonts w:eastAsia="Aptos" w:cs="Times New Roman"/>
          <w:color w:val="auto"/>
          <w:kern w:val="2"/>
          <w:lang w:eastAsia="en-US"/>
          <w14:ligatures w14:val="standardContextual"/>
        </w:rPr>
        <w:t>vorm van</w:t>
      </w:r>
      <w:r w:rsidRPr="006D1D2E" w:rsidR="00844E3C">
        <w:rPr>
          <w:rFonts w:eastAsia="Aptos" w:cs="Times New Roman"/>
          <w:color w:val="auto"/>
          <w:kern w:val="2"/>
          <w:lang w:eastAsia="en-US"/>
          <w14:ligatures w14:val="standardContextual"/>
        </w:rPr>
        <w:t xml:space="preserve"> </w:t>
      </w:r>
      <w:r w:rsidRPr="006D1D2E">
        <w:rPr>
          <w:rFonts w:eastAsia="Aptos" w:cs="Times New Roman"/>
          <w:color w:val="auto"/>
          <w:kern w:val="2"/>
          <w:lang w:eastAsia="en-US"/>
          <w14:ligatures w14:val="standardContextual"/>
        </w:rPr>
        <w:t xml:space="preserve">binding. In de huursector wordt dit voor de bestaande bouw voornamelijk toegepast bij sociale woningen van woningcorporaties. Deze woningen worden via een </w:t>
      </w:r>
      <w:r w:rsidRPr="006D1D2E">
        <w:rPr>
          <w:rFonts w:eastAsia="Aptos" w:cs="Times New Roman"/>
          <w:color w:val="auto"/>
          <w:kern w:val="2"/>
          <w:lang w:eastAsia="en-US"/>
          <w14:ligatures w14:val="standardContextual"/>
        </w:rPr>
        <w:t>woonruimteverdeelsysteem</w:t>
      </w:r>
      <w:r w:rsidRPr="006D1D2E">
        <w:rPr>
          <w:rFonts w:eastAsia="Aptos" w:cs="Times New Roman"/>
          <w:color w:val="auto"/>
          <w:kern w:val="2"/>
          <w:lang w:eastAsia="en-US"/>
          <w14:ligatures w14:val="standardContextual"/>
        </w:rPr>
        <w:t xml:space="preserve"> aangeboden, waardoor het stellen van deze voorrangsregels mogelijk is. Voor private huurwoningen gelden deze regels doorgaans niet. Doordat er geen centraal zicht is op deze woningen, is het met voorrang toewijzen van private huurwoningen aan mensen met een lokale binding lastig in de uitvoering. Wel gebruiken gemeenten voorrang bij lokale binding geregeld bij nieuwbouwwoningen in sociale en middensegment, en bij </w:t>
      </w:r>
      <w:r w:rsidR="00077D84">
        <w:rPr>
          <w:rFonts w:eastAsia="Aptos" w:cs="Times New Roman"/>
          <w:color w:val="auto"/>
          <w:kern w:val="2"/>
          <w:lang w:eastAsia="en-US"/>
          <w14:ligatures w14:val="standardContextual"/>
        </w:rPr>
        <w:t xml:space="preserve">nieuwgebouwde </w:t>
      </w:r>
      <w:r w:rsidRPr="006D1D2E">
        <w:rPr>
          <w:rFonts w:eastAsia="Aptos" w:cs="Times New Roman"/>
          <w:color w:val="auto"/>
          <w:kern w:val="2"/>
          <w:lang w:eastAsia="en-US"/>
          <w14:ligatures w14:val="standardContextual"/>
        </w:rPr>
        <w:t xml:space="preserve">betaalbare koopwoningen. </w:t>
      </w:r>
    </w:p>
    <w:p w:rsidRPr="006D1D2E" w:rsidR="006D1D2E" w:rsidP="006D1D2E" w14:paraId="721CCF87" w14:textId="77777777">
      <w:pPr>
        <w:autoSpaceDN/>
        <w:spacing w:line="240" w:lineRule="auto"/>
        <w:textAlignment w:val="auto"/>
        <w:rPr>
          <w:rFonts w:eastAsia="Aptos" w:cs="Times New Roman"/>
          <w:color w:val="auto"/>
          <w:kern w:val="2"/>
          <w:lang w:eastAsia="en-US"/>
          <w14:ligatures w14:val="standardContextual"/>
        </w:rPr>
      </w:pPr>
    </w:p>
    <w:p w:rsidR="006D1D2E" w:rsidP="0D480AA6" w14:paraId="56525D29" w14:textId="77777777">
      <w:pPr>
        <w:autoSpaceDN/>
        <w:spacing w:line="240" w:lineRule="auto"/>
        <w:textAlignment w:val="auto"/>
        <w:rPr>
          <w:rFonts w:eastAsia="Aptos" w:cs="Times New Roman"/>
          <w:color w:val="auto"/>
          <w:kern w:val="2"/>
          <w:lang w:eastAsia="en-US"/>
          <w14:ligatures w14:val="standardContextual"/>
        </w:rPr>
      </w:pPr>
      <w:r w:rsidRPr="006D1D2E">
        <w:rPr>
          <w:rFonts w:eastAsia="Aptos" w:cs="Times New Roman"/>
          <w:color w:val="auto"/>
          <w:kern w:val="2"/>
          <w:lang w:eastAsia="en-US"/>
          <w14:ligatures w14:val="standardContextual"/>
        </w:rPr>
        <w:t xml:space="preserve">Gemeenten hebben dus al mogelijkheden om bij woonruimteverdeling voorrang te verlenen voor mensen met lokale binding. Ik zie geen noodzaak om aanvullende maatregelen te onderzoeken of voor te stellen. Zoals blijkt uit de beantwoording van vraag 3 en 5, zijn </w:t>
      </w:r>
      <w:r w:rsidR="000E1BC7">
        <w:rPr>
          <w:rFonts w:eastAsia="Aptos" w:cs="Times New Roman"/>
          <w:color w:val="auto"/>
          <w:kern w:val="2"/>
          <w:lang w:eastAsia="en-US"/>
          <w14:ligatures w14:val="standardContextual"/>
        </w:rPr>
        <w:t>internationals</w:t>
      </w:r>
      <w:r w:rsidRPr="006D1D2E">
        <w:rPr>
          <w:rFonts w:eastAsia="Aptos" w:cs="Times New Roman"/>
          <w:color w:val="auto"/>
          <w:kern w:val="2"/>
          <w:lang w:eastAsia="en-US"/>
          <w14:ligatures w14:val="standardContextual"/>
        </w:rPr>
        <w:t xml:space="preserve"> vooral actief in de gebieden waar veel internationale bedrijven, organisaties en ambassades zijn gevestigd. Dit zijn ook de bedrijven en organisaties waar zij werkzaam zijn. In de betreffende gebieden zullen andere woningzoekenden meer concurrentie ondervinden bij het vinden van een woning in de midden- of vrije huur, of in de koopsector. </w:t>
      </w:r>
      <w:bookmarkStart w:name="_Hlk223339624" w:id="0"/>
      <w:r w:rsidRPr="006D1D2E">
        <w:rPr>
          <w:rFonts w:eastAsia="Aptos" w:cs="Times New Roman"/>
          <w:color w:val="auto"/>
          <w:kern w:val="2"/>
          <w:lang w:eastAsia="en-US"/>
          <w14:ligatures w14:val="standardContextual"/>
        </w:rPr>
        <w:t xml:space="preserve">Aanvullende maatregelen om de positie van expats te verminderen raken echter direct aan de </w:t>
      </w:r>
      <w:r w:rsidRPr="00F41076" w:rsidR="00F41076">
        <w:rPr>
          <w:rFonts w:eastAsia="Aptos" w:cs="Times New Roman"/>
          <w:color w:val="auto"/>
          <w:kern w:val="2"/>
          <w:lang w:eastAsia="en-US"/>
          <w14:ligatures w14:val="standardContextual"/>
        </w:rPr>
        <w:t>aantrekkelijkheid voor internationaal talent om in Nederland te komen werken</w:t>
      </w:r>
      <w:r w:rsidR="007F24A4">
        <w:rPr>
          <w:rFonts w:eastAsia="Aptos" w:cs="Times New Roman"/>
          <w:color w:val="auto"/>
          <w:kern w:val="2"/>
          <w:lang w:eastAsia="en-US"/>
          <w14:ligatures w14:val="standardContextual"/>
        </w:rPr>
        <w:t>.</w:t>
      </w:r>
      <w:r w:rsidRPr="00F41076" w:rsidR="00F41076">
        <w:rPr>
          <w:rFonts w:eastAsia="Aptos" w:cs="Times New Roman"/>
          <w:color w:val="auto"/>
          <w:kern w:val="2"/>
          <w:lang w:eastAsia="en-US"/>
          <w14:ligatures w14:val="standardContextual"/>
        </w:rPr>
        <w:t xml:space="preserve"> </w:t>
      </w:r>
      <w:r w:rsidRPr="007F24A4" w:rsidR="007F24A4">
        <w:rPr>
          <w:rFonts w:eastAsia="Aptos" w:cs="Times New Roman"/>
          <w:color w:val="auto"/>
          <w:kern w:val="2"/>
          <w:lang w:eastAsia="en-US"/>
          <w14:ligatures w14:val="standardContextual"/>
        </w:rPr>
        <w:t>Hierdoor zal het voor bedrijven moeilijker worden om het benodigde talent vanuit het buitenland aan te werven en dit zal negatieve gevolgen hebben voor het vestigings- en ondernemingsklimaat van Nederland en het innovatie- en concurrentievermogen van bedrijven</w:t>
      </w:r>
      <w:r w:rsidRPr="006D1D2E">
        <w:rPr>
          <w:rFonts w:eastAsia="Aptos" w:cs="Times New Roman"/>
          <w:color w:val="auto"/>
          <w:kern w:val="2"/>
          <w:lang w:eastAsia="en-US"/>
          <w14:ligatures w14:val="standardContextual"/>
        </w:rPr>
        <w:t xml:space="preserve">. </w:t>
      </w:r>
      <w:bookmarkEnd w:id="0"/>
    </w:p>
    <w:p w:rsidR="00005BDD" w:rsidP="0D480AA6" w14:paraId="30CCD61F" w14:textId="77777777">
      <w:pPr>
        <w:autoSpaceDN/>
        <w:spacing w:line="240" w:lineRule="auto"/>
        <w:textAlignment w:val="auto"/>
        <w:rPr>
          <w:rFonts w:eastAsia="Aptos" w:cs="Times New Roman"/>
          <w:color w:val="auto"/>
          <w:lang w:eastAsia="en-US"/>
        </w:rPr>
      </w:pPr>
    </w:p>
    <w:p w:rsidRPr="006D1D2E" w:rsidR="006D1D2E" w:rsidP="0D480AA6" w14:paraId="3D3F3023" w14:textId="77777777">
      <w:pPr>
        <w:autoSpaceDN/>
        <w:spacing w:line="240" w:lineRule="auto"/>
        <w:textAlignment w:val="auto"/>
        <w:rPr>
          <w:rFonts w:eastAsia="Aptos" w:cs="Times New Roman"/>
          <w:b/>
          <w:bCs/>
          <w:color w:val="auto"/>
          <w:lang w:eastAsia="en-US"/>
        </w:rPr>
      </w:pPr>
      <w:r w:rsidRPr="006D1D2E">
        <w:rPr>
          <w:rFonts w:eastAsia="Aptos" w:cs="Times New Roman"/>
          <w:b/>
          <w:bCs/>
          <w:color w:val="auto"/>
          <w:kern w:val="2"/>
          <w:lang w:eastAsia="en-US"/>
          <w14:ligatures w14:val="standardContextual"/>
        </w:rPr>
        <w:t>Vraag 5</w:t>
      </w:r>
      <w:r w:rsidRPr="006D1D2E">
        <w:rPr>
          <w:rFonts w:eastAsia="Aptos" w:cs="Times New Roman"/>
          <w:b/>
          <w:bCs/>
          <w:color w:val="auto"/>
          <w:kern w:val="2"/>
          <w:lang w:eastAsia="en-US"/>
          <w14:ligatures w14:val="standardContextual"/>
        </w:rPr>
        <w:br/>
      </w:r>
      <w:r w:rsidRPr="006D1D2E">
        <w:rPr>
          <w:rFonts w:eastAsia="Aptos" w:cs="Times New Roman"/>
          <w:color w:val="auto"/>
          <w:kern w:val="2"/>
          <w:lang w:eastAsia="en-US"/>
          <w14:ligatures w14:val="standardContextual"/>
        </w:rPr>
        <w:t>Heeft u inzichtelijk welke effecten expats precies hebben op de hoogte van huizenprijzen (zowel huur, als koop) op korte en lange termijn, waaronder in regio’s zoals de regio Brainport Eindhoven en Groot Amsterdam? Zo ja, kunt u deze informatie met de Kamer delen? Zo nee, bent u bereid hier onderzoek naar te laten verrichten?</w:t>
      </w:r>
      <w:r w:rsidRPr="006D1D2E">
        <w:rPr>
          <w:rFonts w:eastAsia="Aptos" w:cs="Times New Roman"/>
          <w:color w:val="auto"/>
          <w:kern w:val="2"/>
          <w:lang w:eastAsia="en-US"/>
          <w14:ligatures w14:val="standardContextual"/>
        </w:rPr>
        <w:br/>
      </w:r>
      <w:r w:rsidRPr="006D1D2E">
        <w:rPr>
          <w:rFonts w:eastAsia="Aptos" w:cs="Times New Roman"/>
          <w:color w:val="auto"/>
          <w:kern w:val="2"/>
          <w:lang w:eastAsia="en-US"/>
          <w14:ligatures w14:val="standardContextual"/>
        </w:rPr>
        <w:br/>
      </w:r>
      <w:r w:rsidRPr="006D1D2E">
        <w:rPr>
          <w:rFonts w:eastAsia="Aptos" w:cs="Times New Roman"/>
          <w:b/>
          <w:bCs/>
          <w:color w:val="auto"/>
          <w:kern w:val="2"/>
          <w:lang w:eastAsia="en-US"/>
          <w14:ligatures w14:val="standardContextual"/>
        </w:rPr>
        <w:t>Antwoord op vraag 5</w:t>
      </w:r>
    </w:p>
    <w:p w:rsidRPr="006D1D2E" w:rsidR="006D1D2E" w:rsidP="0D480AA6" w14:paraId="3C26967E" w14:textId="77777777">
      <w:pPr>
        <w:autoSpaceDN/>
        <w:spacing w:line="240" w:lineRule="auto"/>
        <w:textAlignment w:val="auto"/>
        <w:rPr>
          <w:rFonts w:eastAsia="Aptos" w:cs="Times New Roman"/>
          <w:color w:val="auto"/>
          <w:lang w:eastAsia="en-US"/>
        </w:rPr>
      </w:pPr>
      <w:r w:rsidRPr="006D1D2E">
        <w:rPr>
          <w:rFonts w:eastAsia="Aptos" w:cs="Times New Roman"/>
          <w:color w:val="auto"/>
          <w:kern w:val="2"/>
          <w:lang w:eastAsia="en-US"/>
          <w14:ligatures w14:val="standardContextual"/>
        </w:rPr>
        <w:t xml:space="preserve">Het exacte effect van expats op de hoogte van huizenprijzen is lastig te bepalen. Uiteindelijk spelen hier een tal aan factoren een rol. Wel licht de publicatie van NVM de voorkeuren en bestedingsmogelijkheden van internationals toe. Dat geeft inzicht waar en bij welke woningen woningzoekenden vaker concurrentie van internationals ondervinden. </w:t>
      </w:r>
    </w:p>
    <w:p w:rsidRPr="006D1D2E" w:rsidR="006D1D2E" w:rsidP="006D1D2E" w14:paraId="2F682934" w14:textId="77777777">
      <w:pPr>
        <w:autoSpaceDN/>
        <w:spacing w:line="240" w:lineRule="auto"/>
        <w:textAlignment w:val="auto"/>
        <w:rPr>
          <w:rFonts w:eastAsia="Aptos" w:cs="Times New Roman"/>
          <w:color w:val="auto"/>
          <w:kern w:val="2"/>
          <w:lang w:eastAsia="en-US"/>
          <w14:ligatures w14:val="standardContextual"/>
        </w:rPr>
      </w:pPr>
    </w:p>
    <w:p w:rsidRPr="006D1D2E" w:rsidR="006D1D2E" w:rsidP="0D480AA6" w14:paraId="4A018A07" w14:textId="77777777">
      <w:pPr>
        <w:autoSpaceDN/>
        <w:spacing w:line="240" w:lineRule="auto"/>
        <w:textAlignment w:val="auto"/>
        <w:rPr>
          <w:rFonts w:eastAsia="Aptos" w:cs="Times New Roman"/>
          <w:color w:val="auto"/>
          <w:lang w:eastAsia="en-US"/>
        </w:rPr>
      </w:pPr>
      <w:r w:rsidRPr="006D1D2E">
        <w:rPr>
          <w:rFonts w:eastAsia="Aptos" w:cs="Times New Roman"/>
          <w:color w:val="auto"/>
          <w:kern w:val="2"/>
          <w:lang w:eastAsia="en-US"/>
          <w14:ligatures w14:val="standardContextual"/>
        </w:rPr>
        <w:t>Net als bij de huurmarkt, concentreren internationals op de koopmarkt zich ook in specifieke gebieden. In 2</w:t>
      </w:r>
      <w:r w:rsidRPr="00753AC0">
        <w:rPr>
          <w:rFonts w:eastAsia="Aptos" w:cs="Times New Roman"/>
          <w:color w:val="auto"/>
          <w:kern w:val="2"/>
          <w:lang w:eastAsia="en-US"/>
          <w14:ligatures w14:val="standardContextual"/>
        </w:rPr>
        <w:t>025 ging landelijk</w:t>
      </w:r>
      <w:r w:rsidRPr="006D1D2E">
        <w:rPr>
          <w:rFonts w:eastAsia="Aptos" w:cs="Times New Roman"/>
          <w:color w:val="auto"/>
          <w:kern w:val="2"/>
          <w:lang w:eastAsia="en-US"/>
          <w14:ligatures w14:val="standardContextual"/>
        </w:rPr>
        <w:t xml:space="preserve"> ongeveer 1,6% van alle via </w:t>
      </w:r>
      <w:r w:rsidRPr="006D1D2E">
        <w:rPr>
          <w:rFonts w:eastAsia="Aptos" w:cs="Times New Roman"/>
          <w:color w:val="auto"/>
          <w:kern w:val="2"/>
          <w:lang w:eastAsia="en-US"/>
          <w14:ligatures w14:val="standardContextual"/>
        </w:rPr>
        <w:t>NVM</w:t>
      </w:r>
      <w:r w:rsidR="00280C09">
        <w:rPr>
          <w:rFonts w:eastAsia="Aptos" w:cs="Times New Roman"/>
          <w:color w:val="auto"/>
          <w:kern w:val="2"/>
          <w:lang w:eastAsia="en-US"/>
          <w14:ligatures w14:val="standardContextual"/>
        </w:rPr>
        <w:t>-</w:t>
      </w:r>
      <w:r w:rsidRPr="006D1D2E">
        <w:rPr>
          <w:rFonts w:eastAsia="Aptos" w:cs="Times New Roman"/>
          <w:color w:val="auto"/>
          <w:kern w:val="2"/>
          <w:lang w:eastAsia="en-US"/>
          <w14:ligatures w14:val="standardContextual"/>
        </w:rPr>
        <w:t>makelaars</w:t>
      </w:r>
      <w:r w:rsidRPr="006D1D2E">
        <w:rPr>
          <w:rFonts w:eastAsia="Aptos" w:cs="Times New Roman"/>
          <w:color w:val="auto"/>
          <w:kern w:val="2"/>
          <w:lang w:eastAsia="en-US"/>
          <w14:ligatures w14:val="standardContextual"/>
        </w:rPr>
        <w:t xml:space="preserve"> verkochte woningen naar een </w:t>
      </w:r>
      <w:r w:rsidRPr="006D1D2E">
        <w:rPr>
          <w:rFonts w:eastAsia="Aptos" w:cs="Times New Roman"/>
          <w:color w:val="auto"/>
          <w:kern w:val="2"/>
          <w:lang w:eastAsia="en-US"/>
          <w14:ligatures w14:val="standardContextual"/>
        </w:rPr>
        <w:t>international</w:t>
      </w:r>
      <w:r w:rsidRPr="006D1D2E">
        <w:rPr>
          <w:rFonts w:eastAsia="Aptos" w:cs="Times New Roman"/>
          <w:color w:val="auto"/>
          <w:kern w:val="2"/>
          <w:lang w:eastAsia="en-US"/>
          <w14:ligatures w14:val="standardContextual"/>
        </w:rPr>
        <w:t xml:space="preserve">. De onderstaande tabel laat </w:t>
      </w:r>
      <w:r w:rsidRPr="00753AC0">
        <w:rPr>
          <w:rFonts w:eastAsia="Aptos" w:cs="Times New Roman"/>
          <w:color w:val="auto"/>
          <w:kern w:val="2"/>
          <w:lang w:eastAsia="en-US"/>
          <w14:ligatures w14:val="standardContextual"/>
        </w:rPr>
        <w:t>het percentage</w:t>
      </w:r>
      <w:r w:rsidRPr="006D1D2E">
        <w:rPr>
          <w:rFonts w:eastAsia="Aptos" w:cs="Times New Roman"/>
          <w:color w:val="auto"/>
          <w:kern w:val="2"/>
          <w:lang w:eastAsia="en-US"/>
          <w14:ligatures w14:val="standardContextual"/>
        </w:rPr>
        <w:t xml:space="preserve"> internationals </w:t>
      </w:r>
      <w:r w:rsidR="00753AC0">
        <w:rPr>
          <w:rFonts w:eastAsia="Aptos" w:cs="Times New Roman"/>
          <w:color w:val="auto"/>
          <w:kern w:val="2"/>
          <w:lang w:eastAsia="en-US"/>
          <w14:ligatures w14:val="standardContextual"/>
        </w:rPr>
        <w:t xml:space="preserve">zien </w:t>
      </w:r>
      <w:r w:rsidRPr="006D1D2E">
        <w:rPr>
          <w:rFonts w:eastAsia="Aptos" w:cs="Times New Roman"/>
          <w:color w:val="auto"/>
          <w:kern w:val="2"/>
          <w:lang w:eastAsia="en-US"/>
          <w14:ligatures w14:val="standardContextual"/>
        </w:rPr>
        <w:t>in aankopen</w:t>
      </w:r>
      <w:r w:rsidR="00753AC0">
        <w:rPr>
          <w:rFonts w:eastAsia="Aptos" w:cs="Times New Roman"/>
          <w:color w:val="auto"/>
          <w:kern w:val="2"/>
          <w:lang w:eastAsia="en-US"/>
          <w14:ligatures w14:val="standardContextual"/>
        </w:rPr>
        <w:t>. V</w:t>
      </w:r>
      <w:r w:rsidRPr="006D1D2E">
        <w:rPr>
          <w:rFonts w:eastAsia="Aptos" w:cs="Times New Roman"/>
          <w:color w:val="auto"/>
          <w:kern w:val="2"/>
          <w:lang w:eastAsia="en-US"/>
          <w14:ligatures w14:val="standardContextual"/>
        </w:rPr>
        <w:t xml:space="preserve">ooral in de regio Groot-Amsterdam en Eindhoven </w:t>
      </w:r>
      <w:r w:rsidR="00753AC0">
        <w:rPr>
          <w:rFonts w:eastAsia="Aptos" w:cs="Times New Roman"/>
          <w:color w:val="auto"/>
          <w:kern w:val="2"/>
          <w:lang w:eastAsia="en-US"/>
          <w14:ligatures w14:val="standardContextual"/>
        </w:rPr>
        <w:t xml:space="preserve">sprint dit percentage </w:t>
      </w:r>
      <w:r w:rsidRPr="006D1D2E">
        <w:rPr>
          <w:rFonts w:eastAsia="Aptos" w:cs="Times New Roman"/>
          <w:color w:val="auto"/>
          <w:kern w:val="2"/>
          <w:lang w:eastAsia="en-US"/>
          <w14:ligatures w14:val="standardContextual"/>
        </w:rPr>
        <w:t xml:space="preserve">ver boven het gemiddelde. </w:t>
      </w:r>
    </w:p>
    <w:p w:rsidRPr="006D1D2E" w:rsidR="006D1D2E" w:rsidP="006D1D2E" w14:paraId="38191C17" w14:textId="77777777">
      <w:pPr>
        <w:autoSpaceDN/>
        <w:spacing w:line="240" w:lineRule="auto"/>
        <w:textAlignment w:val="auto"/>
        <w:rPr>
          <w:rFonts w:eastAsia="Aptos" w:cs="Times New Roman"/>
          <w:color w:val="auto"/>
          <w:kern w:val="2"/>
          <w:lang w:eastAsia="en-US"/>
          <w14:ligatures w14:val="standardContextual"/>
        </w:rPr>
      </w:pPr>
    </w:p>
    <w:tbl>
      <w:tblPr>
        <w:tblStyle w:val="Tabelraster1"/>
        <w:tblW w:w="0" w:type="auto"/>
        <w:tblLook w:val="04A0"/>
      </w:tblPr>
      <w:tblGrid>
        <w:gridCol w:w="3390"/>
        <w:gridCol w:w="3391"/>
      </w:tblGrid>
      <w:tr w:rsidTr="0D480AA6" w14:paraId="52214510" w14:textId="77777777">
        <w:tblPrEx>
          <w:tblW w:w="0" w:type="auto"/>
          <w:tblLook w:val="04A0"/>
        </w:tblPrEx>
        <w:trPr>
          <w:trHeight w:val="263"/>
        </w:trPr>
        <w:tc>
          <w:tcPr>
            <w:tcW w:w="6781" w:type="dxa"/>
            <w:gridSpan w:val="2"/>
            <w:shd w:val="clear" w:color="auto" w:fill="808080" w:themeFill="text1" w:themeFillTint="7F"/>
          </w:tcPr>
          <w:p w:rsidRPr="006D1D2E" w:rsidR="006D1D2E" w:rsidP="0D480AA6" w14:paraId="36576743" w14:textId="77777777">
            <w:pPr>
              <w:spacing w:line="240" w:lineRule="auto"/>
              <w:jc w:val="center"/>
              <w:rPr>
                <w:color w:val="FFFFFF" w:themeColor="background1"/>
                <w:sz w:val="16"/>
                <w:szCs w:val="16"/>
              </w:rPr>
            </w:pPr>
            <w:r w:rsidRPr="0D480AA6">
              <w:rPr>
                <w:color w:val="FFFFFF" w:themeColor="background1"/>
                <w:sz w:val="16"/>
                <w:szCs w:val="16"/>
              </w:rPr>
              <w:t>Top 10 gemeenten naar aandeel internationals op de koopmarkt</w:t>
            </w:r>
          </w:p>
        </w:tc>
      </w:tr>
      <w:tr w:rsidTr="0D480AA6" w14:paraId="245B6C21" w14:textId="77777777">
        <w:tblPrEx>
          <w:tblW w:w="0" w:type="auto"/>
          <w:tblLook w:val="04A0"/>
        </w:tblPrEx>
        <w:trPr>
          <w:trHeight w:val="281"/>
        </w:trPr>
        <w:tc>
          <w:tcPr>
            <w:tcW w:w="3390" w:type="dxa"/>
            <w:shd w:val="clear" w:color="auto" w:fill="D9D9D9" w:themeFill="background1" w:themeFillShade="D9"/>
          </w:tcPr>
          <w:p w:rsidRPr="006D1D2E" w:rsidR="006D1D2E" w:rsidP="0D480AA6" w14:paraId="61635AD7" w14:textId="77777777">
            <w:pPr>
              <w:spacing w:line="240" w:lineRule="auto"/>
              <w:rPr>
                <w:color w:val="auto"/>
                <w:sz w:val="16"/>
                <w:szCs w:val="16"/>
              </w:rPr>
            </w:pPr>
            <w:r w:rsidRPr="0D480AA6">
              <w:rPr>
                <w:color w:val="auto"/>
                <w:sz w:val="16"/>
                <w:szCs w:val="16"/>
              </w:rPr>
              <w:t>Gemeente</w:t>
            </w:r>
          </w:p>
        </w:tc>
        <w:tc>
          <w:tcPr>
            <w:tcW w:w="3391" w:type="dxa"/>
            <w:shd w:val="clear" w:color="auto" w:fill="D9D9D9" w:themeFill="background1" w:themeFillShade="D9"/>
          </w:tcPr>
          <w:p w:rsidRPr="006D1D2E" w:rsidR="006D1D2E" w:rsidP="0D480AA6" w14:paraId="3BA0D6C1" w14:textId="77777777">
            <w:pPr>
              <w:spacing w:line="240" w:lineRule="auto"/>
              <w:rPr>
                <w:color w:val="auto"/>
                <w:sz w:val="16"/>
                <w:szCs w:val="16"/>
              </w:rPr>
            </w:pPr>
            <w:r w:rsidRPr="0D480AA6">
              <w:rPr>
                <w:color w:val="auto"/>
                <w:sz w:val="16"/>
                <w:szCs w:val="16"/>
              </w:rPr>
              <w:t>Aandeel</w:t>
            </w:r>
          </w:p>
        </w:tc>
      </w:tr>
      <w:tr w:rsidTr="0D480AA6" w14:paraId="245DCEE3" w14:textId="77777777">
        <w:tblPrEx>
          <w:tblW w:w="0" w:type="auto"/>
          <w:tblLook w:val="04A0"/>
        </w:tblPrEx>
        <w:trPr>
          <w:trHeight w:val="263"/>
        </w:trPr>
        <w:tc>
          <w:tcPr>
            <w:tcW w:w="3390" w:type="dxa"/>
          </w:tcPr>
          <w:p w:rsidRPr="006D1D2E" w:rsidR="006D1D2E" w:rsidP="0D480AA6" w14:paraId="624FE270" w14:textId="77777777">
            <w:pPr>
              <w:spacing w:line="240" w:lineRule="auto"/>
              <w:rPr>
                <w:color w:val="auto"/>
                <w:sz w:val="16"/>
                <w:szCs w:val="16"/>
              </w:rPr>
            </w:pPr>
            <w:r w:rsidRPr="0D480AA6">
              <w:rPr>
                <w:color w:val="auto"/>
                <w:sz w:val="16"/>
                <w:szCs w:val="16"/>
              </w:rPr>
              <w:t>Amstelveen</w:t>
            </w:r>
          </w:p>
        </w:tc>
        <w:tc>
          <w:tcPr>
            <w:tcW w:w="3391" w:type="dxa"/>
          </w:tcPr>
          <w:p w:rsidRPr="006D1D2E" w:rsidR="006D1D2E" w:rsidP="0D480AA6" w14:paraId="2DAEC239" w14:textId="77777777">
            <w:pPr>
              <w:spacing w:line="240" w:lineRule="auto"/>
              <w:rPr>
                <w:color w:val="auto"/>
                <w:sz w:val="16"/>
                <w:szCs w:val="16"/>
              </w:rPr>
            </w:pPr>
            <w:r w:rsidRPr="0D480AA6">
              <w:rPr>
                <w:color w:val="auto"/>
                <w:sz w:val="16"/>
                <w:szCs w:val="16"/>
              </w:rPr>
              <w:t>20%</w:t>
            </w:r>
          </w:p>
        </w:tc>
      </w:tr>
      <w:tr w:rsidTr="0D480AA6" w14:paraId="2DF679F5" w14:textId="77777777">
        <w:tblPrEx>
          <w:tblW w:w="0" w:type="auto"/>
          <w:tblLook w:val="04A0"/>
        </w:tblPrEx>
        <w:trPr>
          <w:trHeight w:val="263"/>
        </w:trPr>
        <w:tc>
          <w:tcPr>
            <w:tcW w:w="3390" w:type="dxa"/>
          </w:tcPr>
          <w:p w:rsidRPr="006D1D2E" w:rsidR="006D1D2E" w:rsidP="0D480AA6" w14:paraId="3DD6AD90" w14:textId="77777777">
            <w:pPr>
              <w:spacing w:line="240" w:lineRule="auto"/>
              <w:rPr>
                <w:color w:val="auto"/>
                <w:sz w:val="16"/>
                <w:szCs w:val="16"/>
              </w:rPr>
            </w:pPr>
            <w:r w:rsidRPr="0D480AA6">
              <w:rPr>
                <w:color w:val="auto"/>
                <w:sz w:val="16"/>
                <w:szCs w:val="16"/>
              </w:rPr>
              <w:t>Veldhoven</w:t>
            </w:r>
          </w:p>
        </w:tc>
        <w:tc>
          <w:tcPr>
            <w:tcW w:w="3391" w:type="dxa"/>
          </w:tcPr>
          <w:p w:rsidRPr="006D1D2E" w:rsidR="006D1D2E" w:rsidP="0D480AA6" w14:paraId="6FCD31A5" w14:textId="77777777">
            <w:pPr>
              <w:spacing w:line="240" w:lineRule="auto"/>
              <w:rPr>
                <w:color w:val="auto"/>
                <w:sz w:val="16"/>
                <w:szCs w:val="16"/>
              </w:rPr>
            </w:pPr>
            <w:r w:rsidRPr="0D480AA6">
              <w:rPr>
                <w:color w:val="auto"/>
                <w:sz w:val="16"/>
                <w:szCs w:val="16"/>
              </w:rPr>
              <w:t>14%</w:t>
            </w:r>
          </w:p>
        </w:tc>
      </w:tr>
      <w:tr w:rsidTr="0D480AA6" w14:paraId="1EE10D87" w14:textId="77777777">
        <w:tblPrEx>
          <w:tblW w:w="0" w:type="auto"/>
          <w:tblLook w:val="04A0"/>
        </w:tblPrEx>
        <w:trPr>
          <w:trHeight w:val="263"/>
        </w:trPr>
        <w:tc>
          <w:tcPr>
            <w:tcW w:w="3390" w:type="dxa"/>
          </w:tcPr>
          <w:p w:rsidRPr="006D1D2E" w:rsidR="006D1D2E" w:rsidP="0D480AA6" w14:paraId="63B17EF3" w14:textId="77777777">
            <w:pPr>
              <w:spacing w:line="240" w:lineRule="auto"/>
              <w:rPr>
                <w:color w:val="auto"/>
                <w:sz w:val="16"/>
                <w:szCs w:val="16"/>
              </w:rPr>
            </w:pPr>
            <w:r w:rsidRPr="0D480AA6">
              <w:rPr>
                <w:color w:val="auto"/>
                <w:sz w:val="16"/>
                <w:szCs w:val="16"/>
              </w:rPr>
              <w:t>Ouder-Amstel</w:t>
            </w:r>
          </w:p>
        </w:tc>
        <w:tc>
          <w:tcPr>
            <w:tcW w:w="3391" w:type="dxa"/>
          </w:tcPr>
          <w:p w:rsidRPr="006D1D2E" w:rsidR="006D1D2E" w:rsidP="0D480AA6" w14:paraId="2B600D0A" w14:textId="77777777">
            <w:pPr>
              <w:spacing w:line="240" w:lineRule="auto"/>
              <w:rPr>
                <w:color w:val="auto"/>
                <w:sz w:val="16"/>
                <w:szCs w:val="16"/>
              </w:rPr>
            </w:pPr>
            <w:r w:rsidRPr="0D480AA6">
              <w:rPr>
                <w:color w:val="auto"/>
                <w:sz w:val="16"/>
                <w:szCs w:val="16"/>
              </w:rPr>
              <w:t>13%</w:t>
            </w:r>
          </w:p>
        </w:tc>
      </w:tr>
      <w:tr w:rsidTr="0D480AA6" w14:paraId="530F7294" w14:textId="77777777">
        <w:tblPrEx>
          <w:tblW w:w="0" w:type="auto"/>
          <w:tblLook w:val="04A0"/>
        </w:tblPrEx>
        <w:trPr>
          <w:trHeight w:val="281"/>
        </w:trPr>
        <w:tc>
          <w:tcPr>
            <w:tcW w:w="3390" w:type="dxa"/>
          </w:tcPr>
          <w:p w:rsidRPr="006D1D2E" w:rsidR="006D1D2E" w:rsidP="0D480AA6" w14:paraId="3AD0C62A" w14:textId="77777777">
            <w:pPr>
              <w:spacing w:line="240" w:lineRule="auto"/>
              <w:rPr>
                <w:color w:val="auto"/>
                <w:sz w:val="16"/>
                <w:szCs w:val="16"/>
              </w:rPr>
            </w:pPr>
            <w:r w:rsidRPr="0D480AA6">
              <w:rPr>
                <w:color w:val="auto"/>
                <w:sz w:val="16"/>
                <w:szCs w:val="16"/>
              </w:rPr>
              <w:t>Eindhoven</w:t>
            </w:r>
          </w:p>
        </w:tc>
        <w:tc>
          <w:tcPr>
            <w:tcW w:w="3391" w:type="dxa"/>
          </w:tcPr>
          <w:p w:rsidRPr="006D1D2E" w:rsidR="006D1D2E" w:rsidP="0D480AA6" w14:paraId="764F1617" w14:textId="77777777">
            <w:pPr>
              <w:spacing w:line="240" w:lineRule="auto"/>
              <w:rPr>
                <w:color w:val="auto"/>
                <w:sz w:val="16"/>
                <w:szCs w:val="16"/>
              </w:rPr>
            </w:pPr>
            <w:r w:rsidRPr="0D480AA6">
              <w:rPr>
                <w:color w:val="auto"/>
                <w:sz w:val="16"/>
                <w:szCs w:val="16"/>
              </w:rPr>
              <w:t>12%</w:t>
            </w:r>
          </w:p>
        </w:tc>
      </w:tr>
      <w:tr w:rsidTr="0D480AA6" w14:paraId="34E06FA6" w14:textId="77777777">
        <w:tblPrEx>
          <w:tblW w:w="0" w:type="auto"/>
          <w:tblLook w:val="04A0"/>
        </w:tblPrEx>
        <w:trPr>
          <w:trHeight w:val="263"/>
        </w:trPr>
        <w:tc>
          <w:tcPr>
            <w:tcW w:w="3390" w:type="dxa"/>
          </w:tcPr>
          <w:p w:rsidRPr="006D1D2E" w:rsidR="006D1D2E" w:rsidP="0D480AA6" w14:paraId="12AB8C48" w14:textId="77777777">
            <w:pPr>
              <w:spacing w:line="240" w:lineRule="auto"/>
              <w:rPr>
                <w:color w:val="auto"/>
                <w:sz w:val="16"/>
                <w:szCs w:val="16"/>
              </w:rPr>
            </w:pPr>
            <w:r w:rsidRPr="0D480AA6">
              <w:rPr>
                <w:color w:val="auto"/>
                <w:sz w:val="16"/>
                <w:szCs w:val="16"/>
              </w:rPr>
              <w:t>Amsterdam</w:t>
            </w:r>
          </w:p>
        </w:tc>
        <w:tc>
          <w:tcPr>
            <w:tcW w:w="3391" w:type="dxa"/>
          </w:tcPr>
          <w:p w:rsidRPr="006D1D2E" w:rsidR="006D1D2E" w:rsidP="0D480AA6" w14:paraId="5A316AF0" w14:textId="77777777">
            <w:pPr>
              <w:spacing w:line="240" w:lineRule="auto"/>
              <w:rPr>
                <w:color w:val="auto"/>
                <w:sz w:val="16"/>
                <w:szCs w:val="16"/>
              </w:rPr>
            </w:pPr>
            <w:r w:rsidRPr="0D480AA6">
              <w:rPr>
                <w:color w:val="auto"/>
                <w:sz w:val="16"/>
                <w:szCs w:val="16"/>
              </w:rPr>
              <w:t>11%</w:t>
            </w:r>
          </w:p>
        </w:tc>
      </w:tr>
      <w:tr w:rsidTr="0D480AA6" w14:paraId="4E110031" w14:textId="77777777">
        <w:tblPrEx>
          <w:tblW w:w="0" w:type="auto"/>
          <w:tblLook w:val="04A0"/>
        </w:tblPrEx>
        <w:trPr>
          <w:trHeight w:val="263"/>
        </w:trPr>
        <w:tc>
          <w:tcPr>
            <w:tcW w:w="3390" w:type="dxa"/>
          </w:tcPr>
          <w:p w:rsidRPr="006D1D2E" w:rsidR="006D1D2E" w:rsidP="0D480AA6" w14:paraId="212813D1" w14:textId="77777777">
            <w:pPr>
              <w:spacing w:line="240" w:lineRule="auto"/>
              <w:rPr>
                <w:color w:val="auto"/>
                <w:sz w:val="16"/>
                <w:szCs w:val="16"/>
              </w:rPr>
            </w:pPr>
            <w:r w:rsidRPr="0D480AA6">
              <w:rPr>
                <w:color w:val="auto"/>
                <w:sz w:val="16"/>
                <w:szCs w:val="16"/>
              </w:rPr>
              <w:t>Uithoorn</w:t>
            </w:r>
          </w:p>
        </w:tc>
        <w:tc>
          <w:tcPr>
            <w:tcW w:w="3391" w:type="dxa"/>
          </w:tcPr>
          <w:p w:rsidRPr="006D1D2E" w:rsidR="006D1D2E" w:rsidP="0D480AA6" w14:paraId="198CEA9B" w14:textId="77777777">
            <w:pPr>
              <w:spacing w:line="240" w:lineRule="auto"/>
              <w:rPr>
                <w:color w:val="auto"/>
                <w:sz w:val="16"/>
                <w:szCs w:val="16"/>
              </w:rPr>
            </w:pPr>
            <w:r w:rsidRPr="0D480AA6">
              <w:rPr>
                <w:color w:val="auto"/>
                <w:sz w:val="16"/>
                <w:szCs w:val="16"/>
              </w:rPr>
              <w:t>10%</w:t>
            </w:r>
          </w:p>
        </w:tc>
      </w:tr>
      <w:tr w:rsidTr="0D480AA6" w14:paraId="78CA8EEE" w14:textId="77777777">
        <w:tblPrEx>
          <w:tblW w:w="0" w:type="auto"/>
          <w:tblLook w:val="04A0"/>
        </w:tblPrEx>
        <w:trPr>
          <w:trHeight w:val="263"/>
        </w:trPr>
        <w:tc>
          <w:tcPr>
            <w:tcW w:w="3390" w:type="dxa"/>
          </w:tcPr>
          <w:p w:rsidRPr="006D1D2E" w:rsidR="006D1D2E" w:rsidP="0D480AA6" w14:paraId="7D41475E" w14:textId="77777777">
            <w:pPr>
              <w:spacing w:line="240" w:lineRule="auto"/>
              <w:rPr>
                <w:color w:val="auto"/>
                <w:sz w:val="16"/>
                <w:szCs w:val="16"/>
              </w:rPr>
            </w:pPr>
            <w:r w:rsidRPr="0D480AA6">
              <w:rPr>
                <w:color w:val="auto"/>
                <w:sz w:val="16"/>
                <w:szCs w:val="16"/>
              </w:rPr>
              <w:t>Haarlemmermeer</w:t>
            </w:r>
          </w:p>
        </w:tc>
        <w:tc>
          <w:tcPr>
            <w:tcW w:w="3391" w:type="dxa"/>
          </w:tcPr>
          <w:p w:rsidRPr="006D1D2E" w:rsidR="006D1D2E" w:rsidP="0D480AA6" w14:paraId="4C5BCCBF" w14:textId="77777777">
            <w:pPr>
              <w:spacing w:line="240" w:lineRule="auto"/>
              <w:rPr>
                <w:color w:val="auto"/>
                <w:sz w:val="16"/>
                <w:szCs w:val="16"/>
              </w:rPr>
            </w:pPr>
            <w:r w:rsidRPr="0D480AA6">
              <w:rPr>
                <w:color w:val="auto"/>
                <w:sz w:val="16"/>
                <w:szCs w:val="16"/>
              </w:rPr>
              <w:t>9%</w:t>
            </w:r>
          </w:p>
        </w:tc>
      </w:tr>
      <w:tr w:rsidTr="0D480AA6" w14:paraId="1880E472" w14:textId="77777777">
        <w:tblPrEx>
          <w:tblW w:w="0" w:type="auto"/>
          <w:tblLook w:val="04A0"/>
        </w:tblPrEx>
        <w:trPr>
          <w:trHeight w:val="281"/>
        </w:trPr>
        <w:tc>
          <w:tcPr>
            <w:tcW w:w="3390" w:type="dxa"/>
          </w:tcPr>
          <w:p w:rsidRPr="006D1D2E" w:rsidR="006D1D2E" w:rsidP="0D480AA6" w14:paraId="0DDA2E9C" w14:textId="77777777">
            <w:pPr>
              <w:spacing w:line="240" w:lineRule="auto"/>
              <w:rPr>
                <w:color w:val="auto"/>
                <w:sz w:val="16"/>
                <w:szCs w:val="16"/>
              </w:rPr>
            </w:pPr>
            <w:r w:rsidRPr="0D480AA6">
              <w:rPr>
                <w:color w:val="auto"/>
                <w:sz w:val="16"/>
                <w:szCs w:val="16"/>
              </w:rPr>
              <w:t>Geldrop-Mierlo</w:t>
            </w:r>
          </w:p>
        </w:tc>
        <w:tc>
          <w:tcPr>
            <w:tcW w:w="3391" w:type="dxa"/>
          </w:tcPr>
          <w:p w:rsidRPr="006D1D2E" w:rsidR="006D1D2E" w:rsidP="0D480AA6" w14:paraId="063ACAC0" w14:textId="77777777">
            <w:pPr>
              <w:spacing w:line="240" w:lineRule="auto"/>
              <w:rPr>
                <w:color w:val="auto"/>
                <w:sz w:val="16"/>
                <w:szCs w:val="16"/>
              </w:rPr>
            </w:pPr>
            <w:r w:rsidRPr="0D480AA6">
              <w:rPr>
                <w:color w:val="auto"/>
                <w:sz w:val="16"/>
                <w:szCs w:val="16"/>
              </w:rPr>
              <w:t>7%</w:t>
            </w:r>
          </w:p>
        </w:tc>
      </w:tr>
      <w:tr w:rsidTr="0D480AA6" w14:paraId="7A6F5CAC" w14:textId="77777777">
        <w:tblPrEx>
          <w:tblW w:w="0" w:type="auto"/>
          <w:tblLook w:val="04A0"/>
        </w:tblPrEx>
        <w:trPr>
          <w:trHeight w:val="263"/>
        </w:trPr>
        <w:tc>
          <w:tcPr>
            <w:tcW w:w="3390" w:type="dxa"/>
          </w:tcPr>
          <w:p w:rsidRPr="006D1D2E" w:rsidR="006D1D2E" w:rsidP="0D480AA6" w14:paraId="23C8A1D6" w14:textId="77777777">
            <w:pPr>
              <w:spacing w:line="240" w:lineRule="auto"/>
              <w:rPr>
                <w:color w:val="auto"/>
                <w:sz w:val="16"/>
                <w:szCs w:val="16"/>
              </w:rPr>
            </w:pPr>
            <w:r w:rsidRPr="0D480AA6">
              <w:rPr>
                <w:color w:val="auto"/>
                <w:sz w:val="16"/>
                <w:szCs w:val="16"/>
              </w:rPr>
              <w:t>Aalsmeer</w:t>
            </w:r>
          </w:p>
        </w:tc>
        <w:tc>
          <w:tcPr>
            <w:tcW w:w="3391" w:type="dxa"/>
          </w:tcPr>
          <w:p w:rsidRPr="006D1D2E" w:rsidR="006D1D2E" w:rsidP="0D480AA6" w14:paraId="62F55FF6" w14:textId="77777777">
            <w:pPr>
              <w:spacing w:line="240" w:lineRule="auto"/>
              <w:rPr>
                <w:color w:val="auto"/>
                <w:sz w:val="16"/>
                <w:szCs w:val="16"/>
              </w:rPr>
            </w:pPr>
            <w:r w:rsidRPr="0D480AA6">
              <w:rPr>
                <w:color w:val="auto"/>
                <w:sz w:val="16"/>
                <w:szCs w:val="16"/>
              </w:rPr>
              <w:t>7%</w:t>
            </w:r>
          </w:p>
        </w:tc>
      </w:tr>
      <w:tr w:rsidTr="0D480AA6" w14:paraId="02A7A3A7" w14:textId="77777777">
        <w:tblPrEx>
          <w:tblW w:w="0" w:type="auto"/>
          <w:tblLook w:val="04A0"/>
        </w:tblPrEx>
        <w:trPr>
          <w:trHeight w:val="263"/>
        </w:trPr>
        <w:tc>
          <w:tcPr>
            <w:tcW w:w="3390" w:type="dxa"/>
          </w:tcPr>
          <w:p w:rsidRPr="006D1D2E" w:rsidR="006D1D2E" w:rsidP="0D480AA6" w14:paraId="1D431970" w14:textId="77777777">
            <w:pPr>
              <w:spacing w:line="240" w:lineRule="auto"/>
              <w:rPr>
                <w:color w:val="auto"/>
                <w:sz w:val="16"/>
                <w:szCs w:val="16"/>
              </w:rPr>
            </w:pPr>
            <w:r w:rsidRPr="0D480AA6">
              <w:rPr>
                <w:color w:val="auto"/>
                <w:sz w:val="16"/>
                <w:szCs w:val="16"/>
              </w:rPr>
              <w:t>Waalre</w:t>
            </w:r>
          </w:p>
        </w:tc>
        <w:tc>
          <w:tcPr>
            <w:tcW w:w="3391" w:type="dxa"/>
          </w:tcPr>
          <w:p w:rsidRPr="006D1D2E" w:rsidR="006D1D2E" w:rsidP="0D480AA6" w14:paraId="3233A758" w14:textId="77777777">
            <w:pPr>
              <w:spacing w:line="240" w:lineRule="auto"/>
              <w:rPr>
                <w:color w:val="auto"/>
                <w:sz w:val="16"/>
                <w:szCs w:val="16"/>
              </w:rPr>
            </w:pPr>
            <w:r w:rsidRPr="0D480AA6">
              <w:rPr>
                <w:color w:val="auto"/>
                <w:sz w:val="16"/>
                <w:szCs w:val="16"/>
              </w:rPr>
              <w:t>7%</w:t>
            </w:r>
          </w:p>
        </w:tc>
      </w:tr>
    </w:tbl>
    <w:p w:rsidRPr="006D1D2E" w:rsidR="006D1D2E" w:rsidP="0D480AA6" w14:paraId="743DF87C" w14:textId="77777777">
      <w:pPr>
        <w:autoSpaceDN/>
        <w:spacing w:line="240" w:lineRule="auto"/>
        <w:textAlignment w:val="auto"/>
        <w:rPr>
          <w:rFonts w:eastAsia="Aptos" w:cs="Times New Roman"/>
          <w:color w:val="auto"/>
          <w:sz w:val="16"/>
          <w:szCs w:val="16"/>
          <w:lang w:eastAsia="en-US"/>
        </w:rPr>
      </w:pPr>
      <w:r w:rsidRPr="006D1D2E">
        <w:rPr>
          <w:rFonts w:eastAsia="Aptos" w:cs="Times New Roman"/>
          <w:color w:val="auto"/>
          <w:kern w:val="2"/>
          <w:sz w:val="16"/>
          <w:szCs w:val="16"/>
          <w:lang w:eastAsia="en-US"/>
          <w14:ligatures w14:val="standardContextual"/>
        </w:rPr>
        <w:t xml:space="preserve">Bron: NVM, Internationals op de woningmarkt </w:t>
      </w:r>
    </w:p>
    <w:p w:rsidRPr="006D1D2E" w:rsidR="006D1D2E" w:rsidP="006D1D2E" w14:paraId="08729D72" w14:textId="77777777">
      <w:pPr>
        <w:autoSpaceDN/>
        <w:spacing w:line="240" w:lineRule="auto"/>
        <w:textAlignment w:val="auto"/>
        <w:rPr>
          <w:rFonts w:eastAsia="Aptos" w:cs="Times New Roman"/>
          <w:color w:val="auto"/>
          <w:kern w:val="2"/>
          <w:lang w:eastAsia="en-US"/>
          <w14:ligatures w14:val="standardContextual"/>
        </w:rPr>
      </w:pPr>
    </w:p>
    <w:p w:rsidRPr="006D1D2E" w:rsidR="006D1D2E" w:rsidP="0D480AA6" w14:paraId="300ED44A" w14:textId="77777777">
      <w:pPr>
        <w:autoSpaceDN/>
        <w:spacing w:line="240" w:lineRule="auto"/>
        <w:textAlignment w:val="auto"/>
        <w:rPr>
          <w:rFonts w:eastAsia="Aptos" w:cs="Times New Roman"/>
          <w:color w:val="auto"/>
          <w:lang w:eastAsia="en-US"/>
        </w:rPr>
      </w:pPr>
      <w:r w:rsidRPr="006D1D2E">
        <w:rPr>
          <w:rFonts w:eastAsia="Aptos" w:cs="Times New Roman"/>
          <w:color w:val="auto"/>
          <w:kern w:val="2"/>
          <w:lang w:eastAsia="en-US"/>
          <w14:ligatures w14:val="standardContextual"/>
        </w:rPr>
        <w:t xml:space="preserve">Internationals geven de voorkeur aan woningen die direct bewoonbaar zijn en hebben minder interesse in kluswoningen. Ook op de huurmarkt kiezen internationals vaker voor gestoffeerde of gemeubileerde woningen.  </w:t>
      </w:r>
    </w:p>
    <w:p w:rsidRPr="006D1D2E" w:rsidR="006D1D2E" w:rsidP="006D1D2E" w14:paraId="43F2E55D" w14:textId="77777777">
      <w:pPr>
        <w:autoSpaceDN/>
        <w:spacing w:line="240" w:lineRule="auto"/>
        <w:textAlignment w:val="auto"/>
        <w:rPr>
          <w:rFonts w:eastAsia="Aptos" w:cs="Times New Roman"/>
          <w:color w:val="auto"/>
          <w:kern w:val="2"/>
          <w:lang w:eastAsia="en-US"/>
          <w14:ligatures w14:val="standardContextual"/>
        </w:rPr>
      </w:pPr>
    </w:p>
    <w:p w:rsidRPr="006D1D2E" w:rsidR="006D1D2E" w:rsidP="0D480AA6" w14:paraId="5855E964" w14:textId="77777777">
      <w:pPr>
        <w:autoSpaceDN/>
        <w:spacing w:line="240" w:lineRule="auto"/>
        <w:textAlignment w:val="auto"/>
        <w:rPr>
          <w:rFonts w:eastAsia="Aptos" w:cs="Times New Roman"/>
          <w:color w:val="auto"/>
          <w:lang w:eastAsia="en-US"/>
        </w:rPr>
      </w:pPr>
      <w:r w:rsidRPr="006D1D2E">
        <w:rPr>
          <w:rFonts w:eastAsia="Aptos" w:cs="Times New Roman"/>
          <w:color w:val="auto"/>
          <w:kern w:val="2"/>
          <w:lang w:eastAsia="en-US"/>
          <w14:ligatures w14:val="standardContextual"/>
        </w:rPr>
        <w:t xml:space="preserve">Internationals hebben daarnaast in algemene zin een hoger budget dan Nederlandse woningzoekenden. Dit komt doordat zij gemiddeld genomen een hoger inkomen hebben, maar ook doordat zij vaak minder kritisch zijn op de prijs. Internationals hebben immers direct een woning nodig als ze in Nederland aankomen, waar Nederlandse woningzoekenden vaker zoeken vanuit een woning en vaker een vangnet hebben bij familie. Op de huurmarkt betaalt het grootste gedeelte van de internationals meer dan </w:t>
      </w:r>
      <w:r w:rsidRPr="006D1D2E">
        <w:rPr>
          <w:rFonts w:eastAsia="Aptos" w:cs="Verdana"/>
          <w:color w:val="auto"/>
          <w:kern w:val="2"/>
          <w:lang w:eastAsia="en-US"/>
          <w14:ligatures w14:val="standardContextual"/>
        </w:rPr>
        <w:t>€</w:t>
      </w:r>
      <w:r w:rsidRPr="006D1D2E">
        <w:rPr>
          <w:rFonts w:eastAsia="Aptos" w:cs="Times New Roman"/>
          <w:color w:val="auto"/>
          <w:kern w:val="2"/>
          <w:lang w:eastAsia="en-US"/>
          <w14:ligatures w14:val="standardContextual"/>
        </w:rPr>
        <w:t xml:space="preserve">2.000 per maand (81% tegenover 28 van de niet-internationals). Ook op de koopmarkt betalen internationals gemiddeld meer dan niet-internationals. In de onderzochte wijken betalen internationals gemiddeld </w:t>
      </w:r>
      <w:r w:rsidRPr="006D1D2E">
        <w:rPr>
          <w:rFonts w:eastAsia="Aptos" w:cs="Verdana"/>
          <w:color w:val="auto"/>
          <w:kern w:val="2"/>
          <w:lang w:eastAsia="en-US"/>
          <w14:ligatures w14:val="standardContextual"/>
        </w:rPr>
        <w:t>€</w:t>
      </w:r>
      <w:r w:rsidRPr="006D1D2E">
        <w:rPr>
          <w:rFonts w:eastAsia="Aptos" w:cs="Times New Roman"/>
          <w:color w:val="auto"/>
          <w:kern w:val="2"/>
          <w:lang w:eastAsia="en-US"/>
          <w14:ligatures w14:val="standardContextual"/>
        </w:rPr>
        <w:t xml:space="preserve">591.000 voor een woning. Niet internationals betalen in diezelfde wijken gemiddeld €575.000 voor een woning. </w:t>
      </w:r>
    </w:p>
    <w:p w:rsidRPr="006D1D2E" w:rsidR="006D1D2E" w:rsidP="006D1D2E" w14:paraId="72E77B8A" w14:textId="77777777">
      <w:pPr>
        <w:autoSpaceDN/>
        <w:spacing w:line="240" w:lineRule="auto"/>
        <w:textAlignment w:val="auto"/>
        <w:rPr>
          <w:rFonts w:eastAsia="Aptos" w:cs="Times New Roman"/>
          <w:color w:val="auto"/>
          <w:kern w:val="2"/>
          <w:lang w:eastAsia="en-US"/>
          <w14:ligatures w14:val="standardContextual"/>
        </w:rPr>
      </w:pPr>
    </w:p>
    <w:p w:rsidRPr="00077D84" w:rsidR="00E47A17" w:rsidP="0D480AA6" w14:paraId="357B51A6" w14:textId="77777777">
      <w:pPr>
        <w:autoSpaceDN/>
        <w:spacing w:line="240" w:lineRule="auto"/>
        <w:textAlignment w:val="auto"/>
        <w:rPr>
          <w:rFonts w:eastAsia="Aptos" w:cs="Times New Roman"/>
          <w:color w:val="auto"/>
          <w:lang w:eastAsia="en-US"/>
        </w:rPr>
      </w:pPr>
      <w:r w:rsidRPr="006D1D2E">
        <w:rPr>
          <w:rFonts w:eastAsia="Aptos" w:cs="Times New Roman"/>
          <w:color w:val="auto"/>
          <w:kern w:val="2"/>
          <w:lang w:eastAsia="en-US"/>
          <w14:ligatures w14:val="standardContextual"/>
        </w:rPr>
        <w:t xml:space="preserve">[1] </w:t>
      </w:r>
      <w:hyperlink w:history="1" r:id="rId7">
        <w:r w:rsidRPr="006D1D2E">
          <w:rPr>
            <w:rFonts w:eastAsia="Aptos" w:cs="Times New Roman"/>
            <w:color w:val="467886"/>
            <w:kern w:val="2"/>
            <w:u w:val="single"/>
            <w:lang w:eastAsia="en-US"/>
            <w14:ligatures w14:val="standardContextual"/>
          </w:rPr>
          <w:t>https://www.ed.nl/eindhoven/goedverdienende-expat-jaagt-woningprijzen-op-moet-overheidingrijpen~ade17c6c/?referrer=https%3A%2F%2Fwww.google.com%2F</w:t>
        </w:r>
      </w:hyperlink>
    </w:p>
    <w:sectPr>
      <w:headerReference w:type="even" r:id="rId8"/>
      <w:headerReference w:type="default" r:id="rId9"/>
      <w:footerReference w:type="even" r:id="rId10"/>
      <w:footerReference w:type="default" r:id="rId11"/>
      <w:headerReference w:type="first" r:id="rId12"/>
      <w:footerReference w:type="first" r:id="rId13"/>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6A72" w14:paraId="18DAA6C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7A17" w14:paraId="4236C526"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6A72" w14:paraId="040A14D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87C8E" w14:paraId="7267233F" w14:textId="77777777">
      <w:pPr>
        <w:spacing w:line="240" w:lineRule="auto"/>
      </w:pPr>
      <w:r>
        <w:separator/>
      </w:r>
    </w:p>
  </w:footnote>
  <w:footnote w:type="continuationSeparator" w:id="1">
    <w:p w:rsidR="00487C8E" w14:paraId="57F7B855" w14:textId="77777777">
      <w:pPr>
        <w:spacing w:line="240" w:lineRule="auto"/>
      </w:pPr>
      <w:r>
        <w:continuationSeparator/>
      </w:r>
    </w:p>
  </w:footnote>
  <w:footnote w:id="2">
    <w:p w:rsidR="006D1D2E" w:rsidRPr="00077D84" w:rsidP="0D480AA6" w14:paraId="2AF7DFC2" w14:textId="77777777">
      <w:pPr>
        <w:pStyle w:val="FootnoteText"/>
        <w:rPr>
          <w:rFonts w:ascii="Verdana" w:hAnsi="Verdana"/>
          <w:sz w:val="16"/>
          <w:szCs w:val="16"/>
        </w:rPr>
      </w:pPr>
      <w:r w:rsidRPr="00077D84">
        <w:rPr>
          <w:rStyle w:val="FootnoteReference"/>
          <w:rFonts w:ascii="Verdana" w:hAnsi="Verdana"/>
          <w:sz w:val="16"/>
          <w:szCs w:val="16"/>
        </w:rPr>
        <w:footnoteRef/>
      </w:r>
      <w:r w:rsidRPr="00077D84">
        <w:rPr>
          <w:rFonts w:ascii="Verdana" w:hAnsi="Verdana"/>
          <w:sz w:val="16"/>
          <w:szCs w:val="16"/>
        </w:rPr>
        <w:t xml:space="preserve"> NVM, Internationals op de woningmarkt - 18 september 2025.</w:t>
      </w:r>
    </w:p>
  </w:footnote>
  <w:footnote w:id="3">
    <w:p w:rsidR="00EF4026" w:rsidRPr="00077D84" w:rsidP="0D480AA6" w14:paraId="024FCD9A" w14:textId="77777777">
      <w:pPr>
        <w:pStyle w:val="FootnoteText"/>
        <w:rPr>
          <w:rFonts w:ascii="Verdana" w:hAnsi="Verdana"/>
        </w:rPr>
      </w:pPr>
      <w:r w:rsidRPr="00077D84">
        <w:rPr>
          <w:rStyle w:val="FootnoteReference"/>
          <w:rFonts w:ascii="Verdana" w:hAnsi="Verdana"/>
          <w:sz w:val="16"/>
          <w:szCs w:val="16"/>
        </w:rPr>
        <w:footnoteRef/>
      </w:r>
      <w:r w:rsidRPr="00077D84">
        <w:rPr>
          <w:rFonts w:ascii="Verdana" w:hAnsi="Verdana"/>
          <w:sz w:val="16"/>
          <w:szCs w:val="16"/>
        </w:rPr>
        <w:t xml:space="preserve"> Artikel 14, tweede lid van de Huisvestingswet 2014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6A72" w14:paraId="4862F98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7A17" w14:paraId="2466CF68"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0E1EB5" w14:textId="77777777">
                          <w:pPr>
                            <w:pStyle w:val="Referentiegegevens"/>
                          </w:pPr>
                          <w:r>
                            <w:fldChar w:fldCharType="begin"/>
                          </w:r>
                          <w:r>
                            <w:instrText xml:space="preserve"> DOCPROPERTY  "Datum"  \* MERGEFORMAT </w:instrText>
                          </w:r>
                          <w:r>
                            <w:fldChar w:fldCharType="separate"/>
                          </w:r>
                          <w:r>
                            <w:fldChar w:fldCharType="end"/>
                          </w:r>
                        </w:p>
                        <w:p w:rsidR="00E47A17" w14:textId="77777777">
                          <w:pPr>
                            <w:pStyle w:val="WitregelW1"/>
                          </w:pPr>
                        </w:p>
                        <w:p w:rsidR="00E47A17" w14:textId="77777777">
                          <w:pPr>
                            <w:pStyle w:val="Referentiegegevensbold"/>
                          </w:pPr>
                          <w:r>
                            <w:t>Onze referentie</w:t>
                          </w:r>
                        </w:p>
                        <w:p w:rsidR="000E1EB5" w14:textId="77777777">
                          <w:pPr>
                            <w:pStyle w:val="Referentiegegevens"/>
                          </w:pPr>
                          <w:r>
                            <w:fldChar w:fldCharType="begin"/>
                          </w:r>
                          <w:r>
                            <w:instrText xml:space="preserve"> DOCPROPERTY  "Kenmerk"  \* MERGEFORMAT </w:instrText>
                          </w:r>
                          <w:r>
                            <w:fldChar w:fldCharType="separate"/>
                          </w:r>
                          <w:r w:rsidR="00384EE5">
                            <w:t>2026-0000059497</w:t>
                          </w:r>
                          <w:r w:rsidR="00384EE5">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0E1EB5" w14:paraId="14524BF1" w14:textId="77777777">
                    <w:pPr>
                      <w:pStyle w:val="Referentiegegevens"/>
                    </w:pPr>
                    <w:r>
                      <w:fldChar w:fldCharType="begin"/>
                    </w:r>
                    <w:r>
                      <w:instrText xml:space="preserve"> DOCPROPERTY  "Datum"  \* MERGEFORMAT </w:instrText>
                    </w:r>
                    <w:r>
                      <w:fldChar w:fldCharType="separate"/>
                    </w:r>
                    <w:r>
                      <w:fldChar w:fldCharType="end"/>
                    </w:r>
                  </w:p>
                  <w:p w:rsidR="00E47A17" w14:paraId="34382B27" w14:textId="77777777">
                    <w:pPr>
                      <w:pStyle w:val="WitregelW1"/>
                    </w:pPr>
                  </w:p>
                  <w:p w:rsidR="00E47A17" w14:paraId="69DC3F66" w14:textId="77777777">
                    <w:pPr>
                      <w:pStyle w:val="Referentiegegevensbold"/>
                    </w:pPr>
                    <w:r>
                      <w:t>Onze referentie</w:t>
                    </w:r>
                  </w:p>
                  <w:p w:rsidR="000E1EB5" w14:paraId="417909CA" w14:textId="77777777">
                    <w:pPr>
                      <w:pStyle w:val="Referentiegegevens"/>
                    </w:pPr>
                    <w:r>
                      <w:fldChar w:fldCharType="begin"/>
                    </w:r>
                    <w:r>
                      <w:instrText xml:space="preserve"> DOCPROPERTY  "Kenmerk"  \* MERGEFORMAT </w:instrText>
                    </w:r>
                    <w:r>
                      <w:fldChar w:fldCharType="separate"/>
                    </w:r>
                    <w:r w:rsidR="00384EE5">
                      <w:t>2026-0000059497</w:t>
                    </w:r>
                    <w:r w:rsidR="00384EE5">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F51E91"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F51E91" w14:paraId="5C5CC0FD"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0E1EB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0E1EB5" w14:paraId="454D00D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7A17" w14:paraId="182F608A"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E47A17" w14:textId="77777777">
                          <w:r>
                            <w:t>Aan de Voorzitter van de Tweede Kamer der Staten-Generaal</w:t>
                          </w:r>
                        </w:p>
                        <w:p w:rsidR="00E47A17" w14:textId="77777777">
                          <w:r>
                            <w:t>Postbus 20018</w:t>
                          </w:r>
                        </w:p>
                        <w:p w:rsidR="00E47A17" w14:textId="77777777">
                          <w:r>
                            <w:t>2500 EA  DEN HAAG</w:t>
                          </w:r>
                        </w:p>
                        <w:p w:rsidR="00E47A17" w14:textId="77777777">
                          <w:pPr>
                            <w:pStyle w:val="KixBarcode"/>
                          </w:pPr>
                          <w:r>
                            <w:t>2500EA20018</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E47A17" w14:paraId="71A19382" w14:textId="77777777">
                    <w:r>
                      <w:t>Aan de Voorzitter van de Tweede Kamer der Staten-Generaal</w:t>
                    </w:r>
                  </w:p>
                  <w:p w:rsidR="00E47A17" w14:paraId="5EA4DE15" w14:textId="77777777">
                    <w:r>
                      <w:t>Postbus 20018</w:t>
                    </w:r>
                  </w:p>
                  <w:p w:rsidR="00E47A17" w14:paraId="75E8AF35" w14:textId="77777777">
                    <w:r>
                      <w:t>2500 EA  DEN HAAG</w:t>
                    </w:r>
                  </w:p>
                  <w:p w:rsidR="00E47A17" w14:paraId="7A966D73" w14:textId="77777777">
                    <w:pPr>
                      <w:pStyle w:val="KixBarcode"/>
                    </w:pPr>
                    <w:r>
                      <w:t>2500EA20018</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right</wp:align>
              </wp:positionH>
              <wp:positionV relativeFrom="paragraph">
                <wp:posOffset>3352165</wp:posOffset>
              </wp:positionV>
              <wp:extent cx="4787900" cy="638175"/>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638175"/>
                      </a:xfrm>
                      <a:prstGeom prst="rect">
                        <a:avLst/>
                      </a:prstGeom>
                      <a:noFill/>
                    </wps:spPr>
                    <wps:txbx>
                      <w:txbxContent>
                        <w:tbl>
                          <w:tblPr>
                            <w:tblW w:w="0" w:type="auto"/>
                            <w:tblInd w:w="-120" w:type="dxa"/>
                            <w:tblLayout w:type="fixed"/>
                            <w:tblLook w:val="07E0"/>
                          </w:tblPr>
                          <w:tblGrid>
                            <w:gridCol w:w="1140"/>
                            <w:gridCol w:w="5918"/>
                          </w:tblGrid>
                          <w:tr w14:paraId="010888B5" w14:textId="77777777">
                            <w:tblPrEx>
                              <w:tblW w:w="0" w:type="auto"/>
                              <w:tblInd w:w="-120" w:type="dxa"/>
                              <w:tblLayout w:type="fixed"/>
                              <w:tblLook w:val="07E0"/>
                            </w:tblPrEx>
                            <w:trPr>
                              <w:trHeight w:val="240"/>
                            </w:trPr>
                            <w:tc>
                              <w:tcPr>
                                <w:tcW w:w="1140" w:type="dxa"/>
                              </w:tcPr>
                              <w:p w:rsidR="00E47A17" w14:textId="77777777">
                                <w:r>
                                  <w:t>Datum</w:t>
                                </w:r>
                              </w:p>
                            </w:tc>
                            <w:tc>
                              <w:tcPr>
                                <w:tcW w:w="5918" w:type="dxa"/>
                              </w:tcPr>
                              <w:p w:rsidR="000E1EB5" w14:textId="415CC274">
                                <w:r>
                                  <w:t>11 maart 2026</w:t>
                                </w:r>
                                <w:r w:rsidR="00A722D4">
                                  <w:fldChar w:fldCharType="begin"/>
                                </w:r>
                                <w:r w:rsidR="00A722D4">
                                  <w:instrText xml:space="preserve"> DOCPROPERTY  "Datum"  \* MERGEFORMAT </w:instrText>
                                </w:r>
                                <w:r w:rsidR="00A722D4">
                                  <w:fldChar w:fldCharType="separate"/>
                                </w:r>
                                <w:r w:rsidR="00A722D4">
                                  <w:fldChar w:fldCharType="end"/>
                                </w:r>
                              </w:p>
                            </w:tc>
                          </w:tr>
                          <w:tr w14:paraId="1DE3EC5B" w14:textId="77777777">
                            <w:tblPrEx>
                              <w:tblW w:w="0" w:type="auto"/>
                              <w:tblInd w:w="-120" w:type="dxa"/>
                              <w:tblLayout w:type="fixed"/>
                              <w:tblLook w:val="07E0"/>
                            </w:tblPrEx>
                            <w:trPr>
                              <w:trHeight w:val="240"/>
                            </w:trPr>
                            <w:tc>
                              <w:tcPr>
                                <w:tcW w:w="1140" w:type="dxa"/>
                              </w:tcPr>
                              <w:p w:rsidR="00E47A17" w14:textId="77777777">
                                <w:r>
                                  <w:t>Betreft</w:t>
                                </w:r>
                              </w:p>
                            </w:tc>
                            <w:tc>
                              <w:tcPr>
                                <w:tcW w:w="5918" w:type="dxa"/>
                              </w:tcPr>
                              <w:p w:rsidR="000E1EB5" w14:textId="77777777">
                                <w:r>
                                  <w:fldChar w:fldCharType="begin"/>
                                </w:r>
                                <w:r>
                                  <w:instrText xml:space="preserve"> DOCPROPERTY  "Onderwerp"  \* MERGEFORMAT </w:instrText>
                                </w:r>
                                <w:r>
                                  <w:fldChar w:fldCharType="separate"/>
                                </w:r>
                                <w:r w:rsidR="00384EE5">
                                  <w:t>Beantwoording Kamervragen over de druk van expats op de woningmarkt</w:t>
                                </w:r>
                                <w:r w:rsidR="00384EE5">
                                  <w:fldChar w:fldCharType="end"/>
                                </w:r>
                              </w:p>
                            </w:tc>
                          </w:tr>
                        </w:tbl>
                        <w:p w:rsidR="00F51E91"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50.25pt;margin-top:263.95pt;margin-left:325.8pt;mso-height-percent:0;mso-height-relative:margin;mso-position-horizontal:right;mso-position-horizontal-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010888B4" w14:textId="77777777">
                      <w:tblPrEx>
                        <w:tblW w:w="0" w:type="auto"/>
                        <w:tblInd w:w="-120" w:type="dxa"/>
                        <w:tblLayout w:type="fixed"/>
                        <w:tblLook w:val="07E0"/>
                      </w:tblPrEx>
                      <w:trPr>
                        <w:trHeight w:val="240"/>
                      </w:trPr>
                      <w:tc>
                        <w:tcPr>
                          <w:tcW w:w="1140" w:type="dxa"/>
                        </w:tcPr>
                        <w:p w:rsidR="00E47A17" w14:paraId="13A6F162" w14:textId="77777777">
                          <w:r>
                            <w:t>Datum</w:t>
                          </w:r>
                        </w:p>
                      </w:tc>
                      <w:tc>
                        <w:tcPr>
                          <w:tcW w:w="5918" w:type="dxa"/>
                        </w:tcPr>
                        <w:p w:rsidR="000E1EB5" w14:paraId="0686EB96" w14:textId="415CC274">
                          <w:r>
                            <w:t>11 maart 2026</w:t>
                          </w:r>
                          <w:r w:rsidR="00A722D4">
                            <w:fldChar w:fldCharType="begin"/>
                          </w:r>
                          <w:r w:rsidR="00A722D4">
                            <w:instrText xml:space="preserve"> DOCPROPERTY  "Datum"  \* MERGEFORMAT </w:instrText>
                          </w:r>
                          <w:r w:rsidR="00A722D4">
                            <w:fldChar w:fldCharType="separate"/>
                          </w:r>
                          <w:r w:rsidR="00A722D4">
                            <w:fldChar w:fldCharType="end"/>
                          </w:r>
                        </w:p>
                      </w:tc>
                    </w:tr>
                    <w:tr w14:paraId="1DE3EC5A" w14:textId="77777777">
                      <w:tblPrEx>
                        <w:tblW w:w="0" w:type="auto"/>
                        <w:tblInd w:w="-120" w:type="dxa"/>
                        <w:tblLayout w:type="fixed"/>
                        <w:tblLook w:val="07E0"/>
                      </w:tblPrEx>
                      <w:trPr>
                        <w:trHeight w:val="240"/>
                      </w:trPr>
                      <w:tc>
                        <w:tcPr>
                          <w:tcW w:w="1140" w:type="dxa"/>
                        </w:tcPr>
                        <w:p w:rsidR="00E47A17" w14:paraId="3F70FF23" w14:textId="77777777">
                          <w:r>
                            <w:t>Betreft</w:t>
                          </w:r>
                        </w:p>
                      </w:tc>
                      <w:tc>
                        <w:tcPr>
                          <w:tcW w:w="5918" w:type="dxa"/>
                        </w:tcPr>
                        <w:p w:rsidR="000E1EB5" w14:paraId="6CF8BFD3" w14:textId="77777777">
                          <w:r>
                            <w:fldChar w:fldCharType="begin"/>
                          </w:r>
                          <w:r>
                            <w:instrText xml:space="preserve"> DOCPROPERTY  "Onderwerp"  \* MERGEFORMAT </w:instrText>
                          </w:r>
                          <w:r>
                            <w:fldChar w:fldCharType="separate"/>
                          </w:r>
                          <w:r w:rsidR="00384EE5">
                            <w:t>Beantwoording Kamervragen over de druk van expats op de woningmarkt</w:t>
                          </w:r>
                          <w:r w:rsidR="00384EE5">
                            <w:fldChar w:fldCharType="end"/>
                          </w:r>
                        </w:p>
                      </w:tc>
                    </w:tr>
                  </w:tbl>
                  <w:p w:rsidR="00F51E91" w14:paraId="4BEF0559"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E47A17" w:rsidRPr="006D1D2E" w14:textId="77777777">
                          <w:pPr>
                            <w:pStyle w:val="Referentiegegevens"/>
                            <w:rPr>
                              <w:lang w:val="de-DE"/>
                            </w:rPr>
                          </w:pPr>
                          <w:r w:rsidRPr="006D1D2E">
                            <w:rPr>
                              <w:lang w:val="de-DE"/>
                            </w:rPr>
                            <w:t>Turfmarkt</w:t>
                          </w:r>
                          <w:r w:rsidRPr="006D1D2E">
                            <w:rPr>
                              <w:lang w:val="de-DE"/>
                            </w:rPr>
                            <w:t xml:space="preserve"> 147</w:t>
                          </w:r>
                        </w:p>
                        <w:p w:rsidR="00E47A17" w:rsidRPr="006D1D2E" w14:textId="77777777">
                          <w:pPr>
                            <w:pStyle w:val="Referentiegegevens"/>
                            <w:rPr>
                              <w:lang w:val="de-DE"/>
                            </w:rPr>
                          </w:pPr>
                          <w:r w:rsidRPr="006D1D2E">
                            <w:rPr>
                              <w:lang w:val="de-DE"/>
                            </w:rPr>
                            <w:t>2511 DP Den Haag</w:t>
                          </w:r>
                        </w:p>
                        <w:p w:rsidR="00E47A17" w:rsidRPr="006D1D2E" w14:textId="77777777">
                          <w:pPr>
                            <w:pStyle w:val="Referentiegegevens"/>
                            <w:rPr>
                              <w:lang w:val="de-DE"/>
                            </w:rPr>
                          </w:pPr>
                          <w:r w:rsidRPr="006D1D2E">
                            <w:rPr>
                              <w:lang w:val="de-DE"/>
                            </w:rPr>
                            <w:t>Postbus 20011</w:t>
                          </w:r>
                        </w:p>
                        <w:p w:rsidR="00E47A17" w14:textId="77777777">
                          <w:pPr>
                            <w:pStyle w:val="Referentiegegevens"/>
                          </w:pPr>
                          <w:r>
                            <w:t>2500 EA  Den Haag</w:t>
                          </w:r>
                        </w:p>
                        <w:p w:rsidR="00E47A17" w14:textId="77777777">
                          <w:pPr>
                            <w:pStyle w:val="WitregelW2"/>
                          </w:pPr>
                        </w:p>
                        <w:p w:rsidR="00E47A17" w14:textId="77777777">
                          <w:pPr>
                            <w:pStyle w:val="Referentiegegevensbold"/>
                          </w:pPr>
                          <w:r>
                            <w:t>Onze referentie</w:t>
                          </w:r>
                        </w:p>
                        <w:p w:rsidR="000E1EB5" w14:textId="77777777">
                          <w:pPr>
                            <w:pStyle w:val="Referentiegegevens"/>
                          </w:pPr>
                          <w:r>
                            <w:fldChar w:fldCharType="begin"/>
                          </w:r>
                          <w:r>
                            <w:instrText xml:space="preserve"> DOCPROPERTY  "Kenmerk"  \* MERGEFORMAT </w:instrText>
                          </w:r>
                          <w:r>
                            <w:fldChar w:fldCharType="separate"/>
                          </w:r>
                          <w:r w:rsidR="00384EE5">
                            <w:t>2026-0000059497</w:t>
                          </w:r>
                          <w:r w:rsidR="00384EE5">
                            <w:fldChar w:fldCharType="end"/>
                          </w:r>
                        </w:p>
                        <w:p w:rsidR="00E47A17" w14:textId="77777777">
                          <w:pPr>
                            <w:pStyle w:val="WitregelW1"/>
                          </w:pPr>
                        </w:p>
                        <w:p w:rsidR="00E47A17" w14:textId="77777777">
                          <w:pPr>
                            <w:pStyle w:val="Referentiegegevensbold"/>
                          </w:pPr>
                          <w:r>
                            <w:t>Bijlage(n)</w:t>
                          </w:r>
                        </w:p>
                        <w:p w:rsidR="00E47A17" w14:textId="77777777">
                          <w:pPr>
                            <w:pStyle w:val="Referentiegegevens"/>
                          </w:pPr>
                          <w:r>
                            <w:t>0</w:t>
                          </w:r>
                        </w:p>
                        <w:p w:rsidR="00E47A17" w14:textId="77777777">
                          <w:pPr>
                            <w:pStyle w:val="WitregelW2"/>
                          </w:pPr>
                        </w:p>
                        <w:p w:rsidR="00E47A17"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E47A17" w:rsidRPr="006D1D2E" w14:paraId="260772AF" w14:textId="77777777">
                    <w:pPr>
                      <w:pStyle w:val="Referentiegegevens"/>
                      <w:rPr>
                        <w:lang w:val="de-DE"/>
                      </w:rPr>
                    </w:pPr>
                    <w:r w:rsidRPr="006D1D2E">
                      <w:rPr>
                        <w:lang w:val="de-DE"/>
                      </w:rPr>
                      <w:t>Turfmarkt</w:t>
                    </w:r>
                    <w:r w:rsidRPr="006D1D2E">
                      <w:rPr>
                        <w:lang w:val="de-DE"/>
                      </w:rPr>
                      <w:t xml:space="preserve"> 147</w:t>
                    </w:r>
                  </w:p>
                  <w:p w:rsidR="00E47A17" w:rsidRPr="006D1D2E" w14:paraId="06C77C98" w14:textId="77777777">
                    <w:pPr>
                      <w:pStyle w:val="Referentiegegevens"/>
                      <w:rPr>
                        <w:lang w:val="de-DE"/>
                      </w:rPr>
                    </w:pPr>
                    <w:r w:rsidRPr="006D1D2E">
                      <w:rPr>
                        <w:lang w:val="de-DE"/>
                      </w:rPr>
                      <w:t>2511 DP Den Haag</w:t>
                    </w:r>
                  </w:p>
                  <w:p w:rsidR="00E47A17" w:rsidRPr="006D1D2E" w14:paraId="2E037E9B" w14:textId="77777777">
                    <w:pPr>
                      <w:pStyle w:val="Referentiegegevens"/>
                      <w:rPr>
                        <w:lang w:val="de-DE"/>
                      </w:rPr>
                    </w:pPr>
                    <w:r w:rsidRPr="006D1D2E">
                      <w:rPr>
                        <w:lang w:val="de-DE"/>
                      </w:rPr>
                      <w:t>Postbus 20011</w:t>
                    </w:r>
                  </w:p>
                  <w:p w:rsidR="00E47A17" w14:paraId="571CBA4D" w14:textId="77777777">
                    <w:pPr>
                      <w:pStyle w:val="Referentiegegevens"/>
                    </w:pPr>
                    <w:r>
                      <w:t>2500 EA  Den Haag</w:t>
                    </w:r>
                  </w:p>
                  <w:p w:rsidR="00E47A17" w14:paraId="04240C72" w14:textId="77777777">
                    <w:pPr>
                      <w:pStyle w:val="WitregelW2"/>
                    </w:pPr>
                  </w:p>
                  <w:p w:rsidR="00E47A17" w14:paraId="75FE172D" w14:textId="77777777">
                    <w:pPr>
                      <w:pStyle w:val="Referentiegegevensbold"/>
                    </w:pPr>
                    <w:r>
                      <w:t>Onze referentie</w:t>
                    </w:r>
                  </w:p>
                  <w:p w:rsidR="000E1EB5" w14:paraId="2FCC082B" w14:textId="77777777">
                    <w:pPr>
                      <w:pStyle w:val="Referentiegegevens"/>
                    </w:pPr>
                    <w:r>
                      <w:fldChar w:fldCharType="begin"/>
                    </w:r>
                    <w:r>
                      <w:instrText xml:space="preserve"> DOCPROPERTY  "Kenmerk"  \* MERGEFORMAT </w:instrText>
                    </w:r>
                    <w:r>
                      <w:fldChar w:fldCharType="separate"/>
                    </w:r>
                    <w:r w:rsidR="00384EE5">
                      <w:t>2026-0000059497</w:t>
                    </w:r>
                    <w:r w:rsidR="00384EE5">
                      <w:fldChar w:fldCharType="end"/>
                    </w:r>
                  </w:p>
                  <w:p w:rsidR="00E47A17" w14:paraId="416225F9" w14:textId="77777777">
                    <w:pPr>
                      <w:pStyle w:val="WitregelW1"/>
                    </w:pPr>
                  </w:p>
                  <w:p w:rsidR="00E47A17" w14:paraId="6D579ED1" w14:textId="77777777">
                    <w:pPr>
                      <w:pStyle w:val="Referentiegegevensbold"/>
                    </w:pPr>
                    <w:r>
                      <w:t>Bijlage(n)</w:t>
                    </w:r>
                  </w:p>
                  <w:p w:rsidR="00E47A17" w14:paraId="55749E34" w14:textId="77777777">
                    <w:pPr>
                      <w:pStyle w:val="Referentiegegevens"/>
                    </w:pPr>
                    <w:r>
                      <w:t>0</w:t>
                    </w:r>
                  </w:p>
                  <w:p w:rsidR="00E47A17" w14:paraId="75E6087B" w14:textId="77777777">
                    <w:pPr>
                      <w:pStyle w:val="WitregelW2"/>
                    </w:pPr>
                  </w:p>
                  <w:p w:rsidR="00E47A17" w14:paraId="14E03D7D"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F51E91"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F51E91" w14:paraId="153D232C"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0E1EB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0E1EB5" w14:paraId="3D5920A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E47A17" w14:textId="77777777">
                          <w:pPr>
                            <w:spacing w:line="240" w:lineRule="auto"/>
                          </w:pPr>
                          <w:r>
                            <w:rPr>
                              <w:noProof/>
                            </w:rPr>
                            <w:drawing>
                              <wp:inline distT="0" distB="0" distL="0" distR="0">
                                <wp:extent cx="467995" cy="1583865"/>
                                <wp:effectExtent l="0" t="0" r="0" b="0"/>
                                <wp:docPr id="659054477"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59054477"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E47A17" w14:paraId="0E612076"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E47A17" w14:textId="77777777">
                          <w:pPr>
                            <w:spacing w:line="240" w:lineRule="auto"/>
                          </w:pPr>
                          <w:r>
                            <w:rPr>
                              <w:noProof/>
                            </w:rPr>
                            <w:drawing>
                              <wp:inline distT="0" distB="0" distL="0" distR="0">
                                <wp:extent cx="2339975" cy="1582420"/>
                                <wp:effectExtent l="0" t="0" r="3175" b="0"/>
                                <wp:docPr id="925145975"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925145975" name="Logotype"/>
                                        <pic:cNvPicPr/>
                                      </pic:nvPicPr>
                                      <pic:blipFill>
                                        <a:blip xmlns:r="http://schemas.openxmlformats.org/officeDocument/2006/relationships" r:embed="rId2"/>
                                        <a:stretch>
                                          <a:fillRect/>
                                        </a:stretch>
                                      </pic:blipFill>
                                      <pic:spPr bwMode="auto">
                                        <a:xfrm>
                                          <a:off x="0" y="0"/>
                                          <a:ext cx="2339975" cy="1582420"/>
                                        </a:xfrm>
                                        <a:prstGeom prst="rect">
                                          <a:avLst/>
                                        </a:prstGeom>
                                      </pic:spPr>
                                    </pic:pic>
                                  </a:graphicData>
                                </a:graphic>
                              </wp:inline>
                            </w:drawing>
                          </w:r>
                          <w:r w:rsidR="00280C09">
                            <w:rPr>
                              <w:noProof/>
                            </w:rPr>
                            <w:drawing>
                              <wp:inline distT="0" distB="0" distL="0" distR="0">
                                <wp:extent cx="2339975" cy="1582834"/>
                                <wp:effectExtent l="0" t="0" r="0" b="0"/>
                                <wp:docPr id="323769341"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323769341" name="Logotype"/>
                                        <pic:cNvPicPr/>
                                      </pic:nvPicPr>
                                      <pic:blipFill>
                                        <a:blip xmlns:r="http://schemas.openxmlformats.org/officeDocument/2006/relationships"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E47A17" w14:paraId="58242989" w14:textId="77777777">
                    <w:pPr>
                      <w:spacing w:line="240" w:lineRule="auto"/>
                    </w:pPr>
                    <w:drawing>
                      <wp:inline distT="0" distB="0" distL="0" distR="0">
                        <wp:extent cx="2339975" cy="1582420"/>
                        <wp:effectExtent l="0" t="0" r="3175" b="0"/>
                        <wp:docPr id="929022807"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929022807" name="Logotype"/>
                                <pic:cNvPicPr/>
                              </pic:nvPicPr>
                              <pic:blipFill>
                                <a:blip xmlns:r="http://schemas.openxmlformats.org/officeDocument/2006/relationships" r:embed="rId2"/>
                                <a:stretch>
                                  <a:fillRect/>
                                </a:stretch>
                              </pic:blipFill>
                              <pic:spPr bwMode="auto">
                                <a:xfrm>
                                  <a:off x="0" y="0"/>
                                  <a:ext cx="2339975" cy="1582420"/>
                                </a:xfrm>
                                <a:prstGeom prst="rect">
                                  <a:avLst/>
                                </a:prstGeom>
                              </pic:spPr>
                            </pic:pic>
                          </a:graphicData>
                        </a:graphic>
                      </wp:inline>
                    </w:drawing>
                    <w:drawing>
                      <wp:inline distT="0" distB="0" distL="0" distR="0">
                        <wp:extent cx="2339975" cy="1582834"/>
                        <wp:effectExtent l="0" t="0" r="0" b="0"/>
                        <wp:docPr id="12"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3"/>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E47A17"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E47A17" w14:paraId="6808E3B4"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97D48C26"/>
    <w:multiLevelType w:val="multilevel"/>
    <w:tmpl w:val="A43588FD"/>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F2E1AAC9"/>
    <w:multiLevelType w:val="multilevel"/>
    <w:tmpl w:val="5FCD1F13"/>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F8265286"/>
    <w:multiLevelType w:val="multilevel"/>
    <w:tmpl w:val="ABB063E1"/>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nsid w:val="0784A412"/>
    <w:multiLevelType w:val="multilevel"/>
    <w:tmpl w:val="00EF13CF"/>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num w:numId="1" w16cid:durableId="1485313439">
    <w:abstractNumId w:val="3"/>
  </w:num>
  <w:num w:numId="2" w16cid:durableId="53551758">
    <w:abstractNumId w:val="2"/>
  </w:num>
  <w:num w:numId="3" w16cid:durableId="1760247551">
    <w:abstractNumId w:val="1"/>
  </w:num>
  <w:num w:numId="4" w16cid:durableId="1368292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D2E"/>
    <w:rsid w:val="00005BDD"/>
    <w:rsid w:val="00007E61"/>
    <w:rsid w:val="00077D84"/>
    <w:rsid w:val="00094CB6"/>
    <w:rsid w:val="000E1BC7"/>
    <w:rsid w:val="000E1EB5"/>
    <w:rsid w:val="00177426"/>
    <w:rsid w:val="001D0285"/>
    <w:rsid w:val="002205D7"/>
    <w:rsid w:val="0025312F"/>
    <w:rsid w:val="00266817"/>
    <w:rsid w:val="00280C09"/>
    <w:rsid w:val="00295A08"/>
    <w:rsid w:val="00304C89"/>
    <w:rsid w:val="00365F6F"/>
    <w:rsid w:val="00384EE5"/>
    <w:rsid w:val="003E022E"/>
    <w:rsid w:val="00487C8E"/>
    <w:rsid w:val="0054343B"/>
    <w:rsid w:val="0056602E"/>
    <w:rsid w:val="00605A40"/>
    <w:rsid w:val="00625EDD"/>
    <w:rsid w:val="006D1D2E"/>
    <w:rsid w:val="00753AC0"/>
    <w:rsid w:val="007A0EBE"/>
    <w:rsid w:val="007F24A4"/>
    <w:rsid w:val="007F41E9"/>
    <w:rsid w:val="00844E3C"/>
    <w:rsid w:val="008A7FAA"/>
    <w:rsid w:val="00916C26"/>
    <w:rsid w:val="0097362C"/>
    <w:rsid w:val="00A12FBB"/>
    <w:rsid w:val="00A722D4"/>
    <w:rsid w:val="00AA4B99"/>
    <w:rsid w:val="00AB1544"/>
    <w:rsid w:val="00AF1EC7"/>
    <w:rsid w:val="00AF6A72"/>
    <w:rsid w:val="00B10ADD"/>
    <w:rsid w:val="00B65F2C"/>
    <w:rsid w:val="00CA68BE"/>
    <w:rsid w:val="00CC2A50"/>
    <w:rsid w:val="00D0781A"/>
    <w:rsid w:val="00D23CFF"/>
    <w:rsid w:val="00E11DB0"/>
    <w:rsid w:val="00E33482"/>
    <w:rsid w:val="00E47A17"/>
    <w:rsid w:val="00E561F2"/>
    <w:rsid w:val="00E9280F"/>
    <w:rsid w:val="00ED4690"/>
    <w:rsid w:val="00EF4026"/>
    <w:rsid w:val="00F06CCE"/>
    <w:rsid w:val="00F41076"/>
    <w:rsid w:val="00F51E91"/>
    <w:rsid w:val="00FD00A3"/>
    <w:rsid w:val="00FE0C67"/>
    <w:rsid w:val="0D480AA6"/>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39913FE9"/>
  <w15:docId w15:val="{9A127CD5-892F-4118-AF9D-C210BE8B1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6D1D2E"/>
    <w:pPr>
      <w:tabs>
        <w:tab w:val="center" w:pos="4536"/>
        <w:tab w:val="right" w:pos="9072"/>
      </w:tabs>
      <w:spacing w:line="240" w:lineRule="auto"/>
    </w:pPr>
  </w:style>
  <w:style w:type="character" w:customStyle="1" w:styleId="KoptekstChar">
    <w:name w:val="Koptekst Char"/>
    <w:basedOn w:val="DefaultParagraphFont"/>
    <w:link w:val="Header"/>
    <w:uiPriority w:val="99"/>
    <w:rsid w:val="006D1D2E"/>
    <w:rPr>
      <w:rFonts w:ascii="Verdana" w:hAnsi="Verdana"/>
      <w:color w:val="000000"/>
      <w:sz w:val="18"/>
      <w:szCs w:val="18"/>
    </w:rPr>
  </w:style>
  <w:style w:type="paragraph" w:styleId="Footer">
    <w:name w:val="footer"/>
    <w:basedOn w:val="Normal"/>
    <w:link w:val="VoettekstChar"/>
    <w:uiPriority w:val="99"/>
    <w:unhideWhenUsed/>
    <w:rsid w:val="006D1D2E"/>
    <w:pPr>
      <w:tabs>
        <w:tab w:val="center" w:pos="4536"/>
        <w:tab w:val="right" w:pos="9072"/>
      </w:tabs>
      <w:spacing w:line="240" w:lineRule="auto"/>
    </w:pPr>
  </w:style>
  <w:style w:type="character" w:customStyle="1" w:styleId="VoettekstChar">
    <w:name w:val="Voettekst Char"/>
    <w:basedOn w:val="DefaultParagraphFont"/>
    <w:link w:val="Footer"/>
    <w:uiPriority w:val="99"/>
    <w:rsid w:val="006D1D2E"/>
    <w:rPr>
      <w:rFonts w:ascii="Verdana" w:hAnsi="Verdana"/>
      <w:color w:val="000000"/>
      <w:sz w:val="18"/>
      <w:szCs w:val="18"/>
    </w:rPr>
  </w:style>
  <w:style w:type="table" w:customStyle="1" w:styleId="Tabelraster1">
    <w:name w:val="Tabelraster1"/>
    <w:basedOn w:val="TableNormal"/>
    <w:next w:val="TableGrid"/>
    <w:uiPriority w:val="39"/>
    <w:rsid w:val="006D1D2E"/>
    <w:pPr>
      <w:autoSpaceDN/>
      <w:textAlignment w:val="auto"/>
    </w:pPr>
    <w:rPr>
      <w:rFonts w:ascii="Aptos" w:eastAsia="Aptos" w:hAnsi="Aptos" w:cs="Times New Roman"/>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VoetnoottekstChar"/>
    <w:uiPriority w:val="99"/>
    <w:semiHidden/>
    <w:unhideWhenUsed/>
    <w:rsid w:val="006D1D2E"/>
    <w:pPr>
      <w:autoSpaceDN/>
      <w:spacing w:line="240" w:lineRule="auto"/>
      <w:textAlignment w:val="auto"/>
    </w:pPr>
    <w:rPr>
      <w:rFonts w:ascii="Aptos" w:eastAsia="Aptos" w:hAnsi="Aptos" w:cs="Times New Roman"/>
      <w:color w:val="auto"/>
      <w:kern w:val="2"/>
      <w:sz w:val="20"/>
      <w:szCs w:val="20"/>
      <w:lang w:eastAsia="en-US"/>
      <w14:ligatures w14:val="standardContextual"/>
    </w:rPr>
  </w:style>
  <w:style w:type="character" w:customStyle="1" w:styleId="VoetnoottekstChar">
    <w:name w:val="Voetnoottekst Char"/>
    <w:basedOn w:val="DefaultParagraphFont"/>
    <w:link w:val="FootnoteText"/>
    <w:uiPriority w:val="99"/>
    <w:semiHidden/>
    <w:rsid w:val="006D1D2E"/>
    <w:rPr>
      <w:rFonts w:ascii="Aptos" w:eastAsia="Aptos" w:hAnsi="Aptos" w:cs="Times New Roman"/>
      <w:kern w:val="2"/>
      <w:lang w:eastAsia="en-US"/>
      <w14:ligatures w14:val="standardContextual"/>
    </w:rPr>
  </w:style>
  <w:style w:type="character" w:styleId="FootnoteReference">
    <w:name w:val="footnote reference"/>
    <w:basedOn w:val="DefaultParagraphFont"/>
    <w:uiPriority w:val="99"/>
    <w:semiHidden/>
    <w:unhideWhenUsed/>
    <w:rsid w:val="006D1D2E"/>
    <w:rPr>
      <w:vertAlign w:val="superscript"/>
    </w:rPr>
  </w:style>
  <w:style w:type="paragraph" w:styleId="Revision">
    <w:name w:val="Revision"/>
    <w:hidden/>
    <w:uiPriority w:val="99"/>
    <w:semiHidden/>
    <w:rsid w:val="00EF4026"/>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005BDD"/>
    <w:rPr>
      <w:sz w:val="16"/>
      <w:szCs w:val="16"/>
    </w:rPr>
  </w:style>
  <w:style w:type="paragraph" w:styleId="CommentText">
    <w:name w:val="annotation text"/>
    <w:basedOn w:val="Normal"/>
    <w:link w:val="TekstopmerkingChar"/>
    <w:uiPriority w:val="99"/>
    <w:unhideWhenUsed/>
    <w:rsid w:val="00005BDD"/>
    <w:pPr>
      <w:spacing w:line="240" w:lineRule="auto"/>
    </w:pPr>
    <w:rPr>
      <w:sz w:val="20"/>
      <w:szCs w:val="20"/>
    </w:rPr>
  </w:style>
  <w:style w:type="character" w:customStyle="1" w:styleId="TekstopmerkingChar">
    <w:name w:val="Tekst opmerking Char"/>
    <w:basedOn w:val="DefaultParagraphFont"/>
    <w:link w:val="CommentText"/>
    <w:uiPriority w:val="99"/>
    <w:rsid w:val="00005BDD"/>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005BDD"/>
    <w:rPr>
      <w:b/>
      <w:bCs/>
    </w:rPr>
  </w:style>
  <w:style w:type="character" w:customStyle="1" w:styleId="OnderwerpvanopmerkingChar">
    <w:name w:val="Onderwerp van opmerking Char"/>
    <w:basedOn w:val="TekstopmerkingChar"/>
    <w:link w:val="CommentSubject"/>
    <w:uiPriority w:val="99"/>
    <w:semiHidden/>
    <w:rsid w:val="00005BDD"/>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1.xml" Id="rId10" /><Relationship Type="http://schemas.openxmlformats.org/officeDocument/2006/relationships/footer" Target="footer2.xml" Id="rId11" /><Relationship Type="http://schemas.openxmlformats.org/officeDocument/2006/relationships/header" Target="header3.xml" Id="rId12" /><Relationship Type="http://schemas.openxmlformats.org/officeDocument/2006/relationships/footer" Target="footer3.xml" Id="rId13" /><Relationship Type="http://schemas.openxmlformats.org/officeDocument/2006/relationships/theme" Target="theme/theme1.xml" Id="rId14" /><Relationship Type="http://schemas.openxmlformats.org/officeDocument/2006/relationships/numbering" Target="numbering.xml" Id="rId15" /><Relationship Type="http://schemas.openxmlformats.org/officeDocument/2006/relationships/styles" Target="styles.xml" Id="rId16"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yperlink" Target="https://www.ed.nl/eindhoven/goedverdienende-expat-jaagt-woningprijzen-op-moet-overheidingrijpen~ade17c6c/?referrer=https%3A%2F%2Fwww.google.com%2F" TargetMode="External" Id="rId7" /><Relationship Type="http://schemas.openxmlformats.org/officeDocument/2006/relationships/header" Target="header1.xml" Id="rId8" /><Relationship Type="http://schemas.openxmlformats.org/officeDocument/2006/relationships/header" Target="header2.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 Id="rId3" Type="http://schemas.openxmlformats.org/officeDocument/2006/relationships/image" Target="media/image3.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1421</ap:Words>
  <ap:Characters>7819</ap:Characters>
  <ap:DocSecurity>0</ap:DocSecurity>
  <ap:Lines>65</ap:Lines>
  <ap:Paragraphs>18</ap:Paragraphs>
  <ap:ScaleCrop>false</ap:ScaleCrop>
  <ap:HeadingPairs>
    <vt:vector baseType="variant" size="2">
      <vt:variant>
        <vt:lpstr>Titel</vt:lpstr>
      </vt:variant>
      <vt:variant>
        <vt:i4>1</vt:i4>
      </vt:variant>
    </vt:vector>
  </ap:HeadingPairs>
  <ap:TitlesOfParts>
    <vt:vector baseType="lpstr" size="1">
      <vt:lpstr>Brief aan Parlement - Beantwoording Kamervragen over de druk van expats op de woningmarkt</vt:lpstr>
    </vt:vector>
  </ap:TitlesOfParts>
  <ap:LinksUpToDate>false</ap:LinksUpToDate>
  <ap:CharactersWithSpaces>9222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2026-03-11T07:09:00.0000000Z</dcterms:created>
  <dcterms:modified xsi:type="dcterms:W3CDTF">2026-03-11T07:12:00.0000000Z</dcterms:modified>
  <dc:creator/>
  <lastModifiedBy/>
  <dc:description>------------------------</dc:description>
  <dc:subject/>
  <keywords/>
  <version/>
  <category/>
</coreProperties>
</file>