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6A1" w:rsidP="00BF26A1" w:rsidRDefault="00BF26A1" w14:paraId="7C5C8016" w14:textId="3F6F7F6A">
      <w:pPr>
        <w:rPr>
          <w:rStyle w:val="Zwaar"/>
          <w:b w:val="0"/>
          <w:bCs w:val="0"/>
        </w:rPr>
      </w:pPr>
      <w:r>
        <w:rPr>
          <w:rStyle w:val="Zwaar"/>
          <w:b w:val="0"/>
          <w:bCs w:val="0"/>
        </w:rPr>
        <w:t>AH 1291</w:t>
      </w:r>
    </w:p>
    <w:p w:rsidR="00BF26A1" w:rsidP="00BF26A1" w:rsidRDefault="00BF26A1" w14:paraId="19CE5EDA" w14:textId="0A4B15FA">
      <w:pPr>
        <w:rPr>
          <w:rStyle w:val="Zwaar"/>
          <w:b w:val="0"/>
          <w:bCs w:val="0"/>
        </w:rPr>
      </w:pPr>
      <w:r>
        <w:rPr>
          <w:rStyle w:val="Zwaar"/>
          <w:b w:val="0"/>
          <w:bCs w:val="0"/>
        </w:rPr>
        <w:t>2026Z02497</w:t>
      </w:r>
    </w:p>
    <w:p w:rsidR="00BF26A1" w:rsidP="00BF26A1" w:rsidRDefault="00BF26A1" w14:paraId="598E3F6A" w14:textId="4858ABD5">
      <w:pPr>
        <w:rPr>
          <w:rStyle w:val="Zwaar"/>
          <w:b w:val="0"/>
          <w:bCs w:val="0"/>
        </w:rPr>
      </w:pPr>
      <w:r>
        <w:rPr>
          <w:rFonts w:ascii="Times New Roman" w:hAnsi="Times New Roman"/>
          <w:sz w:val="24"/>
        </w:rPr>
        <w:t>Antwoord van staatssecretaris De Bat (</w:t>
      </w:r>
      <w:r w:rsidRPr="00C024A6">
        <w:rPr>
          <w:rFonts w:ascii="Times New Roman" w:hAnsi="Times New Roman"/>
          <w:spacing w:val="-3"/>
          <w:sz w:val="24"/>
          <w:szCs w:val="24"/>
        </w:rPr>
        <w:t>Economische Zaken en Klimaat</w:t>
      </w:r>
      <w:r>
        <w:rPr>
          <w:rFonts w:ascii="Times New Roman" w:hAnsi="Times New Roman"/>
          <w:spacing w:val="-3"/>
          <w:sz w:val="24"/>
          <w:szCs w:val="24"/>
        </w:rPr>
        <w:t>) (ingezonden 11 maart 2026)</w:t>
      </w:r>
    </w:p>
    <w:p w:rsidR="00BF26A1" w:rsidP="00BF26A1" w:rsidRDefault="00BF26A1" w14:paraId="11FD8478" w14:textId="77777777">
      <w:pPr>
        <w:rPr>
          <w:rStyle w:val="Zwaar"/>
          <w:b w:val="0"/>
          <w:bCs w:val="0"/>
        </w:rPr>
      </w:pPr>
    </w:p>
    <w:p w:rsidRPr="00BF26A1" w:rsidR="00BF26A1" w:rsidP="00BF26A1" w:rsidRDefault="00BF26A1" w14:paraId="498D3CC3" w14:textId="2A101864">
      <w:pPr>
        <w:rPr>
          <w:rStyle w:val="Zwaar"/>
          <w:b w:val="0"/>
          <w:bCs w:val="0"/>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1137</w:t>
      </w:r>
    </w:p>
    <w:p w:rsidRPr="00747885" w:rsidR="00BF26A1" w:rsidP="00BF26A1" w:rsidRDefault="00BF26A1" w14:paraId="03AABE1D" w14:textId="77777777">
      <w:pPr>
        <w:rPr>
          <w:b/>
          <w:bCs/>
        </w:rPr>
      </w:pPr>
      <w:r w:rsidRPr="26AC6628">
        <w:rPr>
          <w:rStyle w:val="Zwaar"/>
        </w:rPr>
        <w:t>1</w:t>
      </w:r>
      <w:r>
        <w:rPr>
          <w:rStyle w:val="Zwaar"/>
        </w:rPr>
        <w:t>.</w:t>
      </w:r>
      <w:r>
        <w:br/>
        <w:t xml:space="preserve">Aangezien u een positief besluit heeft afgegeven aan </w:t>
      </w:r>
      <w:proofErr w:type="spellStart"/>
      <w:r>
        <w:t>Vermilion</w:t>
      </w:r>
      <w:proofErr w:type="spellEnd"/>
      <w:r>
        <w:t xml:space="preserve"> om vijf nieuwe putten te boren in het gasveld Geesbrug in Drenthe, op welke manier zijn de direct omwonenden betrokken bij de besluitvorming daarrond? </w:t>
      </w:r>
    </w:p>
    <w:p w:rsidR="00BF26A1" w:rsidP="00BF26A1" w:rsidRDefault="00BF26A1" w14:paraId="484C0439" w14:textId="77777777">
      <w:pPr>
        <w:rPr>
          <w:rStyle w:val="Zwaar"/>
          <w:b w:val="0"/>
          <w:bCs w:val="0"/>
        </w:rPr>
      </w:pPr>
    </w:p>
    <w:p w:rsidRPr="006B7A36" w:rsidR="00BF26A1" w:rsidP="00BF26A1" w:rsidRDefault="00BF26A1" w14:paraId="274AE68F" w14:textId="77777777">
      <w:pPr>
        <w:rPr>
          <w:b/>
          <w:bCs/>
        </w:rPr>
      </w:pPr>
      <w:r w:rsidRPr="006B7A36">
        <w:rPr>
          <w:rStyle w:val="Zwaar"/>
        </w:rPr>
        <w:t>Antwoord</w:t>
      </w:r>
    </w:p>
    <w:p w:rsidR="00BF26A1" w:rsidP="00BF26A1" w:rsidRDefault="00BF26A1" w14:paraId="7F7BCC58" w14:textId="77777777">
      <w:r>
        <w:t>Voor het boren van putten is een omgevingsvergunning nodig. Deze is op 29 oktober 2025 voor vier putten verleend. Op dit moment zijn de putten nog niet geboord. Conform de verplichting uit de omgevingswet h</w:t>
      </w:r>
      <w:r w:rsidRPr="002354E2">
        <w:t xml:space="preserve">eeft </w:t>
      </w:r>
      <w:proofErr w:type="spellStart"/>
      <w:r>
        <w:t>Vermilion</w:t>
      </w:r>
      <w:proofErr w:type="spellEnd"/>
      <w:r w:rsidRPr="002354E2">
        <w:t xml:space="preserve"> contact gehad met </w:t>
      </w:r>
      <w:r>
        <w:t xml:space="preserve">omwonenden in de omgeving. </w:t>
      </w:r>
      <w:proofErr w:type="spellStart"/>
      <w:r>
        <w:t>Vermilion</w:t>
      </w:r>
      <w:proofErr w:type="spellEnd"/>
      <w:r>
        <w:t xml:space="preserve"> heeft daarbij gesproken met de bewoners van de meest nabij gelegen woningen. </w:t>
      </w:r>
      <w:proofErr w:type="spellStart"/>
      <w:r>
        <w:t>Vermilion</w:t>
      </w:r>
      <w:proofErr w:type="spellEnd"/>
      <w:r>
        <w:t xml:space="preserve"> zal enkele maanden voor de start van de werkzaamheden nader over de boringen communiceren met de betrokkenen. </w:t>
      </w:r>
    </w:p>
    <w:p w:rsidR="00BF26A1" w:rsidP="00BF26A1" w:rsidRDefault="00BF26A1" w14:paraId="4B5B4859" w14:textId="77777777"/>
    <w:p w:rsidR="00BF26A1" w:rsidP="00BF26A1" w:rsidRDefault="00BF26A1" w14:paraId="07F36C41" w14:textId="77777777">
      <w:r>
        <w:t>2.</w:t>
      </w:r>
    </w:p>
    <w:p w:rsidR="00BF26A1" w:rsidP="00BF26A1" w:rsidRDefault="00BF26A1" w14:paraId="208CBF00" w14:textId="77777777">
      <w:r w:rsidRPr="000A270A">
        <w:t>Welke conclusies zijn uit de risicoanalyse getrokken aangaande het risico op aardbevingen en potentiële schade aan huizen en natuur? Worden er financiële voorzieningen getroffen om eventuele schade te kunnen vergoeden?</w:t>
      </w:r>
      <w:r>
        <w:t xml:space="preserve"> </w:t>
      </w:r>
    </w:p>
    <w:p w:rsidR="00BF26A1" w:rsidP="00BF26A1" w:rsidRDefault="00BF26A1" w14:paraId="52881E1E" w14:textId="77777777"/>
    <w:p w:rsidR="00BF26A1" w:rsidP="00BF26A1" w:rsidRDefault="00BF26A1" w14:paraId="4AF84ACD" w14:textId="77777777">
      <w:r>
        <w:t>Antwoord</w:t>
      </w:r>
    </w:p>
    <w:p w:rsidR="00BF26A1" w:rsidP="00BF26A1" w:rsidRDefault="00BF26A1" w14:paraId="325A7583" w14:textId="77777777">
      <w:r>
        <w:t xml:space="preserve">Het gasveld valt in de laagste seismisch risico categorie. Sinds 2009 wordt er gas gewonnen uit het gasveld. Destijds, maar ook bij de recent aangevraagde wijziging van het winningsplan is gekeken naar de adviezen van de vaste adviseurs en daarbij is ook ingegaan op de seismische risico’s. Er heeft sinds de start van de winning geen beving plaatsgevonden als gevolg van het winnen uit dit gasveld. Op grond van art. 6:177 van het Burgerlijk Wetboek is </w:t>
      </w:r>
      <w:proofErr w:type="spellStart"/>
      <w:r>
        <w:t>Vermilion</w:t>
      </w:r>
      <w:proofErr w:type="spellEnd"/>
      <w:r>
        <w:t xml:space="preserve"> verplicht tot het vergoeden van schade die ontstaat door bodembeweging als gevolg van de gaswinning uit het gasveld Geesbrug. De bewoners nabij de gaswinning kunnen schade waarvan zij denken dat die door mijnbouw is veroorzaakt, melden bij de Commissie Mijnbouwschade. </w:t>
      </w:r>
      <w:r>
        <w:br/>
      </w:r>
    </w:p>
    <w:p w:rsidR="00BF26A1" w:rsidP="00BF26A1" w:rsidRDefault="00BF26A1" w14:paraId="535AF0AA" w14:textId="77777777">
      <w:r>
        <w:lastRenderedPageBreak/>
        <w:t>3.</w:t>
      </w:r>
    </w:p>
    <w:p w:rsidR="00BF26A1" w:rsidP="00BF26A1" w:rsidRDefault="00BF26A1" w14:paraId="62CF8DEF" w14:textId="77777777">
      <w:r w:rsidRPr="000A270A">
        <w:t xml:space="preserve">Zullen er nieuwe, door het Rijk of door </w:t>
      </w:r>
      <w:proofErr w:type="spellStart"/>
      <w:r w:rsidRPr="000A270A">
        <w:t>Vermilion</w:t>
      </w:r>
      <w:proofErr w:type="spellEnd"/>
      <w:r w:rsidRPr="000A270A">
        <w:t xml:space="preserve"> betaalde nulmetingen plaatsvinden in de omgeving van het boorgebied?</w:t>
      </w:r>
      <w:r>
        <w:t xml:space="preserve"> </w:t>
      </w:r>
    </w:p>
    <w:p w:rsidR="00BF26A1" w:rsidP="00BF26A1" w:rsidRDefault="00BF26A1" w14:paraId="4F850468" w14:textId="77777777"/>
    <w:p w:rsidR="00BF26A1" w:rsidP="00BF26A1" w:rsidRDefault="00BF26A1" w14:paraId="3D06E9EA" w14:textId="77777777">
      <w:r>
        <w:t>Antwoord</w:t>
      </w:r>
    </w:p>
    <w:p w:rsidR="00BF26A1" w:rsidP="00BF26A1" w:rsidRDefault="00BF26A1" w14:paraId="4D489192" w14:textId="77777777">
      <w:r>
        <w:t xml:space="preserve">Nee. </w:t>
      </w:r>
      <w:r w:rsidRPr="00460551">
        <w:t xml:space="preserve">TNO </w:t>
      </w:r>
      <w:r>
        <w:t>heeft mij geadviseerd</w:t>
      </w:r>
      <w:r w:rsidRPr="00460551">
        <w:t xml:space="preserve"> dat het onwaarschijnlijk is dat de beperkte bodemdaling</w:t>
      </w:r>
      <w:r>
        <w:t xml:space="preserve"> of een eventuele</w:t>
      </w:r>
      <w:r w:rsidRPr="00460551">
        <w:t xml:space="preserve"> beving</w:t>
      </w:r>
      <w:r w:rsidRPr="009A1F4C">
        <w:t xml:space="preserve"> leidt tot directe schade aan gebouwen in of nabij het winningsgebied</w:t>
      </w:r>
      <w:r>
        <w:t>. V</w:t>
      </w:r>
      <w:r w:rsidRPr="002F23E8">
        <w:t>anwege de kleine kans op schade is geen</w:t>
      </w:r>
      <w:r>
        <w:t xml:space="preserve"> aanleiding tot het uitvoeren van bouwkundige opnames (nulmetingen) in de omgeving van Geesbrug</w:t>
      </w:r>
      <w:r w:rsidRPr="002F23E8">
        <w:t>.</w:t>
      </w:r>
    </w:p>
    <w:p w:rsidR="00BF26A1" w:rsidP="00BF26A1" w:rsidRDefault="00BF26A1" w14:paraId="74056687" w14:textId="77777777"/>
    <w:p w:rsidR="00BF26A1" w:rsidP="00BF26A1" w:rsidRDefault="00BF26A1" w14:paraId="0E3B36BE" w14:textId="77777777">
      <w:r w:rsidRPr="000A270A">
        <w:t>4</w:t>
      </w:r>
      <w:r>
        <w:t>.</w:t>
      </w:r>
    </w:p>
    <w:p w:rsidR="00BF26A1" w:rsidP="00BF26A1" w:rsidRDefault="00BF26A1" w14:paraId="10AFC781" w14:textId="77777777">
      <w:r w:rsidRPr="000A270A">
        <w:t>Tot hoeveel Megaton CO</w:t>
      </w:r>
      <w:r w:rsidRPr="002F23E8">
        <w:rPr>
          <w:vertAlign w:val="subscript"/>
        </w:rPr>
        <w:t>2</w:t>
      </w:r>
      <w:r w:rsidRPr="000A270A">
        <w:t>-equivalent zal de bijkomende hoeveelheid gas leiden, specifiek voor scope 1, scope 2 en scope 3?</w:t>
      </w:r>
    </w:p>
    <w:p w:rsidR="00BF26A1" w:rsidP="00BF26A1" w:rsidRDefault="00BF26A1" w14:paraId="42856758" w14:textId="77777777"/>
    <w:p w:rsidRPr="000A270A" w:rsidR="00BF26A1" w:rsidP="00BF26A1" w:rsidRDefault="00BF26A1" w14:paraId="12DA7FC0" w14:textId="77777777">
      <w:r w:rsidRPr="000A270A">
        <w:t>Antwoord</w:t>
      </w:r>
    </w:p>
    <w:p w:rsidR="00BF26A1" w:rsidP="00BF26A1" w:rsidRDefault="00BF26A1" w14:paraId="6363A7FD" w14:textId="77777777">
      <w:r>
        <w:t>Tijdens het uitvoeren van de boringen vinden emissies in de vorm van CO</w:t>
      </w:r>
      <w:r w:rsidRPr="6580F983">
        <w:rPr>
          <w:vertAlign w:val="subscript"/>
        </w:rPr>
        <w:t>2</w:t>
      </w:r>
      <w:r>
        <w:t xml:space="preserve"> plaats. De scope 1 en scope 2 emissies zijn tijdelijk van aard en beperkt in omvang. Het brandstof- en energieverbruik tijdens de boringen zijn beoordeeld in de omgevingsvergunning en getoetst aan de eisen van de Omgevingswet. </w:t>
      </w:r>
    </w:p>
    <w:p w:rsidR="00BF26A1" w:rsidDel="00C767EE" w:rsidP="00BF26A1" w:rsidRDefault="00BF26A1" w14:paraId="01307A71" w14:textId="77777777">
      <w:r>
        <w:t>Met de aanpassing van het winningsplan is de maximaal hoeveelheid te winnen gas naar beneden bijgesteld. Het aangevraagde leidt dus niet tot extra scope 3-emissies ten opzichte van wat eerder is vergund. Daarbij is de CO</w:t>
      </w:r>
      <w:r w:rsidRPr="00F951B8">
        <w:rPr>
          <w:vertAlign w:val="subscript"/>
        </w:rPr>
        <w:t>2</w:t>
      </w:r>
      <w:r>
        <w:t>-uitstoot van de winning en transport van gas dat wordt gewonnen uit Nederlandse kleine velden enkele malen lager dan de uitstoot van geïmporteerd aardgas.</w:t>
      </w:r>
    </w:p>
    <w:p w:rsidR="00BF26A1" w:rsidP="00BF26A1" w:rsidRDefault="00BF26A1" w14:paraId="3BD5F93F" w14:textId="77777777"/>
    <w:p w:rsidR="00BF26A1" w:rsidP="00BF26A1" w:rsidRDefault="00BF26A1" w14:paraId="1AC7C892" w14:textId="77777777">
      <w:r w:rsidRPr="000A270A">
        <w:t>5.</w:t>
      </w:r>
    </w:p>
    <w:p w:rsidRPr="000A270A" w:rsidR="00BF26A1" w:rsidP="00BF26A1" w:rsidRDefault="00BF26A1" w14:paraId="7D665071" w14:textId="77777777">
      <w:r w:rsidRPr="000A270A">
        <w:t>Aangezien u op dit moment de uitspraak van het Europees Hof voor de Rechten van de Mens over scope 3 nader aan het bestuderen bent om precies in kaart te kunnen brengen wat dit betekent voor bijvoorbeeld de vergunningverlening, waarom kiest u er dan voor om toch al dit besluit goed te keuren met alle risico's op nieuwe rechtszaken van dien?</w:t>
      </w:r>
    </w:p>
    <w:p w:rsidR="00BF26A1" w:rsidP="00BF26A1" w:rsidRDefault="00BF26A1" w14:paraId="59290339" w14:textId="77777777"/>
    <w:p w:rsidR="00BF26A1" w:rsidP="00BF26A1" w:rsidRDefault="00BF26A1" w14:paraId="156D8B6F" w14:textId="77777777">
      <w:r w:rsidRPr="000A270A">
        <w:t>Antwoord</w:t>
      </w:r>
    </w:p>
    <w:p w:rsidR="00BF26A1" w:rsidP="00BF26A1" w:rsidRDefault="00BF26A1" w14:paraId="268AE01E" w14:textId="77777777">
      <w:r>
        <w:lastRenderedPageBreak/>
        <w:t>Zoals bij vraag 4 aangegeven, is de maximale hoeveelheid te winnen gas uit het gasveld Geesbrug met de aanpassing van het winningsplan naar beneden bijgesteld. Het aangevraagde leidt dus niet tot extra scope 3-emissies ten opzichte van wat eerder is vergund. Er zijn om deze reden geen extra scope 3-emissies om te beoordelen conform de uitspraak van het Europees Hof voor de Rechten van de Mens.</w:t>
      </w:r>
    </w:p>
    <w:p w:rsidRPr="000A270A" w:rsidR="00BF26A1" w:rsidP="00BF26A1" w:rsidRDefault="00BF26A1" w14:paraId="38C49A9E" w14:textId="77777777"/>
    <w:p w:rsidR="00BF26A1" w:rsidP="00BF26A1" w:rsidRDefault="00BF26A1" w14:paraId="696C7052" w14:textId="77777777">
      <w:r w:rsidRPr="000A270A">
        <w:t>6.</w:t>
      </w:r>
    </w:p>
    <w:p w:rsidR="00BF26A1" w:rsidP="00BF26A1" w:rsidRDefault="00BF26A1" w14:paraId="001DDA3A" w14:textId="77777777">
      <w:r w:rsidRPr="000A270A">
        <w:t>Hoe is gaswinning tot en met 2049 nog te verenigen met de nationale en internationale klimaatdoelstellingen, in het bijzonder in het licht van de recente uitspraak in de Bonaire-zaak die de staat oplegt om de klimaatdoelen verder aan te scherpen? Welk percentage van het resterende koolstofbudget zal de optelsom van scope 1-, 2- en 3-emissies dan innemen?</w:t>
      </w:r>
    </w:p>
    <w:p w:rsidR="00BF26A1" w:rsidP="00BF26A1" w:rsidRDefault="00BF26A1" w14:paraId="14498DC8" w14:textId="77777777"/>
    <w:p w:rsidRPr="000A270A" w:rsidR="00BF26A1" w:rsidP="00BF26A1" w:rsidRDefault="00BF26A1" w14:paraId="64D0F9A9" w14:textId="77777777">
      <w:r>
        <w:t>Antwoord</w:t>
      </w:r>
    </w:p>
    <w:p w:rsidR="00BF26A1" w:rsidP="00BF26A1" w:rsidRDefault="00BF26A1" w14:paraId="4006C5F5" w14:textId="77777777">
      <w:r w:rsidRPr="00D55990">
        <w:t xml:space="preserve">Het kabinet zet erop in de doelen uit de nationale en Europese Klimaatwet te halen. Dat betekent dat Nederland de netto-uitstoot van broeikasgassen uiterlijk in 2050 tot nul reduceert, en streeft naar negatieve emissies van broeikasgassen na 2050. </w:t>
      </w:r>
      <w:r>
        <w:t xml:space="preserve">Hier stuurt het kabinet op door bij nieuwe en actualisaties van winningsplannen instemming te beperken tot en met 2045. Daarom heeft het kabinet besloten om de instemming met het winningsplan Geesbrug te beperken tot en met 2045 in plaats van de gevraagde winning tot en met 2049. </w:t>
      </w:r>
    </w:p>
    <w:p w:rsidR="00BF26A1" w:rsidP="00BF26A1" w:rsidRDefault="00BF26A1" w14:paraId="5EE513D4" w14:textId="77777777"/>
    <w:p w:rsidR="00BF26A1" w:rsidP="00BF26A1" w:rsidRDefault="00BF26A1" w14:paraId="1536A554" w14:textId="77777777">
      <w:r>
        <w:t>7.</w:t>
      </w:r>
    </w:p>
    <w:p w:rsidR="00BF26A1" w:rsidP="00BF26A1" w:rsidRDefault="00BF26A1" w14:paraId="6C713DE9" w14:textId="77777777">
      <w:r>
        <w:t xml:space="preserve">Hoe betrouwbaar is de door </w:t>
      </w:r>
      <w:proofErr w:type="spellStart"/>
      <w:r>
        <w:t>Vermilion</w:t>
      </w:r>
      <w:proofErr w:type="spellEnd"/>
      <w:r>
        <w:t xml:space="preserve"> aangegeven maximale bodemdaling van 4,5 centimeter? Worden cumulatieve effecten daarbij in de analyse meegenomen?</w:t>
      </w:r>
    </w:p>
    <w:p w:rsidR="00BF26A1" w:rsidP="00BF26A1" w:rsidRDefault="00BF26A1" w14:paraId="4F610EE7" w14:textId="77777777"/>
    <w:p w:rsidRPr="000A270A" w:rsidR="00BF26A1" w:rsidP="00BF26A1" w:rsidRDefault="00BF26A1" w14:paraId="5985861D" w14:textId="77777777">
      <w:r w:rsidRPr="000A270A">
        <w:t>Antwoord</w:t>
      </w:r>
    </w:p>
    <w:p w:rsidR="00BF26A1" w:rsidP="00BF26A1" w:rsidRDefault="00BF26A1" w14:paraId="7276EA56" w14:textId="77777777">
      <w:r>
        <w:t xml:space="preserve">TNO heeft de bodemdaling als gevolg van de winning uit het gasveld Geesbrug berekend, waarbij ook de bodemdaling door gaswinning uit omliggende gasvelden is meegenomen. TNO komt tot vergelijkbare resultaten als </w:t>
      </w:r>
      <w:proofErr w:type="spellStart"/>
      <w:r>
        <w:t>Vermilion</w:t>
      </w:r>
      <w:proofErr w:type="spellEnd"/>
      <w:r>
        <w:t xml:space="preserve">. </w:t>
      </w:r>
    </w:p>
    <w:p w:rsidR="00BF26A1" w:rsidP="00BF26A1" w:rsidRDefault="00BF26A1" w14:paraId="5708E358" w14:textId="77777777"/>
    <w:p w:rsidR="00BF26A1" w:rsidP="00BF26A1" w:rsidRDefault="00BF26A1" w14:paraId="0B069BC9" w14:textId="77777777">
      <w:r>
        <w:t>8.</w:t>
      </w:r>
    </w:p>
    <w:p w:rsidR="00BF26A1" w:rsidP="00BF26A1" w:rsidRDefault="00BF26A1" w14:paraId="17932851" w14:textId="77777777">
      <w:r>
        <w:t xml:space="preserve">Is de in 2009 vergunde grens voor bodemdaling nog adequaat in het licht van nieuwe wetenschappelijke inzichten en de ervaringen met aardbevingen en bodemdaling in de afgelopen zeventien jaar? </w:t>
      </w:r>
    </w:p>
    <w:p w:rsidR="00BF26A1" w:rsidP="00BF26A1" w:rsidRDefault="00BF26A1" w14:paraId="037E6B0B" w14:textId="77777777"/>
    <w:p w:rsidR="00BF26A1" w:rsidP="00BF26A1" w:rsidRDefault="00BF26A1" w14:paraId="23DD40A4" w14:textId="77777777">
      <w:r>
        <w:t>Antwoord</w:t>
      </w:r>
    </w:p>
    <w:p w:rsidR="00BF26A1" w:rsidP="00BF26A1" w:rsidRDefault="00BF26A1" w14:paraId="7A059D87" w14:textId="77777777">
      <w:r>
        <w:t>De vergunde grens voor bodemdaling is nog adequaat.</w:t>
      </w:r>
      <w:r w:rsidRPr="002301F1">
        <w:t xml:space="preserve"> </w:t>
      </w:r>
      <w:r>
        <w:t xml:space="preserve">Zoals bij vraag 7 aangegeven, heeft </w:t>
      </w:r>
      <w:r w:rsidRPr="00025AD6">
        <w:t xml:space="preserve">TNO de bodemdaling </w:t>
      </w:r>
      <w:r>
        <w:t>en het seismisch risico als</w:t>
      </w:r>
      <w:r w:rsidRPr="00025AD6">
        <w:t xml:space="preserve"> gevolg van de winning uit het gasveld Geesbrug berekend</w:t>
      </w:r>
      <w:r>
        <w:t xml:space="preserve"> en komt daarbij tot vergelijkbare resultaten als </w:t>
      </w:r>
      <w:proofErr w:type="spellStart"/>
      <w:r>
        <w:t>Vermilion</w:t>
      </w:r>
      <w:proofErr w:type="spellEnd"/>
      <w:r>
        <w:t xml:space="preserve">. Het is onwaarschijnlijk dat de bodemdaling leidt tot directe schade aan gebouwen in of nabij het winningsgebied. Het gasveld valt in de laagste seismisch risico categorie. </w:t>
      </w:r>
    </w:p>
    <w:p w:rsidR="00BF26A1" w:rsidP="00BF26A1" w:rsidRDefault="00BF26A1" w14:paraId="44794EF6" w14:textId="77777777"/>
    <w:p w:rsidR="00BF26A1" w:rsidP="00BF26A1" w:rsidRDefault="00BF26A1" w14:paraId="7CD70436" w14:textId="77777777">
      <w:r>
        <w:t>9.</w:t>
      </w:r>
    </w:p>
    <w:p w:rsidR="00BF26A1" w:rsidP="00BF26A1" w:rsidRDefault="00BF26A1" w14:paraId="5FC98B71" w14:textId="77777777">
      <w:r>
        <w:t xml:space="preserve">Indien bezwaar wordt aangetekend tegen het besluit, welke wettelijke instrumenten heeft u tot uw beschikking om aan dat bezwaar tegemoet te komen? Is het juridisch mogelijk het besluit alsnog in te trekken wanneer uit de bezwaren blijkt dat er in de omgeving weinig draagvlak bestaat? </w:t>
      </w:r>
    </w:p>
    <w:p w:rsidR="00BF26A1" w:rsidP="00BF26A1" w:rsidRDefault="00BF26A1" w14:paraId="51F769C2" w14:textId="77777777"/>
    <w:p w:rsidRPr="000A270A" w:rsidR="00BF26A1" w:rsidP="00BF26A1" w:rsidRDefault="00BF26A1" w14:paraId="1BA10D0C" w14:textId="77777777">
      <w:r w:rsidRPr="000A270A">
        <w:t>Antwoord</w:t>
      </w:r>
    </w:p>
    <w:p w:rsidR="00BF26A1" w:rsidP="00BF26A1" w:rsidRDefault="00BF26A1" w14:paraId="0C7E4979" w14:textId="77777777">
      <w:r>
        <w:t xml:space="preserve">Indien bezwaar wordt aangetekend tegen het besluit zal het besluit in het kader van de bezwaarprocedure worden heroverwogen. Een besluit kan daarbij alleen worden gewijzigd of ingetrokken, indien dat gerechtvaardigd wordt door een grond als genoemd in artikel 36, eerste lid van de Mijnbouwwet. Maatschappelijk draagvlak valt hier niet onder. </w:t>
      </w:r>
    </w:p>
    <w:p w:rsidR="00BF26A1" w:rsidP="00BF26A1" w:rsidRDefault="00BF26A1" w14:paraId="63D55EB4" w14:textId="77777777"/>
    <w:p w:rsidR="00BF26A1" w:rsidP="00BF26A1" w:rsidRDefault="00BF26A1" w14:paraId="0B9EFEA1" w14:textId="77777777">
      <w:r>
        <w:t>10.</w:t>
      </w:r>
    </w:p>
    <w:p w:rsidR="00BF26A1" w:rsidP="00BF26A1" w:rsidRDefault="00BF26A1" w14:paraId="6D9B14CB" w14:textId="77777777">
      <w:r>
        <w:t>Zal er gehoor gegeven worden aan de oproep van de Commissie Mijnbouwschade om de schaderegeling in Drenthe rechtvaardiger te maken? Zo ja, op welke manier? Zo nee, waarom niet?</w:t>
      </w:r>
    </w:p>
    <w:p w:rsidR="00BF26A1" w:rsidP="00BF26A1" w:rsidRDefault="00BF26A1" w14:paraId="71799353" w14:textId="77777777"/>
    <w:p w:rsidRPr="000A270A" w:rsidR="00BF26A1" w:rsidP="00BF26A1" w:rsidRDefault="00BF26A1" w14:paraId="6015C06D" w14:textId="77777777">
      <w:r w:rsidRPr="000A270A">
        <w:t>Antwoord</w:t>
      </w:r>
    </w:p>
    <w:p w:rsidRPr="00910DA5" w:rsidR="00BF26A1" w:rsidP="00BF26A1" w:rsidRDefault="00BF26A1" w14:paraId="3D83F761" w14:textId="77777777">
      <w:pPr>
        <w:rPr>
          <w:rFonts w:eastAsia="Verdana" w:cs="Verdana"/>
          <w:color w:val="000000" w:themeColor="text1"/>
        </w:rPr>
      </w:pPr>
      <w:r w:rsidRPr="006763B3">
        <w:rPr>
          <w:rFonts w:eastAsia="Verdana" w:cs="Verdana"/>
          <w:color w:val="000000" w:themeColor="text1"/>
        </w:rPr>
        <w:t xml:space="preserve">Ja, </w:t>
      </w:r>
      <w:r>
        <w:rPr>
          <w:rFonts w:eastAsia="Verdana" w:cs="Verdana"/>
          <w:color w:val="000000" w:themeColor="text1"/>
        </w:rPr>
        <w:t>h</w:t>
      </w:r>
      <w:r w:rsidRPr="009A1F4C">
        <w:rPr>
          <w:rFonts w:eastAsia="Verdana" w:cs="Verdana"/>
          <w:color w:val="000000" w:themeColor="text1"/>
        </w:rPr>
        <w:t xml:space="preserve">et </w:t>
      </w:r>
      <w:r>
        <w:rPr>
          <w:rFonts w:eastAsia="Verdana" w:cs="Verdana"/>
          <w:color w:val="000000" w:themeColor="text1"/>
        </w:rPr>
        <w:t xml:space="preserve">vorige </w:t>
      </w:r>
      <w:r w:rsidRPr="009A1F4C">
        <w:rPr>
          <w:rFonts w:eastAsia="Verdana" w:cs="Verdana"/>
          <w:color w:val="000000" w:themeColor="text1"/>
        </w:rPr>
        <w:t>kabinet heeft de aanbevelingen</w:t>
      </w:r>
      <w:r w:rsidRPr="006763B3">
        <w:rPr>
          <w:rFonts w:eastAsia="Verdana" w:cs="Verdana"/>
          <w:color w:val="000000" w:themeColor="text1"/>
        </w:rPr>
        <w:t xml:space="preserve"> die de Commissie Mijnbouwschade in haar verslag 'Afhandeling Schademeldingen Ekehaar en Hooghalen’ doet</w:t>
      </w:r>
      <w:r>
        <w:rPr>
          <w:rFonts w:eastAsia="Verdana" w:cs="Verdana"/>
          <w:color w:val="000000" w:themeColor="text1"/>
        </w:rPr>
        <w:t xml:space="preserve">, </w:t>
      </w:r>
      <w:r w:rsidRPr="009A1F4C">
        <w:rPr>
          <w:rFonts w:eastAsia="Verdana" w:cs="Verdana"/>
          <w:color w:val="000000" w:themeColor="text1"/>
        </w:rPr>
        <w:t xml:space="preserve">ontvangen en </w:t>
      </w:r>
      <w:r>
        <w:rPr>
          <w:rFonts w:eastAsia="Verdana" w:cs="Verdana"/>
          <w:color w:val="000000" w:themeColor="text1"/>
        </w:rPr>
        <w:t xml:space="preserve">heeft de Kamer aangegeven verkennende gesprekken op te starten. Deze gesprekken worden op korte termijn gestart.  </w:t>
      </w:r>
    </w:p>
    <w:p w:rsidR="001F10F4" w:rsidRDefault="001F10F4" w14:paraId="0AB61FA8" w14:textId="77777777"/>
    <w:sectPr w:rsidR="001F10F4" w:rsidSect="00BF26A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2D1B" w14:textId="77777777" w:rsidR="00BF26A1" w:rsidRDefault="00BF26A1" w:rsidP="00BF26A1">
      <w:pPr>
        <w:spacing w:after="0" w:line="240" w:lineRule="auto"/>
      </w:pPr>
      <w:r>
        <w:separator/>
      </w:r>
    </w:p>
  </w:endnote>
  <w:endnote w:type="continuationSeparator" w:id="0">
    <w:p w14:paraId="12F1C0C6" w14:textId="77777777" w:rsidR="00BF26A1" w:rsidRDefault="00BF26A1" w:rsidP="00BF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9C40" w14:textId="77777777" w:rsidR="00BF26A1" w:rsidRPr="00BF26A1" w:rsidRDefault="00BF26A1" w:rsidP="00BF26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2B68" w14:textId="77777777" w:rsidR="00BF26A1" w:rsidRPr="00BF26A1" w:rsidRDefault="00BF26A1" w:rsidP="00BF26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5B60" w14:textId="77777777" w:rsidR="00BF26A1" w:rsidRPr="00BF26A1" w:rsidRDefault="00BF26A1" w:rsidP="00BF26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BBF6" w14:textId="77777777" w:rsidR="00BF26A1" w:rsidRDefault="00BF26A1" w:rsidP="00BF26A1">
      <w:pPr>
        <w:spacing w:after="0" w:line="240" w:lineRule="auto"/>
      </w:pPr>
      <w:r>
        <w:separator/>
      </w:r>
    </w:p>
  </w:footnote>
  <w:footnote w:type="continuationSeparator" w:id="0">
    <w:p w14:paraId="259A3312" w14:textId="77777777" w:rsidR="00BF26A1" w:rsidRDefault="00BF26A1" w:rsidP="00BF2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D70D" w14:textId="77777777" w:rsidR="00BF26A1" w:rsidRPr="00BF26A1" w:rsidRDefault="00BF26A1" w:rsidP="00BF26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170C" w14:textId="77777777" w:rsidR="00BF26A1" w:rsidRPr="00BF26A1" w:rsidRDefault="00BF26A1" w:rsidP="00BF26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F983" w14:textId="77777777" w:rsidR="00BF26A1" w:rsidRPr="00BF26A1" w:rsidRDefault="00BF26A1" w:rsidP="00BF26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A1"/>
    <w:rsid w:val="001F10F4"/>
    <w:rsid w:val="0039623B"/>
    <w:rsid w:val="00BF26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ED74"/>
  <w15:chartTrackingRefBased/>
  <w15:docId w15:val="{FED6673F-4BF2-4D60-9109-41A647E6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2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2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26A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26A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26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26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26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26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26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26A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26A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26A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26A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26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26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26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26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26A1"/>
    <w:rPr>
      <w:rFonts w:eastAsiaTheme="majorEastAsia" w:cstheme="majorBidi"/>
      <w:color w:val="272727" w:themeColor="text1" w:themeTint="D8"/>
    </w:rPr>
  </w:style>
  <w:style w:type="paragraph" w:styleId="Titel">
    <w:name w:val="Title"/>
    <w:basedOn w:val="Standaard"/>
    <w:next w:val="Standaard"/>
    <w:link w:val="TitelChar"/>
    <w:uiPriority w:val="10"/>
    <w:qFormat/>
    <w:rsid w:val="00BF2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6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26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26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26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26A1"/>
    <w:rPr>
      <w:i/>
      <w:iCs/>
      <w:color w:val="404040" w:themeColor="text1" w:themeTint="BF"/>
    </w:rPr>
  </w:style>
  <w:style w:type="paragraph" w:styleId="Lijstalinea">
    <w:name w:val="List Paragraph"/>
    <w:basedOn w:val="Standaard"/>
    <w:uiPriority w:val="34"/>
    <w:qFormat/>
    <w:rsid w:val="00BF26A1"/>
    <w:pPr>
      <w:ind w:left="720"/>
      <w:contextualSpacing/>
    </w:pPr>
  </w:style>
  <w:style w:type="character" w:styleId="Intensievebenadrukking">
    <w:name w:val="Intense Emphasis"/>
    <w:basedOn w:val="Standaardalinea-lettertype"/>
    <w:uiPriority w:val="21"/>
    <w:qFormat/>
    <w:rsid w:val="00BF26A1"/>
    <w:rPr>
      <w:i/>
      <w:iCs/>
      <w:color w:val="2F5496" w:themeColor="accent1" w:themeShade="BF"/>
    </w:rPr>
  </w:style>
  <w:style w:type="paragraph" w:styleId="Duidelijkcitaat">
    <w:name w:val="Intense Quote"/>
    <w:basedOn w:val="Standaard"/>
    <w:next w:val="Standaard"/>
    <w:link w:val="DuidelijkcitaatChar"/>
    <w:uiPriority w:val="30"/>
    <w:qFormat/>
    <w:rsid w:val="00BF2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26A1"/>
    <w:rPr>
      <w:i/>
      <w:iCs/>
      <w:color w:val="2F5496" w:themeColor="accent1" w:themeShade="BF"/>
    </w:rPr>
  </w:style>
  <w:style w:type="character" w:styleId="Intensieveverwijzing">
    <w:name w:val="Intense Reference"/>
    <w:basedOn w:val="Standaardalinea-lettertype"/>
    <w:uiPriority w:val="32"/>
    <w:qFormat/>
    <w:rsid w:val="00BF26A1"/>
    <w:rPr>
      <w:b/>
      <w:bCs/>
      <w:smallCaps/>
      <w:color w:val="2F5496" w:themeColor="accent1" w:themeShade="BF"/>
      <w:spacing w:val="5"/>
    </w:rPr>
  </w:style>
  <w:style w:type="paragraph" w:styleId="Koptekst">
    <w:name w:val="header"/>
    <w:basedOn w:val="Standaard"/>
    <w:link w:val="KoptekstChar"/>
    <w:rsid w:val="00BF26A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F26A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F26A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F26A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F26A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F26A1"/>
    <w:rPr>
      <w:rFonts w:ascii="Verdana" w:hAnsi="Verdana"/>
      <w:noProof/>
      <w:sz w:val="13"/>
      <w:szCs w:val="24"/>
      <w:lang w:eastAsia="nl-NL"/>
    </w:rPr>
  </w:style>
  <w:style w:type="paragraph" w:customStyle="1" w:styleId="Huisstijl-Gegeven">
    <w:name w:val="Huisstijl-Gegeven"/>
    <w:basedOn w:val="Standaard"/>
    <w:link w:val="Huisstijl-GegevenCharChar"/>
    <w:rsid w:val="00BF26A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F26A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F26A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F26A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F26A1"/>
    <w:pPr>
      <w:spacing w:after="0"/>
    </w:pPr>
    <w:rPr>
      <w:b/>
    </w:rPr>
  </w:style>
  <w:style w:type="paragraph" w:customStyle="1" w:styleId="Huisstijl-Paginanummering">
    <w:name w:val="Huisstijl-Paginanummering"/>
    <w:basedOn w:val="Standaard"/>
    <w:rsid w:val="00BF26A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F26A1"/>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BF2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1062</ap:Words>
  <ap:Characters>5843</ap:Characters>
  <ap:DocSecurity>0</ap:DocSecurity>
  <ap:Lines>48</ap:Lines>
  <ap:Paragraphs>13</ap:Paragraphs>
  <ap:ScaleCrop>false</ap:ScaleCrop>
  <ap:LinksUpToDate>false</ap:LinksUpToDate>
  <ap:CharactersWithSpaces>6892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2026-03-11T12:43:00.0000000Z</dcterms:created>
  <dcterms:modified xsi:type="dcterms:W3CDTF">2026-03-11T12:48:00.0000000Z</dcterms:modified>
  <version/>
  <category/>
</coreProperties>
</file>