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034F" w:rsidP="00810C93" w:rsidRDefault="009B034F" w14:paraId="1FCF33CE" w14:textId="77777777"/>
    <w:p w:rsidR="009B034F" w:rsidP="00810C93" w:rsidRDefault="009B034F" w14:paraId="2D76D362" w14:textId="77777777"/>
    <w:p w:rsidR="00B824BA" w:rsidP="00810C93" w:rsidRDefault="0021294F" w14:paraId="15A914EE" w14:textId="4C387895">
      <w:r>
        <w:t>Geachte Voorzitter,</w:t>
      </w:r>
    </w:p>
    <w:p w:rsidR="00D15779" w:rsidP="00810C93" w:rsidRDefault="00D15779" w14:paraId="1294A6E3" w14:textId="77777777"/>
    <w:p w:rsidR="00514523" w:rsidP="00514523" w:rsidRDefault="00514523" w14:paraId="7B325ADA" w14:textId="3D6F0746">
      <w:r>
        <w:t>Met de maatwerkaanpak verduurzaming industrie wil het kabinet de grootste industriële uitstoters die ambitieuze plannen hebben, faciliteren om te verduurzamen in Nederland. In dat kader informeren de minister van Klimaat en Groene Groei</w:t>
      </w:r>
      <w:r w:rsidR="005306AB">
        <w:t xml:space="preserve"> en staatssecretarissen van Klimaat en Groene Groei</w:t>
      </w:r>
      <w:r>
        <w:t xml:space="preserve"> en van Infrastructuur en Waterstaat u</w:t>
      </w:r>
      <w:r w:rsidR="009B034F">
        <w:t xml:space="preserve"> </w:t>
      </w:r>
      <w:r>
        <w:t xml:space="preserve">over de Joint Letter of Intent (JLoI) die op 11 maart jl. met Alco Energy Rotterdam (hierna: AER) en de provincie Zuid-Holland is getekend. </w:t>
      </w:r>
      <w:r w:rsidDel="00517310">
        <w:t xml:space="preserve">Dit is de vijfde JLoI die is gesloten met een maatwerkbedrijf, na Nobian, Cosun, AnQore en Tata Steel Nederland. </w:t>
      </w:r>
    </w:p>
    <w:p w:rsidR="00514523" w:rsidP="00514523" w:rsidRDefault="00514523" w14:paraId="55D44D36" w14:textId="77777777"/>
    <w:p w:rsidRPr="00BD4AD4" w:rsidR="00514523" w:rsidP="00514523" w:rsidRDefault="00514523" w14:paraId="4CA2FFBC" w14:textId="6F2AE105">
      <w:r>
        <w:t>In het coalitieakkoord is opgenomen dat bestaande maatwerktrajecten</w:t>
      </w:r>
      <w:r>
        <w:rPr>
          <w:rStyle w:val="Voetnootmarkering"/>
        </w:rPr>
        <w:footnoteReference w:id="1"/>
      </w:r>
      <w:r>
        <w:t xml:space="preserve"> worden voortgezet. Op 10 oktober 2024 is met AER de Expression of Principles (EoP) overeengekomen. Deze </w:t>
      </w:r>
      <w:r w:rsidRPr="00BD4AD4">
        <w:t xml:space="preserve">JLoI is voor alle betrokken partijen een belangrijke </w:t>
      </w:r>
      <w:r>
        <w:t>vervolg</w:t>
      </w:r>
      <w:r w:rsidRPr="00BD4AD4">
        <w:t>stap op weg naar bindende maatwerkafspraken</w:t>
      </w:r>
      <w:r>
        <w:t>.</w:t>
      </w:r>
    </w:p>
    <w:p w:rsidRPr="00BD4AD4" w:rsidR="00514523" w:rsidP="00514523" w:rsidRDefault="00514523" w14:paraId="2439B773" w14:textId="77777777">
      <w:pPr>
        <w:rPr>
          <w:szCs w:val="18"/>
        </w:rPr>
      </w:pPr>
    </w:p>
    <w:p w:rsidRPr="00BD4AD4" w:rsidR="00514523" w:rsidP="00514523" w:rsidRDefault="00514523" w14:paraId="553F7CAF" w14:textId="77777777">
      <w:pPr>
        <w:rPr>
          <w:i/>
          <w:iCs/>
          <w:szCs w:val="18"/>
        </w:rPr>
      </w:pPr>
      <w:r w:rsidRPr="00BD4AD4">
        <w:rPr>
          <w:i/>
          <w:iCs/>
          <w:szCs w:val="18"/>
        </w:rPr>
        <w:t>Ambitie JLoI</w:t>
      </w:r>
    </w:p>
    <w:p w:rsidRPr="009B034F" w:rsidR="009B034F" w:rsidP="009B034F" w:rsidRDefault="00514523" w14:paraId="08296801" w14:textId="7EE392C1">
      <w:r>
        <w:t xml:space="preserve">De JLoI met AER is ambitieus en betreft de verduurzaming van zijn productielocatie in Rotterdam. AER gaat 65-75% </w:t>
      </w:r>
      <w:r w:rsidRPr="653DDFA0">
        <w:rPr>
          <w:rFonts w:eastAsia="Verdana" w:cs="Verdana"/>
          <w:color w:val="000000" w:themeColor="text1"/>
        </w:rPr>
        <w:t>CO₂</w:t>
      </w:r>
      <w:r>
        <w:t xml:space="preserve"> reduceren in 2030 ten opzichte van 2021. </w:t>
      </w:r>
      <w:r w:rsidRPr="009B034F" w:rsidR="009B034F">
        <w:t>Dit betreft</w:t>
      </w:r>
      <w:r w:rsidR="009B034F">
        <w:t xml:space="preserve"> </w:t>
      </w:r>
      <w:r w:rsidRPr="009B034F" w:rsidR="009B034F">
        <w:t>een CO₂-reductie tussen de 224 en 263 kton per jaar</w:t>
      </w:r>
      <w:r w:rsidR="00530A03">
        <w:t>,</w:t>
      </w:r>
      <w:r w:rsidRPr="009B034F" w:rsidR="009B034F">
        <w:t xml:space="preserve"> waarvan zo’n 67 kton additioneel aan wat </w:t>
      </w:r>
      <w:r w:rsidR="00530A03">
        <w:t>AER</w:t>
      </w:r>
      <w:r w:rsidRPr="009B034F" w:rsidR="009B034F">
        <w:t xml:space="preserve"> volgens de benchmark van de CO</w:t>
      </w:r>
      <w:r w:rsidRPr="009B034F" w:rsidR="009B034F">
        <w:rPr>
          <w:vertAlign w:val="subscript"/>
        </w:rPr>
        <w:t xml:space="preserve">2 </w:t>
      </w:r>
      <w:r w:rsidRPr="009B034F" w:rsidR="009B034F">
        <w:t xml:space="preserve">heffing zou moeten doen. Hiermee levert dit maatwerktraject een aanzienlijke extra bijdrage aan de klimaatdoelstellingen voor 2030. </w:t>
      </w:r>
    </w:p>
    <w:p w:rsidR="00514523" w:rsidP="00514523" w:rsidRDefault="00514523" w14:paraId="7F9F3178" w14:textId="378795A0"/>
    <w:p w:rsidR="00514523" w:rsidP="00514523" w:rsidRDefault="00514523" w14:paraId="565528D3" w14:textId="77777777">
      <w:r>
        <w:t>De beoogde verduurzamingsprojecten leiden ook tot een belangrijke positieve bijdrage voor de leefomgeving. Op het gebied van stikstof (</w:t>
      </w:r>
      <w:r w:rsidRPr="653DDFA0">
        <w:rPr>
          <w:rFonts w:eastAsia="Verdana" w:cs="Verdana"/>
          <w:color w:val="000000" w:themeColor="text1"/>
        </w:rPr>
        <w:t>NO</w:t>
      </w:r>
      <w:r w:rsidRPr="653DDFA0">
        <w:rPr>
          <w:rFonts w:eastAsia="Verdana" w:cs="Verdana"/>
          <w:color w:val="000000" w:themeColor="text1"/>
          <w:sz w:val="12"/>
          <w:szCs w:val="12"/>
        </w:rPr>
        <w:t>X</w:t>
      </w:r>
      <w:r w:rsidRPr="653DDFA0">
        <w:rPr>
          <w:rFonts w:eastAsia="Verdana" w:cs="Verdana"/>
          <w:color w:val="000000" w:themeColor="text1"/>
        </w:rPr>
        <w:t>)</w:t>
      </w:r>
      <w:r>
        <w:t xml:space="preserve"> gaat het om een reductie van minimaal 10% (17 ton) per jaar. De verduurzamingsprojecten kunnen mogelijk tot 40% (70 ton) stikstofreductie bewerkstelligen. Bovendien wordt door deze projecten het waterverbruik met 200.000 m</w:t>
      </w:r>
      <w:r w:rsidRPr="653DDFA0">
        <w:rPr>
          <w:vertAlign w:val="superscript"/>
        </w:rPr>
        <w:t>3</w:t>
      </w:r>
      <w:r w:rsidRPr="653DDFA0">
        <w:t xml:space="preserve"> per jaar gereduceerd. </w:t>
      </w:r>
    </w:p>
    <w:p w:rsidR="00514523" w:rsidP="00514523" w:rsidRDefault="00514523" w14:paraId="1C0C0969" w14:textId="77777777">
      <w:r>
        <w:lastRenderedPageBreak/>
        <w:br/>
        <w:t>De verduurzamingsprojecten van AER betreffen vergaande energiebesparing en elektrificatie. AER wordt daardoor veel minder afhankelijk van aardgas. Het jaarlijkse aardgasverbruik daalt met ca. 100 mln. m</w:t>
      </w:r>
      <w:r w:rsidRPr="653DDFA0">
        <w:rPr>
          <w:vertAlign w:val="superscript"/>
        </w:rPr>
        <w:t>3</w:t>
      </w:r>
      <w:r>
        <w:t xml:space="preserve">. Dat staat gelijk aan het gasverbruik van ca. 75.000 huishoudens. Ook kan AER met de verduurzamings-projecten bijdragen aan de flexibilisering van het elektriciteitsnet met de eigen warmtekrachtkoppeling (WKK-installatie). Deze kan eenvoudig worden af- of bijgeschakeld om in korte tijd het stroomnet te ontlasten of te voorzien van elektriciteit. </w:t>
      </w:r>
    </w:p>
    <w:p w:rsidR="00514523" w:rsidP="00514523" w:rsidRDefault="00514523" w14:paraId="14D1C40F" w14:textId="77777777"/>
    <w:p w:rsidR="00514523" w:rsidP="00514523" w:rsidRDefault="00514523" w14:paraId="4E5B2ECB" w14:textId="77777777">
      <w:r>
        <w:t xml:space="preserve">AER bevestigt met de JLoI haar intentie om in 2050 alle fossiele emissies op de productielocatie te elimineren en zet hiertoe met de JLoI een grote stap. </w:t>
      </w:r>
    </w:p>
    <w:p w:rsidRPr="003D5509" w:rsidR="00514523" w:rsidP="00514523" w:rsidRDefault="00514523" w14:paraId="1B1EF631" w14:textId="77777777">
      <w:r w:rsidRPr="653DDFA0">
        <w:rPr>
          <w:rFonts w:eastAsia="Verdana" w:cs="Verdana"/>
          <w:color w:val="000000" w:themeColor="text1"/>
          <w:szCs w:val="18"/>
        </w:rPr>
        <w:t xml:space="preserve">AER </w:t>
      </w:r>
      <w:r>
        <w:rPr>
          <w:rFonts w:eastAsia="Verdana" w:cs="Verdana"/>
          <w:color w:val="000000" w:themeColor="text1"/>
          <w:szCs w:val="18"/>
        </w:rPr>
        <w:t>verkent</w:t>
      </w:r>
      <w:r w:rsidRPr="653DDFA0">
        <w:rPr>
          <w:rFonts w:eastAsia="Verdana" w:cs="Verdana"/>
          <w:color w:val="000000" w:themeColor="text1"/>
          <w:szCs w:val="18"/>
        </w:rPr>
        <w:t xml:space="preserve"> buiten de scope van de JLoI de mogelijkheden</w:t>
      </w:r>
      <w:r>
        <w:rPr>
          <w:rFonts w:eastAsia="Verdana" w:cs="Verdana"/>
          <w:color w:val="000000" w:themeColor="text1"/>
          <w:szCs w:val="18"/>
        </w:rPr>
        <w:t xml:space="preserve"> voor uitbreiding van de biogene CO</w:t>
      </w:r>
      <w:r w:rsidRPr="00E672FB">
        <w:rPr>
          <w:rFonts w:eastAsia="Verdana" w:cs="Verdana"/>
          <w:color w:val="000000" w:themeColor="text1"/>
          <w:szCs w:val="18"/>
          <w:vertAlign w:val="subscript"/>
        </w:rPr>
        <w:t>2</w:t>
      </w:r>
      <w:r>
        <w:rPr>
          <w:rFonts w:eastAsia="Verdana" w:cs="Verdana"/>
          <w:color w:val="000000" w:themeColor="text1"/>
          <w:szCs w:val="18"/>
        </w:rPr>
        <w:t>-afvang en de mogelijkheden voor alternatieve toepassingen van de bio-ethanol, waaronder in de chemie.</w:t>
      </w:r>
    </w:p>
    <w:p w:rsidRPr="001F5B51" w:rsidR="00514523" w:rsidP="00514523" w:rsidRDefault="00514523" w14:paraId="0DD7847B" w14:textId="77777777">
      <w:pPr>
        <w:rPr>
          <w:szCs w:val="18"/>
        </w:rPr>
      </w:pPr>
    </w:p>
    <w:p w:rsidR="00854153" w:rsidP="00514523" w:rsidRDefault="00514523" w14:paraId="6A04F70E" w14:textId="77777777">
      <w:r>
        <w:t xml:space="preserve">De overeengekomen </w:t>
      </w:r>
      <w:r w:rsidRPr="653DDFA0">
        <w:rPr>
          <w:rFonts w:eastAsia="Verdana" w:cs="Verdana"/>
          <w:color w:val="000000" w:themeColor="text1"/>
        </w:rPr>
        <w:t>CO₂</w:t>
      </w:r>
      <w:r>
        <w:t xml:space="preserve">-reductie in 2030 ten opzichte van 2021 is 67 kton </w:t>
      </w:r>
    </w:p>
    <w:p w:rsidRPr="00473B4D" w:rsidR="00514523" w:rsidP="00514523" w:rsidRDefault="00514523" w14:paraId="20020B86" w14:textId="7C126DA3">
      <w:r w:rsidRPr="653DDFA0">
        <w:rPr>
          <w:rFonts w:eastAsia="Verdana" w:cs="Verdana"/>
          <w:color w:val="000000" w:themeColor="text1"/>
        </w:rPr>
        <w:t>CO₂-r</w:t>
      </w:r>
      <w:r>
        <w:t xml:space="preserve">eductie meer dan het reductiepad volgens de Nederlandse </w:t>
      </w:r>
      <w:r w:rsidRPr="653DDFA0">
        <w:rPr>
          <w:rFonts w:eastAsia="Verdana" w:cs="Verdana"/>
          <w:color w:val="000000" w:themeColor="text1"/>
        </w:rPr>
        <w:t>CO₂</w:t>
      </w:r>
      <w:r>
        <w:t>-heffing in 2024, zoals vastgesteld bij het ondertekenen van de EoP. In het coalitieakkoord is het voornemen opgenomen om de Nederlandse CO2-heffing af te schaffen. In dat geval z</w:t>
      </w:r>
      <w:r w:rsidRPr="00FB6742">
        <w:t xml:space="preserve">al gekeken worden, voor zover nodig, naar andere mogelijkheden om de additionele CO2-reductie te berekenen, zoals het vertalen </w:t>
      </w:r>
      <w:r>
        <w:t xml:space="preserve">van de additionaliteits-vereiste </w:t>
      </w:r>
      <w:r w:rsidRPr="00FB6742">
        <w:t>naar een EU ETS</w:t>
      </w:r>
      <w:r>
        <w:t>-uitstootrechten</w:t>
      </w:r>
      <w:r w:rsidRPr="00FB6742">
        <w:t xml:space="preserve"> equivalent.</w:t>
      </w:r>
      <w:r>
        <w:t xml:space="preserve"> </w:t>
      </w:r>
    </w:p>
    <w:p w:rsidRPr="00BD4AD4" w:rsidR="00514523" w:rsidP="00514523" w:rsidRDefault="00514523" w14:paraId="0980C6EF" w14:textId="77777777">
      <w:pPr>
        <w:rPr>
          <w:szCs w:val="18"/>
        </w:rPr>
      </w:pPr>
    </w:p>
    <w:p w:rsidRPr="00BD4AD4" w:rsidR="00514523" w:rsidP="00514523" w:rsidRDefault="00514523" w14:paraId="2C5C7B98" w14:textId="77777777">
      <w:pPr>
        <w:rPr>
          <w:i/>
          <w:iCs/>
        </w:rPr>
      </w:pPr>
      <w:r w:rsidRPr="00BD4AD4">
        <w:rPr>
          <w:i/>
          <w:iCs/>
        </w:rPr>
        <w:t>Adviescommissie Maatwerkafspraken Verduurzaming Industrie</w:t>
      </w:r>
    </w:p>
    <w:p w:rsidRPr="00BD4AD4" w:rsidR="00514523" w:rsidP="00514523" w:rsidRDefault="00514523" w14:paraId="72FE359B" w14:textId="77777777">
      <w:r w:rsidRPr="00BD4AD4">
        <w:t>Om de kwaliteit van de voorgenomen maatwerkafspraken te borgen, is de onafhankelijke adviescommissie maatwerkafspraken verduurzaming industrie (AMVI) ingesteld</w:t>
      </w:r>
      <w:r w:rsidRPr="00BD4AD4">
        <w:rPr>
          <w:szCs w:val="18"/>
        </w:rPr>
        <w:t>.</w:t>
      </w:r>
      <w:r w:rsidRPr="00BD4AD4">
        <w:rPr>
          <w:rStyle w:val="Voetnootmarkering"/>
        </w:rPr>
        <w:footnoteReference w:id="2"/>
      </w:r>
      <w:r w:rsidRPr="00BD4AD4">
        <w:t xml:space="preserve"> Hiermee is invulling gegeven aan de wens van de Kamer om de maatwerkafspraken te laten toetsen op onder andere haalbaarheid, doelmatigheid en ambitieniveau. De AMVI adviseert over een concept-JLoI. Dit is het moment dat de beoogde maatwerkaanpak voldoende gedetailleerd is uitgewerkt, maar er tegelijkertijd nog ruimte is om de overwegingen van de AMVI mee te nemen in de uitwerking van de definitieve JLoI en/of bindende maatwerkafspraken. </w:t>
      </w:r>
    </w:p>
    <w:p w:rsidRPr="00BD4AD4" w:rsidR="00514523" w:rsidP="00514523" w:rsidRDefault="00514523" w14:paraId="1D5B6EC7" w14:textId="77777777">
      <w:pPr>
        <w:rPr>
          <w:szCs w:val="18"/>
        </w:rPr>
      </w:pPr>
    </w:p>
    <w:p w:rsidRPr="00BD4AD4" w:rsidR="00514523" w:rsidP="00514523" w:rsidRDefault="00514523" w14:paraId="57B57852" w14:textId="77777777">
      <w:r>
        <w:t xml:space="preserve">Op 17 december jl. is de concept-JLoI met AER voorgelegd aan de AMVI. De AMVI heeft ten behoeve van de advisering relevante achtergronddocumentatie ontvangen, zoals de vertrouwelijke business case. De AMVI heeft vervolgens meerdere gesprekken gevoerd met het overheidsteam en met het AER team. Daarnaast is de AMVI op werkbezoek geweest bij AER. Op 30 januari jl. heeft de AMVI haar advies aangeboden. Het advies van de AMVI is bij deze brief gevoegd. </w:t>
      </w:r>
    </w:p>
    <w:p w:rsidRPr="00BD4AD4" w:rsidR="00514523" w:rsidP="00514523" w:rsidRDefault="00514523" w14:paraId="67D5CC2F" w14:textId="77777777">
      <w:pPr>
        <w:rPr>
          <w:szCs w:val="18"/>
        </w:rPr>
      </w:pPr>
    </w:p>
    <w:p w:rsidRPr="00BD4AD4" w:rsidR="00514523" w:rsidP="00514523" w:rsidRDefault="00514523" w14:paraId="10072495" w14:textId="77777777">
      <w:r>
        <w:t xml:space="preserve">Het advies over de concept-JLoI is positief. De AMVI geeft in haar advies een positief oordeel over de haalbaarheid van de plannen en over de doelmatigheid van de mogelijke maatwerkondersteuning. De AMVI onderschrijft het grote belang </w:t>
      </w:r>
      <w:r>
        <w:lastRenderedPageBreak/>
        <w:t xml:space="preserve">van AER voor zowel de Nederlandse industrie als duurzame mobiliteit. De AMVI oordeelt dat de beoogde bijdrage aan </w:t>
      </w:r>
      <w:r w:rsidRPr="653DDFA0">
        <w:rPr>
          <w:rFonts w:eastAsia="Verdana" w:cs="Verdana"/>
          <w:color w:val="000000" w:themeColor="text1"/>
        </w:rPr>
        <w:t>CO₂</w:t>
      </w:r>
      <w:r>
        <w:t xml:space="preserve"> en stikstof reductie en de vermindering van gebruik van aardgas significant is.</w:t>
      </w:r>
    </w:p>
    <w:p w:rsidRPr="00BD4AD4" w:rsidR="00514523" w:rsidP="00514523" w:rsidRDefault="00514523" w14:paraId="7D13251E" w14:textId="77777777">
      <w:pPr>
        <w:rPr>
          <w:szCs w:val="18"/>
        </w:rPr>
      </w:pPr>
    </w:p>
    <w:p w:rsidRPr="00BD4AD4" w:rsidR="00514523" w:rsidP="00514523" w:rsidRDefault="00514523" w14:paraId="6283EA8E" w14:textId="77777777">
      <w:r>
        <w:t>Het adviesrapport van de AMVI bevat één</w:t>
      </w:r>
      <w:r w:rsidRPr="00BD4AD4">
        <w:t xml:space="preserve"> advie</w:t>
      </w:r>
      <w:r>
        <w:t>s</w:t>
      </w:r>
      <w:r w:rsidRPr="00BD4AD4">
        <w:t xml:space="preserve"> en </w:t>
      </w:r>
      <w:r>
        <w:t>twee</w:t>
      </w:r>
      <w:r w:rsidRPr="00BD4AD4">
        <w:t xml:space="preserve"> overwegingen. </w:t>
      </w:r>
      <w:r>
        <w:t>Het advies</w:t>
      </w:r>
      <w:r w:rsidRPr="00BD4AD4">
        <w:t xml:space="preserve"> gaa</w:t>
      </w:r>
      <w:r>
        <w:t>t</w:t>
      </w:r>
      <w:r w:rsidRPr="00BD4AD4">
        <w:t xml:space="preserve"> over </w:t>
      </w:r>
      <w:r>
        <w:t xml:space="preserve">het opnemen van een pragmatische </w:t>
      </w:r>
      <w:r w:rsidRPr="00BD4AD4">
        <w:t xml:space="preserve">terugsluisregeling in geval van oversubsidiëring. </w:t>
      </w:r>
      <w:r>
        <w:t>Dit</w:t>
      </w:r>
      <w:r w:rsidRPr="00BD4AD4">
        <w:t xml:space="preserve"> </w:t>
      </w:r>
      <w:r>
        <w:t xml:space="preserve">advies </w:t>
      </w:r>
      <w:r w:rsidRPr="00BD4AD4">
        <w:t>vr</w:t>
      </w:r>
      <w:r>
        <w:t>a</w:t>
      </w:r>
      <w:r w:rsidRPr="00BD4AD4">
        <w:t>ag</w:t>
      </w:r>
      <w:r>
        <w:t>t</w:t>
      </w:r>
      <w:r w:rsidRPr="00BD4AD4">
        <w:t xml:space="preserve"> om een zorgvuldige uitwerking en word</w:t>
      </w:r>
      <w:r>
        <w:t>t</w:t>
      </w:r>
      <w:r w:rsidRPr="00BD4AD4">
        <w:t xml:space="preserve"> </w:t>
      </w:r>
      <w:r>
        <w:t>betrokken</w:t>
      </w:r>
      <w:r w:rsidRPr="00BD4AD4">
        <w:t xml:space="preserve"> bij het tot stand brengen van </w:t>
      </w:r>
      <w:r>
        <w:t>de subsidiebeschikking(en)</w:t>
      </w:r>
      <w:r w:rsidRPr="00BD4AD4">
        <w:t xml:space="preserve"> </w:t>
      </w:r>
      <w:r>
        <w:t xml:space="preserve">als onderdeel van de </w:t>
      </w:r>
      <w:r w:rsidRPr="00BD4AD4">
        <w:t xml:space="preserve">definitieve maatwerkafspraken met </w:t>
      </w:r>
      <w:r>
        <w:t>AER</w:t>
      </w:r>
      <w:r w:rsidRPr="00BD4AD4">
        <w:t xml:space="preserve">. </w:t>
      </w:r>
    </w:p>
    <w:p w:rsidRPr="00BD4AD4" w:rsidR="00514523" w:rsidP="00514523" w:rsidRDefault="00514523" w14:paraId="79CA30C2" w14:textId="77777777"/>
    <w:p w:rsidRPr="00BD4AD4" w:rsidR="00514523" w:rsidP="00514523" w:rsidRDefault="00514523" w14:paraId="5CBD8740" w14:textId="77777777">
      <w:r w:rsidRPr="00BD4AD4">
        <w:t xml:space="preserve">De AMVI geeft ook een </w:t>
      </w:r>
      <w:r>
        <w:t>tweetal</w:t>
      </w:r>
      <w:r w:rsidRPr="00BD4AD4">
        <w:t xml:space="preserve"> overwegingen mee</w:t>
      </w:r>
      <w:r>
        <w:t>,</w:t>
      </w:r>
      <w:r w:rsidRPr="00550B7E">
        <w:t xml:space="preserve"> </w:t>
      </w:r>
      <w:r>
        <w:t>die betrokken zullen worden bij de verdere uitwerking van de JLoI in een bindende maatwerkafpraak en bij de bredere beleidsvorming</w:t>
      </w:r>
      <w:r w:rsidRPr="00BD4AD4">
        <w:t xml:space="preserve">. </w:t>
      </w:r>
    </w:p>
    <w:p w:rsidRPr="00BD4AD4" w:rsidR="00514523" w:rsidP="00514523" w:rsidRDefault="00514523" w14:paraId="6DFA76FE" w14:textId="77777777">
      <w:pPr>
        <w:pStyle w:val="Lijstalinea"/>
        <w:numPr>
          <w:ilvl w:val="0"/>
          <w:numId w:val="16"/>
        </w:numPr>
      </w:pPr>
      <w:r>
        <w:t>Ondanks de goede intenties en ambities van alle betrokken partijen signaleert de AMVI dat de samenwerking met netbeheerders (in dit geval TenneT) geoptimaliseerd kan worden en dat de tijdlijnen van het tot stand brengen van de netaansluiting en het maatwerkproces mogelijk beter op elkaar afgestemd kunnen worden.</w:t>
      </w:r>
    </w:p>
    <w:p w:rsidR="00514523" w:rsidP="00514523" w:rsidRDefault="00514523" w14:paraId="3CB3D8D2" w14:textId="639A5E3B">
      <w:pPr>
        <w:pStyle w:val="Lijstalinea"/>
        <w:numPr>
          <w:ilvl w:val="0"/>
          <w:numId w:val="16"/>
        </w:numPr>
      </w:pPr>
      <w:r>
        <w:t xml:space="preserve">Verder geeft de AMVI de overweging om buiten het kader van maatwerk de toepassing van biogene </w:t>
      </w:r>
      <w:r w:rsidRPr="653DDFA0">
        <w:rPr>
          <w:rFonts w:eastAsia="Verdana" w:cs="Verdana"/>
          <w:color w:val="000000" w:themeColor="text1"/>
        </w:rPr>
        <w:t>CO₂</w:t>
      </w:r>
      <w:r>
        <w:t xml:space="preserve"> gericht te stimuleren. AER kan potentieel de biogene </w:t>
      </w:r>
      <w:r w:rsidRPr="653DDFA0">
        <w:rPr>
          <w:rFonts w:eastAsia="Verdana" w:cs="Verdana"/>
          <w:color w:val="000000" w:themeColor="text1"/>
        </w:rPr>
        <w:t>CO₂</w:t>
      </w:r>
      <w:r>
        <w:t xml:space="preserve">-afvang met 250 kton uitbreiden, evenveel als bereikt wordt door de maatwerkprojecten. De uitbreiding van de biogene </w:t>
      </w:r>
      <w:r w:rsidRPr="653DDFA0">
        <w:rPr>
          <w:rFonts w:eastAsia="Verdana" w:cs="Verdana"/>
          <w:color w:val="000000" w:themeColor="text1"/>
        </w:rPr>
        <w:t>CO₂</w:t>
      </w:r>
      <w:r>
        <w:t>-afvang kan helpen om de Nederlandse tuinbouw te verduurzamen en toekomstbestendiger te maken.</w:t>
      </w:r>
    </w:p>
    <w:p w:rsidRPr="00BD4AD4" w:rsidR="00514523" w:rsidP="00514523" w:rsidRDefault="00514523" w14:paraId="5A91D584" w14:textId="77777777">
      <w:pPr>
        <w:pStyle w:val="Lijstalinea"/>
      </w:pPr>
    </w:p>
    <w:p w:rsidR="00514523" w:rsidP="00514523" w:rsidRDefault="00514523" w14:paraId="27B91201" w14:textId="77777777">
      <w:pPr>
        <w:rPr>
          <w:i/>
          <w:iCs/>
        </w:rPr>
      </w:pPr>
      <w:r>
        <w:rPr>
          <w:i/>
          <w:iCs/>
        </w:rPr>
        <w:t>Vervolgstappen</w:t>
      </w:r>
    </w:p>
    <w:p w:rsidR="00772A11" w:rsidP="00514523" w:rsidRDefault="00514523" w14:paraId="2E797837" w14:textId="77777777">
      <w:r>
        <w:t xml:space="preserve">Met de JLoI spannen het Rijk, AER en de provincie Zuid-Holland zich in om de realisatie van bovengenoemde ambities uiterlijk in juni 2027 bindend met elkaar overeen te komen. AER heeft in het maatwerktraject onder meer aandacht gevraagd voor het gelijke speelveld met omringende landen, met name als het gaat om kosten van elektriciteit. AER heeft ook aangegeven afhankelijk te zijn van verzwaring van de elektriciteitsaansluiting. Dat laatste punt is ook in het industriecluster Rotterdam belangrijk. AER kan met haar WKK bijdragen als netcongestie-verzachter op het nu al volle stroomnet. Hiermee komt mogelijk extra ruimte vrij voor andere bedrijven om ook te kunnen verduurzamen. </w:t>
      </w:r>
    </w:p>
    <w:p w:rsidR="00772A11" w:rsidP="00514523" w:rsidRDefault="00772A11" w14:paraId="31E20DE9" w14:textId="77777777"/>
    <w:p w:rsidRPr="00BD4AD4" w:rsidR="00514523" w:rsidP="00514523" w:rsidRDefault="00514523" w14:paraId="01F47D2B" w14:textId="592314CE">
      <w:r>
        <w:t xml:space="preserve">Het Rijk, AER en de Provincie Zuid-Holland werken samen aan toekomst-bestendige industrie. Deze punten zullen in de vervolggesprekken richting de bindende maatwerkafspraken worden meegenomen. In de fase tussen JLoI en maatwerkafspraak zullen de afspraken daartoe verder worden uitgewerkt. Hierin worden de adviezen van de AMVI waar mogelijk meegenomen. </w:t>
      </w:r>
    </w:p>
    <w:p w:rsidRPr="00BD4AD4" w:rsidR="00514523" w:rsidP="00514523" w:rsidRDefault="00514523" w14:paraId="1B729511" w14:textId="77777777"/>
    <w:p w:rsidRPr="00BD4AD4" w:rsidR="00514523" w:rsidP="00514523" w:rsidRDefault="00514523" w14:paraId="15CD7ABB" w14:textId="77777777">
      <w:pPr>
        <w:rPr>
          <w:i/>
          <w:iCs/>
          <w:szCs w:val="18"/>
        </w:rPr>
      </w:pPr>
      <w:r>
        <w:rPr>
          <w:i/>
          <w:iCs/>
          <w:szCs w:val="18"/>
        </w:rPr>
        <w:t>Tot slot</w:t>
      </w:r>
    </w:p>
    <w:p w:rsidRPr="00BD4AD4" w:rsidR="00514523" w:rsidP="00514523" w:rsidRDefault="00514523" w14:paraId="06EA2257" w14:textId="77777777">
      <w:r>
        <w:t xml:space="preserve">De JLoI met AER is ambitieus en realisatie van de projecten betekent een significante </w:t>
      </w:r>
      <w:r w:rsidRPr="653DDFA0">
        <w:rPr>
          <w:rFonts w:eastAsia="Verdana" w:cs="Verdana"/>
          <w:color w:val="000000" w:themeColor="text1"/>
        </w:rPr>
        <w:t>CO₂-</w:t>
      </w:r>
      <w:r>
        <w:t xml:space="preserve">reductie en leidt tot andere positieve maatschappelijke effecten op het gebied van stikstof, aardgasgebruik en flexibilisering van het elektriciteitsnet. </w:t>
      </w:r>
    </w:p>
    <w:p w:rsidRPr="00BD4AD4" w:rsidR="00514523" w:rsidP="00514523" w:rsidRDefault="009B034F" w14:paraId="6E8599DB" w14:textId="24014A7A">
      <w:r>
        <w:lastRenderedPageBreak/>
        <w:t>D</w:t>
      </w:r>
      <w:r w:rsidR="00514523">
        <w:t>it is een mooie tussenstap die, ondersteund door het advies van de AMVI, laat zien dat we op de goede weg zijn. Om daadwerkelijk tot realisatie te komen, moet nog het nodige werk worden verzet. Daar zijn én gaan we de komende maanden, samen met alle betrokken partijen, hard mee aan de slag.</w:t>
      </w:r>
    </w:p>
    <w:p w:rsidRPr="00BD4AD4" w:rsidR="00514523" w:rsidP="00514523" w:rsidRDefault="00514523" w14:paraId="166C5AB3" w14:textId="77777777">
      <w:pPr>
        <w:spacing w:line="240" w:lineRule="auto"/>
        <w:rPr>
          <w:szCs w:val="18"/>
        </w:rPr>
      </w:pPr>
      <w:r w:rsidRPr="00BD4AD4">
        <w:rPr>
          <w:szCs w:val="18"/>
        </w:rPr>
        <w:br/>
      </w:r>
    </w:p>
    <w:p w:rsidR="00514523" w:rsidP="00514523" w:rsidRDefault="00514523" w14:paraId="55E04D7B" w14:textId="77777777">
      <w:pPr>
        <w:rPr>
          <w:szCs w:val="18"/>
        </w:rPr>
      </w:pPr>
    </w:p>
    <w:p w:rsidRPr="00BD4AD4" w:rsidR="00514523" w:rsidP="00514523" w:rsidRDefault="00514523" w14:paraId="3BE89785" w14:textId="77777777">
      <w:pPr>
        <w:rPr>
          <w:szCs w:val="18"/>
        </w:rPr>
      </w:pPr>
    </w:p>
    <w:p w:rsidRPr="00BD4AD4" w:rsidR="00514523" w:rsidP="00514523" w:rsidRDefault="00514523" w14:paraId="19095A54" w14:textId="77777777">
      <w:pPr>
        <w:rPr>
          <w:szCs w:val="18"/>
        </w:rPr>
      </w:pPr>
      <w:r>
        <w:rPr>
          <w:szCs w:val="18"/>
        </w:rPr>
        <w:t>Stientje van Veldhoven-van der Meer</w:t>
      </w:r>
    </w:p>
    <w:p w:rsidR="00514523" w:rsidP="00514523" w:rsidRDefault="00514523" w14:paraId="16DAF88C" w14:textId="77777777">
      <w:pPr>
        <w:rPr>
          <w:szCs w:val="18"/>
        </w:rPr>
      </w:pPr>
      <w:r w:rsidRPr="003735B6">
        <w:rPr>
          <w:szCs w:val="18"/>
        </w:rPr>
        <w:t>Minister van Klimaat en Groene Groei</w:t>
      </w:r>
    </w:p>
    <w:p w:rsidR="00514523" w:rsidP="00514523" w:rsidRDefault="00514523" w14:paraId="697DD6E4" w14:textId="77777777">
      <w:pPr>
        <w:rPr>
          <w:szCs w:val="18"/>
        </w:rPr>
      </w:pPr>
    </w:p>
    <w:p w:rsidR="00514523" w:rsidP="00514523" w:rsidRDefault="00514523" w14:paraId="1BA9E656" w14:textId="77777777">
      <w:pPr>
        <w:rPr>
          <w:szCs w:val="18"/>
        </w:rPr>
      </w:pPr>
    </w:p>
    <w:p w:rsidR="00514523" w:rsidP="00514523" w:rsidRDefault="00514523" w14:paraId="5FF62E3B" w14:textId="77777777">
      <w:pPr>
        <w:rPr>
          <w:szCs w:val="18"/>
        </w:rPr>
      </w:pPr>
    </w:p>
    <w:p w:rsidR="00514523" w:rsidP="00514523" w:rsidRDefault="00514523" w14:paraId="095BFC64" w14:textId="77777777">
      <w:pPr>
        <w:rPr>
          <w:szCs w:val="18"/>
        </w:rPr>
      </w:pPr>
    </w:p>
    <w:p w:rsidR="00514523" w:rsidP="00514523" w:rsidRDefault="00514523" w14:paraId="02588818" w14:textId="77777777">
      <w:pPr>
        <w:rPr>
          <w:szCs w:val="18"/>
        </w:rPr>
      </w:pPr>
      <w:r>
        <w:rPr>
          <w:szCs w:val="18"/>
        </w:rPr>
        <w:t>Jo-Annes de Bat</w:t>
      </w:r>
    </w:p>
    <w:p w:rsidRPr="00BD4AD4" w:rsidR="00514523" w:rsidP="00514523" w:rsidRDefault="00514523" w14:paraId="1969C176" w14:textId="77777777">
      <w:pPr>
        <w:rPr>
          <w:szCs w:val="18"/>
        </w:rPr>
      </w:pPr>
      <w:r>
        <w:rPr>
          <w:szCs w:val="18"/>
        </w:rPr>
        <w:t>Staatssecretaris van Klimaat en Groene Groei</w:t>
      </w:r>
    </w:p>
    <w:p w:rsidRPr="00BD4AD4" w:rsidR="00514523" w:rsidP="00514523" w:rsidRDefault="00514523" w14:paraId="092F7CF4" w14:textId="77777777">
      <w:pPr>
        <w:rPr>
          <w:szCs w:val="18"/>
        </w:rPr>
      </w:pPr>
    </w:p>
    <w:p w:rsidR="00514523" w:rsidP="00514523" w:rsidRDefault="00514523" w14:paraId="0A066E44" w14:textId="77777777"/>
    <w:p w:rsidR="00514523" w:rsidP="00514523" w:rsidRDefault="00514523" w14:paraId="33C0EFFC" w14:textId="77777777"/>
    <w:p w:rsidR="00514523" w:rsidP="00514523" w:rsidRDefault="00514523" w14:paraId="0BC362C1" w14:textId="77777777"/>
    <w:p w:rsidRPr="00BD4AD4" w:rsidR="00514523" w:rsidP="00514523" w:rsidRDefault="00514523" w14:paraId="61B02F2C" w14:textId="77777777">
      <w:r>
        <w:t>Annet Bertram</w:t>
      </w:r>
    </w:p>
    <w:p w:rsidR="00514523" w:rsidP="00514523" w:rsidRDefault="00514523" w14:paraId="3F0E9981" w14:textId="77777777">
      <w:r w:rsidRPr="00BD4AD4">
        <w:t xml:space="preserve">Staatssecretaris van Infrastructuur en Waterstaat </w:t>
      </w:r>
    </w:p>
    <w:p w:rsidRPr="00012B4F" w:rsidR="004E505E" w:rsidP="00514523" w:rsidRDefault="004E505E" w14:paraId="5AC96E03" w14:textId="5BFF0A76"/>
    <w:sectPr w:rsidRPr="00012B4F" w:rsidR="004E505E" w:rsidSect="00D604B3">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4A718" w14:textId="77777777" w:rsidR="00F16DEF" w:rsidRDefault="00F16DEF">
      <w:r>
        <w:separator/>
      </w:r>
    </w:p>
    <w:p w14:paraId="3C9B0C06" w14:textId="77777777" w:rsidR="00F16DEF" w:rsidRDefault="00F16DEF"/>
  </w:endnote>
  <w:endnote w:type="continuationSeparator" w:id="0">
    <w:p w14:paraId="7CC58ABC" w14:textId="77777777" w:rsidR="00F16DEF" w:rsidRDefault="00F16DEF">
      <w:r>
        <w:continuationSeparator/>
      </w:r>
    </w:p>
    <w:p w14:paraId="416837F2" w14:textId="77777777" w:rsidR="00F16DEF" w:rsidRDefault="00F16D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FAC75" w14:textId="77777777" w:rsidR="005C2538" w:rsidRDefault="0021294F">
    <w:pPr>
      <w:pStyle w:val="Voettekst"/>
    </w:pPr>
    <w:r>
      <w:rPr>
        <w:noProof/>
      </w:rPr>
      <mc:AlternateContent>
        <mc:Choice Requires="wps">
          <w:drawing>
            <wp:anchor distT="0" distB="0" distL="0" distR="0" simplePos="0" relativeHeight="251660288" behindDoc="0" locked="0" layoutInCell="1" allowOverlap="1" wp14:anchorId="6BB4BD12" wp14:editId="0FC6426B">
              <wp:simplePos x="0" y="0"/>
              <wp:positionH relativeFrom="page">
                <wp:align>left</wp:align>
              </wp:positionH>
              <wp:positionV relativeFrom="page">
                <wp:align>bottom</wp:align>
              </wp:positionV>
              <wp:extent cx="443865" cy="443865"/>
              <wp:effectExtent l="0" t="0" r="4445" b="0"/>
              <wp:wrapNone/>
              <wp:docPr id="4" name="Tekstvak 182878"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E7C624" w14:textId="77777777" w:rsidR="005C2538" w:rsidRPr="005C2538" w:rsidRDefault="0021294F" w:rsidP="005C2538">
                          <w:pPr>
                            <w:rPr>
                              <w:rFonts w:ascii="Calibri" w:eastAsia="Calibri" w:hAnsi="Calibri" w:cs="Calibri"/>
                              <w:noProof/>
                              <w:color w:val="000000"/>
                              <w:sz w:val="20"/>
                              <w:szCs w:val="20"/>
                            </w:rPr>
                          </w:pPr>
                          <w:r w:rsidRPr="005C2538">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B4BD12" id="_x0000_t202" coordsize="21600,21600" o:spt="202" path="m,l,21600r21600,l21600,xe">
              <v:stroke joinstyle="miter"/>
              <v:path gradientshapeok="t" o:connecttype="rect"/>
            </v:shapetype>
            <v:shape id="Tekstvak 182878" o:spid="_x0000_s1026" type="#_x0000_t202" alt="Intern gebruik"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8E7C624" w14:textId="77777777" w:rsidR="005C2538" w:rsidRPr="005C2538" w:rsidRDefault="0021294F" w:rsidP="005C2538">
                    <w:pPr>
                      <w:rPr>
                        <w:rFonts w:ascii="Calibri" w:eastAsia="Calibri" w:hAnsi="Calibri" w:cs="Calibri"/>
                        <w:noProof/>
                        <w:color w:val="000000"/>
                        <w:sz w:val="20"/>
                        <w:szCs w:val="20"/>
                      </w:rPr>
                    </w:pPr>
                    <w:r w:rsidRPr="005C2538">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0A69A" w14:textId="7717F787"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AB6FE5" w14:paraId="1C45ED9E" w14:textId="77777777" w:rsidTr="006D1737">
      <w:trPr>
        <w:trHeight w:hRule="exact" w:val="240"/>
      </w:trPr>
      <w:tc>
        <w:tcPr>
          <w:tcW w:w="7601" w:type="dxa"/>
        </w:tcPr>
        <w:p w14:paraId="60D46717" w14:textId="77777777" w:rsidR="006D1737" w:rsidRDefault="006D1737" w:rsidP="006D1737">
          <w:pPr>
            <w:pStyle w:val="Huisstijl-Rubricering"/>
          </w:pPr>
        </w:p>
      </w:tc>
      <w:tc>
        <w:tcPr>
          <w:tcW w:w="2156" w:type="dxa"/>
        </w:tcPr>
        <w:p w14:paraId="4F83D504" w14:textId="21360F90" w:rsidR="006D1737" w:rsidRPr="00645414" w:rsidRDefault="0021294F"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5D35ED">
            <w:t>4</w:t>
          </w:r>
          <w:r w:rsidR="00D72F45">
            <w:fldChar w:fldCharType="end"/>
          </w:r>
          <w:r w:rsidRPr="00ED539E">
            <w:t xml:space="preserve"> </w:t>
          </w:r>
        </w:p>
      </w:tc>
      <w:tc>
        <w:tcPr>
          <w:tcW w:w="2156" w:type="dxa"/>
        </w:tcPr>
        <w:p w14:paraId="0F8FD75E" w14:textId="77777777" w:rsidR="006D1737" w:rsidRPr="00645414" w:rsidRDefault="0021294F" w:rsidP="006D1737">
          <w:pPr>
            <w:pStyle w:val="Huisstijl-Paginanummering"/>
          </w:pPr>
          <w:r w:rsidRPr="00645414">
            <w:t xml:space="preserve"> </w:t>
          </w:r>
        </w:p>
      </w:tc>
    </w:tr>
  </w:tbl>
  <w:p w14:paraId="41B99047"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B6FE5" w14:paraId="423D3F59" w14:textId="77777777" w:rsidTr="00CA6A25">
      <w:trPr>
        <w:trHeight w:hRule="exact" w:val="240"/>
      </w:trPr>
      <w:tc>
        <w:tcPr>
          <w:tcW w:w="7601" w:type="dxa"/>
        </w:tcPr>
        <w:p w14:paraId="27A36EB6" w14:textId="77777777" w:rsidR="00527BD4" w:rsidRDefault="0021294F" w:rsidP="008C356D">
          <w:pPr>
            <w:pStyle w:val="Huisstijl-Rubricering"/>
          </w:pPr>
          <w:r>
            <mc:AlternateContent>
              <mc:Choice Requires="wps">
                <w:drawing>
                  <wp:anchor distT="0" distB="0" distL="0" distR="0" simplePos="0" relativeHeight="251658240" behindDoc="0" locked="0" layoutInCell="1" allowOverlap="1" wp14:anchorId="2C1EECE6" wp14:editId="3972EC80">
                    <wp:simplePos x="0" y="0"/>
                    <wp:positionH relativeFrom="page">
                      <wp:align>left</wp:align>
                    </wp:positionH>
                    <wp:positionV relativeFrom="page">
                      <wp:align>bottom</wp:align>
                    </wp:positionV>
                    <wp:extent cx="443865" cy="443865"/>
                    <wp:effectExtent l="0" t="0" r="4445" b="0"/>
                    <wp:wrapNone/>
                    <wp:docPr id="2" name="Tekstvak 182835"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FECB95" w14:textId="7D95A2A6" w:rsidR="005C2538" w:rsidRPr="005C2538" w:rsidRDefault="005C2538" w:rsidP="005C2538">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1EECE6" id="_x0000_t202" coordsize="21600,21600" o:spt="202" path="m,l,21600r21600,l21600,xe">
                    <v:stroke joinstyle="miter"/>
                    <v:path gradientshapeok="t" o:connecttype="rect"/>
                  </v:shapetype>
                  <v:shape id="Tekstvak 182835" o:spid="_x0000_s1027"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2FECB95" w14:textId="7D95A2A6" w:rsidR="005C2538" w:rsidRPr="005C2538" w:rsidRDefault="005C2538" w:rsidP="005C2538">
                          <w:pPr>
                            <w:rPr>
                              <w:rFonts w:ascii="Calibri" w:eastAsia="Calibri" w:hAnsi="Calibri" w:cs="Calibri"/>
                              <w:noProof/>
                              <w:color w:val="000000"/>
                              <w:sz w:val="20"/>
                              <w:szCs w:val="20"/>
                            </w:rPr>
                          </w:pPr>
                        </w:p>
                      </w:txbxContent>
                    </v:textbox>
                    <w10:wrap anchorx="page" anchory="page"/>
                  </v:shape>
                </w:pict>
              </mc:Fallback>
            </mc:AlternateContent>
          </w:r>
        </w:p>
      </w:tc>
      <w:tc>
        <w:tcPr>
          <w:tcW w:w="2170" w:type="dxa"/>
        </w:tcPr>
        <w:p w14:paraId="43DAF6DC" w14:textId="193AB843" w:rsidR="00527BD4" w:rsidRPr="00ED539E" w:rsidRDefault="0021294F"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4B0F05">
            <w:fldChar w:fldCharType="begin"/>
          </w:r>
          <w:r>
            <w:instrText xml:space="preserve"> SECTIONPAGES   \* MERGEFORMAT </w:instrText>
          </w:r>
          <w:r w:rsidR="004B0F05">
            <w:fldChar w:fldCharType="separate"/>
          </w:r>
          <w:r w:rsidR="005D35ED">
            <w:t>4</w:t>
          </w:r>
          <w:r w:rsidR="004B0F05">
            <w:fldChar w:fldCharType="end"/>
          </w:r>
        </w:p>
      </w:tc>
    </w:tr>
  </w:tbl>
  <w:p w14:paraId="42B4029D" w14:textId="77777777" w:rsidR="00527BD4" w:rsidRPr="00BC3B53" w:rsidRDefault="00527BD4" w:rsidP="008C356D">
    <w:pPr>
      <w:pStyle w:val="Voettekst"/>
      <w:spacing w:line="240" w:lineRule="auto"/>
      <w:rPr>
        <w:sz w:val="2"/>
        <w:szCs w:val="2"/>
      </w:rPr>
    </w:pPr>
  </w:p>
  <w:p w14:paraId="0ED50D3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69A22" w14:textId="77777777" w:rsidR="00F16DEF" w:rsidRDefault="00F16DEF">
      <w:r>
        <w:separator/>
      </w:r>
    </w:p>
    <w:p w14:paraId="0713DA01" w14:textId="77777777" w:rsidR="00F16DEF" w:rsidRDefault="00F16DEF"/>
  </w:footnote>
  <w:footnote w:type="continuationSeparator" w:id="0">
    <w:p w14:paraId="3411A338" w14:textId="77777777" w:rsidR="00F16DEF" w:rsidRDefault="00F16DEF">
      <w:r>
        <w:continuationSeparator/>
      </w:r>
    </w:p>
    <w:p w14:paraId="23AF5CFC" w14:textId="77777777" w:rsidR="00F16DEF" w:rsidRDefault="00F16DEF"/>
  </w:footnote>
  <w:footnote w:id="1">
    <w:p w14:paraId="2E23C0A2" w14:textId="261C37A0" w:rsidR="00514523" w:rsidRPr="00882C0E" w:rsidRDefault="00514523" w:rsidP="00514523">
      <w:pPr>
        <w:pStyle w:val="Voetnoottekst"/>
      </w:pPr>
      <w:r>
        <w:rPr>
          <w:rStyle w:val="Voetnootmarkering"/>
        </w:rPr>
        <w:footnoteRef/>
      </w:r>
      <w:r>
        <w:t xml:space="preserve"> </w:t>
      </w:r>
      <w:r w:rsidR="005306AB">
        <w:t xml:space="preserve">Kamerstuk 2024-25, </w:t>
      </w:r>
      <w:r w:rsidR="005306AB" w:rsidRPr="005306AB">
        <w:t>29</w:t>
      </w:r>
      <w:r w:rsidR="005306AB">
        <w:t xml:space="preserve"> </w:t>
      </w:r>
      <w:r w:rsidR="005306AB" w:rsidRPr="005306AB">
        <w:t>826</w:t>
      </w:r>
      <w:r w:rsidR="005306AB">
        <w:t xml:space="preserve">, nr. </w:t>
      </w:r>
      <w:r w:rsidR="005306AB" w:rsidRPr="005306AB">
        <w:t>260</w:t>
      </w:r>
      <w:r w:rsidR="005306AB">
        <w:t>.</w:t>
      </w:r>
    </w:p>
  </w:footnote>
  <w:footnote w:id="2">
    <w:p w14:paraId="2CA1C75E" w14:textId="2E0B7AE5" w:rsidR="00514523" w:rsidRDefault="00514523" w:rsidP="00514523">
      <w:pPr>
        <w:pStyle w:val="Voetnoottekst"/>
      </w:pPr>
      <w:r>
        <w:rPr>
          <w:rStyle w:val="Voetnootmarkering"/>
        </w:rPr>
        <w:footnoteRef/>
      </w:r>
      <w:r>
        <w:t xml:space="preserve"> </w:t>
      </w:r>
      <w:r w:rsidR="005306AB">
        <w:t>Instellingsbesluit Adviescommissie Maatwerkafspraken Verduurzaming Industrie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B6FE5" w14:paraId="54111422" w14:textId="77777777" w:rsidTr="00A50CF6">
      <w:tc>
        <w:tcPr>
          <w:tcW w:w="2156" w:type="dxa"/>
        </w:tcPr>
        <w:p w14:paraId="7EF33A50" w14:textId="5EAEFA01" w:rsidR="00514523" w:rsidRPr="00514523" w:rsidRDefault="00514523" w:rsidP="00A50CF6">
          <w:pPr>
            <w:pStyle w:val="Huisstijl-Adres"/>
            <w:rPr>
              <w:bCs/>
            </w:rPr>
          </w:pPr>
          <w:r w:rsidRPr="00514523">
            <w:rPr>
              <w:b/>
            </w:rPr>
            <w:t>Directoraat-generaal Realisatie en Groene Groei</w:t>
          </w:r>
          <w:r w:rsidRPr="00514523">
            <w:rPr>
              <w:b/>
            </w:rPr>
            <w:br/>
          </w:r>
          <w:r w:rsidRPr="00514523">
            <w:rPr>
              <w:bCs/>
            </w:rPr>
            <w:t>Directie Verduurzaming Industrie</w:t>
          </w:r>
        </w:p>
      </w:tc>
    </w:tr>
    <w:tr w:rsidR="00AB6FE5" w14:paraId="271BA029" w14:textId="77777777" w:rsidTr="00A50CF6">
      <w:trPr>
        <w:trHeight w:hRule="exact" w:val="200"/>
      </w:trPr>
      <w:tc>
        <w:tcPr>
          <w:tcW w:w="2156" w:type="dxa"/>
        </w:tcPr>
        <w:p w14:paraId="2E3E4CF8" w14:textId="77777777" w:rsidR="00527BD4" w:rsidRPr="005819CE" w:rsidRDefault="00527BD4" w:rsidP="00A50CF6"/>
      </w:tc>
    </w:tr>
    <w:tr w:rsidR="00AB6FE5" w14:paraId="1C7D8FEE" w14:textId="77777777" w:rsidTr="00502512">
      <w:trPr>
        <w:trHeight w:hRule="exact" w:val="774"/>
      </w:trPr>
      <w:tc>
        <w:tcPr>
          <w:tcW w:w="2156" w:type="dxa"/>
        </w:tcPr>
        <w:p w14:paraId="69DC051B" w14:textId="77777777" w:rsidR="00527BD4" w:rsidRDefault="00527BD4" w:rsidP="003A5290">
          <w:pPr>
            <w:pStyle w:val="Huisstijl-Kopje"/>
          </w:pPr>
        </w:p>
        <w:p w14:paraId="38BCD033" w14:textId="77777777" w:rsidR="00502512" w:rsidRPr="00502512" w:rsidRDefault="0021294F" w:rsidP="003A5290">
          <w:pPr>
            <w:pStyle w:val="Huisstijl-Kopje"/>
            <w:rPr>
              <w:b w:val="0"/>
            </w:rPr>
          </w:pPr>
          <w:r>
            <w:rPr>
              <w:b w:val="0"/>
            </w:rPr>
            <w:t>KGG_DGRGG_VI</w:t>
          </w:r>
          <w:r w:rsidRPr="00502512">
            <w:rPr>
              <w:b w:val="0"/>
            </w:rPr>
            <w:t xml:space="preserve"> / </w:t>
          </w:r>
          <w:r>
            <w:rPr>
              <w:b w:val="0"/>
            </w:rPr>
            <w:t>104502515</w:t>
          </w:r>
        </w:p>
        <w:p w14:paraId="3E8C03E0" w14:textId="77777777" w:rsidR="00527BD4" w:rsidRPr="005819CE" w:rsidRDefault="00527BD4" w:rsidP="00361A56">
          <w:pPr>
            <w:pStyle w:val="Huisstijl-Kopje"/>
          </w:pPr>
        </w:p>
      </w:tc>
    </w:tr>
  </w:tbl>
  <w:p w14:paraId="180751FD" w14:textId="77777777" w:rsidR="00527BD4" w:rsidRDefault="00527BD4" w:rsidP="008C356D">
    <w:pPr>
      <w:pStyle w:val="Koptekst"/>
      <w:rPr>
        <w:rFonts w:cs="Verdana-Bold"/>
        <w:b/>
        <w:bCs/>
        <w:smallCaps/>
        <w:szCs w:val="18"/>
      </w:rPr>
    </w:pPr>
  </w:p>
  <w:p w14:paraId="6BE1170C" w14:textId="77777777" w:rsidR="00527BD4" w:rsidRDefault="00527BD4" w:rsidP="008C356D"/>
  <w:p w14:paraId="353E13C8" w14:textId="77777777" w:rsidR="00527BD4" w:rsidRPr="00740712" w:rsidRDefault="00527BD4" w:rsidP="008C356D"/>
  <w:p w14:paraId="2989B334" w14:textId="77777777" w:rsidR="00527BD4" w:rsidRPr="00217880" w:rsidRDefault="00527BD4" w:rsidP="008C356D">
    <w:pPr>
      <w:spacing w:line="0" w:lineRule="atLeast"/>
      <w:rPr>
        <w:sz w:val="2"/>
        <w:szCs w:val="2"/>
      </w:rPr>
    </w:pPr>
  </w:p>
  <w:p w14:paraId="22AC99AD" w14:textId="77777777" w:rsidR="00527BD4" w:rsidRDefault="00527BD4" w:rsidP="004F44C2">
    <w:pPr>
      <w:pStyle w:val="Koptekst"/>
      <w:rPr>
        <w:rFonts w:cs="Verdana-Bold"/>
        <w:b/>
        <w:bCs/>
        <w:smallCaps/>
        <w:szCs w:val="18"/>
      </w:rPr>
    </w:pPr>
  </w:p>
  <w:p w14:paraId="529035C6" w14:textId="77777777" w:rsidR="00527BD4" w:rsidRDefault="00527BD4" w:rsidP="004F44C2"/>
  <w:p w14:paraId="016BC20D" w14:textId="77777777" w:rsidR="00624D22" w:rsidRDefault="00624D22" w:rsidP="004F44C2"/>
  <w:p w14:paraId="1E002D63" w14:textId="77777777" w:rsidR="00624D22" w:rsidRDefault="00624D22" w:rsidP="004F44C2"/>
  <w:p w14:paraId="07D9FF71" w14:textId="77777777" w:rsidR="00527BD4" w:rsidRPr="00740712" w:rsidRDefault="00527BD4" w:rsidP="004F44C2"/>
  <w:p w14:paraId="5129542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B6FE5" w14:paraId="52A579FA" w14:textId="77777777" w:rsidTr="00751A6A">
      <w:trPr>
        <w:trHeight w:val="2636"/>
      </w:trPr>
      <w:tc>
        <w:tcPr>
          <w:tcW w:w="737" w:type="dxa"/>
        </w:tcPr>
        <w:p w14:paraId="79CD4B0E" w14:textId="77777777" w:rsidR="00527BD4" w:rsidRDefault="00527BD4" w:rsidP="00D0609E">
          <w:pPr>
            <w:framePr w:w="6340" w:h="2750" w:hRule="exact" w:hSpace="180" w:wrap="around" w:vAnchor="page" w:hAnchor="text" w:x="3873" w:y="-140"/>
            <w:spacing w:line="240" w:lineRule="auto"/>
          </w:pPr>
        </w:p>
      </w:tc>
      <w:tc>
        <w:tcPr>
          <w:tcW w:w="5156" w:type="dxa"/>
        </w:tcPr>
        <w:p w14:paraId="53C5499A" w14:textId="77777777" w:rsidR="00527BD4" w:rsidRDefault="0021294F" w:rsidP="00651CEE">
          <w:pPr>
            <w:framePr w:w="6340" w:h="2750" w:hRule="exact" w:hSpace="180" w:wrap="around" w:vAnchor="page" w:hAnchor="text" w:x="3873" w:y="-140"/>
            <w:spacing w:line="240" w:lineRule="auto"/>
          </w:pPr>
          <w:r>
            <w:t xml:space="preserve"> </w:t>
          </w:r>
          <w:r w:rsidR="009D0B5A" w:rsidRPr="009D0B5A">
            <w:rPr>
              <w:sz w:val="2"/>
              <w:szCs w:val="2"/>
            </w:rPr>
            <w:t xml:space="preserve"> </w:t>
          </w:r>
          <w:r>
            <w:rPr>
              <w:noProof/>
            </w:rPr>
            <w:drawing>
              <wp:inline distT="0" distB="0" distL="0" distR="0" wp14:anchorId="35D7FBAB" wp14:editId="39DE9C4C">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tc>
    </w:tr>
  </w:tbl>
  <w:p w14:paraId="31454E47" w14:textId="77777777" w:rsidR="00527BD4" w:rsidRDefault="00527BD4" w:rsidP="00D0609E">
    <w:pPr>
      <w:framePr w:w="6340" w:h="2750" w:hRule="exact" w:hSpace="180" w:wrap="around" w:vAnchor="page" w:hAnchor="text" w:x="3873" w:y="-140"/>
    </w:pPr>
  </w:p>
  <w:p w14:paraId="4AD8C73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B6FE5" w14:paraId="2073CDC7" w14:textId="77777777" w:rsidTr="00A50CF6">
      <w:tc>
        <w:tcPr>
          <w:tcW w:w="2160" w:type="dxa"/>
        </w:tcPr>
        <w:p w14:paraId="795E94FD" w14:textId="77777777" w:rsidR="00527BD4" w:rsidRPr="00781DCA" w:rsidRDefault="0021294F" w:rsidP="00A50CF6">
          <w:pPr>
            <w:pStyle w:val="Huisstijl-Adres"/>
            <w:rPr>
              <w:b/>
            </w:rPr>
          </w:pPr>
          <w:r>
            <w:rPr>
              <w:b/>
            </w:rPr>
            <w:t>Directoraat-generaal Realisatie Groene Groei</w:t>
          </w:r>
          <w:r w:rsidRPr="005819CE">
            <w:rPr>
              <w:b/>
            </w:rPr>
            <w:br/>
          </w:r>
          <w:r>
            <w:t>Directie Verduurzaming Industrie</w:t>
          </w:r>
        </w:p>
        <w:p w14:paraId="3C86A738" w14:textId="77777777" w:rsidR="00527BD4" w:rsidRPr="00BE5ED9" w:rsidRDefault="0021294F" w:rsidP="00A50CF6">
          <w:pPr>
            <w:pStyle w:val="Huisstijl-Adres"/>
          </w:pPr>
          <w:r>
            <w:rPr>
              <w:b/>
            </w:rPr>
            <w:t>Bezoekadres</w:t>
          </w:r>
          <w:r>
            <w:rPr>
              <w:b/>
            </w:rPr>
            <w:br/>
          </w:r>
          <w:r>
            <w:t>Bezuidenhoutseweg 73</w:t>
          </w:r>
          <w:r w:rsidRPr="005819CE">
            <w:br/>
          </w:r>
          <w:r>
            <w:t>2594 AC Den Haag</w:t>
          </w:r>
        </w:p>
        <w:p w14:paraId="14C9EC2F" w14:textId="77777777" w:rsidR="00EF495B" w:rsidRDefault="0021294F" w:rsidP="0098788A">
          <w:pPr>
            <w:pStyle w:val="Huisstijl-Adres"/>
          </w:pPr>
          <w:r>
            <w:rPr>
              <w:b/>
            </w:rPr>
            <w:t>Postadres</w:t>
          </w:r>
          <w:r>
            <w:rPr>
              <w:b/>
            </w:rPr>
            <w:br/>
          </w:r>
          <w:r>
            <w:t>Postbus 20401</w:t>
          </w:r>
          <w:r w:rsidRPr="005819CE">
            <w:br/>
            <w:t>2500 E</w:t>
          </w:r>
          <w:r>
            <w:t>K</w:t>
          </w:r>
          <w:r w:rsidRPr="005819CE">
            <w:t xml:space="preserve"> Den Haag</w:t>
          </w:r>
        </w:p>
        <w:p w14:paraId="21767C93" w14:textId="77777777" w:rsidR="00EF495B" w:rsidRPr="005B3814" w:rsidRDefault="0021294F" w:rsidP="0098788A">
          <w:pPr>
            <w:pStyle w:val="Huisstijl-Adres"/>
          </w:pPr>
          <w:r>
            <w:rPr>
              <w:b/>
            </w:rPr>
            <w:t>Overheidsidentificatienr</w:t>
          </w:r>
          <w:r>
            <w:rPr>
              <w:b/>
            </w:rPr>
            <w:br/>
          </w:r>
          <w:r w:rsidRPr="005B3814">
            <w:t>00000001003214369000</w:t>
          </w:r>
        </w:p>
        <w:p w14:paraId="047F3DD5" w14:textId="4FAC0A66" w:rsidR="00527BD4" w:rsidRPr="00854153" w:rsidRDefault="0021294F"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AB6FE5" w14:paraId="3668D430" w14:textId="77777777" w:rsidTr="00A50CF6">
      <w:trPr>
        <w:trHeight w:hRule="exact" w:val="200"/>
      </w:trPr>
      <w:tc>
        <w:tcPr>
          <w:tcW w:w="2160" w:type="dxa"/>
        </w:tcPr>
        <w:p w14:paraId="15AA0404" w14:textId="77777777" w:rsidR="00527BD4" w:rsidRPr="00D71182" w:rsidRDefault="00527BD4" w:rsidP="00A50CF6">
          <w:pPr>
            <w:rPr>
              <w:lang w:val="fr-FR"/>
            </w:rPr>
          </w:pPr>
        </w:p>
      </w:tc>
    </w:tr>
    <w:tr w:rsidR="00AB6FE5" w14:paraId="210FBAE8" w14:textId="77777777" w:rsidTr="00A50CF6">
      <w:tc>
        <w:tcPr>
          <w:tcW w:w="2160" w:type="dxa"/>
        </w:tcPr>
        <w:p w14:paraId="6EA0FAE5" w14:textId="77777777" w:rsidR="000C0163" w:rsidRPr="005819CE" w:rsidRDefault="0021294F" w:rsidP="000C0163">
          <w:pPr>
            <w:pStyle w:val="Huisstijl-Kopje"/>
          </w:pPr>
          <w:r>
            <w:t>Ons kenmerk</w:t>
          </w:r>
        </w:p>
        <w:p w14:paraId="3DB78894" w14:textId="360C1D14" w:rsidR="00527BD4" w:rsidRDefault="0021294F" w:rsidP="00A50CF6">
          <w:pPr>
            <w:pStyle w:val="Huisstijl-Gegeven"/>
          </w:pPr>
          <w:r>
            <w:t>KGG_DGRGG_VI</w:t>
          </w:r>
          <w:r w:rsidR="00926AE2">
            <w:t xml:space="preserve"> / </w:t>
          </w:r>
          <w:r>
            <w:t>104502515</w:t>
          </w:r>
        </w:p>
        <w:p w14:paraId="486E8779" w14:textId="77777777" w:rsidR="00854153" w:rsidRPr="005819CE" w:rsidRDefault="00854153" w:rsidP="00A50CF6">
          <w:pPr>
            <w:pStyle w:val="Huisstijl-Gegeven"/>
          </w:pPr>
        </w:p>
        <w:p w14:paraId="44FF5814" w14:textId="77777777" w:rsidR="00527BD4" w:rsidRPr="005819CE" w:rsidRDefault="0021294F" w:rsidP="00A50CF6">
          <w:pPr>
            <w:pStyle w:val="Huisstijl-Kopje"/>
          </w:pPr>
          <w:r>
            <w:t>Bijlage(n)</w:t>
          </w:r>
        </w:p>
        <w:p w14:paraId="12E2C798" w14:textId="35C486AA" w:rsidR="00527BD4" w:rsidRPr="005819CE" w:rsidRDefault="008547B8" w:rsidP="00A50CF6">
          <w:pPr>
            <w:pStyle w:val="Huisstijl-Gegeven"/>
          </w:pPr>
          <w:r>
            <w:t>2</w:t>
          </w:r>
        </w:p>
      </w:tc>
    </w:tr>
  </w:tbl>
  <w:p w14:paraId="738221F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AB6FE5" w14:paraId="3CB80AF4" w14:textId="77777777" w:rsidTr="00C37826">
      <w:trPr>
        <w:trHeight w:val="400"/>
      </w:trPr>
      <w:tc>
        <w:tcPr>
          <w:tcW w:w="7371" w:type="dxa"/>
          <w:gridSpan w:val="2"/>
        </w:tcPr>
        <w:p w14:paraId="625D9F60" w14:textId="77777777" w:rsidR="00527BD4" w:rsidRPr="00BC3B53" w:rsidRDefault="0021294F"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AB6FE5" w14:paraId="53E17A28" w14:textId="77777777" w:rsidTr="00C37826">
      <w:tc>
        <w:tcPr>
          <w:tcW w:w="7371" w:type="dxa"/>
          <w:gridSpan w:val="2"/>
        </w:tcPr>
        <w:p w14:paraId="7B890DC0" w14:textId="77777777" w:rsidR="00527BD4" w:rsidRPr="00983E8F" w:rsidRDefault="00527BD4" w:rsidP="00A50CF6">
          <w:pPr>
            <w:pStyle w:val="Huisstijl-Rubricering"/>
          </w:pPr>
        </w:p>
      </w:tc>
    </w:tr>
    <w:tr w:rsidR="00AB6FE5" w14:paraId="4941CA40" w14:textId="77777777" w:rsidTr="00C37826">
      <w:trPr>
        <w:trHeight w:hRule="exact" w:val="2440"/>
      </w:trPr>
      <w:tc>
        <w:tcPr>
          <w:tcW w:w="7371" w:type="dxa"/>
          <w:gridSpan w:val="2"/>
        </w:tcPr>
        <w:p w14:paraId="0C1830AB" w14:textId="77777777" w:rsidR="00527BD4" w:rsidRDefault="0021294F" w:rsidP="00A50CF6">
          <w:pPr>
            <w:pStyle w:val="Huisstijl-NAW"/>
          </w:pPr>
          <w:r>
            <w:t xml:space="preserve">De Voorzitter van de Tweede Kamer </w:t>
          </w:r>
        </w:p>
        <w:p w14:paraId="170FC553" w14:textId="77777777" w:rsidR="00D87195" w:rsidRDefault="0021294F" w:rsidP="00D87195">
          <w:pPr>
            <w:pStyle w:val="Huisstijl-NAW"/>
          </w:pPr>
          <w:r>
            <w:t>der Staten-Generaal</w:t>
          </w:r>
        </w:p>
        <w:p w14:paraId="5311B347" w14:textId="77777777" w:rsidR="00EA0F13" w:rsidRDefault="0021294F" w:rsidP="00EA0F13">
          <w:pPr>
            <w:rPr>
              <w:szCs w:val="18"/>
            </w:rPr>
          </w:pPr>
          <w:r>
            <w:rPr>
              <w:szCs w:val="18"/>
            </w:rPr>
            <w:t>Prinses Irenestraat 6</w:t>
          </w:r>
        </w:p>
        <w:p w14:paraId="6917987C" w14:textId="77777777" w:rsidR="00985E56" w:rsidRDefault="0021294F" w:rsidP="00EA0F13">
          <w:r>
            <w:rPr>
              <w:szCs w:val="18"/>
            </w:rPr>
            <w:t>2595 BD  DEN HAAG</w:t>
          </w:r>
        </w:p>
      </w:tc>
    </w:tr>
    <w:tr w:rsidR="00AB6FE5" w14:paraId="16C66880" w14:textId="77777777" w:rsidTr="00C37826">
      <w:trPr>
        <w:trHeight w:hRule="exact" w:val="400"/>
      </w:trPr>
      <w:tc>
        <w:tcPr>
          <w:tcW w:w="7371" w:type="dxa"/>
          <w:gridSpan w:val="2"/>
        </w:tcPr>
        <w:p w14:paraId="7BF8E71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B6FE5" w14:paraId="61CDEEE3" w14:textId="77777777" w:rsidTr="00C37826">
      <w:trPr>
        <w:trHeight w:val="240"/>
      </w:trPr>
      <w:tc>
        <w:tcPr>
          <w:tcW w:w="709" w:type="dxa"/>
        </w:tcPr>
        <w:p w14:paraId="54A3B5D0" w14:textId="77777777" w:rsidR="00527BD4" w:rsidRPr="00C37826" w:rsidRDefault="0021294F" w:rsidP="00A50CF6">
          <w:pPr>
            <w:rPr>
              <w:szCs w:val="18"/>
            </w:rPr>
          </w:pPr>
          <w:r>
            <w:rPr>
              <w:szCs w:val="18"/>
            </w:rPr>
            <w:t>Datum</w:t>
          </w:r>
        </w:p>
      </w:tc>
      <w:tc>
        <w:tcPr>
          <w:tcW w:w="6662" w:type="dxa"/>
        </w:tcPr>
        <w:p w14:paraId="2782D90F" w14:textId="6B174F21" w:rsidR="00527BD4" w:rsidRPr="007709EF" w:rsidRDefault="00D95F33" w:rsidP="00A50CF6">
          <w:r>
            <w:t>11 maart 2026</w:t>
          </w:r>
        </w:p>
      </w:tc>
    </w:tr>
    <w:tr w:rsidR="00AB6FE5" w:rsidRPr="00D95F33" w14:paraId="1ABD34AC" w14:textId="77777777" w:rsidTr="00C37826">
      <w:trPr>
        <w:trHeight w:val="240"/>
      </w:trPr>
      <w:tc>
        <w:tcPr>
          <w:tcW w:w="709" w:type="dxa"/>
        </w:tcPr>
        <w:p w14:paraId="34525D85" w14:textId="77777777" w:rsidR="00527BD4" w:rsidRPr="00C37826" w:rsidRDefault="0021294F" w:rsidP="00A50CF6">
          <w:pPr>
            <w:rPr>
              <w:szCs w:val="18"/>
            </w:rPr>
          </w:pPr>
          <w:r>
            <w:rPr>
              <w:szCs w:val="18"/>
            </w:rPr>
            <w:t>Betreft</w:t>
          </w:r>
        </w:p>
      </w:tc>
      <w:tc>
        <w:tcPr>
          <w:tcW w:w="6662" w:type="dxa"/>
        </w:tcPr>
        <w:p w14:paraId="56DA961A" w14:textId="77777777" w:rsidR="00527BD4" w:rsidRPr="00514523" w:rsidRDefault="0021294F" w:rsidP="00A50CF6">
          <w:pPr>
            <w:rPr>
              <w:lang w:val="en-US"/>
            </w:rPr>
          </w:pPr>
          <w:r w:rsidRPr="00514523">
            <w:rPr>
              <w:lang w:val="en-US"/>
            </w:rPr>
            <w:t>Joint Letter of Intent Alco Energy Rotterdam</w:t>
          </w:r>
        </w:p>
      </w:tc>
    </w:tr>
  </w:tbl>
  <w:p w14:paraId="679A5A10" w14:textId="77777777" w:rsidR="00527BD4" w:rsidRPr="00514523" w:rsidRDefault="00527BD4" w:rsidP="00BC4AE3">
    <w:pPr>
      <w:pStyle w:val="Kopteks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BB2D6A2">
      <w:start w:val="1"/>
      <w:numFmt w:val="bullet"/>
      <w:pStyle w:val="Lijstopsomteken"/>
      <w:lvlText w:val="•"/>
      <w:lvlJc w:val="left"/>
      <w:pPr>
        <w:tabs>
          <w:tab w:val="num" w:pos="227"/>
        </w:tabs>
        <w:ind w:left="227" w:hanging="227"/>
      </w:pPr>
      <w:rPr>
        <w:rFonts w:ascii="Verdana" w:hAnsi="Verdana" w:hint="default"/>
        <w:sz w:val="18"/>
        <w:szCs w:val="18"/>
      </w:rPr>
    </w:lvl>
    <w:lvl w:ilvl="1" w:tplc="B5200CD2" w:tentative="1">
      <w:start w:val="1"/>
      <w:numFmt w:val="bullet"/>
      <w:lvlText w:val="o"/>
      <w:lvlJc w:val="left"/>
      <w:pPr>
        <w:tabs>
          <w:tab w:val="num" w:pos="1440"/>
        </w:tabs>
        <w:ind w:left="1440" w:hanging="360"/>
      </w:pPr>
      <w:rPr>
        <w:rFonts w:ascii="Courier New" w:hAnsi="Courier New" w:cs="Courier New" w:hint="default"/>
      </w:rPr>
    </w:lvl>
    <w:lvl w:ilvl="2" w:tplc="1A382C72" w:tentative="1">
      <w:start w:val="1"/>
      <w:numFmt w:val="bullet"/>
      <w:lvlText w:val=""/>
      <w:lvlJc w:val="left"/>
      <w:pPr>
        <w:tabs>
          <w:tab w:val="num" w:pos="2160"/>
        </w:tabs>
        <w:ind w:left="2160" w:hanging="360"/>
      </w:pPr>
      <w:rPr>
        <w:rFonts w:ascii="Wingdings" w:hAnsi="Wingdings" w:hint="default"/>
      </w:rPr>
    </w:lvl>
    <w:lvl w:ilvl="3" w:tplc="9FD8B38C" w:tentative="1">
      <w:start w:val="1"/>
      <w:numFmt w:val="bullet"/>
      <w:lvlText w:val=""/>
      <w:lvlJc w:val="left"/>
      <w:pPr>
        <w:tabs>
          <w:tab w:val="num" w:pos="2880"/>
        </w:tabs>
        <w:ind w:left="2880" w:hanging="360"/>
      </w:pPr>
      <w:rPr>
        <w:rFonts w:ascii="Symbol" w:hAnsi="Symbol" w:hint="default"/>
      </w:rPr>
    </w:lvl>
    <w:lvl w:ilvl="4" w:tplc="9CE468F2" w:tentative="1">
      <w:start w:val="1"/>
      <w:numFmt w:val="bullet"/>
      <w:lvlText w:val="o"/>
      <w:lvlJc w:val="left"/>
      <w:pPr>
        <w:tabs>
          <w:tab w:val="num" w:pos="3600"/>
        </w:tabs>
        <w:ind w:left="3600" w:hanging="360"/>
      </w:pPr>
      <w:rPr>
        <w:rFonts w:ascii="Courier New" w:hAnsi="Courier New" w:cs="Courier New" w:hint="default"/>
      </w:rPr>
    </w:lvl>
    <w:lvl w:ilvl="5" w:tplc="915E3700" w:tentative="1">
      <w:start w:val="1"/>
      <w:numFmt w:val="bullet"/>
      <w:lvlText w:val=""/>
      <w:lvlJc w:val="left"/>
      <w:pPr>
        <w:tabs>
          <w:tab w:val="num" w:pos="4320"/>
        </w:tabs>
        <w:ind w:left="4320" w:hanging="360"/>
      </w:pPr>
      <w:rPr>
        <w:rFonts w:ascii="Wingdings" w:hAnsi="Wingdings" w:hint="default"/>
      </w:rPr>
    </w:lvl>
    <w:lvl w:ilvl="6" w:tplc="64102592" w:tentative="1">
      <w:start w:val="1"/>
      <w:numFmt w:val="bullet"/>
      <w:lvlText w:val=""/>
      <w:lvlJc w:val="left"/>
      <w:pPr>
        <w:tabs>
          <w:tab w:val="num" w:pos="5040"/>
        </w:tabs>
        <w:ind w:left="5040" w:hanging="360"/>
      </w:pPr>
      <w:rPr>
        <w:rFonts w:ascii="Symbol" w:hAnsi="Symbol" w:hint="default"/>
      </w:rPr>
    </w:lvl>
    <w:lvl w:ilvl="7" w:tplc="CA5E0D2A" w:tentative="1">
      <w:start w:val="1"/>
      <w:numFmt w:val="bullet"/>
      <w:lvlText w:val="o"/>
      <w:lvlJc w:val="left"/>
      <w:pPr>
        <w:tabs>
          <w:tab w:val="num" w:pos="5760"/>
        </w:tabs>
        <w:ind w:left="5760" w:hanging="360"/>
      </w:pPr>
      <w:rPr>
        <w:rFonts w:ascii="Courier New" w:hAnsi="Courier New" w:cs="Courier New" w:hint="default"/>
      </w:rPr>
    </w:lvl>
    <w:lvl w:ilvl="8" w:tplc="414C50C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32AD1B2">
      <w:start w:val="1"/>
      <w:numFmt w:val="bullet"/>
      <w:pStyle w:val="Lijstopsomteken2"/>
      <w:lvlText w:val="–"/>
      <w:lvlJc w:val="left"/>
      <w:pPr>
        <w:tabs>
          <w:tab w:val="num" w:pos="227"/>
        </w:tabs>
        <w:ind w:left="227" w:firstLine="0"/>
      </w:pPr>
      <w:rPr>
        <w:rFonts w:ascii="Verdana" w:hAnsi="Verdana" w:hint="default"/>
      </w:rPr>
    </w:lvl>
    <w:lvl w:ilvl="1" w:tplc="3D5A2E8C" w:tentative="1">
      <w:start w:val="1"/>
      <w:numFmt w:val="bullet"/>
      <w:lvlText w:val="o"/>
      <w:lvlJc w:val="left"/>
      <w:pPr>
        <w:tabs>
          <w:tab w:val="num" w:pos="1440"/>
        </w:tabs>
        <w:ind w:left="1440" w:hanging="360"/>
      </w:pPr>
      <w:rPr>
        <w:rFonts w:ascii="Courier New" w:hAnsi="Courier New" w:cs="Courier New" w:hint="default"/>
      </w:rPr>
    </w:lvl>
    <w:lvl w:ilvl="2" w:tplc="229E82CE" w:tentative="1">
      <w:start w:val="1"/>
      <w:numFmt w:val="bullet"/>
      <w:lvlText w:val=""/>
      <w:lvlJc w:val="left"/>
      <w:pPr>
        <w:tabs>
          <w:tab w:val="num" w:pos="2160"/>
        </w:tabs>
        <w:ind w:left="2160" w:hanging="360"/>
      </w:pPr>
      <w:rPr>
        <w:rFonts w:ascii="Wingdings" w:hAnsi="Wingdings" w:hint="default"/>
      </w:rPr>
    </w:lvl>
    <w:lvl w:ilvl="3" w:tplc="906AB248" w:tentative="1">
      <w:start w:val="1"/>
      <w:numFmt w:val="bullet"/>
      <w:lvlText w:val=""/>
      <w:lvlJc w:val="left"/>
      <w:pPr>
        <w:tabs>
          <w:tab w:val="num" w:pos="2880"/>
        </w:tabs>
        <w:ind w:left="2880" w:hanging="360"/>
      </w:pPr>
      <w:rPr>
        <w:rFonts w:ascii="Symbol" w:hAnsi="Symbol" w:hint="default"/>
      </w:rPr>
    </w:lvl>
    <w:lvl w:ilvl="4" w:tplc="27FA001C" w:tentative="1">
      <w:start w:val="1"/>
      <w:numFmt w:val="bullet"/>
      <w:lvlText w:val="o"/>
      <w:lvlJc w:val="left"/>
      <w:pPr>
        <w:tabs>
          <w:tab w:val="num" w:pos="3600"/>
        </w:tabs>
        <w:ind w:left="3600" w:hanging="360"/>
      </w:pPr>
      <w:rPr>
        <w:rFonts w:ascii="Courier New" w:hAnsi="Courier New" w:cs="Courier New" w:hint="default"/>
      </w:rPr>
    </w:lvl>
    <w:lvl w:ilvl="5" w:tplc="B46296DC" w:tentative="1">
      <w:start w:val="1"/>
      <w:numFmt w:val="bullet"/>
      <w:lvlText w:val=""/>
      <w:lvlJc w:val="left"/>
      <w:pPr>
        <w:tabs>
          <w:tab w:val="num" w:pos="4320"/>
        </w:tabs>
        <w:ind w:left="4320" w:hanging="360"/>
      </w:pPr>
      <w:rPr>
        <w:rFonts w:ascii="Wingdings" w:hAnsi="Wingdings" w:hint="default"/>
      </w:rPr>
    </w:lvl>
    <w:lvl w:ilvl="6" w:tplc="F74241EE" w:tentative="1">
      <w:start w:val="1"/>
      <w:numFmt w:val="bullet"/>
      <w:lvlText w:val=""/>
      <w:lvlJc w:val="left"/>
      <w:pPr>
        <w:tabs>
          <w:tab w:val="num" w:pos="5040"/>
        </w:tabs>
        <w:ind w:left="5040" w:hanging="360"/>
      </w:pPr>
      <w:rPr>
        <w:rFonts w:ascii="Symbol" w:hAnsi="Symbol" w:hint="default"/>
      </w:rPr>
    </w:lvl>
    <w:lvl w:ilvl="7" w:tplc="AA002D74" w:tentative="1">
      <w:start w:val="1"/>
      <w:numFmt w:val="bullet"/>
      <w:lvlText w:val="o"/>
      <w:lvlJc w:val="left"/>
      <w:pPr>
        <w:tabs>
          <w:tab w:val="num" w:pos="5760"/>
        </w:tabs>
        <w:ind w:left="5760" w:hanging="360"/>
      </w:pPr>
      <w:rPr>
        <w:rFonts w:ascii="Courier New" w:hAnsi="Courier New" w:cs="Courier New" w:hint="default"/>
      </w:rPr>
    </w:lvl>
    <w:lvl w:ilvl="8" w:tplc="13DE6C4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94701F1C">
      <w:numFmt w:val="bullet"/>
      <w:lvlText w:val="-"/>
      <w:lvlJc w:val="left"/>
      <w:pPr>
        <w:ind w:left="720" w:hanging="360"/>
      </w:pPr>
      <w:rPr>
        <w:rFonts w:ascii="Calibri" w:eastAsia="Times New Roman" w:hAnsi="Calibri" w:cs="Calibri" w:hint="default"/>
      </w:rPr>
    </w:lvl>
    <w:lvl w:ilvl="1" w:tplc="DE3410E6">
      <w:start w:val="1"/>
      <w:numFmt w:val="bullet"/>
      <w:lvlText w:val="o"/>
      <w:lvlJc w:val="left"/>
      <w:pPr>
        <w:ind w:left="1440" w:hanging="360"/>
      </w:pPr>
      <w:rPr>
        <w:rFonts w:ascii="Courier New" w:hAnsi="Courier New" w:cs="Courier New" w:hint="default"/>
      </w:rPr>
    </w:lvl>
    <w:lvl w:ilvl="2" w:tplc="84B69F28">
      <w:start w:val="1"/>
      <w:numFmt w:val="bullet"/>
      <w:lvlText w:val=""/>
      <w:lvlJc w:val="left"/>
      <w:pPr>
        <w:ind w:left="2160" w:hanging="360"/>
      </w:pPr>
      <w:rPr>
        <w:rFonts w:ascii="Wingdings" w:hAnsi="Wingdings" w:hint="default"/>
      </w:rPr>
    </w:lvl>
    <w:lvl w:ilvl="3" w:tplc="563C9E60">
      <w:start w:val="1"/>
      <w:numFmt w:val="bullet"/>
      <w:lvlText w:val=""/>
      <w:lvlJc w:val="left"/>
      <w:pPr>
        <w:ind w:left="2880" w:hanging="360"/>
      </w:pPr>
      <w:rPr>
        <w:rFonts w:ascii="Symbol" w:hAnsi="Symbol" w:hint="default"/>
      </w:rPr>
    </w:lvl>
    <w:lvl w:ilvl="4" w:tplc="74BCAC8E">
      <w:start w:val="1"/>
      <w:numFmt w:val="bullet"/>
      <w:lvlText w:val="o"/>
      <w:lvlJc w:val="left"/>
      <w:pPr>
        <w:ind w:left="3600" w:hanging="360"/>
      </w:pPr>
      <w:rPr>
        <w:rFonts w:ascii="Courier New" w:hAnsi="Courier New" w:cs="Courier New" w:hint="default"/>
      </w:rPr>
    </w:lvl>
    <w:lvl w:ilvl="5" w:tplc="72AC8D54">
      <w:start w:val="1"/>
      <w:numFmt w:val="bullet"/>
      <w:lvlText w:val=""/>
      <w:lvlJc w:val="left"/>
      <w:pPr>
        <w:ind w:left="4320" w:hanging="360"/>
      </w:pPr>
      <w:rPr>
        <w:rFonts w:ascii="Wingdings" w:hAnsi="Wingdings" w:hint="default"/>
      </w:rPr>
    </w:lvl>
    <w:lvl w:ilvl="6" w:tplc="76FC2296">
      <w:start w:val="1"/>
      <w:numFmt w:val="bullet"/>
      <w:lvlText w:val=""/>
      <w:lvlJc w:val="left"/>
      <w:pPr>
        <w:ind w:left="5040" w:hanging="360"/>
      </w:pPr>
      <w:rPr>
        <w:rFonts w:ascii="Symbol" w:hAnsi="Symbol" w:hint="default"/>
      </w:rPr>
    </w:lvl>
    <w:lvl w:ilvl="7" w:tplc="1E782E38">
      <w:start w:val="1"/>
      <w:numFmt w:val="bullet"/>
      <w:lvlText w:val="o"/>
      <w:lvlJc w:val="left"/>
      <w:pPr>
        <w:ind w:left="5760" w:hanging="360"/>
      </w:pPr>
      <w:rPr>
        <w:rFonts w:ascii="Courier New" w:hAnsi="Courier New" w:cs="Courier New" w:hint="default"/>
      </w:rPr>
    </w:lvl>
    <w:lvl w:ilvl="8" w:tplc="AA82CCE0">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364303"/>
    <w:multiLevelType w:val="hybridMultilevel"/>
    <w:tmpl w:val="ED206D3E"/>
    <w:lvl w:ilvl="0" w:tplc="986CD91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20042325">
    <w:abstractNumId w:val="10"/>
  </w:num>
  <w:num w:numId="2" w16cid:durableId="900795721">
    <w:abstractNumId w:val="7"/>
  </w:num>
  <w:num w:numId="3" w16cid:durableId="1137338303">
    <w:abstractNumId w:val="6"/>
  </w:num>
  <w:num w:numId="4" w16cid:durableId="619655237">
    <w:abstractNumId w:val="5"/>
  </w:num>
  <w:num w:numId="5" w16cid:durableId="233129710">
    <w:abstractNumId w:val="4"/>
  </w:num>
  <w:num w:numId="6" w16cid:durableId="1531651226">
    <w:abstractNumId w:val="8"/>
  </w:num>
  <w:num w:numId="7" w16cid:durableId="859898922">
    <w:abstractNumId w:val="3"/>
  </w:num>
  <w:num w:numId="8" w16cid:durableId="958416417">
    <w:abstractNumId w:val="2"/>
  </w:num>
  <w:num w:numId="9" w16cid:durableId="1323852877">
    <w:abstractNumId w:val="1"/>
  </w:num>
  <w:num w:numId="10" w16cid:durableId="1236934319">
    <w:abstractNumId w:val="0"/>
  </w:num>
  <w:num w:numId="11" w16cid:durableId="2070105499">
    <w:abstractNumId w:val="9"/>
  </w:num>
  <w:num w:numId="12" w16cid:durableId="531846397">
    <w:abstractNumId w:val="11"/>
  </w:num>
  <w:num w:numId="13" w16cid:durableId="672072471">
    <w:abstractNumId w:val="14"/>
  </w:num>
  <w:num w:numId="14" w16cid:durableId="759762494">
    <w:abstractNumId w:val="12"/>
  </w:num>
  <w:num w:numId="15" w16cid:durableId="1217428468">
    <w:abstractNumId w:val="13"/>
  </w:num>
  <w:num w:numId="16" w16cid:durableId="762796112">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6024D"/>
    <w:rsid w:val="00071F28"/>
    <w:rsid w:val="00073794"/>
    <w:rsid w:val="00074079"/>
    <w:rsid w:val="00092799"/>
    <w:rsid w:val="00092C5F"/>
    <w:rsid w:val="00096680"/>
    <w:rsid w:val="000A0F36"/>
    <w:rsid w:val="000A174A"/>
    <w:rsid w:val="000A3E0A"/>
    <w:rsid w:val="000A65AC"/>
    <w:rsid w:val="000B27EB"/>
    <w:rsid w:val="000B7281"/>
    <w:rsid w:val="000B7FAB"/>
    <w:rsid w:val="000C0163"/>
    <w:rsid w:val="000C1BA1"/>
    <w:rsid w:val="000C304B"/>
    <w:rsid w:val="000C3EA9"/>
    <w:rsid w:val="000D0225"/>
    <w:rsid w:val="000D6CCE"/>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5589"/>
    <w:rsid w:val="001A6AF9"/>
    <w:rsid w:val="001A6D93"/>
    <w:rsid w:val="001C32EC"/>
    <w:rsid w:val="001C38BD"/>
    <w:rsid w:val="001C4D5A"/>
    <w:rsid w:val="001E34C6"/>
    <w:rsid w:val="001E5581"/>
    <w:rsid w:val="001F3C70"/>
    <w:rsid w:val="00200D88"/>
    <w:rsid w:val="00201F68"/>
    <w:rsid w:val="0021294F"/>
    <w:rsid w:val="00212F2A"/>
    <w:rsid w:val="00214F2B"/>
    <w:rsid w:val="00217880"/>
    <w:rsid w:val="00222D66"/>
    <w:rsid w:val="00224A8A"/>
    <w:rsid w:val="00230238"/>
    <w:rsid w:val="002309A8"/>
    <w:rsid w:val="00236CFE"/>
    <w:rsid w:val="002428E3"/>
    <w:rsid w:val="00243031"/>
    <w:rsid w:val="002570B4"/>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0029B"/>
    <w:rsid w:val="00312597"/>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146B"/>
    <w:rsid w:val="003C2CCB"/>
    <w:rsid w:val="003D39EC"/>
    <w:rsid w:val="003D5DED"/>
    <w:rsid w:val="003E3DD5"/>
    <w:rsid w:val="003E4281"/>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0F05"/>
    <w:rsid w:val="004B5465"/>
    <w:rsid w:val="004B70F0"/>
    <w:rsid w:val="004D505E"/>
    <w:rsid w:val="004D72CA"/>
    <w:rsid w:val="004E2242"/>
    <w:rsid w:val="004E4776"/>
    <w:rsid w:val="004E505E"/>
    <w:rsid w:val="004F42FF"/>
    <w:rsid w:val="004F44C2"/>
    <w:rsid w:val="00502512"/>
    <w:rsid w:val="00503FD2"/>
    <w:rsid w:val="00505262"/>
    <w:rsid w:val="00514523"/>
    <w:rsid w:val="00516022"/>
    <w:rsid w:val="00517310"/>
    <w:rsid w:val="00521CEE"/>
    <w:rsid w:val="00524FB4"/>
    <w:rsid w:val="00527BD4"/>
    <w:rsid w:val="005306AB"/>
    <w:rsid w:val="00530A03"/>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3A1"/>
    <w:rsid w:val="005B3814"/>
    <w:rsid w:val="005B463E"/>
    <w:rsid w:val="005C2538"/>
    <w:rsid w:val="005C34E1"/>
    <w:rsid w:val="005C3FE0"/>
    <w:rsid w:val="005C65B5"/>
    <w:rsid w:val="005C740C"/>
    <w:rsid w:val="005D32D1"/>
    <w:rsid w:val="005D35ED"/>
    <w:rsid w:val="005D43A9"/>
    <w:rsid w:val="005D625B"/>
    <w:rsid w:val="005F124A"/>
    <w:rsid w:val="005F62D3"/>
    <w:rsid w:val="005F6D11"/>
    <w:rsid w:val="00600CF0"/>
    <w:rsid w:val="006048F4"/>
    <w:rsid w:val="0060660A"/>
    <w:rsid w:val="00613B1D"/>
    <w:rsid w:val="00617A44"/>
    <w:rsid w:val="006202B6"/>
    <w:rsid w:val="00621DEC"/>
    <w:rsid w:val="00624D22"/>
    <w:rsid w:val="00625CD0"/>
    <w:rsid w:val="0062627D"/>
    <w:rsid w:val="00627432"/>
    <w:rsid w:val="006448E4"/>
    <w:rsid w:val="00645414"/>
    <w:rsid w:val="00650F19"/>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37"/>
    <w:rsid w:val="006D17F2"/>
    <w:rsid w:val="006D3CB3"/>
    <w:rsid w:val="006E3546"/>
    <w:rsid w:val="006E3FA9"/>
    <w:rsid w:val="006E7D82"/>
    <w:rsid w:val="006F038F"/>
    <w:rsid w:val="006F0F93"/>
    <w:rsid w:val="006F31F2"/>
    <w:rsid w:val="006F7494"/>
    <w:rsid w:val="006F751F"/>
    <w:rsid w:val="007008C0"/>
    <w:rsid w:val="00714DC5"/>
    <w:rsid w:val="00715237"/>
    <w:rsid w:val="00721AE1"/>
    <w:rsid w:val="007248D4"/>
    <w:rsid w:val="007254A5"/>
    <w:rsid w:val="00725748"/>
    <w:rsid w:val="00735D88"/>
    <w:rsid w:val="0073720D"/>
    <w:rsid w:val="00737507"/>
    <w:rsid w:val="00740712"/>
    <w:rsid w:val="00742AB9"/>
    <w:rsid w:val="00751A6A"/>
    <w:rsid w:val="00754FBF"/>
    <w:rsid w:val="007610AA"/>
    <w:rsid w:val="007709EF"/>
    <w:rsid w:val="00772A11"/>
    <w:rsid w:val="00781DCA"/>
    <w:rsid w:val="00782701"/>
    <w:rsid w:val="00783559"/>
    <w:rsid w:val="0079551B"/>
    <w:rsid w:val="00797AA5"/>
    <w:rsid w:val="007A26BD"/>
    <w:rsid w:val="007A4105"/>
    <w:rsid w:val="007B4503"/>
    <w:rsid w:val="007B7905"/>
    <w:rsid w:val="007C406E"/>
    <w:rsid w:val="007C5183"/>
    <w:rsid w:val="007C7573"/>
    <w:rsid w:val="007E2B20"/>
    <w:rsid w:val="007E6975"/>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153"/>
    <w:rsid w:val="008547B8"/>
    <w:rsid w:val="008547BA"/>
    <w:rsid w:val="008553C7"/>
    <w:rsid w:val="00857FEB"/>
    <w:rsid w:val="008601AF"/>
    <w:rsid w:val="0086767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271B"/>
    <w:rsid w:val="00910642"/>
    <w:rsid w:val="00910DDF"/>
    <w:rsid w:val="00926AE2"/>
    <w:rsid w:val="00930B13"/>
    <w:rsid w:val="009311C8"/>
    <w:rsid w:val="00933376"/>
    <w:rsid w:val="00933A2F"/>
    <w:rsid w:val="00967600"/>
    <w:rsid w:val="009714D1"/>
    <w:rsid w:val="009716D8"/>
    <w:rsid w:val="009718F9"/>
    <w:rsid w:val="00971F42"/>
    <w:rsid w:val="00972FB9"/>
    <w:rsid w:val="00975112"/>
    <w:rsid w:val="00981768"/>
    <w:rsid w:val="00983E8F"/>
    <w:rsid w:val="00985E56"/>
    <w:rsid w:val="0098788A"/>
    <w:rsid w:val="00994FDA"/>
    <w:rsid w:val="009969F2"/>
    <w:rsid w:val="009A31BF"/>
    <w:rsid w:val="009A3B71"/>
    <w:rsid w:val="009A61BC"/>
    <w:rsid w:val="009B0138"/>
    <w:rsid w:val="009B034F"/>
    <w:rsid w:val="009B0FE9"/>
    <w:rsid w:val="009B173A"/>
    <w:rsid w:val="009C3F20"/>
    <w:rsid w:val="009C7CA1"/>
    <w:rsid w:val="009D043D"/>
    <w:rsid w:val="009D0B5A"/>
    <w:rsid w:val="009E107A"/>
    <w:rsid w:val="009F3259"/>
    <w:rsid w:val="00A056DE"/>
    <w:rsid w:val="00A128AD"/>
    <w:rsid w:val="00A21E76"/>
    <w:rsid w:val="00A23BC8"/>
    <w:rsid w:val="00A245F8"/>
    <w:rsid w:val="00A30E68"/>
    <w:rsid w:val="00A31933"/>
    <w:rsid w:val="00A329D2"/>
    <w:rsid w:val="00A34AA0"/>
    <w:rsid w:val="00A3715C"/>
    <w:rsid w:val="00A37D91"/>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1964"/>
    <w:rsid w:val="00AA7FC9"/>
    <w:rsid w:val="00AB237D"/>
    <w:rsid w:val="00AB5933"/>
    <w:rsid w:val="00AB6FE5"/>
    <w:rsid w:val="00AE013D"/>
    <w:rsid w:val="00AE11B7"/>
    <w:rsid w:val="00AE7F68"/>
    <w:rsid w:val="00AF2321"/>
    <w:rsid w:val="00AF52F6"/>
    <w:rsid w:val="00AF54A8"/>
    <w:rsid w:val="00AF7237"/>
    <w:rsid w:val="00B0043A"/>
    <w:rsid w:val="00B00D75"/>
    <w:rsid w:val="00B070CB"/>
    <w:rsid w:val="00B12456"/>
    <w:rsid w:val="00B145F0"/>
    <w:rsid w:val="00B259C8"/>
    <w:rsid w:val="00B26CCF"/>
    <w:rsid w:val="00B30FC2"/>
    <w:rsid w:val="00B331A2"/>
    <w:rsid w:val="00B36A51"/>
    <w:rsid w:val="00B425F0"/>
    <w:rsid w:val="00B42DFA"/>
    <w:rsid w:val="00B531DD"/>
    <w:rsid w:val="00B55014"/>
    <w:rsid w:val="00B62232"/>
    <w:rsid w:val="00B70BF3"/>
    <w:rsid w:val="00B71DC2"/>
    <w:rsid w:val="00B80E8A"/>
    <w:rsid w:val="00B824BA"/>
    <w:rsid w:val="00B91CFC"/>
    <w:rsid w:val="00B93893"/>
    <w:rsid w:val="00BA1397"/>
    <w:rsid w:val="00BA7E0A"/>
    <w:rsid w:val="00BC3B53"/>
    <w:rsid w:val="00BC3B96"/>
    <w:rsid w:val="00BC4AE3"/>
    <w:rsid w:val="00BC5B28"/>
    <w:rsid w:val="00BD2370"/>
    <w:rsid w:val="00BE3F88"/>
    <w:rsid w:val="00BE4756"/>
    <w:rsid w:val="00BE5ED9"/>
    <w:rsid w:val="00BE7B41"/>
    <w:rsid w:val="00C15A91"/>
    <w:rsid w:val="00C206F1"/>
    <w:rsid w:val="00C217E1"/>
    <w:rsid w:val="00C219B1"/>
    <w:rsid w:val="00C225DD"/>
    <w:rsid w:val="00C37826"/>
    <w:rsid w:val="00C4015B"/>
    <w:rsid w:val="00C40268"/>
    <w:rsid w:val="00C40C60"/>
    <w:rsid w:val="00C47AD7"/>
    <w:rsid w:val="00C5258E"/>
    <w:rsid w:val="00C530C9"/>
    <w:rsid w:val="00C619A7"/>
    <w:rsid w:val="00C73D5F"/>
    <w:rsid w:val="00C82AFE"/>
    <w:rsid w:val="00C83DBC"/>
    <w:rsid w:val="00C83EAD"/>
    <w:rsid w:val="00C8758C"/>
    <w:rsid w:val="00C90702"/>
    <w:rsid w:val="00C97C80"/>
    <w:rsid w:val="00CA2D1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CF71AB"/>
    <w:rsid w:val="00D0375A"/>
    <w:rsid w:val="00D0609E"/>
    <w:rsid w:val="00D078E1"/>
    <w:rsid w:val="00D100E9"/>
    <w:rsid w:val="00D143B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1182"/>
    <w:rsid w:val="00D72F45"/>
    <w:rsid w:val="00D77870"/>
    <w:rsid w:val="00D80977"/>
    <w:rsid w:val="00D80CCE"/>
    <w:rsid w:val="00D86EEA"/>
    <w:rsid w:val="00D87195"/>
    <w:rsid w:val="00D87D03"/>
    <w:rsid w:val="00D9360B"/>
    <w:rsid w:val="00D95C88"/>
    <w:rsid w:val="00D95F33"/>
    <w:rsid w:val="00D97B2E"/>
    <w:rsid w:val="00DA241E"/>
    <w:rsid w:val="00DB15BD"/>
    <w:rsid w:val="00DB36FE"/>
    <w:rsid w:val="00DB533A"/>
    <w:rsid w:val="00DB60AE"/>
    <w:rsid w:val="00DB6307"/>
    <w:rsid w:val="00DD0EDF"/>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52EF"/>
    <w:rsid w:val="00E273C5"/>
    <w:rsid w:val="00E307D1"/>
    <w:rsid w:val="00E3731D"/>
    <w:rsid w:val="00E4578C"/>
    <w:rsid w:val="00E51469"/>
    <w:rsid w:val="00E573A1"/>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E05DD"/>
    <w:rsid w:val="00EE4A1F"/>
    <w:rsid w:val="00EE4C2D"/>
    <w:rsid w:val="00EF1B5A"/>
    <w:rsid w:val="00EF24FB"/>
    <w:rsid w:val="00EF2CCA"/>
    <w:rsid w:val="00EF495B"/>
    <w:rsid w:val="00EF60DC"/>
    <w:rsid w:val="00F00F54"/>
    <w:rsid w:val="00F03963"/>
    <w:rsid w:val="00F11068"/>
    <w:rsid w:val="00F1256D"/>
    <w:rsid w:val="00F12C95"/>
    <w:rsid w:val="00F13A4E"/>
    <w:rsid w:val="00F16DEF"/>
    <w:rsid w:val="00F172BB"/>
    <w:rsid w:val="00F17B10"/>
    <w:rsid w:val="00F21BEF"/>
    <w:rsid w:val="00F2315B"/>
    <w:rsid w:val="00F41A6F"/>
    <w:rsid w:val="00F45A25"/>
    <w:rsid w:val="00F50F86"/>
    <w:rsid w:val="00F53F91"/>
    <w:rsid w:val="00F61569"/>
    <w:rsid w:val="00F61A72"/>
    <w:rsid w:val="00F62B67"/>
    <w:rsid w:val="00F66F13"/>
    <w:rsid w:val="00F71F3C"/>
    <w:rsid w:val="00F74073"/>
    <w:rsid w:val="00F748E6"/>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6B3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514523"/>
    <w:rPr>
      <w:vertAlign w:val="superscript"/>
    </w:rPr>
  </w:style>
  <w:style w:type="paragraph" w:styleId="Lijstalinea">
    <w:name w:val="List Paragraph"/>
    <w:basedOn w:val="Standaard"/>
    <w:uiPriority w:val="34"/>
    <w:qFormat/>
    <w:rsid w:val="00514523"/>
    <w:pPr>
      <w:ind w:left="720"/>
      <w:contextualSpacing/>
    </w:pPr>
  </w:style>
  <w:style w:type="paragraph" w:styleId="Onderwerpvanopmerking">
    <w:name w:val="annotation subject"/>
    <w:basedOn w:val="Tekstopmerking"/>
    <w:next w:val="Tekstopmerking"/>
    <w:link w:val="OnderwerpvanopmerkingChar"/>
    <w:semiHidden/>
    <w:unhideWhenUsed/>
    <w:rsid w:val="00E4578C"/>
    <w:rPr>
      <w:b/>
      <w:bCs/>
    </w:rPr>
  </w:style>
  <w:style w:type="character" w:customStyle="1" w:styleId="OnderwerpvanopmerkingChar">
    <w:name w:val="Onderwerp van opmerking Char"/>
    <w:basedOn w:val="TekstopmerkingChar"/>
    <w:link w:val="Onderwerpvanopmerking"/>
    <w:semiHidden/>
    <w:rsid w:val="00E4578C"/>
    <w:rPr>
      <w:rFonts w:ascii="Verdana" w:hAnsi="Verdana"/>
      <w:b/>
      <w:bCs/>
      <w:lang w:val="nl-NL" w:eastAsia="nl-NL"/>
    </w:rPr>
  </w:style>
  <w:style w:type="character" w:styleId="Onopgelostemelding">
    <w:name w:val="Unresolved Mention"/>
    <w:basedOn w:val="Standaardalinea-lettertype"/>
    <w:uiPriority w:val="99"/>
    <w:semiHidden/>
    <w:unhideWhenUsed/>
    <w:rsid w:val="00E4578C"/>
    <w:rPr>
      <w:color w:val="605E5C"/>
      <w:shd w:val="clear" w:color="auto" w:fill="E1DFDD"/>
    </w:rPr>
  </w:style>
  <w:style w:type="paragraph" w:styleId="Revisie">
    <w:name w:val="Revision"/>
    <w:hidden/>
    <w:uiPriority w:val="99"/>
    <w:semiHidden/>
    <w:rsid w:val="00517310"/>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4</ap:Pages>
  <ap:Words>1190</ap:Words>
  <ap:Characters>6545</ap:Characters>
  <ap:DocSecurity>0</ap:DocSecurity>
  <ap:Lines>54</ap:Lines>
  <ap:Paragraphs>15</ap:Paragraphs>
  <ap:ScaleCrop>false</ap:ScaleCrop>
  <ap:LinksUpToDate>false</ap:LinksUpToDate>
  <ap:CharactersWithSpaces>7720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2026-03-11T12:27:00.0000000Z</dcterms:created>
  <dcterms:modified xsi:type="dcterms:W3CDTF">2026-03-11T12:28:00.0000000Z</dcterms:modified>
  <dc:description>------------------------</dc:description>
  <dc:subject/>
  <keywords/>
  <version/>
  <category/>
</coreProperties>
</file>