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2304" w:rsidR="00132BF9" w:rsidP="00132BF9" w:rsidRDefault="00132BF9" w14:paraId="553B94BD" w14:textId="77777777">
      <w:pPr>
        <w:rPr>
          <w:szCs w:val="18"/>
        </w:rPr>
      </w:pPr>
      <w:r w:rsidRPr="00482304">
        <w:rPr>
          <w:szCs w:val="18"/>
        </w:rPr>
        <w:t xml:space="preserve">Geachte </w:t>
      </w:r>
      <w:r>
        <w:rPr>
          <w:szCs w:val="18"/>
        </w:rPr>
        <w:t>V</w:t>
      </w:r>
      <w:r w:rsidRPr="00482304">
        <w:rPr>
          <w:szCs w:val="18"/>
        </w:rPr>
        <w:t>oorzitter,</w:t>
      </w:r>
    </w:p>
    <w:p w:rsidRPr="00482304" w:rsidR="00132BF9" w:rsidP="00132BF9" w:rsidRDefault="00132BF9" w14:paraId="69C5FBF6" w14:textId="77777777">
      <w:pPr>
        <w:rPr>
          <w:szCs w:val="18"/>
        </w:rPr>
      </w:pPr>
    </w:p>
    <w:p w:rsidRPr="00482304" w:rsidR="00132BF9" w:rsidP="00132BF9" w:rsidRDefault="00132BF9" w14:paraId="6B5FFC62" w14:textId="77777777">
      <w:pPr>
        <w:rPr>
          <w:szCs w:val="18"/>
        </w:rPr>
      </w:pPr>
      <w:r w:rsidRPr="00482304">
        <w:rPr>
          <w:szCs w:val="18"/>
        </w:rPr>
        <w:t xml:space="preserve">Hierbij bied ik u de periodieke rapportages Ondernemerschap en Innovatiebeleid aan. </w:t>
      </w:r>
      <w:r>
        <w:rPr>
          <w:szCs w:val="18"/>
        </w:rPr>
        <w:t>De rapportages</w:t>
      </w:r>
      <w:r w:rsidRPr="00482304">
        <w:rPr>
          <w:szCs w:val="18"/>
        </w:rPr>
        <w:t xml:space="preserve"> hebben betrekking op de periode 2020-2025. U bent eerder geïnformeerd over de opzet van deze periodieke rapportages</w:t>
      </w:r>
      <w:r>
        <w:rPr>
          <w:szCs w:val="18"/>
        </w:rPr>
        <w:t xml:space="preserve"> (</w:t>
      </w:r>
      <w:r w:rsidRPr="0080193A">
        <w:rPr>
          <w:szCs w:val="18"/>
        </w:rPr>
        <w:t xml:space="preserve">Kamerstuk </w:t>
      </w:r>
      <w:hyperlink w:history="1" r:id="rId7">
        <w:r w:rsidRPr="0080193A">
          <w:rPr>
            <w:rStyle w:val="Hyperlink"/>
            <w:szCs w:val="18"/>
          </w:rPr>
          <w:t>33 009, nr. 147</w:t>
        </w:r>
      </w:hyperlink>
      <w:r w:rsidRPr="0080193A">
        <w:rPr>
          <w:szCs w:val="18"/>
        </w:rPr>
        <w:t>).</w:t>
      </w:r>
      <w:r w:rsidRPr="00482304">
        <w:rPr>
          <w:szCs w:val="18"/>
        </w:rPr>
        <w:t xml:space="preserve"> </w:t>
      </w:r>
    </w:p>
    <w:p w:rsidRPr="00482304" w:rsidR="00132BF9" w:rsidP="00132BF9" w:rsidRDefault="00132BF9" w14:paraId="5C622AA5" w14:textId="77777777">
      <w:pPr>
        <w:rPr>
          <w:szCs w:val="18"/>
        </w:rPr>
      </w:pPr>
    </w:p>
    <w:p w:rsidRPr="00482304" w:rsidR="00132BF9" w:rsidP="00132BF9" w:rsidRDefault="00132BF9" w14:paraId="3D0ADD46" w14:textId="77777777">
      <w:pPr>
        <w:rPr>
          <w:szCs w:val="18"/>
        </w:rPr>
      </w:pPr>
      <w:r w:rsidRPr="00482304">
        <w:rPr>
          <w:szCs w:val="18"/>
        </w:rPr>
        <w:t xml:space="preserve">In deze brief bespreek ik de scope en de uitvoering van de periodieke rapportages en geef ik de belangrijkste uitkomsten weer. </w:t>
      </w:r>
      <w:r>
        <w:rPr>
          <w:szCs w:val="18"/>
        </w:rPr>
        <w:t xml:space="preserve">De inhoudelijke kabinetsreactie op de periodiek rapportages zal in het voorjaar volgen. </w:t>
      </w:r>
    </w:p>
    <w:p w:rsidRPr="00482304" w:rsidR="00132BF9" w:rsidP="00132BF9" w:rsidRDefault="00132BF9" w14:paraId="64D79E65" w14:textId="77777777">
      <w:pPr>
        <w:rPr>
          <w:szCs w:val="18"/>
        </w:rPr>
      </w:pPr>
    </w:p>
    <w:p w:rsidRPr="0066635F" w:rsidR="00132BF9" w:rsidP="00132BF9" w:rsidRDefault="00132BF9" w14:paraId="3EE46BF9" w14:textId="77777777">
      <w:pPr>
        <w:rPr>
          <w:i/>
          <w:iCs/>
          <w:szCs w:val="18"/>
        </w:rPr>
      </w:pPr>
      <w:r w:rsidRPr="0066635F">
        <w:rPr>
          <w:i/>
          <w:iCs/>
          <w:szCs w:val="18"/>
        </w:rPr>
        <w:t>Scope en uitvoering</w:t>
      </w:r>
    </w:p>
    <w:p w:rsidRPr="00D10CBC" w:rsidR="00132BF9" w:rsidP="00132BF9" w:rsidRDefault="00132BF9" w14:paraId="5C0EFCC8" w14:textId="77777777">
      <w:pPr>
        <w:rPr>
          <w:szCs w:val="18"/>
        </w:rPr>
      </w:pPr>
      <w:r w:rsidRPr="00D10CBC">
        <w:rPr>
          <w:szCs w:val="18"/>
        </w:rPr>
        <w:t xml:space="preserve">De Periodieke rapportages zijn uitgevoerd in het kader van de </w:t>
      </w:r>
      <w:r w:rsidRPr="00D10CBC">
        <w:rPr>
          <w:i/>
          <w:iCs/>
          <w:szCs w:val="18"/>
        </w:rPr>
        <w:t xml:space="preserve">Regeling </w:t>
      </w:r>
      <w:r>
        <w:rPr>
          <w:i/>
          <w:iCs/>
          <w:szCs w:val="18"/>
        </w:rPr>
        <w:t>p</w:t>
      </w:r>
      <w:r w:rsidRPr="00D10CBC">
        <w:rPr>
          <w:i/>
          <w:iCs/>
          <w:szCs w:val="18"/>
        </w:rPr>
        <w:t xml:space="preserve">eriodiek </w:t>
      </w:r>
      <w:r>
        <w:rPr>
          <w:i/>
          <w:iCs/>
          <w:szCs w:val="18"/>
        </w:rPr>
        <w:t>e</w:t>
      </w:r>
      <w:r w:rsidRPr="00D10CBC">
        <w:rPr>
          <w:i/>
          <w:iCs/>
          <w:szCs w:val="18"/>
        </w:rPr>
        <w:t>valuatieonderzoek 2022</w:t>
      </w:r>
      <w:r w:rsidRPr="0066635F">
        <w:rPr>
          <w:szCs w:val="18"/>
        </w:rPr>
        <w:t xml:space="preserve"> (Staatscourant </w:t>
      </w:r>
      <w:hyperlink w:history="1" r:id="rId8">
        <w:r w:rsidRPr="0066635F">
          <w:rPr>
            <w:rStyle w:val="Hyperlink"/>
            <w:szCs w:val="18"/>
          </w:rPr>
          <w:t>2022, 19587</w:t>
        </w:r>
      </w:hyperlink>
      <w:r w:rsidRPr="0066635F">
        <w:rPr>
          <w:szCs w:val="18"/>
        </w:rPr>
        <w:t>)</w:t>
      </w:r>
      <w:r w:rsidRPr="00D10CBC">
        <w:rPr>
          <w:i/>
          <w:iCs/>
          <w:szCs w:val="18"/>
        </w:rPr>
        <w:t xml:space="preserve">. </w:t>
      </w:r>
      <w:r w:rsidRPr="0080193A">
        <w:rPr>
          <w:szCs w:val="18"/>
        </w:rPr>
        <w:t>Ze richten zich op beleid dat onder de thema’s Ondernemerschap en Innovatiebeleid valt binnen de Strategische Evaluatie Agenda van het ministerie van Economische Zaken.</w:t>
      </w:r>
      <w:r w:rsidRPr="00D10CBC">
        <w:rPr>
          <w:b/>
          <w:bCs/>
          <w:szCs w:val="18"/>
        </w:rPr>
        <w:t xml:space="preserve"> </w:t>
      </w:r>
      <w:r w:rsidRPr="00D10CBC">
        <w:rPr>
          <w:szCs w:val="18"/>
        </w:rPr>
        <w:t>Extracomptabel aan de begroting gerelateerde fiscale innovatie- en ondernemerschapsregelingen zijn ook meegenomen. Naast het beleid zijn ook de wijze van evalueren en de gehanteerde doelenboom in beschouwing genomen. Tevens zijn er besparings- en intensiveringsvarianten uitgewerkt.</w:t>
      </w:r>
    </w:p>
    <w:p w:rsidRPr="0080193A" w:rsidR="00132BF9" w:rsidP="00132BF9" w:rsidRDefault="00132BF9" w14:paraId="46046FE1" w14:textId="77777777">
      <w:pPr>
        <w:rPr>
          <w:b/>
          <w:bCs/>
          <w:szCs w:val="18"/>
        </w:rPr>
      </w:pPr>
    </w:p>
    <w:p w:rsidRPr="00482304" w:rsidR="00132BF9" w:rsidP="00132BF9" w:rsidRDefault="00132BF9" w14:paraId="3344E1CE" w14:textId="77777777">
      <w:r w:rsidRPr="00482304">
        <w:t xml:space="preserve">De periodieke rapportages doen uitspraken over de doeltreffendheid en doelmatigheid van het beleid op het niveau van </w:t>
      </w:r>
      <w:r>
        <w:t xml:space="preserve">individuele instrumenten en op het niveau van </w:t>
      </w:r>
      <w:r w:rsidRPr="00482304">
        <w:t>tactische en strategische doelen die door het Ministerie van Economische Zaken zijn geformuleerd in een doelenboom voor het bedrijvenbeleid.</w:t>
      </w:r>
      <w:r>
        <w:t xml:space="preserve"> Ze zijn </w:t>
      </w:r>
      <w:r w:rsidRPr="00482304">
        <w:t xml:space="preserve">in belangrijke mate een synthese van beleidsevaluaties die op het niveau van instrumenten hebben plaatsgevonden. </w:t>
      </w:r>
      <w:r w:rsidRPr="0080193A">
        <w:t>Ook zijn monitors en andere onderzoeken betrokken en er zijn gesprekken gehouden met beleidsmakers, uitvoerders van beleid en stakeholders voor extra informatie, duiding en appreciaties ten aanzien van het beleid.</w:t>
      </w:r>
    </w:p>
    <w:p w:rsidR="00132BF9" w:rsidP="00132BF9" w:rsidRDefault="00132BF9" w14:paraId="74977838" w14:textId="77777777">
      <w:pPr>
        <w:rPr>
          <w:szCs w:val="18"/>
        </w:rPr>
      </w:pPr>
    </w:p>
    <w:p w:rsidR="00132BF9" w:rsidP="00132BF9" w:rsidRDefault="00132BF9" w14:paraId="71EBFB1F" w14:textId="77777777">
      <w:pPr>
        <w:rPr>
          <w:szCs w:val="18"/>
        </w:rPr>
      </w:pPr>
      <w:r w:rsidRPr="00D10CBC">
        <w:rPr>
          <w:szCs w:val="18"/>
        </w:rPr>
        <w:t>Het onderzoek is voor beide beleidsterreinen gecombineerd uitgevoerd volgens eenzelfde stramien. Daarbij is een gemeenschappelijk rapport tot stand gekomen voor beide periodieke rapportages tezamen, mede met oog op de</w:t>
      </w:r>
      <w:r>
        <w:rPr>
          <w:szCs w:val="18"/>
        </w:rPr>
        <w:t xml:space="preserve"> </w:t>
      </w:r>
      <w:r w:rsidRPr="00D10CBC">
        <w:rPr>
          <w:szCs w:val="18"/>
        </w:rPr>
        <w:t>complementariteit die er tussen de beide beleidsterreinen bestaat.</w:t>
      </w:r>
      <w:r>
        <w:rPr>
          <w:szCs w:val="18"/>
        </w:rPr>
        <w:t xml:space="preserve"> Er is ook een aparte, kwalitatieve evaluatie van instrumenten op het terrein van menselijk kapitaal uitgevoerd. Die evaluatie is als bijlage bij de periodieke rapportages opgenomen.</w:t>
      </w:r>
    </w:p>
    <w:p w:rsidRPr="00D10CBC" w:rsidR="00132BF9" w:rsidP="00132BF9" w:rsidRDefault="00132BF9" w14:paraId="050DBAFE" w14:textId="77777777">
      <w:pPr>
        <w:rPr>
          <w:szCs w:val="18"/>
        </w:rPr>
      </w:pPr>
    </w:p>
    <w:p w:rsidRPr="00D10CBC" w:rsidR="00132BF9" w:rsidP="00132BF9" w:rsidRDefault="00132BF9" w14:paraId="7ACB56F2" w14:textId="77777777">
      <w:pPr>
        <w:rPr>
          <w:szCs w:val="18"/>
        </w:rPr>
      </w:pPr>
      <w:r>
        <w:rPr>
          <w:szCs w:val="18"/>
        </w:rPr>
        <w:t xml:space="preserve">Het traject is begeleid door een begeleidingscommissie. </w:t>
      </w:r>
      <w:r w:rsidRPr="00D10CBC">
        <w:rPr>
          <w:szCs w:val="18"/>
        </w:rPr>
        <w:t>Een deskundige van het Centraal Planbureau</w:t>
      </w:r>
      <w:r>
        <w:rPr>
          <w:szCs w:val="18"/>
        </w:rPr>
        <w:t xml:space="preserve">, die tevens lid is geweest van de begeleidingscommissie, </w:t>
      </w:r>
      <w:r w:rsidRPr="00D10CBC">
        <w:rPr>
          <w:szCs w:val="18"/>
        </w:rPr>
        <w:t xml:space="preserve">heeft een </w:t>
      </w:r>
      <w:r>
        <w:rPr>
          <w:szCs w:val="18"/>
        </w:rPr>
        <w:t xml:space="preserve">onafhankelijke schriftelijke </w:t>
      </w:r>
      <w:r w:rsidRPr="00D10CBC">
        <w:rPr>
          <w:szCs w:val="18"/>
        </w:rPr>
        <w:t>beoordeling uitgevoerd</w:t>
      </w:r>
      <w:r>
        <w:rPr>
          <w:szCs w:val="18"/>
        </w:rPr>
        <w:t xml:space="preserve"> van de </w:t>
      </w:r>
      <w:r w:rsidRPr="002D5FB4">
        <w:rPr>
          <w:szCs w:val="18"/>
        </w:rPr>
        <w:t xml:space="preserve">validiteit en betrouwbaarheid van </w:t>
      </w:r>
      <w:r>
        <w:rPr>
          <w:szCs w:val="18"/>
        </w:rPr>
        <w:t>deze periodieke rapportages.</w:t>
      </w:r>
    </w:p>
    <w:p w:rsidRPr="00482304" w:rsidR="00132BF9" w:rsidP="00132BF9" w:rsidRDefault="00132BF9" w14:paraId="65D3765A" w14:textId="77777777">
      <w:pPr>
        <w:rPr>
          <w:szCs w:val="18"/>
        </w:rPr>
      </w:pPr>
    </w:p>
    <w:p w:rsidRPr="00482304" w:rsidR="00132BF9" w:rsidP="00132BF9" w:rsidRDefault="00132BF9" w14:paraId="7C703F05" w14:textId="77777777">
      <w:pPr>
        <w:rPr>
          <w:szCs w:val="18"/>
        </w:rPr>
      </w:pPr>
      <w:r w:rsidRPr="0080193A">
        <w:rPr>
          <w:i/>
          <w:iCs/>
          <w:szCs w:val="18"/>
        </w:rPr>
        <w:t>Belangrijkste uitkomsten</w:t>
      </w:r>
    </w:p>
    <w:p w:rsidRPr="002D5FB4" w:rsidR="00132BF9" w:rsidP="00132BF9" w:rsidRDefault="00132BF9" w14:paraId="792EAB55" w14:textId="77777777">
      <w:pPr>
        <w:rPr>
          <w:szCs w:val="18"/>
        </w:rPr>
      </w:pPr>
      <w:bookmarkStart w:name="_Hlk221085134" w:id="0"/>
      <w:r>
        <w:rPr>
          <w:szCs w:val="18"/>
        </w:rPr>
        <w:t xml:space="preserve">Het onderzoek concludeert </w:t>
      </w:r>
      <w:r w:rsidRPr="002D5FB4">
        <w:rPr>
          <w:szCs w:val="18"/>
        </w:rPr>
        <w:t>dat het ondernemerschaps- en innovatiebeleid in het algemeen effectief en legitiem is. Het draagt bij aan een sterk verdienvermogen, een aantrekkelijk ondernemingsklimaat en een innovatieve, veerkrachtige economie.</w:t>
      </w:r>
      <w:r>
        <w:rPr>
          <w:szCs w:val="18"/>
        </w:rPr>
        <w:t xml:space="preserve"> </w:t>
      </w:r>
      <w:r w:rsidRPr="002D5FB4">
        <w:rPr>
          <w:szCs w:val="18"/>
        </w:rPr>
        <w:t>De evaluatiepraktijk op beide beleidsterreinen is breed ontwikkeld en kenmerkt zich door periodieke evaluaties inclusief opvolging van bevindingen.</w:t>
      </w:r>
    </w:p>
    <w:p w:rsidRPr="002D5FB4" w:rsidR="00132BF9" w:rsidP="00132BF9" w:rsidRDefault="00132BF9" w14:paraId="0E6FDA49" w14:textId="77777777">
      <w:pPr>
        <w:rPr>
          <w:szCs w:val="18"/>
        </w:rPr>
      </w:pPr>
      <w:r w:rsidRPr="002D5FB4">
        <w:rPr>
          <w:szCs w:val="18"/>
        </w:rPr>
        <w:t>Besparingen lijken slechts beperkt mogelijk en zouden leiden tot verschraling, terwijl intensiveringen zorgvuldig dienen te worden onderbouwd.</w:t>
      </w:r>
    </w:p>
    <w:p w:rsidRPr="002D5FB4" w:rsidR="00132BF9" w:rsidP="00132BF9" w:rsidRDefault="00132BF9" w14:paraId="7415E67A" w14:textId="77777777">
      <w:pPr>
        <w:rPr>
          <w:szCs w:val="18"/>
        </w:rPr>
      </w:pPr>
    </w:p>
    <w:p w:rsidR="00132BF9" w:rsidP="00132BF9" w:rsidRDefault="00132BF9" w14:paraId="0737CCDC" w14:textId="77777777">
      <w:pPr>
        <w:rPr>
          <w:szCs w:val="18"/>
        </w:rPr>
      </w:pPr>
      <w:r w:rsidRPr="00482304">
        <w:rPr>
          <w:szCs w:val="18"/>
        </w:rPr>
        <w:t xml:space="preserve">Het ondernemerschapsbeleid is over het algemeen goed onderbouwd, sluit aan bij erkende </w:t>
      </w:r>
      <w:proofErr w:type="spellStart"/>
      <w:r w:rsidRPr="00482304">
        <w:rPr>
          <w:szCs w:val="18"/>
        </w:rPr>
        <w:t>falens</w:t>
      </w:r>
      <w:proofErr w:type="spellEnd"/>
      <w:r w:rsidRPr="00482304">
        <w:rPr>
          <w:szCs w:val="18"/>
        </w:rPr>
        <w:t xml:space="preserve"> en functioneert in de praktijk veelal (deels) doeltreffend en doelmatig, bijvoorbeeld voor de aanpak van de financieringsmarkt. Beleid gericht op de kwaliteit van wet- en regelgeving en de daarmee gepaard gaande administratieve lasten is legitiem en deels effectief, al ervaren bedrijven toenemende regeldruk.</w:t>
      </w:r>
      <w:r>
        <w:t xml:space="preserve"> </w:t>
      </w:r>
      <w:r w:rsidRPr="00482304">
        <w:t>Doeltreffendheid en doelmatigheid zijn beperkter voor het beleid gericht op de beschikbaarheid van voldoende gekwalificeerd menselijk kapitaal. Ook is de beleidslegitimatie van de meeste fiscale ondernemers</w:t>
      </w:r>
      <w:r>
        <w:t>chaps</w:t>
      </w:r>
      <w:r w:rsidRPr="00482304">
        <w:t>regelingen beperkt.</w:t>
      </w:r>
    </w:p>
    <w:p w:rsidR="00132BF9" w:rsidP="00132BF9" w:rsidRDefault="00132BF9" w14:paraId="02BAD530" w14:textId="77777777">
      <w:pPr>
        <w:rPr>
          <w:szCs w:val="18"/>
        </w:rPr>
      </w:pPr>
    </w:p>
    <w:p w:rsidRPr="002D5FB4" w:rsidR="00132BF9" w:rsidP="00132BF9" w:rsidRDefault="00132BF9" w14:paraId="54914DEE" w14:textId="77777777">
      <w:pPr>
        <w:rPr>
          <w:szCs w:val="18"/>
        </w:rPr>
      </w:pPr>
      <w:r w:rsidRPr="002D5FB4">
        <w:rPr>
          <w:szCs w:val="18"/>
        </w:rPr>
        <w:t>De ambitie om het Nederlandse ondernemings- en vestigingsklimaat tot de wereldwijde top te laten behoren wordt behaald, maar staat de afgelopen jaren wel onder druk.</w:t>
      </w:r>
    </w:p>
    <w:p w:rsidR="00132BF9" w:rsidP="00132BF9" w:rsidRDefault="00132BF9" w14:paraId="656785D8" w14:textId="77777777">
      <w:pPr>
        <w:rPr>
          <w:szCs w:val="18"/>
        </w:rPr>
      </w:pPr>
    </w:p>
    <w:p w:rsidRPr="00482304" w:rsidR="00132BF9" w:rsidP="00132BF9" w:rsidRDefault="00132BF9" w14:paraId="4F868CE7" w14:textId="77777777">
      <w:pPr>
        <w:rPr>
          <w:szCs w:val="18"/>
        </w:rPr>
      </w:pPr>
      <w:r w:rsidRPr="002D5FB4">
        <w:rPr>
          <w:szCs w:val="18"/>
        </w:rPr>
        <w:t xml:space="preserve">Er bestaat brede consensus dat innovatie </w:t>
      </w:r>
      <w:proofErr w:type="spellStart"/>
      <w:r w:rsidRPr="002D5FB4">
        <w:rPr>
          <w:szCs w:val="18"/>
        </w:rPr>
        <w:t>kennis</w:t>
      </w:r>
      <w:r>
        <w:rPr>
          <w:szCs w:val="18"/>
        </w:rPr>
        <w:t>s</w:t>
      </w:r>
      <w:r w:rsidRPr="002D5FB4">
        <w:rPr>
          <w:szCs w:val="18"/>
        </w:rPr>
        <w:t>pillovers</w:t>
      </w:r>
      <w:proofErr w:type="spellEnd"/>
      <w:r w:rsidRPr="002D5FB4">
        <w:rPr>
          <w:szCs w:val="18"/>
        </w:rPr>
        <w:t xml:space="preserve"> genereert en maatschappelijke uitdagingen helpt op te lossen en dat het innovatiebeleid hieraan veelal (deels) doeltreffend bijdraagt.</w:t>
      </w:r>
      <w:r>
        <w:rPr>
          <w:szCs w:val="18"/>
        </w:rPr>
        <w:t xml:space="preserve"> </w:t>
      </w:r>
      <w:r w:rsidRPr="002D5FB4">
        <w:rPr>
          <w:szCs w:val="18"/>
        </w:rPr>
        <w:t xml:space="preserve">Het beleid gericht op startups en </w:t>
      </w:r>
      <w:proofErr w:type="spellStart"/>
      <w:r w:rsidRPr="002D5FB4">
        <w:rPr>
          <w:szCs w:val="18"/>
        </w:rPr>
        <w:t>scale</w:t>
      </w:r>
      <w:proofErr w:type="spellEnd"/>
      <w:r w:rsidRPr="002D5FB4">
        <w:rPr>
          <w:szCs w:val="18"/>
        </w:rPr>
        <w:t>-ups en de digitale transitie kampt met beperkte budgetten, overlap en uitdagingen over afbakening.</w:t>
      </w:r>
      <w:r>
        <w:rPr>
          <w:szCs w:val="18"/>
        </w:rPr>
        <w:t xml:space="preserve"> </w:t>
      </w:r>
      <w:r w:rsidRPr="00482304">
        <w:rPr>
          <w:szCs w:val="18"/>
        </w:rPr>
        <w:t>Sectorspecifieke steun is economisch lastig te rechtvaardigen, maar kan vanuit strategische autonomie verdedigbaar zijn.</w:t>
      </w:r>
    </w:p>
    <w:p w:rsidR="00132BF9" w:rsidP="00132BF9" w:rsidRDefault="00132BF9" w14:paraId="77D86729" w14:textId="77777777">
      <w:pPr>
        <w:rPr>
          <w:szCs w:val="18"/>
        </w:rPr>
      </w:pPr>
    </w:p>
    <w:p w:rsidRPr="002D5FB4" w:rsidR="00132BF9" w:rsidP="00132BF9" w:rsidRDefault="00132BF9" w14:paraId="43FA89A7" w14:textId="77777777">
      <w:pPr>
        <w:rPr>
          <w:szCs w:val="18"/>
        </w:rPr>
      </w:pPr>
      <w:r w:rsidRPr="002D5FB4">
        <w:rPr>
          <w:szCs w:val="18"/>
        </w:rPr>
        <w:t>Het innovatiebeleid om Nederland een koploper op het terrein van innovatie te maken slaagt, maar de 3%-doelstelling voor R&amp;D-investeringen wordt vooralsnog niet behaald.</w:t>
      </w:r>
    </w:p>
    <w:bookmarkEnd w:id="0"/>
    <w:p w:rsidR="00132BF9" w:rsidP="00132BF9" w:rsidRDefault="00132BF9" w14:paraId="7D7FABF3" w14:textId="77777777">
      <w:pPr>
        <w:rPr>
          <w:szCs w:val="18"/>
        </w:rPr>
      </w:pPr>
    </w:p>
    <w:p w:rsidR="00132BF9" w:rsidP="00132BF9" w:rsidRDefault="00400F22" w14:paraId="25F472C7" w14:textId="738EA29F">
      <w:pPr>
        <w:rPr>
          <w:szCs w:val="18"/>
        </w:rPr>
      </w:pPr>
      <w:r>
        <w:rPr>
          <w:szCs w:val="18"/>
        </w:rPr>
        <w:t>Ik</w:t>
      </w:r>
      <w:r w:rsidRPr="00482304" w:rsidR="00132BF9">
        <w:rPr>
          <w:szCs w:val="18"/>
        </w:rPr>
        <w:t xml:space="preserve"> zal </w:t>
      </w:r>
      <w:r w:rsidR="00132BF9">
        <w:rPr>
          <w:szCs w:val="18"/>
        </w:rPr>
        <w:t xml:space="preserve">in het voorjaar </w:t>
      </w:r>
      <w:r w:rsidRPr="00482304" w:rsidR="00132BF9">
        <w:rPr>
          <w:szCs w:val="18"/>
        </w:rPr>
        <w:t xml:space="preserve">nader ingaan op </w:t>
      </w:r>
      <w:r w:rsidR="00132BF9">
        <w:rPr>
          <w:szCs w:val="18"/>
        </w:rPr>
        <w:t xml:space="preserve">de kernconclusies, </w:t>
      </w:r>
      <w:r w:rsidRPr="00482304" w:rsidR="00132BF9">
        <w:rPr>
          <w:szCs w:val="18"/>
        </w:rPr>
        <w:t xml:space="preserve">specifieke bevindingen en </w:t>
      </w:r>
      <w:r w:rsidR="00132BF9">
        <w:rPr>
          <w:szCs w:val="18"/>
        </w:rPr>
        <w:t xml:space="preserve">de </w:t>
      </w:r>
      <w:r w:rsidRPr="00482304" w:rsidR="00132BF9">
        <w:rPr>
          <w:szCs w:val="18"/>
        </w:rPr>
        <w:t>aanbevelingen</w:t>
      </w:r>
      <w:r w:rsidR="00132BF9">
        <w:rPr>
          <w:szCs w:val="18"/>
        </w:rPr>
        <w:t xml:space="preserve"> uit de periodieke rapportages.</w:t>
      </w:r>
    </w:p>
    <w:p w:rsidR="00132BF9" w:rsidP="00132BF9" w:rsidRDefault="00132BF9" w14:paraId="2DE40C8B" w14:textId="77777777">
      <w:pPr>
        <w:rPr>
          <w:szCs w:val="18"/>
        </w:rPr>
      </w:pPr>
    </w:p>
    <w:p w:rsidR="00AC338F" w:rsidP="00132BF9" w:rsidRDefault="00AC338F" w14:paraId="1B0F297F" w14:textId="77777777">
      <w:pPr>
        <w:rPr>
          <w:szCs w:val="18"/>
        </w:rPr>
      </w:pPr>
    </w:p>
    <w:p w:rsidR="00AC338F" w:rsidP="00132BF9" w:rsidRDefault="00AC338F" w14:paraId="781B94AC" w14:textId="77777777">
      <w:pPr>
        <w:rPr>
          <w:szCs w:val="18"/>
        </w:rPr>
      </w:pPr>
    </w:p>
    <w:p w:rsidR="00AC338F" w:rsidP="00132BF9" w:rsidRDefault="00AC338F" w14:paraId="67217F6C" w14:textId="77777777">
      <w:pPr>
        <w:rPr>
          <w:szCs w:val="18"/>
        </w:rPr>
      </w:pPr>
    </w:p>
    <w:p w:rsidR="00AC338F" w:rsidP="00132BF9" w:rsidRDefault="00AC338F" w14:paraId="131C2448" w14:textId="77777777">
      <w:pPr>
        <w:rPr>
          <w:szCs w:val="18"/>
        </w:rPr>
      </w:pPr>
    </w:p>
    <w:p w:rsidRPr="00482304" w:rsidR="00132BF9" w:rsidP="00132BF9" w:rsidRDefault="003B3A23" w14:paraId="20C1F894" w14:textId="24B371A9">
      <w:pPr>
        <w:rPr>
          <w:szCs w:val="18"/>
        </w:rPr>
      </w:pPr>
      <w:r>
        <w:rPr>
          <w:szCs w:val="18"/>
        </w:rPr>
        <w:t>Heleen Herbert</w:t>
      </w:r>
    </w:p>
    <w:p w:rsidRPr="00482304" w:rsidR="00132BF9" w:rsidP="00132BF9" w:rsidRDefault="00132BF9" w14:paraId="4C6A1590" w14:textId="590D5CCC">
      <w:pPr>
        <w:rPr>
          <w:szCs w:val="18"/>
        </w:rPr>
      </w:pPr>
      <w:r w:rsidRPr="00482304">
        <w:rPr>
          <w:szCs w:val="18"/>
        </w:rPr>
        <w:t>Minister van Economische Zaken</w:t>
      </w:r>
      <w:r w:rsidR="003B3A23">
        <w:rPr>
          <w:szCs w:val="18"/>
        </w:rPr>
        <w:t xml:space="preserve"> en Klimaat</w:t>
      </w:r>
    </w:p>
    <w:p w:rsidR="004425CC" w:rsidP="00132BF9" w:rsidRDefault="004425CC" w14:paraId="05A9B018" w14:textId="592400B2"/>
    <w:sectPr w:rsidR="004425CC" w:rsidSect="00D604B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5E86" w14:textId="77777777" w:rsidR="00453BFF" w:rsidRDefault="00453BFF">
      <w:r>
        <w:separator/>
      </w:r>
    </w:p>
    <w:p w14:paraId="74B80F32" w14:textId="77777777" w:rsidR="00453BFF" w:rsidRDefault="00453BFF"/>
  </w:endnote>
  <w:endnote w:type="continuationSeparator" w:id="0">
    <w:p w14:paraId="34367C23" w14:textId="77777777" w:rsidR="00453BFF" w:rsidRDefault="00453BFF">
      <w:r>
        <w:continuationSeparator/>
      </w:r>
    </w:p>
    <w:p w14:paraId="29452BAC" w14:textId="77777777" w:rsidR="00453BFF" w:rsidRDefault="00453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446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D1619" w14:paraId="5EA55E60" w14:textId="77777777" w:rsidTr="00CA6A25">
      <w:trPr>
        <w:trHeight w:hRule="exact" w:val="240"/>
      </w:trPr>
      <w:tc>
        <w:tcPr>
          <w:tcW w:w="7601" w:type="dxa"/>
        </w:tcPr>
        <w:p w14:paraId="151AB5B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CBAA053" w14:textId="479ECD8C" w:rsidR="00527BD4" w:rsidRPr="00645414" w:rsidRDefault="00C4318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2C3667">
            <w:t>2</w:t>
          </w:r>
          <w:r w:rsidR="004425CC">
            <w:fldChar w:fldCharType="end"/>
          </w:r>
        </w:p>
      </w:tc>
    </w:tr>
  </w:tbl>
  <w:p w14:paraId="09227AF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D1619" w14:paraId="667D4024" w14:textId="77777777" w:rsidTr="00CA6A25">
      <w:trPr>
        <w:trHeight w:hRule="exact" w:val="240"/>
      </w:trPr>
      <w:tc>
        <w:tcPr>
          <w:tcW w:w="7601" w:type="dxa"/>
        </w:tcPr>
        <w:p w14:paraId="653C255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F72142F" w14:textId="71C9E33A" w:rsidR="00527BD4" w:rsidRPr="00ED539E" w:rsidRDefault="00C4318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 w:rsidR="002C3667">
            <w:t>2</w:t>
          </w:r>
          <w:r w:rsidR="00396A8F">
            <w:fldChar w:fldCharType="end"/>
          </w:r>
        </w:p>
      </w:tc>
    </w:tr>
  </w:tbl>
  <w:p w14:paraId="6E12829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728A8B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847C" w14:textId="77777777" w:rsidR="00453BFF" w:rsidRDefault="00453BFF">
      <w:r>
        <w:separator/>
      </w:r>
    </w:p>
    <w:p w14:paraId="247371B9" w14:textId="77777777" w:rsidR="00453BFF" w:rsidRDefault="00453BFF"/>
  </w:footnote>
  <w:footnote w:type="continuationSeparator" w:id="0">
    <w:p w14:paraId="2541AE75" w14:textId="77777777" w:rsidR="00453BFF" w:rsidRDefault="00453BFF">
      <w:r>
        <w:continuationSeparator/>
      </w:r>
    </w:p>
    <w:p w14:paraId="63CE8A41" w14:textId="77777777" w:rsidR="00453BFF" w:rsidRDefault="00453B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D1619" w14:paraId="77142197" w14:textId="77777777" w:rsidTr="00A50CF6">
      <w:tc>
        <w:tcPr>
          <w:tcW w:w="2156" w:type="dxa"/>
        </w:tcPr>
        <w:p w14:paraId="1E5D29AA" w14:textId="77777777" w:rsidR="00527BD4" w:rsidRPr="005819CE" w:rsidRDefault="00C4318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</w:tc>
    </w:tr>
    <w:tr w:rsidR="00DD1619" w14:paraId="3B33F5A5" w14:textId="77777777" w:rsidTr="00A50CF6">
      <w:trPr>
        <w:trHeight w:hRule="exact" w:val="200"/>
      </w:trPr>
      <w:tc>
        <w:tcPr>
          <w:tcW w:w="2156" w:type="dxa"/>
        </w:tcPr>
        <w:p w14:paraId="5A599EF5" w14:textId="77777777" w:rsidR="00527BD4" w:rsidRPr="005819CE" w:rsidRDefault="00527BD4" w:rsidP="00A50CF6"/>
      </w:tc>
    </w:tr>
    <w:tr w:rsidR="00DD1619" w14:paraId="764CCA92" w14:textId="77777777" w:rsidTr="00502512">
      <w:trPr>
        <w:trHeight w:hRule="exact" w:val="774"/>
      </w:trPr>
      <w:tc>
        <w:tcPr>
          <w:tcW w:w="2156" w:type="dxa"/>
        </w:tcPr>
        <w:p w14:paraId="53639035" w14:textId="77777777" w:rsidR="00527BD4" w:rsidRDefault="00C43189" w:rsidP="003A5290">
          <w:pPr>
            <w:pStyle w:val="Huisstijl-Kopje"/>
          </w:pPr>
          <w:r>
            <w:t>Ons kenmerk</w:t>
          </w:r>
        </w:p>
        <w:p w14:paraId="2DA03638" w14:textId="200B5949" w:rsidR="00527BD4" w:rsidRPr="005819CE" w:rsidRDefault="00C43189" w:rsidP="00AC338F">
          <w:pPr>
            <w:pStyle w:val="Huisstijl-Kopje"/>
          </w:pPr>
          <w:r>
            <w:rPr>
              <w:b w:val="0"/>
            </w:rPr>
            <w:t>DGBI-O</w:t>
          </w:r>
          <w:r w:rsidRPr="00502512">
            <w:rPr>
              <w:b w:val="0"/>
            </w:rPr>
            <w:t xml:space="preserve"> /</w:t>
          </w:r>
          <w:r w:rsidR="00AC338F">
            <w:rPr>
              <w:b w:val="0"/>
            </w:rPr>
            <w:t xml:space="preserve"> </w:t>
          </w:r>
          <w:r w:rsidR="00AC338F" w:rsidRPr="00AC338F">
            <w:rPr>
              <w:b w:val="0"/>
            </w:rPr>
            <w:t>104248732</w:t>
          </w:r>
        </w:p>
      </w:tc>
    </w:tr>
  </w:tbl>
  <w:p w14:paraId="7B044722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E29EC8B" w14:textId="77777777" w:rsidR="00527BD4" w:rsidRDefault="00527BD4" w:rsidP="008C356D"/>
  <w:p w14:paraId="4FA62B8D" w14:textId="77777777" w:rsidR="00527BD4" w:rsidRPr="00740712" w:rsidRDefault="00527BD4" w:rsidP="004F44C2"/>
  <w:p w14:paraId="34E1A1B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D1619" w14:paraId="437E6A2F" w14:textId="77777777" w:rsidTr="00751A6A">
      <w:trPr>
        <w:trHeight w:val="2636"/>
      </w:trPr>
      <w:tc>
        <w:tcPr>
          <w:tcW w:w="737" w:type="dxa"/>
        </w:tcPr>
        <w:p w14:paraId="2F5C2E22" w14:textId="394B5DEE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E62A2DE" w14:textId="77777777" w:rsidR="00527BD4" w:rsidRDefault="00C43189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C6E1C85" wp14:editId="2749272F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0F1AA8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3BC6E0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ED6046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D1619" w:rsidRPr="0098769F" w14:paraId="4F9814D6" w14:textId="77777777" w:rsidTr="00A50CF6">
      <w:tc>
        <w:tcPr>
          <w:tcW w:w="2160" w:type="dxa"/>
        </w:tcPr>
        <w:p w14:paraId="03736838" w14:textId="77777777" w:rsidR="00527BD4" w:rsidRPr="005819CE" w:rsidRDefault="00C4318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  <w:p w14:paraId="7D71D16E" w14:textId="77777777" w:rsidR="00527BD4" w:rsidRPr="00BE5ED9" w:rsidRDefault="00C4318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27C65CB" w14:textId="77777777" w:rsidR="00EF495B" w:rsidRDefault="00C4318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959E7E6" w14:textId="77777777" w:rsidR="00EF495B" w:rsidRPr="005B3814" w:rsidRDefault="00C4318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CC8D4CA" w14:textId="624FED3E" w:rsidR="00527BD4" w:rsidRPr="00AC338F" w:rsidRDefault="00C4318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DD1619" w:rsidRPr="0098769F" w14:paraId="5600DE9F" w14:textId="77777777" w:rsidTr="00A50CF6">
      <w:trPr>
        <w:trHeight w:hRule="exact" w:val="200"/>
      </w:trPr>
      <w:tc>
        <w:tcPr>
          <w:tcW w:w="2160" w:type="dxa"/>
        </w:tcPr>
        <w:p w14:paraId="18642C36" w14:textId="77777777" w:rsidR="00527BD4" w:rsidRPr="00AC338F" w:rsidRDefault="00527BD4" w:rsidP="00A50CF6"/>
      </w:tc>
    </w:tr>
    <w:tr w:rsidR="00DD1619" w14:paraId="214EBB79" w14:textId="77777777" w:rsidTr="00A50CF6">
      <w:tc>
        <w:tcPr>
          <w:tcW w:w="2160" w:type="dxa"/>
        </w:tcPr>
        <w:p w14:paraId="7A694CC7" w14:textId="77777777" w:rsidR="000C0163" w:rsidRPr="005819CE" w:rsidRDefault="00C4318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4B37863" w14:textId="68F5E1C8" w:rsidR="000C0163" w:rsidRPr="005819CE" w:rsidRDefault="00C43189" w:rsidP="00AC338F">
          <w:pPr>
            <w:pStyle w:val="Huisstijl-Gegeven"/>
          </w:pPr>
          <w:r>
            <w:t>DGBI-O</w:t>
          </w:r>
          <w:r w:rsidR="00926AE2">
            <w:t xml:space="preserve"> / </w:t>
          </w:r>
          <w:r w:rsidR="00AC338F">
            <w:t>104248732</w:t>
          </w:r>
        </w:p>
        <w:p w14:paraId="775C8B06" w14:textId="77777777" w:rsidR="00527BD4" w:rsidRPr="005819CE" w:rsidRDefault="00527BD4" w:rsidP="00A50CF6">
          <w:pPr>
            <w:pStyle w:val="Huisstijl-Gegeven"/>
          </w:pPr>
        </w:p>
        <w:p w14:paraId="344E60BD" w14:textId="77777777" w:rsidR="00527BD4" w:rsidRPr="005819CE" w:rsidRDefault="00C43189" w:rsidP="00A50CF6">
          <w:pPr>
            <w:pStyle w:val="Huisstijl-Kopje"/>
          </w:pPr>
          <w:r>
            <w:t>Bijlage(n)</w:t>
          </w:r>
        </w:p>
        <w:p w14:paraId="3DE1FA5E" w14:textId="01DDC7BC" w:rsidR="00527BD4" w:rsidRPr="005819CE" w:rsidRDefault="00AC338F" w:rsidP="00A50CF6">
          <w:pPr>
            <w:pStyle w:val="Huisstijl-Gegeven"/>
          </w:pPr>
          <w:r>
            <w:t>3</w:t>
          </w:r>
        </w:p>
      </w:tc>
    </w:tr>
  </w:tbl>
  <w:p w14:paraId="647AC3D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D1619" w14:paraId="24DC6BE7" w14:textId="77777777" w:rsidTr="007610AA">
      <w:trPr>
        <w:trHeight w:val="400"/>
      </w:trPr>
      <w:tc>
        <w:tcPr>
          <w:tcW w:w="7520" w:type="dxa"/>
          <w:gridSpan w:val="2"/>
        </w:tcPr>
        <w:p w14:paraId="54B7A908" w14:textId="77777777" w:rsidR="00527BD4" w:rsidRPr="00BC3B53" w:rsidRDefault="00C4318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D1619" w14:paraId="05F09B5F" w14:textId="77777777" w:rsidTr="007610AA">
      <w:tc>
        <w:tcPr>
          <w:tcW w:w="7520" w:type="dxa"/>
          <w:gridSpan w:val="2"/>
        </w:tcPr>
        <w:p w14:paraId="37244826" w14:textId="77777777" w:rsidR="00527BD4" w:rsidRPr="00983E8F" w:rsidRDefault="00527BD4" w:rsidP="00A50CF6">
          <w:pPr>
            <w:pStyle w:val="Huisstijl-Rubricering"/>
          </w:pPr>
        </w:p>
      </w:tc>
    </w:tr>
    <w:tr w:rsidR="00DD1619" w14:paraId="600CC184" w14:textId="77777777" w:rsidTr="007610AA">
      <w:trPr>
        <w:trHeight w:hRule="exact" w:val="2440"/>
      </w:trPr>
      <w:tc>
        <w:tcPr>
          <w:tcW w:w="7520" w:type="dxa"/>
          <w:gridSpan w:val="2"/>
        </w:tcPr>
        <w:p w14:paraId="141312C4" w14:textId="77777777" w:rsidR="00B10CC0" w:rsidRDefault="00B10CC0" w:rsidP="00B10CC0">
          <w:pPr>
            <w:pStyle w:val="Huisstijl-NAW"/>
          </w:pPr>
          <w:r>
            <w:t xml:space="preserve">De Voorzitter van de Tweede Kamer </w:t>
          </w:r>
        </w:p>
        <w:p w14:paraId="3AC3B182" w14:textId="77777777" w:rsidR="00B10CC0" w:rsidRDefault="00B10CC0" w:rsidP="00B10CC0">
          <w:pPr>
            <w:pStyle w:val="Huisstijl-NAW"/>
          </w:pPr>
          <w:r>
            <w:t>der Staten-Generaal</w:t>
          </w:r>
        </w:p>
        <w:p w14:paraId="007DACEF" w14:textId="77777777" w:rsidR="00B10CC0" w:rsidRDefault="00B10CC0" w:rsidP="00B10CC0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D1F2CF6" w14:textId="5B03BFBA" w:rsidR="00DD1619" w:rsidRDefault="00B10CC0" w:rsidP="00B10CC0">
          <w:pPr>
            <w:pStyle w:val="Huisstijl-NAW"/>
          </w:pPr>
          <w:r>
            <w:t>2595 BD  DEN HAAG</w:t>
          </w:r>
        </w:p>
      </w:tc>
    </w:tr>
    <w:tr w:rsidR="00DD1619" w14:paraId="24352359" w14:textId="77777777" w:rsidTr="007610AA">
      <w:trPr>
        <w:trHeight w:hRule="exact" w:val="400"/>
      </w:trPr>
      <w:tc>
        <w:tcPr>
          <w:tcW w:w="7520" w:type="dxa"/>
          <w:gridSpan w:val="2"/>
        </w:tcPr>
        <w:p w14:paraId="6468D15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D1619" w14:paraId="714C62F0" w14:textId="77777777" w:rsidTr="007610AA">
      <w:trPr>
        <w:trHeight w:val="240"/>
      </w:trPr>
      <w:tc>
        <w:tcPr>
          <w:tcW w:w="900" w:type="dxa"/>
        </w:tcPr>
        <w:p w14:paraId="2599CE26" w14:textId="77777777" w:rsidR="00527BD4" w:rsidRPr="007709EF" w:rsidRDefault="00C4318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8863FDB" w14:textId="783B6216" w:rsidR="00527BD4" w:rsidRPr="007709EF" w:rsidRDefault="00840645" w:rsidP="00A50CF6">
          <w:r>
            <w:t>11 maart 2026</w:t>
          </w:r>
        </w:p>
      </w:tc>
    </w:tr>
    <w:tr w:rsidR="00DD1619" w14:paraId="091DBDBC" w14:textId="77777777" w:rsidTr="007610AA">
      <w:trPr>
        <w:trHeight w:val="240"/>
      </w:trPr>
      <w:tc>
        <w:tcPr>
          <w:tcW w:w="900" w:type="dxa"/>
        </w:tcPr>
        <w:p w14:paraId="1A7C7BBD" w14:textId="77777777" w:rsidR="00527BD4" w:rsidRPr="007709EF" w:rsidRDefault="00C4318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4A3C087" w14:textId="35FA8103" w:rsidR="00527BD4" w:rsidRPr="007709EF" w:rsidRDefault="00C43189" w:rsidP="00A50CF6">
          <w:r>
            <w:t xml:space="preserve">Publicatie </w:t>
          </w:r>
          <w:r w:rsidR="00960C99">
            <w:t>p</w:t>
          </w:r>
          <w:r>
            <w:t xml:space="preserve">eriodieke rapportages </w:t>
          </w:r>
          <w:r w:rsidR="00061516">
            <w:t>o</w:t>
          </w:r>
          <w:r>
            <w:t xml:space="preserve">ndernemerschap en </w:t>
          </w:r>
          <w:r w:rsidR="00061516">
            <w:t>i</w:t>
          </w:r>
          <w:r>
            <w:t>nnovatiebeleid</w:t>
          </w:r>
        </w:p>
      </w:tc>
    </w:tr>
  </w:tbl>
  <w:p w14:paraId="55047BB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750212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1CAE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946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C64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7E21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0AD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E6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81C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763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9B8197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12AB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70E2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84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827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4E9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2B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40A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7C5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3047481">
    <w:abstractNumId w:val="10"/>
  </w:num>
  <w:num w:numId="2" w16cid:durableId="1910000721">
    <w:abstractNumId w:val="7"/>
  </w:num>
  <w:num w:numId="3" w16cid:durableId="2079549494">
    <w:abstractNumId w:val="6"/>
  </w:num>
  <w:num w:numId="4" w16cid:durableId="687875684">
    <w:abstractNumId w:val="5"/>
  </w:num>
  <w:num w:numId="5" w16cid:durableId="1995063070">
    <w:abstractNumId w:val="4"/>
  </w:num>
  <w:num w:numId="6" w16cid:durableId="1558053156">
    <w:abstractNumId w:val="8"/>
  </w:num>
  <w:num w:numId="7" w16cid:durableId="929773619">
    <w:abstractNumId w:val="3"/>
  </w:num>
  <w:num w:numId="8" w16cid:durableId="556014701">
    <w:abstractNumId w:val="2"/>
  </w:num>
  <w:num w:numId="9" w16cid:durableId="836306050">
    <w:abstractNumId w:val="1"/>
  </w:num>
  <w:num w:numId="10" w16cid:durableId="1282691914">
    <w:abstractNumId w:val="0"/>
  </w:num>
  <w:num w:numId="11" w16cid:durableId="894780960">
    <w:abstractNumId w:val="9"/>
  </w:num>
  <w:num w:numId="12" w16cid:durableId="170533182">
    <w:abstractNumId w:val="11"/>
  </w:num>
  <w:num w:numId="13" w16cid:durableId="2115901181">
    <w:abstractNumId w:val="13"/>
  </w:num>
  <w:num w:numId="14" w16cid:durableId="135850772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1516"/>
    <w:rsid w:val="00071F28"/>
    <w:rsid w:val="00074079"/>
    <w:rsid w:val="0008776B"/>
    <w:rsid w:val="00092799"/>
    <w:rsid w:val="00092893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C7BC3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2BF9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0DE8"/>
    <w:rsid w:val="001B29E9"/>
    <w:rsid w:val="001B46A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26882"/>
    <w:rsid w:val="002309A8"/>
    <w:rsid w:val="002319A6"/>
    <w:rsid w:val="002369BF"/>
    <w:rsid w:val="00236CFE"/>
    <w:rsid w:val="002428E3"/>
    <w:rsid w:val="00243031"/>
    <w:rsid w:val="0025107A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C3667"/>
    <w:rsid w:val="002D001A"/>
    <w:rsid w:val="002D28E2"/>
    <w:rsid w:val="002D317B"/>
    <w:rsid w:val="002D3587"/>
    <w:rsid w:val="002D502D"/>
    <w:rsid w:val="002E0F69"/>
    <w:rsid w:val="002F0C92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487F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3A23"/>
    <w:rsid w:val="003B7EE7"/>
    <w:rsid w:val="003C2CCB"/>
    <w:rsid w:val="003D39EC"/>
    <w:rsid w:val="003D5DED"/>
    <w:rsid w:val="003E2286"/>
    <w:rsid w:val="003E3DD5"/>
    <w:rsid w:val="003F07C6"/>
    <w:rsid w:val="003F1F6B"/>
    <w:rsid w:val="003F3757"/>
    <w:rsid w:val="003F38BD"/>
    <w:rsid w:val="003F44B7"/>
    <w:rsid w:val="004008E9"/>
    <w:rsid w:val="00400F22"/>
    <w:rsid w:val="00412BA5"/>
    <w:rsid w:val="00413D48"/>
    <w:rsid w:val="00441AC2"/>
    <w:rsid w:val="0044249B"/>
    <w:rsid w:val="004425CC"/>
    <w:rsid w:val="0045023C"/>
    <w:rsid w:val="00451A5B"/>
    <w:rsid w:val="00452BCD"/>
    <w:rsid w:val="00452CEA"/>
    <w:rsid w:val="00453BFF"/>
    <w:rsid w:val="00461DF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E6E2D"/>
    <w:rsid w:val="004F42FF"/>
    <w:rsid w:val="004F44C2"/>
    <w:rsid w:val="004F4EEF"/>
    <w:rsid w:val="00502512"/>
    <w:rsid w:val="00503FD2"/>
    <w:rsid w:val="00505262"/>
    <w:rsid w:val="00516022"/>
    <w:rsid w:val="00521CEE"/>
    <w:rsid w:val="00521DAB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B570B"/>
    <w:rsid w:val="005C34E1"/>
    <w:rsid w:val="005C3FE0"/>
    <w:rsid w:val="005C65B5"/>
    <w:rsid w:val="005C740C"/>
    <w:rsid w:val="005D625B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4676"/>
    <w:rsid w:val="00705433"/>
    <w:rsid w:val="00714DC5"/>
    <w:rsid w:val="00715237"/>
    <w:rsid w:val="00721AE1"/>
    <w:rsid w:val="00724609"/>
    <w:rsid w:val="007254A5"/>
    <w:rsid w:val="00725748"/>
    <w:rsid w:val="007269E3"/>
    <w:rsid w:val="00735D88"/>
    <w:rsid w:val="0073720D"/>
    <w:rsid w:val="00737507"/>
    <w:rsid w:val="00740712"/>
    <w:rsid w:val="00742AB9"/>
    <w:rsid w:val="00743614"/>
    <w:rsid w:val="00746C31"/>
    <w:rsid w:val="00751A6A"/>
    <w:rsid w:val="00754FBF"/>
    <w:rsid w:val="007610AA"/>
    <w:rsid w:val="007627C5"/>
    <w:rsid w:val="0076571C"/>
    <w:rsid w:val="007709EF"/>
    <w:rsid w:val="00774DB4"/>
    <w:rsid w:val="00782701"/>
    <w:rsid w:val="00783559"/>
    <w:rsid w:val="0079551B"/>
    <w:rsid w:val="00797AA5"/>
    <w:rsid w:val="007A26BD"/>
    <w:rsid w:val="007A4105"/>
    <w:rsid w:val="007B4503"/>
    <w:rsid w:val="007C406E"/>
    <w:rsid w:val="007C5180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26A18"/>
    <w:rsid w:val="0083178B"/>
    <w:rsid w:val="00831EE4"/>
    <w:rsid w:val="00833695"/>
    <w:rsid w:val="008336B7"/>
    <w:rsid w:val="00833A8E"/>
    <w:rsid w:val="00836ACA"/>
    <w:rsid w:val="00840645"/>
    <w:rsid w:val="00842CD8"/>
    <w:rsid w:val="008431FA"/>
    <w:rsid w:val="008464FA"/>
    <w:rsid w:val="00847444"/>
    <w:rsid w:val="008517C6"/>
    <w:rsid w:val="008547BA"/>
    <w:rsid w:val="008553C7"/>
    <w:rsid w:val="00857FEB"/>
    <w:rsid w:val="008601AF"/>
    <w:rsid w:val="00865288"/>
    <w:rsid w:val="00872271"/>
    <w:rsid w:val="00883137"/>
    <w:rsid w:val="008875F4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2A9D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446FF"/>
    <w:rsid w:val="00960C99"/>
    <w:rsid w:val="009716D8"/>
    <w:rsid w:val="009718F9"/>
    <w:rsid w:val="00971F42"/>
    <w:rsid w:val="00972FB9"/>
    <w:rsid w:val="00975112"/>
    <w:rsid w:val="00981768"/>
    <w:rsid w:val="00983E8F"/>
    <w:rsid w:val="0098769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1C66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0179"/>
    <w:rsid w:val="00AC338F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0CC0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4D9E"/>
    <w:rsid w:val="00B55014"/>
    <w:rsid w:val="00B563D6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709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189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4263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0DA0"/>
    <w:rsid w:val="00D62419"/>
    <w:rsid w:val="00D77870"/>
    <w:rsid w:val="00D80977"/>
    <w:rsid w:val="00D80CCE"/>
    <w:rsid w:val="00D819B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619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44DFC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6F65"/>
    <w:rsid w:val="00F34805"/>
    <w:rsid w:val="00F41A6F"/>
    <w:rsid w:val="00F45A25"/>
    <w:rsid w:val="00F50F86"/>
    <w:rsid w:val="00F53F91"/>
    <w:rsid w:val="00F61569"/>
    <w:rsid w:val="00F61A72"/>
    <w:rsid w:val="00F62B67"/>
    <w:rsid w:val="00F636C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C64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57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8875F4"/>
    <w:rPr>
      <w:vertAlign w:val="superscript"/>
    </w:rPr>
  </w:style>
  <w:style w:type="character" w:styleId="Verwijzingopmerking">
    <w:name w:val="annotation reference"/>
    <w:basedOn w:val="Standaardalinea-lettertype"/>
    <w:semiHidden/>
    <w:unhideWhenUsed/>
    <w:rsid w:val="00CE426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E42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E4263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E42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E4263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ek.officielebekendmakingen.nl/stcrt-2022-19587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3009-147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741</ap:Words>
  <ap:Characters>4079</ap:Characters>
  <ap:DocSecurity>0</ap:DocSecurity>
  <ap:Lines>33</ap:Lines>
  <ap:Paragraphs>9</ap:Paragraphs>
  <ap:ScaleCrop>false</ap:ScaleCrop>
  <ap:LinksUpToDate>false</ap:LinksUpToDate>
  <ap:CharactersWithSpaces>4811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2026-03-11T15:54:00.0000000Z</dcterms:created>
  <dcterms:modified xsi:type="dcterms:W3CDTF">2026-03-11T15:54:00.0000000Z</dcterms:modified>
  <dc:description>------------------------</dc:description>
  <dc:subject/>
  <keywords/>
  <version/>
  <category/>
</coreProperties>
</file>