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B8E" w:rsidP="00A42B8E" w:rsidRDefault="00A42B8E" w14:paraId="25ACCDA7" w14:textId="5E53FFF9">
      <w:pPr>
        <w:spacing w:line="240" w:lineRule="auto"/>
      </w:pPr>
      <w:r>
        <w:t>AH 1298</w:t>
      </w:r>
    </w:p>
    <w:p w:rsidR="00A42B8E" w:rsidP="00A42B8E" w:rsidRDefault="00A42B8E" w14:paraId="479A968B" w14:textId="3830F56D">
      <w:pPr>
        <w:spacing w:line="240" w:lineRule="auto"/>
      </w:pPr>
      <w:r>
        <w:t>2026Z03621</w:t>
      </w:r>
    </w:p>
    <w:p w:rsidR="00A42B8E" w:rsidP="00A42B8E" w:rsidRDefault="00A42B8E" w14:paraId="5681E727" w14:textId="3A0A7CE3">
      <w:pPr>
        <w:spacing w:line="240" w:lineRule="auto"/>
      </w:pPr>
      <w:r w:rsidRPr="00D25B3E">
        <w:rPr>
          <w:sz w:val="24"/>
          <w:szCs w:val="24"/>
        </w:rPr>
        <w:t>Antwoord van minister Heerma (Binnenlandse Zaken en Koninkrijksrelaties) (ontvangen</w:t>
      </w:r>
      <w:r>
        <w:rPr>
          <w:sz w:val="24"/>
          <w:szCs w:val="24"/>
        </w:rPr>
        <w:t xml:space="preserve">  12 maart 2026)</w:t>
      </w:r>
    </w:p>
    <w:p w:rsidR="00A42B8E" w:rsidP="00A42B8E" w:rsidRDefault="00A42B8E" w14:paraId="715A5263" w14:textId="77777777">
      <w:r w:rsidRPr="000A7C80">
        <w:rPr>
          <w:b/>
          <w:bCs/>
        </w:rPr>
        <w:t>Vraag 1.</w:t>
      </w:r>
      <w:r w:rsidRPr="000A7C80">
        <w:t xml:space="preserve"> Bent u bekend met het recent gepubliceerde Amerikaanse onderzoeksrapport d.d. 3 februari jl. The foreign censorship threat, part II: Europe’s decade-long campaign to censor the global internet and how it harms American speech in the United States, waarin wordt verwezen naar Europese en nationale betrokkenheid bij moderatie van politiek-inhoudelijke uitingen op sociale media?</w:t>
      </w:r>
      <w:r>
        <w:rPr>
          <w:rStyle w:val="Voetnootmarkering"/>
        </w:rPr>
        <w:footnoteReference w:id="1"/>
      </w:r>
    </w:p>
    <w:p w:rsidR="00A42B8E" w:rsidP="00A42B8E" w:rsidRDefault="00A42B8E" w14:paraId="31178E30" w14:textId="77777777"/>
    <w:p w:rsidR="00A42B8E" w:rsidP="00A42B8E" w:rsidRDefault="00A42B8E" w14:paraId="6FB68267" w14:textId="77777777">
      <w:pPr>
        <w:rPr>
          <w:b/>
          <w:bCs/>
        </w:rPr>
      </w:pPr>
      <w:r>
        <w:rPr>
          <w:b/>
          <w:bCs/>
        </w:rPr>
        <w:t xml:space="preserve">Antwoord: </w:t>
      </w:r>
    </w:p>
    <w:p w:rsidRPr="00F02B99" w:rsidR="00A42B8E" w:rsidP="00A42B8E" w:rsidRDefault="00A42B8E" w14:paraId="47B5A7BF" w14:textId="77777777">
      <w:r>
        <w:t xml:space="preserve">Ja, daar ben ik mee bekend. </w:t>
      </w:r>
    </w:p>
    <w:p w:rsidRPr="000A7C80" w:rsidR="00A42B8E" w:rsidP="00A42B8E" w:rsidRDefault="00A42B8E" w14:paraId="1EF12DD2" w14:textId="77777777">
      <w:pPr>
        <w:rPr>
          <w:b/>
          <w:bCs/>
        </w:rPr>
      </w:pPr>
    </w:p>
    <w:p w:rsidR="00A42B8E" w:rsidP="00A42B8E" w:rsidRDefault="00A42B8E" w14:paraId="25778631" w14:textId="77777777">
      <w:r w:rsidRPr="000A7C80">
        <w:rPr>
          <w:b/>
          <w:bCs/>
        </w:rPr>
        <w:t>Vraag 2.</w:t>
      </w:r>
      <w:r w:rsidRPr="000A7C80">
        <w:t xml:space="preserve"> Hoe beoordeelt u het feit dat de EU in 2023 een handboek opstelde voor techbedrijven om te modereren bij de volgende onderwerpen: “populist rhetoric”, “anti-government/anti-EU”-content, “anti-elite”-content, “political satire”, “anti-migrants and Islamophobic content”, “antirefugee/ immigrant sentiment”, “anti-LGBTIQ . . . content” en “meme subculture”?</w:t>
      </w:r>
      <w:r>
        <w:rPr>
          <w:rStyle w:val="Voetnootmarkering"/>
        </w:rPr>
        <w:footnoteReference w:id="2"/>
      </w:r>
      <w:r w:rsidRPr="000A7C80">
        <w:t xml:space="preserve"> Kunt u uw antwoord toelichten? </w:t>
      </w:r>
    </w:p>
    <w:p w:rsidR="00A42B8E" w:rsidP="00A42B8E" w:rsidRDefault="00A42B8E" w14:paraId="7563C26A" w14:textId="77777777"/>
    <w:p w:rsidR="00A42B8E" w:rsidP="00A42B8E" w:rsidRDefault="00A42B8E" w14:paraId="0F265AB1" w14:textId="77777777">
      <w:pPr>
        <w:rPr>
          <w:b/>
          <w:bCs/>
        </w:rPr>
      </w:pPr>
      <w:r>
        <w:rPr>
          <w:b/>
          <w:bCs/>
        </w:rPr>
        <w:t>Antwoord</w:t>
      </w:r>
      <w:r w:rsidRPr="0006482D">
        <w:rPr>
          <w:b/>
          <w:bCs/>
        </w:rPr>
        <w:t>:</w:t>
      </w:r>
      <w:r w:rsidRPr="0006482D">
        <w:t xml:space="preserve"> Het opgestelde handboek in 2023</w:t>
      </w:r>
      <w:r>
        <w:t xml:space="preserve"> van de</w:t>
      </w:r>
      <w:r w:rsidRPr="0006482D">
        <w:t xml:space="preserve"> Europese Unie (EU)</w:t>
      </w:r>
      <w:r>
        <w:t xml:space="preserve"> </w:t>
      </w:r>
      <w:r w:rsidRPr="0006482D">
        <w:t>heeft betrekking op zogeheten borderline content. Hoewel borderline content geen strikt illegaal karakter heeft en niet per definitie tot geweld hoeft te leiden, kan zij de veiligheid van burgers en instituties ernstig ondermijnen. Dit kan bijvoorbeeld doordat dergelijke uitingen aanzetten tot haat of opruiing, of doordat extremistisch gedachtengoed erdoor wordt genormaliseerd. Dit type content draagt bij aan radicaliseringsprocessen en is zeer zorgelijk. Het EU-handboek betreft een niet-bindende leidraad voor online platformen bij het omgaan met online risico’s, en daarmee het voorkomen dat de veiligheid van burgers en instituties wordt ondermijnd door terroristische en schadelijke content. In het kader van dit EU-handboek staat de vrijheid van meningsuiting centraal: uitingen zoals politieke satire, kritiek op de overheid of zogenoemde populistische retoriek maken deel uit van</w:t>
      </w:r>
      <w:r>
        <w:t xml:space="preserve"> het democratisch debat. </w:t>
      </w:r>
    </w:p>
    <w:p w:rsidRPr="000A7C80" w:rsidR="00A42B8E" w:rsidP="00A42B8E" w:rsidRDefault="00A42B8E" w14:paraId="4D71E748" w14:textId="77777777">
      <w:pPr>
        <w:rPr>
          <w:b/>
          <w:bCs/>
        </w:rPr>
      </w:pPr>
    </w:p>
    <w:p w:rsidR="00A42B8E" w:rsidP="00A42B8E" w:rsidRDefault="00A42B8E" w14:paraId="25C28ABA" w14:textId="77777777">
      <w:r w:rsidRPr="000A7C80">
        <w:rPr>
          <w:b/>
          <w:bCs/>
        </w:rPr>
        <w:t>Vraag 3.</w:t>
      </w:r>
      <w:r w:rsidRPr="000A7C80">
        <w:t xml:space="preserve"> Hoe beoordeelt u het feit dat de EU via de Permanent Task-Force Crisis Response Group “desinformatie bestreed” op het gebied van onderwerpen zoals bijvoorbeeld COVID-19 en een potentieel verband tussen de sancties tegen Rusland en de Europese energiecrisis? Kunt u uw antwoord toelichten? </w:t>
      </w:r>
    </w:p>
    <w:p w:rsidR="00A42B8E" w:rsidP="00A42B8E" w:rsidRDefault="00A42B8E" w14:paraId="3350C5AE" w14:textId="77777777"/>
    <w:p w:rsidRPr="00C40A77" w:rsidR="00A42B8E" w:rsidP="00A42B8E" w:rsidRDefault="00A42B8E" w14:paraId="3CBC8252" w14:textId="77777777">
      <w:r>
        <w:rPr>
          <w:b/>
          <w:bCs/>
        </w:rPr>
        <w:t xml:space="preserve">Antwoord: </w:t>
      </w:r>
      <w:r w:rsidRPr="00C40A77">
        <w:t>Het staat de Europese Commissie vrij om haar eigen werkprocessen en informatiestromen vorm te geven</w:t>
      </w:r>
      <w:r>
        <w:t xml:space="preserve"> in lijn met de in de Verdragen neergelegde bevoegdheden</w:t>
      </w:r>
      <w:r w:rsidRPr="00C40A77">
        <w:t xml:space="preserve">. Het instellen van een </w:t>
      </w:r>
      <w:r>
        <w:t xml:space="preserve">interne </w:t>
      </w:r>
      <w:r w:rsidRPr="00C40A77">
        <w:t>taskforce om de EU Code of Practice on Disinformation effectief uit te werken valt binnen deze bevoegdheid.</w:t>
      </w:r>
      <w:r>
        <w:t xml:space="preserve"> </w:t>
      </w:r>
    </w:p>
    <w:p w:rsidRPr="000A7C80" w:rsidR="00A42B8E" w:rsidP="00A42B8E" w:rsidRDefault="00A42B8E" w14:paraId="26E06306" w14:textId="77777777">
      <w:pPr>
        <w:rPr>
          <w:b/>
          <w:bCs/>
        </w:rPr>
      </w:pPr>
    </w:p>
    <w:p w:rsidR="00A42B8E" w:rsidP="00A42B8E" w:rsidRDefault="00A42B8E" w14:paraId="0943B1DA" w14:textId="77777777">
      <w:r w:rsidRPr="000A7C80">
        <w:rPr>
          <w:b/>
          <w:bCs/>
        </w:rPr>
        <w:t>Vraag 4.</w:t>
      </w:r>
      <w:r w:rsidRPr="000A7C80">
        <w:t xml:space="preserve"> Acht u het wenselijk dat de EU techbedrijven aanmoedigt dan wel opdraagt zich te bemoeien met legale, niet-gewelddadige politieke uitingen op sociale media? Kunt u uw antwoord toelichten? </w:t>
      </w:r>
    </w:p>
    <w:p w:rsidR="00A42B8E" w:rsidP="00A42B8E" w:rsidRDefault="00A42B8E" w14:paraId="050AB56A" w14:textId="77777777">
      <w:pPr>
        <w:rPr>
          <w:b/>
          <w:bCs/>
        </w:rPr>
      </w:pPr>
    </w:p>
    <w:p w:rsidR="00A42B8E" w:rsidP="00A42B8E" w:rsidRDefault="00A42B8E" w14:paraId="06DE6659" w14:textId="77777777">
      <w:pPr>
        <w:rPr>
          <w:b/>
          <w:bCs/>
        </w:rPr>
      </w:pPr>
      <w:r>
        <w:rPr>
          <w:b/>
          <w:bCs/>
        </w:rPr>
        <w:t xml:space="preserve">Antwoord: </w:t>
      </w:r>
      <w:r w:rsidRPr="00894BEC">
        <w:t>De EU draagt techbedrijven niet op om zich te bemoeien met legale, niet-gewelddadige politieke uitingen op sociale media. Wel is er de digitaledienstenverordening (Digital Services Act, ‘DSA’), die voorschrijft dat zogenaamde zeer grote online platforms de systeemrisico’s</w:t>
      </w:r>
      <w:r>
        <w:t>,</w:t>
      </w:r>
      <w:r w:rsidRPr="00894BEC">
        <w:t xml:space="preserve"> die voortvloeien uit het ontwerp of de werking van hun diensten</w:t>
      </w:r>
      <w:r>
        <w:t>,</w:t>
      </w:r>
      <w:r w:rsidRPr="00894BEC">
        <w:t xml:space="preserve"> moeten identificeren</w:t>
      </w:r>
      <w:r>
        <w:t>.</w:t>
      </w:r>
      <w:r w:rsidRPr="00894BEC">
        <w:t xml:space="preserve"> </w:t>
      </w:r>
      <w:r>
        <w:t>En waar nodig maatregelen te nemen</w:t>
      </w:r>
      <w:r w:rsidRPr="00894BEC">
        <w:t xml:space="preserve">. </w:t>
      </w:r>
      <w:r>
        <w:t xml:space="preserve">Hieronder vallen ook negatieve effecten op het publieke debat en verkiezingsproces. </w:t>
      </w:r>
      <w:r w:rsidRPr="00894BEC">
        <w:t>Of sprake is van systeemrisico’s, is afhankelijk van de concrete omstandigheden van het geval en</w:t>
      </w:r>
      <w:r>
        <w:t xml:space="preserve"> dat</w:t>
      </w:r>
      <w:r w:rsidRPr="00894BEC">
        <w:t xml:space="preserve"> moet in eerste instantie door het platform zelf beoordeeld worden. Het </w:t>
      </w:r>
      <w:r>
        <w:t>k</w:t>
      </w:r>
      <w:r w:rsidRPr="00894BEC">
        <w:t xml:space="preserve">abinet </w:t>
      </w:r>
      <w:r>
        <w:t xml:space="preserve">staat achter deze wetgeving. </w:t>
      </w:r>
      <w:r w:rsidRPr="00894BEC">
        <w:t>Daarbij is het uiteraard van belang dat rekening wordt gehouden met alle toepasselijke grondrechten, waaronder de vrijheid van meningsuiting. Dit brengt bijvoorbeeld mee dat maatregelen tegen schadelijke content niet zozeer gericht zullen zijn op het verwijderen van die content, maar bijvoorbeeld op het markeren daarvan.</w:t>
      </w:r>
    </w:p>
    <w:p w:rsidRPr="000A7C80" w:rsidR="00A42B8E" w:rsidP="00A42B8E" w:rsidRDefault="00A42B8E" w14:paraId="1D0918B6" w14:textId="77777777">
      <w:pPr>
        <w:rPr>
          <w:b/>
          <w:bCs/>
        </w:rPr>
      </w:pPr>
    </w:p>
    <w:p w:rsidR="00A42B8E" w:rsidP="00A42B8E" w:rsidRDefault="00A42B8E" w14:paraId="0105B053" w14:textId="77777777">
      <w:r w:rsidRPr="000A7C80">
        <w:rPr>
          <w:b/>
          <w:bCs/>
        </w:rPr>
        <w:t>Vraag 5.</w:t>
      </w:r>
      <w:r w:rsidRPr="000A7C80">
        <w:t xml:space="preserve"> Kunt u aangeven of het ministerie van Binnenlandse Zaken en Koninkrijksrelaties in aanloop naar de Tweede Kamerverkiezingen van 2023 door de Europese Commissie is aangewezen als “trusted flagger” in het kader van de Digitale Dienstenverordening (DSA)? Zo ja, per welke datum gold deze aanwijzing en welke bevoegdheden en taken waren daaraan verbonden? </w:t>
      </w:r>
    </w:p>
    <w:p w:rsidR="00A42B8E" w:rsidP="00A42B8E" w:rsidRDefault="00A42B8E" w14:paraId="524A0817" w14:textId="77777777"/>
    <w:p w:rsidR="00A42B8E" w:rsidP="00A42B8E" w:rsidRDefault="00A42B8E" w14:paraId="7D252D13" w14:textId="77777777">
      <w:pPr>
        <w:rPr>
          <w:b/>
          <w:bCs/>
        </w:rPr>
      </w:pPr>
      <w:r>
        <w:rPr>
          <w:b/>
          <w:bCs/>
        </w:rPr>
        <w:t xml:space="preserve">Antwoord: </w:t>
      </w:r>
    </w:p>
    <w:p w:rsidR="00A42B8E" w:rsidP="00A42B8E" w:rsidRDefault="00A42B8E" w14:paraId="163F2B97" w14:textId="77777777">
      <w:r>
        <w:lastRenderedPageBreak/>
        <w:t xml:space="preserve">Dit klopt niet. De Europese Commissie kan deze status ook niet verlenen binnen de DSA. Dit is toebedeeld aan de nationale toezichthouder op basis van de DSA. Wel heeft het ministerie met de platformen van X, Meta, TikTok, Google, en Snapchat de vrijwillige afspraak dat zij meldingen van het ministerie van BZK gedurende de verkiezingsperiode met prioriteit behandelden. Hierbij blijft het platform te allen tijde zelf verantwoordelijk voor de afhandeling en de beoordeling van de melding die gedaan wordt, in relatie tot geldende regelgeving en de gebruikersvoorwaarden. </w:t>
      </w:r>
    </w:p>
    <w:p w:rsidR="00A42B8E" w:rsidP="00A42B8E" w:rsidRDefault="00A42B8E" w14:paraId="1077F2BC" w14:textId="77777777"/>
    <w:p w:rsidRPr="00F27E74" w:rsidR="00A42B8E" w:rsidP="00A42B8E" w:rsidRDefault="00A42B8E" w14:paraId="64A7D695" w14:textId="77777777">
      <w:r>
        <w:t xml:space="preserve">Het ministerie van BZK heeft via deze kanalen geen bevoegdheid content te laten verwijderen. </w:t>
      </w:r>
    </w:p>
    <w:p w:rsidRPr="000A7C80" w:rsidR="00A42B8E" w:rsidP="00A42B8E" w:rsidRDefault="00A42B8E" w14:paraId="15E00C7D" w14:textId="77777777">
      <w:pPr>
        <w:rPr>
          <w:b/>
          <w:bCs/>
        </w:rPr>
      </w:pPr>
    </w:p>
    <w:p w:rsidR="00A42B8E" w:rsidP="00A42B8E" w:rsidRDefault="00A42B8E" w14:paraId="4F4BE2A3" w14:textId="77777777">
      <w:r w:rsidRPr="000A7C80">
        <w:rPr>
          <w:b/>
          <w:bCs/>
        </w:rPr>
        <w:t>Vraag 6.</w:t>
      </w:r>
      <w:r w:rsidRPr="000A7C80">
        <w:t xml:space="preserve"> Kunt u inzicht geven in het aantal en het type meldingen dat door het ministerie van Binnenlandse Zaken en Koninkrijksrelaties, of namens Nederland, als “trusted flagger” is gedaan bij sociale mediaplatforms in de periode voorafgaand aan de Tweede Kamerverkiezingen van 2023 en 2025? Kunt u daarbij specificeren in hoeverre deze meldingen betrekking hadden op politieke of maatschappelijke uitingen? Kan de Kamer deze meldingen ontvangen of vertrouwelijk inzien? Zo nee, waarom niet? </w:t>
      </w:r>
    </w:p>
    <w:p w:rsidR="00A42B8E" w:rsidP="00A42B8E" w:rsidRDefault="00A42B8E" w14:paraId="2D426F24" w14:textId="77777777"/>
    <w:p w:rsidR="00A42B8E" w:rsidP="00A42B8E" w:rsidRDefault="00A42B8E" w14:paraId="68AE8F71" w14:textId="77777777">
      <w:pPr>
        <w:rPr>
          <w:b/>
          <w:bCs/>
        </w:rPr>
      </w:pPr>
      <w:r>
        <w:rPr>
          <w:b/>
          <w:bCs/>
        </w:rPr>
        <w:t xml:space="preserve">Antwoord: </w:t>
      </w:r>
    </w:p>
    <w:p w:rsidR="00A42B8E" w:rsidP="00A42B8E" w:rsidRDefault="00A42B8E" w14:paraId="0BC1DA50" w14:textId="77777777">
      <w:r>
        <w:t>Het ministerie van BZK maakt het contact met de platformen na afloop van de verkiezingen openbaar in een rapport via de evaluatie van de desbetreffende verkiezing.</w:t>
      </w:r>
      <w:r>
        <w:rPr>
          <w:rStyle w:val="Voetnootmarkering"/>
        </w:rPr>
        <w:footnoteReference w:id="3"/>
      </w:r>
      <w:r>
        <w:t xml:space="preserve"> In dit rapport is te lezen dat het ministerie van BZK niet kijkt naar en geen uitspraken doet over </w:t>
      </w:r>
      <w:r w:rsidRPr="00F27E74">
        <w:t>verkiezingsbeloften</w:t>
      </w:r>
      <w:r>
        <w:t xml:space="preserve"> of politieke of maatschappelijke uitingen</w:t>
      </w:r>
      <w:r w:rsidRPr="00F27E74">
        <w:t>.</w:t>
      </w:r>
      <w:r>
        <w:t xml:space="preserve"> Het ministerie van BZK zet dit middel met grote terughoudendheid in en alleen wanneer berichtgeving op sociale media platformen de integriteit van het verkiezingsproces mogelijk </w:t>
      </w:r>
      <w:r w:rsidRPr="009D2305">
        <w:t>in gevaar</w:t>
      </w:r>
      <w:r>
        <w:t xml:space="preserve"> brengt. Bijvoorbeeld bij berichtgeving over de verkeerde verkiezingsdatum, of feitelijk onjuiste informatie hoe en waar te stemmen.</w:t>
      </w:r>
    </w:p>
    <w:p w:rsidRPr="00F27E74" w:rsidR="00A42B8E" w:rsidP="00A42B8E" w:rsidRDefault="00A42B8E" w14:paraId="26E0F6FF" w14:textId="77777777">
      <w:pPr>
        <w:spacing w:line="256" w:lineRule="auto"/>
      </w:pPr>
    </w:p>
    <w:p w:rsidR="00A42B8E" w:rsidP="00A42B8E" w:rsidRDefault="00A42B8E" w14:paraId="1F705680" w14:textId="77777777"/>
    <w:p w:rsidR="00A42B8E" w:rsidP="00A42B8E" w:rsidRDefault="00A42B8E" w14:paraId="33B33961" w14:textId="77777777">
      <w:r w:rsidRPr="000A7C80">
        <w:rPr>
          <w:b/>
          <w:bCs/>
        </w:rPr>
        <w:t>Vraag 7.</w:t>
      </w:r>
      <w:r w:rsidRPr="000A7C80">
        <w:t xml:space="preserve"> Hoe beoordeelt u de rol van ministeries als “trusted flagger” in perioden waarin verkiezingen plaatsvinden? Erkent u dat hier automatisch sprake is van conflicterende belangen, aangezien de minister van Binnenlandse Zaken tijdens </w:t>
      </w:r>
      <w:r w:rsidRPr="000A7C80">
        <w:lastRenderedPageBreak/>
        <w:t xml:space="preserve">verkiezingen het risico loopt te worden weggestemd? Kunt u uw antwoord toelichten? </w:t>
      </w:r>
    </w:p>
    <w:p w:rsidR="00A42B8E" w:rsidP="00A42B8E" w:rsidRDefault="00A42B8E" w14:paraId="7DACFFA6" w14:textId="77777777"/>
    <w:p w:rsidR="00A42B8E" w:rsidP="00A42B8E" w:rsidRDefault="00A42B8E" w14:paraId="70D87318" w14:textId="77777777">
      <w:pPr>
        <w:rPr>
          <w:b/>
          <w:bCs/>
        </w:rPr>
      </w:pPr>
      <w:r>
        <w:rPr>
          <w:b/>
          <w:bCs/>
        </w:rPr>
        <w:t xml:space="preserve">Antwoord: </w:t>
      </w:r>
    </w:p>
    <w:p w:rsidR="00A42B8E" w:rsidP="00A42B8E" w:rsidRDefault="00A42B8E" w14:paraId="3AC46039" w14:textId="77777777">
      <w:r>
        <w:t xml:space="preserve">Ik kan mij hier niet in vinden. Zoals aangegeven in het antwoord op vraag 6 neemt het ministerie van BZK enkel contact op met een platform wanneer er een risico bestaat </w:t>
      </w:r>
      <w:r w:rsidRPr="00F27E74">
        <w:t>voor de organisatie, uitvoering en integriteit van het verkiezingsproces.</w:t>
      </w:r>
    </w:p>
    <w:p w:rsidR="00A42B8E" w:rsidP="00A42B8E" w:rsidRDefault="00A42B8E" w14:paraId="1AAC31F7" w14:textId="77777777"/>
    <w:p w:rsidRPr="00D64878" w:rsidR="00A42B8E" w:rsidP="00A42B8E" w:rsidRDefault="00A42B8E" w14:paraId="5B05A09A" w14:textId="77777777">
      <w:r w:rsidRPr="00D815EB">
        <w:t>Een voorbeeld van de inzet van de flagger status bij de Provinciale Staten en waterschapsverkiezingen in 2023: Het ministerie van BZK heeft bij X melding gemaakt van berichten die kiezers die op FvD zouden willen stemmen opriep</w:t>
      </w:r>
      <w:r>
        <w:t>en</w:t>
      </w:r>
      <w:r w:rsidRPr="00D815EB">
        <w:t xml:space="preserve"> de naam van de landelijke fractievoorzitter op het stembiljet bij te schrijven. Het bijschrijven van een naam op een stembiljet leidt tot een ongeldige stem. </w:t>
      </w:r>
      <w:r>
        <w:t>In</w:t>
      </w:r>
      <w:r w:rsidRPr="00D815EB">
        <w:t xml:space="preserve"> de evaluatie van deze verkiezing is deze melding </w:t>
      </w:r>
      <w:r>
        <w:t>aan</w:t>
      </w:r>
      <w:r w:rsidRPr="00D815EB">
        <w:t xml:space="preserve"> de Tweede Kamer gerapporteerd.</w:t>
      </w:r>
      <w:r>
        <w:rPr>
          <w:rStyle w:val="Voetnootmarkering"/>
        </w:rPr>
        <w:footnoteReference w:id="4"/>
      </w:r>
    </w:p>
    <w:p w:rsidRPr="000A7C80" w:rsidR="00A42B8E" w:rsidP="00A42B8E" w:rsidRDefault="00A42B8E" w14:paraId="01EF25EA" w14:textId="77777777">
      <w:pPr>
        <w:rPr>
          <w:b/>
          <w:bCs/>
        </w:rPr>
      </w:pPr>
    </w:p>
    <w:p w:rsidR="00A42B8E" w:rsidP="00A42B8E" w:rsidRDefault="00A42B8E" w14:paraId="4E8E400C" w14:textId="77777777">
      <w:r w:rsidRPr="000A7C80">
        <w:rPr>
          <w:b/>
          <w:bCs/>
        </w:rPr>
        <w:t>Vraag 8.</w:t>
      </w:r>
      <w:r w:rsidRPr="000A7C80">
        <w:t xml:space="preserve"> Kunt u toelichten in hoeverre Nederland, via overleg met de Europese Commissie of via directe contacten met socialemediaplatforms, betrokken is geweest bij afspraken of maatregelen over moderatie van uitingen in relatie tot verkiezingen of specifieke politieke onderwerpen zoals bijvoorbeeld de oorlog in Oekraïne, immigratie of het coronabeleid? Kunt u de Kamer informeren over de aard en omvang van deze betrokkenheid? Zo nee, waarom niet? </w:t>
      </w:r>
    </w:p>
    <w:p w:rsidR="00A42B8E" w:rsidP="00A42B8E" w:rsidRDefault="00A42B8E" w14:paraId="423BF57C" w14:textId="77777777"/>
    <w:p w:rsidR="00A42B8E" w:rsidP="00A42B8E" w:rsidRDefault="00A42B8E" w14:paraId="114580D3" w14:textId="77777777">
      <w:pPr>
        <w:rPr>
          <w:b/>
          <w:bCs/>
        </w:rPr>
      </w:pPr>
      <w:r>
        <w:rPr>
          <w:b/>
          <w:bCs/>
        </w:rPr>
        <w:t xml:space="preserve">Antwoord: </w:t>
      </w:r>
    </w:p>
    <w:p w:rsidRPr="00D64878" w:rsidR="00A42B8E" w:rsidP="00A42B8E" w:rsidRDefault="00A42B8E" w14:paraId="326BCBE9" w14:textId="77777777">
      <w:r>
        <w:t>Zoals vermeld in vraag 6, kunt u het contact met de platformen terugvinden in de evaluatie van de desbetreffende verkiezing.</w:t>
      </w:r>
    </w:p>
    <w:p w:rsidRPr="000A7C80" w:rsidR="00A42B8E" w:rsidP="00A42B8E" w:rsidRDefault="00A42B8E" w14:paraId="6C7A7864" w14:textId="77777777">
      <w:pPr>
        <w:rPr>
          <w:b/>
          <w:bCs/>
        </w:rPr>
      </w:pPr>
    </w:p>
    <w:p w:rsidR="00A42B8E" w:rsidP="00A42B8E" w:rsidRDefault="00A42B8E" w14:paraId="316990DC" w14:textId="77777777">
      <w:r w:rsidRPr="000A7C80">
        <w:rPr>
          <w:b/>
          <w:bCs/>
        </w:rPr>
        <w:t>Vraag 9.</w:t>
      </w:r>
      <w:r w:rsidRPr="000A7C80">
        <w:t xml:space="preserve"> In het betreffende Amerikaans onderzoeksrapport wordt op pagina 106 geschreven dat “between 2023 and 2025, the Commission engaged with platforms and pressured them to aggressively censor content ahead of national elections in [...] the Netherlands [...]”: kunt u aangeven hoe u deze constatering beoordeelt, of u zich hierin herkent? </w:t>
      </w:r>
    </w:p>
    <w:p w:rsidR="00A42B8E" w:rsidP="00A42B8E" w:rsidRDefault="00A42B8E" w14:paraId="39E71D91" w14:textId="77777777"/>
    <w:p w:rsidR="00A42B8E" w:rsidP="00A42B8E" w:rsidRDefault="00A42B8E" w14:paraId="72660EC0" w14:textId="77777777">
      <w:pPr>
        <w:rPr>
          <w:b/>
          <w:bCs/>
        </w:rPr>
      </w:pPr>
      <w:r>
        <w:rPr>
          <w:b/>
          <w:bCs/>
        </w:rPr>
        <w:t xml:space="preserve">Antwoord: </w:t>
      </w:r>
    </w:p>
    <w:p w:rsidRPr="003C2268" w:rsidR="00A42B8E" w:rsidP="00A42B8E" w:rsidRDefault="00A42B8E" w14:paraId="5050DC1A" w14:textId="77777777">
      <w:r w:rsidRPr="003C2268">
        <w:lastRenderedPageBreak/>
        <w:t>Het kabinet herkent zich niet in de uitspraken die worden gedaan in het rapport. Anders dan het rapport suggereert, schrijft de DSA geen censuur voor. De vrijheid van meningsuiting staat centraal in de DSA. De Europese Commissie is in gesprek gegaan met platformen over hun verantwoordelijkheden en verplichtingen op grond van de DSA. Het kabinet steunt de Europese Commissie volledig in het handhaven van de Europese digitale wetgeving, waaronder de DSA.</w:t>
      </w:r>
    </w:p>
    <w:p w:rsidRPr="000A7C80" w:rsidR="00A42B8E" w:rsidP="00A42B8E" w:rsidRDefault="00A42B8E" w14:paraId="4918B121" w14:textId="77777777">
      <w:pPr>
        <w:rPr>
          <w:b/>
          <w:bCs/>
        </w:rPr>
      </w:pPr>
    </w:p>
    <w:p w:rsidR="00A42B8E" w:rsidP="00A42B8E" w:rsidRDefault="00A42B8E" w14:paraId="5350171A" w14:textId="77777777">
      <w:r w:rsidRPr="000A7C80">
        <w:rPr>
          <w:b/>
          <w:bCs/>
        </w:rPr>
        <w:t>Vraag 10.</w:t>
      </w:r>
      <w:r w:rsidRPr="000A7C80">
        <w:t xml:space="preserve"> Kunt u de Kamer alle correspondentie doen toekomen tussen de Europese Commissie (of de EU in het algemeen) en het ministerie van Binnenlandse Zaken (of Nederland in het algemeen) met betrekking tot “trusted flagger”-meldingen rond de verkiezingen van 2023 en 2025? Zo nee, waarom niet? </w:t>
      </w:r>
    </w:p>
    <w:p w:rsidR="00A42B8E" w:rsidP="00A42B8E" w:rsidRDefault="00A42B8E" w14:paraId="429331AA" w14:textId="77777777"/>
    <w:p w:rsidRPr="004D251E" w:rsidR="00A42B8E" w:rsidP="00A42B8E" w:rsidRDefault="00A42B8E" w14:paraId="23E50BD8" w14:textId="77777777">
      <w:pPr>
        <w:rPr>
          <w:b/>
          <w:bCs/>
        </w:rPr>
      </w:pPr>
      <w:r w:rsidRPr="004D251E">
        <w:rPr>
          <w:b/>
          <w:bCs/>
        </w:rPr>
        <w:t>Antwoord:</w:t>
      </w:r>
    </w:p>
    <w:p w:rsidR="00A42B8E" w:rsidP="00A42B8E" w:rsidRDefault="00A42B8E" w14:paraId="25042314" w14:textId="77777777">
      <w:r>
        <w:t xml:space="preserve">Zoals vermeld in vraag 6 is het contact met de platformen reeds openbaar gemaakt in de evaluatie van de desbetreffende verkiezing. </w:t>
      </w:r>
    </w:p>
    <w:p w:rsidRPr="004D251E" w:rsidR="00A42B8E" w:rsidP="00A42B8E" w:rsidRDefault="00A42B8E" w14:paraId="2AC2864A" w14:textId="77777777"/>
    <w:p w:rsidR="00A42B8E" w:rsidP="00A42B8E" w:rsidRDefault="00A42B8E" w14:paraId="03A69E6D" w14:textId="77777777">
      <w:r w:rsidRPr="000A7C80">
        <w:rPr>
          <w:b/>
          <w:bCs/>
        </w:rPr>
        <w:t>Vraag 11.</w:t>
      </w:r>
      <w:r w:rsidRPr="000A7C80">
        <w:t xml:space="preserve"> Klopt het, zoals op pagina 107 van het Amerikaanse overheidsrapport te lezen is, dat het ministerie van Binnenlandse Zaken aanwezig was bij de “Verkiezingsbijeenkomst TikTok”, georganiseerd door de Europese Commissie in Den Haag op vrijdag 10 november 2023? Wat was de inbreng/rol van het ministerie tijdens deze bijeenkomst? Wie waren bij deze bijeenkomst aanwezig? Wat was het programma? Kunt u de Kamer de verslagen/notulen doen toekomen die zijn gemaakt tijdens deze bijeenkomst, evenals correspondentie voorafgaand aan en na afloop daarvan? Zo nee, waarom niet? </w:t>
      </w:r>
    </w:p>
    <w:p w:rsidR="00A42B8E" w:rsidP="00A42B8E" w:rsidRDefault="00A42B8E" w14:paraId="2A187166" w14:textId="77777777"/>
    <w:p w:rsidR="00A42B8E" w:rsidP="00A42B8E" w:rsidRDefault="00A42B8E" w14:paraId="06C31992" w14:textId="77777777">
      <w:pPr>
        <w:rPr>
          <w:b/>
          <w:bCs/>
        </w:rPr>
      </w:pPr>
      <w:r>
        <w:rPr>
          <w:b/>
          <w:bCs/>
        </w:rPr>
        <w:t xml:space="preserve">Antwoord: </w:t>
      </w:r>
    </w:p>
    <w:p w:rsidR="00A42B8E" w:rsidP="00A42B8E" w:rsidRDefault="00A42B8E" w14:paraId="05B89C68" w14:textId="77777777">
      <w:r>
        <w:t xml:space="preserve">Dit klopt niet. De bijeenkomsten die het ministerie van BZK heeft bijgewoond kunt u terugvinden in de Kamerbrief </w:t>
      </w:r>
      <w:r w:rsidRPr="00D64878">
        <w:t>Contact platformen in aanloop naar TK25 verkiezing</w:t>
      </w:r>
      <w:r>
        <w:t>.</w:t>
      </w:r>
      <w:r>
        <w:rPr>
          <w:rStyle w:val="Voetnootmarkering"/>
        </w:rPr>
        <w:footnoteReference w:id="5"/>
      </w:r>
    </w:p>
    <w:p w:rsidRPr="000A7C80" w:rsidR="00A42B8E" w:rsidP="00A42B8E" w:rsidRDefault="00A42B8E" w14:paraId="1654F543" w14:textId="77777777"/>
    <w:p w:rsidR="00A42B8E" w:rsidP="00A42B8E" w:rsidRDefault="00A42B8E" w14:paraId="5451B6A6" w14:textId="77777777">
      <w:r w:rsidRPr="000A7C80">
        <w:rPr>
          <w:b/>
          <w:bCs/>
        </w:rPr>
        <w:t>Vraag 12.</w:t>
      </w:r>
      <w:r w:rsidRPr="000A7C80">
        <w:t xml:space="preserve"> Klopt het dat de Autoriteit Consument en Markt (ACM) zes weken voor de verkiezingen in 2025 een bijeenkomst heeft georganiseerd over de verkiezingen, in het kader van de DSA en met vertegenwoordigers van de Europese Commissie, Alphabet, Meta, Microsoft, TikTok en X? Klopt het dat hier is gesproken over het censureren van “schadelijke content” in het kader van de verkiezingen? Hoe werd </w:t>
      </w:r>
      <w:r w:rsidRPr="000A7C80">
        <w:lastRenderedPageBreak/>
        <w:t xml:space="preserve">“schadelijke content” gedefinieerd? Kunt u een aantal voorbeelden van dergelijke “schadelijke content” geven? </w:t>
      </w:r>
    </w:p>
    <w:p w:rsidR="00A42B8E" w:rsidP="00A42B8E" w:rsidRDefault="00A42B8E" w14:paraId="5DD8D7B1" w14:textId="77777777"/>
    <w:p w:rsidRPr="00894BEC" w:rsidR="00A42B8E" w:rsidP="00A42B8E" w:rsidRDefault="00A42B8E" w14:paraId="62D795E3" w14:textId="77777777">
      <w:r>
        <w:rPr>
          <w:b/>
          <w:bCs/>
        </w:rPr>
        <w:t xml:space="preserve">Antwoord: </w:t>
      </w:r>
      <w:r>
        <w:t>Op 15 september 2025 heeft de ACM een rondetafelbijeenkomst georganiseerd over de DSA en de Tweede Kamerverkiezing van 29 oktober 2025.</w:t>
      </w:r>
      <w:r>
        <w:rPr>
          <w:rStyle w:val="Voetnootmarkering"/>
        </w:rPr>
        <w:footnoteReference w:id="6"/>
      </w:r>
      <w:r>
        <w:t xml:space="preserve"> </w:t>
      </w:r>
      <w:r w:rsidRPr="000B287E">
        <w:t>Tijdens de bijeenkomst spraken de deelnemers met elkaar aan de hand van vier thema’s: synthetische (door AI-genereerde) content, aanbevelingssystemen (algoritmen), toegang tot data voor onderzoekers, en viraliteit. De nadruk lag onder andere op zaken als transparantie, de praktische uitvoerbaarheid van maatregelen en de mogelijke invloed op het verkiezingsproces.</w:t>
      </w:r>
      <w:r>
        <w:t xml:space="preserve"> </w:t>
      </w:r>
      <w:r w:rsidRPr="00D54663">
        <w:t>Zo werd er onder andere stilgestaan bij het risico van online bedreigingen van politici en journalisten en de maatregelen die platforms hiertegen nemen. Ook kwam de mogelijke impact aan bod van AI-gegenereerde antwoorden op platforms en zoekmachines op verkiezingsgerelateerde vragen over bijvoorbeeld partijprogramma’s en kandidaten. </w:t>
      </w:r>
      <w:r>
        <w:t>De ACM heeft kort na afloop van de bijeenkomst ook een verslag gepubliceerd, met daarin informatie over de deelnemers en de gespreksthema’s.</w:t>
      </w:r>
    </w:p>
    <w:p w:rsidRPr="000A7C80" w:rsidR="00A42B8E" w:rsidP="00A42B8E" w:rsidRDefault="00A42B8E" w14:paraId="039E1796" w14:textId="77777777">
      <w:pPr>
        <w:rPr>
          <w:b/>
          <w:bCs/>
        </w:rPr>
      </w:pPr>
    </w:p>
    <w:p w:rsidR="00A42B8E" w:rsidP="00A42B8E" w:rsidRDefault="00A42B8E" w14:paraId="62FB7B1B" w14:textId="77777777">
      <w:r w:rsidRPr="000A7C80">
        <w:rPr>
          <w:b/>
          <w:bCs/>
        </w:rPr>
        <w:t>Vraag 13.</w:t>
      </w:r>
      <w:r w:rsidRPr="000A7C80">
        <w:t xml:space="preserve"> Welke afspraken zijn gemaakt tijdens de bijeenkomst genoemd in vraag 12? Kunt u de Kamer de gespreksverslagen/notulen van deze bijeenkomst doen toekomen, waaronder in elk geval de presentatie van de Europese Commissie, van het ministerie van Binnenlandse Zaken en van Manon Leijten (bestuurslid van de ACM)? Zo nee, waarom niet? </w:t>
      </w:r>
    </w:p>
    <w:p w:rsidR="00A42B8E" w:rsidP="00A42B8E" w:rsidRDefault="00A42B8E" w14:paraId="64AE9BB0" w14:textId="77777777"/>
    <w:p w:rsidR="00A42B8E" w:rsidP="00A42B8E" w:rsidRDefault="00A42B8E" w14:paraId="1997A9D3" w14:textId="77777777">
      <w:pPr>
        <w:rPr>
          <w:b/>
          <w:bCs/>
        </w:rPr>
      </w:pPr>
      <w:r>
        <w:rPr>
          <w:b/>
          <w:bCs/>
        </w:rPr>
        <w:t xml:space="preserve">Antwoord: </w:t>
      </w:r>
      <w:r w:rsidRPr="00727A10">
        <w:t xml:space="preserve">Tijdens de rondetafel zijn er geen specifieke afspraken gemaakt tussen de ACM en aanwezigen. </w:t>
      </w:r>
      <w:r>
        <w:t>Doel van de rondetafel was kennisuitwisseling</w:t>
      </w:r>
      <w:r w:rsidRPr="00727A10">
        <w:t>.</w:t>
      </w:r>
      <w:r>
        <w:t xml:space="preserve"> De ACM heeft kort na afloop van de bijeenkomst ook een verslag gepubliceerd, met daarin informatie over de deelnemers en de gespreksthema’s.</w:t>
      </w:r>
      <w:r>
        <w:rPr>
          <w:rStyle w:val="Voetnootmarkering"/>
        </w:rPr>
        <w:footnoteReference w:id="7"/>
      </w:r>
      <w:r>
        <w:t xml:space="preserve"> De Europese Commissie heeft tijdens de rondetafel uitleg gegeven over de werking van het raamwerk van relevante Europese regelgeving, waaronder de DSA en de </w:t>
      </w:r>
      <w:r w:rsidRPr="00E15B4E">
        <w:t>Europese Verordening betreffende transparantie en gerichte politieke reclame (VPR</w:t>
      </w:r>
      <w:r>
        <w:t>). Hiervan zijn geen slides beschikbaar. Het ministerie van BZK heeft een presentatie gegeven over de inrichting van het verkiezingsproces in Nederland. De daarbij gebruikte slides zijn opgenomen als bijlage.</w:t>
      </w:r>
      <w:r>
        <w:rPr>
          <w:b/>
          <w:bCs/>
        </w:rPr>
        <w:t xml:space="preserve"> </w:t>
      </w:r>
      <w:r w:rsidRPr="00387F0E">
        <w:t xml:space="preserve">De ACM heeft </w:t>
      </w:r>
      <w:r>
        <w:t xml:space="preserve">de bijeenkomst geopend met een kort welkomstwoord en heeft de middag technisch voorgezeten. Er is vanuit de ACM </w:t>
      </w:r>
      <w:r w:rsidRPr="00387F0E">
        <w:t>geen presentatie gegeven.</w:t>
      </w:r>
    </w:p>
    <w:p w:rsidRPr="000A7C80" w:rsidR="00A42B8E" w:rsidP="00A42B8E" w:rsidRDefault="00A42B8E" w14:paraId="6A5AB2EE" w14:textId="77777777">
      <w:pPr>
        <w:rPr>
          <w:b/>
          <w:bCs/>
        </w:rPr>
      </w:pPr>
    </w:p>
    <w:p w:rsidR="00A42B8E" w:rsidP="00A42B8E" w:rsidRDefault="00A42B8E" w14:paraId="348F45E7" w14:textId="77777777">
      <w:r w:rsidRPr="000A7C80">
        <w:rPr>
          <w:b/>
          <w:bCs/>
        </w:rPr>
        <w:t>Vraag 14.</w:t>
      </w:r>
      <w:r w:rsidRPr="000A7C80">
        <w:t xml:space="preserve"> Kunt u bovenstaande vragen zo spoedig mogelijk en afzonderlijk van elkaar beantwoorden?</w:t>
      </w:r>
    </w:p>
    <w:p w:rsidR="00A42B8E" w:rsidP="00A42B8E" w:rsidRDefault="00A42B8E" w14:paraId="777988E7" w14:textId="77777777"/>
    <w:p w:rsidR="00A42B8E" w:rsidP="00A42B8E" w:rsidRDefault="00A42B8E" w14:paraId="0C860BE5" w14:textId="77777777">
      <w:r>
        <w:rPr>
          <w:b/>
          <w:bCs/>
        </w:rPr>
        <w:t xml:space="preserve">Antwoord: </w:t>
      </w:r>
    </w:p>
    <w:p w:rsidRPr="00894BEC" w:rsidR="00A42B8E" w:rsidP="00A42B8E" w:rsidRDefault="00A42B8E" w14:paraId="0D82FAFB" w14:textId="77777777">
      <w:r>
        <w:t>Ja.</w:t>
      </w:r>
    </w:p>
    <w:p w:rsidR="00D761F7" w:rsidRDefault="00D761F7" w14:paraId="74E317CB" w14:textId="77777777"/>
    <w:sectPr w:rsidR="00D761F7" w:rsidSect="00A42B8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C00F3" w14:textId="77777777" w:rsidR="00A42B8E" w:rsidRDefault="00A42B8E" w:rsidP="00A42B8E">
      <w:pPr>
        <w:spacing w:after="0" w:line="240" w:lineRule="auto"/>
      </w:pPr>
      <w:r>
        <w:separator/>
      </w:r>
    </w:p>
  </w:endnote>
  <w:endnote w:type="continuationSeparator" w:id="0">
    <w:p w14:paraId="6DEAE389" w14:textId="77777777" w:rsidR="00A42B8E" w:rsidRDefault="00A42B8E" w:rsidP="00A4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D960" w14:textId="77777777" w:rsidR="00A42B8E" w:rsidRPr="00A42B8E" w:rsidRDefault="00A42B8E" w:rsidP="00A42B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7562" w14:textId="77777777" w:rsidR="00A42B8E" w:rsidRPr="00A42B8E" w:rsidRDefault="00A42B8E" w:rsidP="00A42B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BB20" w14:textId="77777777" w:rsidR="00A42B8E" w:rsidRPr="00A42B8E" w:rsidRDefault="00A42B8E" w:rsidP="00A42B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B2C39" w14:textId="77777777" w:rsidR="00A42B8E" w:rsidRDefault="00A42B8E" w:rsidP="00A42B8E">
      <w:pPr>
        <w:spacing w:after="0" w:line="240" w:lineRule="auto"/>
      </w:pPr>
      <w:r>
        <w:separator/>
      </w:r>
    </w:p>
  </w:footnote>
  <w:footnote w:type="continuationSeparator" w:id="0">
    <w:p w14:paraId="5E897DCE" w14:textId="77777777" w:rsidR="00A42B8E" w:rsidRDefault="00A42B8E" w:rsidP="00A42B8E">
      <w:pPr>
        <w:spacing w:after="0" w:line="240" w:lineRule="auto"/>
      </w:pPr>
      <w:r>
        <w:continuationSeparator/>
      </w:r>
    </w:p>
  </w:footnote>
  <w:footnote w:id="1">
    <w:p w14:paraId="36491090" w14:textId="77777777" w:rsidR="00A42B8E" w:rsidRPr="00F23EAC" w:rsidRDefault="00A42B8E" w:rsidP="00A42B8E">
      <w:pPr>
        <w:pStyle w:val="Voetnoottekst"/>
        <w:rPr>
          <w:sz w:val="16"/>
          <w:szCs w:val="16"/>
          <w:lang w:val="en-US"/>
        </w:rPr>
      </w:pPr>
      <w:r w:rsidRPr="00F23EAC">
        <w:rPr>
          <w:rStyle w:val="Voetnootmarkering"/>
          <w:sz w:val="16"/>
          <w:szCs w:val="16"/>
        </w:rPr>
        <w:footnoteRef/>
      </w:r>
      <w:r w:rsidRPr="00F23EAC">
        <w:rPr>
          <w:sz w:val="16"/>
          <w:szCs w:val="16"/>
          <w:lang w:val="en-US"/>
        </w:rPr>
        <w:t xml:space="preserve"> Huis van Afgevaardigden van de Verenigde Staten, 3 februari 2026, The Foreign Censorship Threat, part II: Europe's decade-long campaign to censor the global internet and how it harms American speech in the United States (https://judiciary.house.gov/sites/evo-subsites/republicansjudiciary.house.gov/files/2026-02/THE-FOREIGNCENSORSHIP-THREAT-PART-II-2-3-26.pdf).</w:t>
      </w:r>
    </w:p>
  </w:footnote>
  <w:footnote w:id="2">
    <w:p w14:paraId="2C0D2A39" w14:textId="77777777" w:rsidR="00A42B8E" w:rsidRPr="00F23EAC" w:rsidRDefault="00A42B8E" w:rsidP="00A42B8E">
      <w:pPr>
        <w:pStyle w:val="Voetnoottekst"/>
        <w:rPr>
          <w:sz w:val="16"/>
          <w:szCs w:val="16"/>
          <w:lang w:val="en-US"/>
        </w:rPr>
      </w:pPr>
      <w:r w:rsidRPr="00F23EAC">
        <w:rPr>
          <w:rStyle w:val="Voetnootmarkering"/>
          <w:sz w:val="16"/>
          <w:szCs w:val="16"/>
        </w:rPr>
        <w:footnoteRef/>
      </w:r>
      <w:r w:rsidRPr="00F23EAC">
        <w:rPr>
          <w:sz w:val="16"/>
          <w:szCs w:val="16"/>
          <w:lang w:val="en-US"/>
        </w:rPr>
        <w:t xml:space="preserve"> EU Internet Forum: The Handbook of Borderline Content in Relation to Violent Extremism</w:t>
      </w:r>
    </w:p>
  </w:footnote>
  <w:footnote w:id="3">
    <w:p w14:paraId="1019923E" w14:textId="77777777" w:rsidR="00A42B8E" w:rsidRPr="00F23EAC" w:rsidRDefault="00A42B8E" w:rsidP="00A42B8E">
      <w:pPr>
        <w:pStyle w:val="Voetnoottekst"/>
        <w:rPr>
          <w:sz w:val="16"/>
          <w:szCs w:val="16"/>
        </w:rPr>
      </w:pPr>
      <w:r w:rsidRPr="00F23EAC">
        <w:rPr>
          <w:rStyle w:val="Voetnootmarkering"/>
          <w:sz w:val="16"/>
          <w:szCs w:val="16"/>
        </w:rPr>
        <w:footnoteRef/>
      </w:r>
      <w:r w:rsidRPr="00F23EAC">
        <w:rPr>
          <w:sz w:val="16"/>
          <w:szCs w:val="16"/>
        </w:rPr>
        <w:t xml:space="preserve"> Kamerstukken II, 2024/25, 35 165, nr. 86, bijlage Rapportage inzet verkiezingen flagger status BZK.</w:t>
      </w:r>
    </w:p>
    <w:p w14:paraId="400C1D94" w14:textId="77777777" w:rsidR="00A42B8E" w:rsidRPr="00F23EAC" w:rsidRDefault="00A42B8E" w:rsidP="00A42B8E">
      <w:pPr>
        <w:pStyle w:val="Voetnoottekst"/>
        <w:rPr>
          <w:sz w:val="16"/>
          <w:szCs w:val="16"/>
        </w:rPr>
      </w:pPr>
      <w:r w:rsidRPr="00F23EAC">
        <w:rPr>
          <w:sz w:val="16"/>
          <w:szCs w:val="16"/>
        </w:rPr>
        <w:t>Kamerstukken II, 2023/24, 35 165, nr. 73, bijlage Rapport inzet trusted flagger status BZK TK23.</w:t>
      </w:r>
    </w:p>
  </w:footnote>
  <w:footnote w:id="4">
    <w:p w14:paraId="2BD7946D" w14:textId="77777777" w:rsidR="00A42B8E" w:rsidRPr="00F23EAC" w:rsidRDefault="00A42B8E" w:rsidP="00A42B8E">
      <w:pPr>
        <w:pStyle w:val="Voetnoottekst"/>
        <w:rPr>
          <w:sz w:val="16"/>
          <w:szCs w:val="16"/>
        </w:rPr>
      </w:pPr>
      <w:r w:rsidRPr="00F23EAC">
        <w:rPr>
          <w:rStyle w:val="Voetnootmarkering"/>
          <w:sz w:val="16"/>
          <w:szCs w:val="16"/>
        </w:rPr>
        <w:footnoteRef/>
      </w:r>
      <w:r w:rsidRPr="00F23EAC">
        <w:rPr>
          <w:sz w:val="16"/>
          <w:szCs w:val="16"/>
        </w:rPr>
        <w:t xml:space="preserve"> Kamerstukken II, 2023/23, 35 165, nr. 61, bijlage Rapportage inzet trusted flagger status BZK</w:t>
      </w:r>
    </w:p>
  </w:footnote>
  <w:footnote w:id="5">
    <w:p w14:paraId="0865F563" w14:textId="77777777" w:rsidR="00A42B8E" w:rsidRPr="00F23EAC" w:rsidRDefault="00A42B8E" w:rsidP="00A42B8E">
      <w:pPr>
        <w:pStyle w:val="Voetnoottekst"/>
        <w:rPr>
          <w:sz w:val="16"/>
          <w:szCs w:val="16"/>
        </w:rPr>
      </w:pPr>
      <w:r w:rsidRPr="00F23EAC">
        <w:rPr>
          <w:rStyle w:val="Voetnootmarkering"/>
          <w:sz w:val="16"/>
          <w:szCs w:val="16"/>
        </w:rPr>
        <w:footnoteRef/>
      </w:r>
      <w:r w:rsidRPr="00F23EAC">
        <w:rPr>
          <w:sz w:val="16"/>
          <w:szCs w:val="16"/>
        </w:rPr>
        <w:t xml:space="preserve"> Kamerstukken II, 2025/20 226, 35 165, nr. 97</w:t>
      </w:r>
    </w:p>
  </w:footnote>
  <w:footnote w:id="6">
    <w:p w14:paraId="4A839DFF" w14:textId="77777777" w:rsidR="00A42B8E" w:rsidRPr="00F23EAC" w:rsidRDefault="00A42B8E" w:rsidP="00A42B8E">
      <w:pPr>
        <w:pStyle w:val="Voetnoottekst"/>
        <w:rPr>
          <w:sz w:val="16"/>
          <w:szCs w:val="16"/>
        </w:rPr>
      </w:pPr>
      <w:r w:rsidRPr="00F23EAC">
        <w:rPr>
          <w:rStyle w:val="Voetnootmarkering"/>
          <w:sz w:val="16"/>
          <w:szCs w:val="16"/>
        </w:rPr>
        <w:footnoteRef/>
      </w:r>
      <w:r w:rsidRPr="00F23EAC">
        <w:rPr>
          <w:sz w:val="16"/>
          <w:szCs w:val="16"/>
        </w:rPr>
        <w:t xml:space="preserve"> https://www.acm.nl/nl/publicaties/verslag-rondetafelgesprek-over-verantwoordelijkheden-online-platforms-verkiezingstijd.</w:t>
      </w:r>
    </w:p>
  </w:footnote>
  <w:footnote w:id="7">
    <w:p w14:paraId="365120F8" w14:textId="77777777" w:rsidR="00A42B8E" w:rsidRPr="00F23EAC" w:rsidRDefault="00A42B8E" w:rsidP="00A42B8E">
      <w:pPr>
        <w:pStyle w:val="Voetnoottekst"/>
        <w:rPr>
          <w:sz w:val="16"/>
          <w:szCs w:val="16"/>
        </w:rPr>
      </w:pPr>
      <w:r w:rsidRPr="00F23EAC">
        <w:rPr>
          <w:rStyle w:val="Voetnootmarkering"/>
          <w:sz w:val="16"/>
          <w:szCs w:val="16"/>
        </w:rPr>
        <w:footnoteRef/>
      </w:r>
      <w:r w:rsidRPr="00F23EAC">
        <w:rPr>
          <w:sz w:val="16"/>
          <w:szCs w:val="16"/>
        </w:rPr>
        <w:t xml:space="preserve"> https://www.acm.nl/nl/publicaties/verslag-rondetafelgesprek-over-verantwoordelijkheden-online-platforms-verkiezingstijd.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9E24" w14:textId="77777777" w:rsidR="00A42B8E" w:rsidRPr="00A42B8E" w:rsidRDefault="00A42B8E" w:rsidP="00A42B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9FFB" w14:textId="77777777" w:rsidR="00A42B8E" w:rsidRPr="00A42B8E" w:rsidRDefault="00A42B8E" w:rsidP="00A42B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B7C9" w14:textId="77777777" w:rsidR="00A42B8E" w:rsidRPr="00A42B8E" w:rsidRDefault="00A42B8E" w:rsidP="00A42B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8E"/>
    <w:rsid w:val="00407999"/>
    <w:rsid w:val="00A42B8E"/>
    <w:rsid w:val="00D761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BE02"/>
  <w15:chartTrackingRefBased/>
  <w15:docId w15:val="{2A755AE8-C405-49E8-940B-A5633B58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2B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42B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42B8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42B8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42B8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42B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2B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2B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2B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2B8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42B8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42B8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42B8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42B8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42B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2B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2B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2B8E"/>
    <w:rPr>
      <w:rFonts w:eastAsiaTheme="majorEastAsia" w:cstheme="majorBidi"/>
      <w:color w:val="272727" w:themeColor="text1" w:themeTint="D8"/>
    </w:rPr>
  </w:style>
  <w:style w:type="paragraph" w:styleId="Titel">
    <w:name w:val="Title"/>
    <w:basedOn w:val="Standaard"/>
    <w:next w:val="Standaard"/>
    <w:link w:val="TitelChar"/>
    <w:uiPriority w:val="10"/>
    <w:qFormat/>
    <w:rsid w:val="00A42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2B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2B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2B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2B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2B8E"/>
    <w:rPr>
      <w:i/>
      <w:iCs/>
      <w:color w:val="404040" w:themeColor="text1" w:themeTint="BF"/>
    </w:rPr>
  </w:style>
  <w:style w:type="paragraph" w:styleId="Lijstalinea">
    <w:name w:val="List Paragraph"/>
    <w:basedOn w:val="Standaard"/>
    <w:uiPriority w:val="34"/>
    <w:qFormat/>
    <w:rsid w:val="00A42B8E"/>
    <w:pPr>
      <w:ind w:left="720"/>
      <w:contextualSpacing/>
    </w:pPr>
  </w:style>
  <w:style w:type="character" w:styleId="Intensievebenadrukking">
    <w:name w:val="Intense Emphasis"/>
    <w:basedOn w:val="Standaardalinea-lettertype"/>
    <w:uiPriority w:val="21"/>
    <w:qFormat/>
    <w:rsid w:val="00A42B8E"/>
    <w:rPr>
      <w:i/>
      <w:iCs/>
      <w:color w:val="2F5496" w:themeColor="accent1" w:themeShade="BF"/>
    </w:rPr>
  </w:style>
  <w:style w:type="paragraph" w:styleId="Duidelijkcitaat">
    <w:name w:val="Intense Quote"/>
    <w:basedOn w:val="Standaard"/>
    <w:next w:val="Standaard"/>
    <w:link w:val="DuidelijkcitaatChar"/>
    <w:uiPriority w:val="30"/>
    <w:qFormat/>
    <w:rsid w:val="00A42B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42B8E"/>
    <w:rPr>
      <w:i/>
      <w:iCs/>
      <w:color w:val="2F5496" w:themeColor="accent1" w:themeShade="BF"/>
    </w:rPr>
  </w:style>
  <w:style w:type="character" w:styleId="Intensieveverwijzing">
    <w:name w:val="Intense Reference"/>
    <w:basedOn w:val="Standaardalinea-lettertype"/>
    <w:uiPriority w:val="32"/>
    <w:qFormat/>
    <w:rsid w:val="00A42B8E"/>
    <w:rPr>
      <w:b/>
      <w:bCs/>
      <w:smallCaps/>
      <w:color w:val="2F5496" w:themeColor="accent1" w:themeShade="BF"/>
      <w:spacing w:val="5"/>
    </w:rPr>
  </w:style>
  <w:style w:type="paragraph" w:customStyle="1" w:styleId="KixBarcode">
    <w:name w:val="Kix Barcode"/>
    <w:basedOn w:val="Standaard"/>
    <w:next w:val="Standaard"/>
    <w:rsid w:val="00A42B8E"/>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A42B8E"/>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42B8E"/>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42B8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42B8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42B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42B8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42B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42B8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42B8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42B8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42B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1917</ap:Words>
  <ap:Characters>10549</ap:Characters>
  <ap:DocSecurity>0</ap:DocSecurity>
  <ap:Lines>87</ap:Lines>
  <ap:Paragraphs>24</ap:Paragraphs>
  <ap:ScaleCrop>false</ap:ScaleCrop>
  <ap:LinksUpToDate>false</ap:LinksUpToDate>
  <ap:CharactersWithSpaces>12442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2026-03-12T09:29:00.0000000Z</dcterms:created>
  <dcterms:modified xsi:type="dcterms:W3CDTF">2026-03-12T09:29:00.0000000Z</dcterms:modified>
  <version/>
  <category/>
</coreProperties>
</file>