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0B1" w:rsidP="00DF3114" w:rsidRDefault="00916DDE" w14:paraId="30A1D389" w14:textId="77777777">
      <w:r>
        <w:t xml:space="preserve"> </w:t>
      </w:r>
    </w:p>
    <w:p w:rsidRPr="00344C67" w:rsidR="001710B1" w:rsidP="00DF3114" w:rsidRDefault="00DB5F42" w14:paraId="4B3D04C9" w14:textId="77777777">
      <w:r w:rsidRPr="00344C67">
        <w:t>Geachte voorzitter,</w:t>
      </w:r>
    </w:p>
    <w:p w:rsidRPr="00344C67" w:rsidR="001710B1" w:rsidP="00DF3114" w:rsidRDefault="001710B1" w14:paraId="7EED80F0" w14:textId="77777777"/>
    <w:p w:rsidRPr="00344C67" w:rsidR="00CB7510" w:rsidP="00CB7510" w:rsidRDefault="001768B3" w14:paraId="787862EE" w14:textId="77777777">
      <w:r w:rsidRPr="00344C67">
        <w:t>Met d</w:t>
      </w:r>
      <w:r w:rsidRPr="00344C67" w:rsidR="00342B83">
        <w:t xml:space="preserve">eze brief </w:t>
      </w:r>
      <w:r w:rsidRPr="00344C67" w:rsidR="0038429D">
        <w:t>reageer ik, mede namens de Minister van Volkshuisvesting en Ruimtelijke Ordening,</w:t>
      </w:r>
      <w:r w:rsidRPr="00344C67">
        <w:t xml:space="preserve"> </w:t>
      </w:r>
      <w:r w:rsidRPr="00344C67" w:rsidR="00342B83">
        <w:t>op twee</w:t>
      </w:r>
      <w:r w:rsidRPr="00344C67">
        <w:t xml:space="preserve"> door uw Kamer aangenomen</w:t>
      </w:r>
      <w:r w:rsidRPr="00344C67" w:rsidR="00342B83">
        <w:t xml:space="preserve"> moties.</w:t>
      </w:r>
      <w:r w:rsidRPr="00344C67" w:rsidR="001B2A20">
        <w:t xml:space="preserve"> </w:t>
      </w:r>
      <w:r w:rsidRPr="00344C67">
        <w:t>Aller</w:t>
      </w:r>
      <w:r w:rsidRPr="00344C67" w:rsidR="00CB7510">
        <w:t xml:space="preserve">eerst </w:t>
      </w:r>
      <w:r w:rsidRPr="00344C67" w:rsidR="00DD6834">
        <w:t>wordt</w:t>
      </w:r>
      <w:r w:rsidRPr="00344C67">
        <w:t xml:space="preserve"> in</w:t>
      </w:r>
      <w:r w:rsidRPr="00344C67" w:rsidR="00DD6834">
        <w:t>gegaan</w:t>
      </w:r>
      <w:r w:rsidRPr="00344C67">
        <w:t xml:space="preserve"> op </w:t>
      </w:r>
      <w:r w:rsidRPr="00344C67" w:rsidR="00CB7510">
        <w:t>de motie van de leden Postma en Welzijn</w:t>
      </w:r>
      <w:r w:rsidRPr="00344C67" w:rsidR="00FA0848">
        <w:t>. Deze motie verzoekt</w:t>
      </w:r>
      <w:r w:rsidRPr="00344C67">
        <w:t xml:space="preserve"> het kabinet</w:t>
      </w:r>
      <w:r w:rsidRPr="00344C67" w:rsidR="00FA0848">
        <w:t xml:space="preserve"> om - in lijn met kabinetsbeleid - </w:t>
      </w:r>
      <w:r w:rsidRPr="00344C67" w:rsidR="00CB7510">
        <w:t xml:space="preserve">bij de voorbereiding van nieuwe </w:t>
      </w:r>
      <w:r w:rsidRPr="00344C67" w:rsidR="009C1947">
        <w:t xml:space="preserve">fiscale </w:t>
      </w:r>
      <w:r w:rsidRPr="00344C67" w:rsidR="00CB7510">
        <w:t xml:space="preserve">wetgeving, regelingen en beleid </w:t>
      </w:r>
      <w:r w:rsidRPr="00344C67" w:rsidR="009C1947">
        <w:t xml:space="preserve">ook </w:t>
      </w:r>
      <w:r w:rsidRPr="00344C67" w:rsidR="00CB7510">
        <w:t xml:space="preserve">aandacht te besteden aan de </w:t>
      </w:r>
      <w:r w:rsidRPr="00344C67">
        <w:t xml:space="preserve">effecten hiervan op de </w:t>
      </w:r>
      <w:r w:rsidRPr="00344C67" w:rsidR="00CB7510">
        <w:t>woningmarkt.</w:t>
      </w:r>
      <w:r w:rsidRPr="00344C67" w:rsidR="00CB7510">
        <w:rPr>
          <w:vertAlign w:val="superscript"/>
        </w:rPr>
        <w:footnoteReference w:id="1"/>
      </w:r>
      <w:r w:rsidRPr="00344C67" w:rsidR="00CB7510">
        <w:t xml:space="preserve"> </w:t>
      </w:r>
    </w:p>
    <w:p w:rsidRPr="00344C67" w:rsidR="00CB7510" w:rsidP="00B656B4" w:rsidRDefault="00CB7510" w14:paraId="3D784C75" w14:textId="77777777">
      <w:pPr>
        <w:jc w:val="center"/>
      </w:pPr>
    </w:p>
    <w:p w:rsidRPr="00344C67" w:rsidR="00DB5F42" w:rsidP="00DF3114" w:rsidRDefault="001768B3" w14:paraId="4B19F20E" w14:textId="77777777">
      <w:r w:rsidRPr="00344C67">
        <w:t xml:space="preserve">Ten </w:t>
      </w:r>
      <w:r w:rsidRPr="00344C67" w:rsidR="00CB7510">
        <w:t>tweede</w:t>
      </w:r>
      <w:r w:rsidR="00C74452">
        <w:t xml:space="preserve"> </w:t>
      </w:r>
      <w:r w:rsidRPr="00344C67" w:rsidR="00DD6834">
        <w:t xml:space="preserve">volgt een reactie </w:t>
      </w:r>
      <w:r w:rsidRPr="00344C67">
        <w:t xml:space="preserve">op </w:t>
      </w:r>
      <w:r w:rsidRPr="00344C67" w:rsidR="006B316C">
        <w:t xml:space="preserve">de motie van </w:t>
      </w:r>
      <w:r w:rsidRPr="00344C67" w:rsidR="00DB5F42">
        <w:t>het lid Vijlbrief</w:t>
      </w:r>
      <w:r w:rsidRPr="00344C67" w:rsidR="006B316C">
        <w:t>.</w:t>
      </w:r>
      <w:r w:rsidRPr="00344C67" w:rsidR="0024567A">
        <w:rPr>
          <w:rStyle w:val="Voetnootmarkering"/>
        </w:rPr>
        <w:footnoteReference w:id="2"/>
      </w:r>
      <w:r w:rsidRPr="00344C67" w:rsidR="00CA5A1E">
        <w:t xml:space="preserve"> </w:t>
      </w:r>
      <w:r w:rsidRPr="00344C67" w:rsidR="00FA0848">
        <w:t>In deze motie</w:t>
      </w:r>
      <w:r w:rsidRPr="00344C67" w:rsidR="00DB5F42">
        <w:t xml:space="preserve"> wordt </w:t>
      </w:r>
      <w:r w:rsidRPr="00344C67">
        <w:t xml:space="preserve">het kabinet </w:t>
      </w:r>
      <w:r w:rsidRPr="00344C67" w:rsidR="00DB5F42">
        <w:t xml:space="preserve">verzocht te </w:t>
      </w:r>
      <w:r w:rsidRPr="00344C67" w:rsidR="008F2A7A">
        <w:t>onderzoeken</w:t>
      </w:r>
      <w:r w:rsidRPr="00344C67" w:rsidR="00DB5F42">
        <w:t xml:space="preserve"> hoe de startersvrijstelling</w:t>
      </w:r>
      <w:r w:rsidRPr="00344C67" w:rsidR="00E92BA4">
        <w:t xml:space="preserve"> in de overdrachtsbelasting</w:t>
      </w:r>
      <w:r w:rsidRPr="00344C67" w:rsidR="00DB5F42">
        <w:t xml:space="preserve">, in het bijzonder de leeftijdsgrens, effectiever kan worden vormgegeven. </w:t>
      </w:r>
      <w:r w:rsidRPr="00344C67">
        <w:t>Ten uitvoering hiervan is</w:t>
      </w:r>
      <w:r w:rsidRPr="00344C67" w:rsidR="00DB5F42">
        <w:t xml:space="preserve"> </w:t>
      </w:r>
      <w:r w:rsidRPr="00344C67" w:rsidR="008F2A7A">
        <w:t>onderzocht</w:t>
      </w:r>
      <w:r w:rsidRPr="00344C67" w:rsidR="00DB5F42">
        <w:t xml:space="preserve"> </w:t>
      </w:r>
      <w:r w:rsidRPr="00344C67" w:rsidR="00B701E0">
        <w:t xml:space="preserve">in hoeverre </w:t>
      </w:r>
      <w:r w:rsidRPr="00344C67" w:rsidR="002F157E">
        <w:t>aanpassing</w:t>
      </w:r>
      <w:r w:rsidRPr="00344C67" w:rsidR="00DB5F42">
        <w:t xml:space="preserve"> </w:t>
      </w:r>
      <w:r w:rsidRPr="00344C67" w:rsidR="002F157E">
        <w:t>van</w:t>
      </w:r>
      <w:r w:rsidRPr="00344C67" w:rsidR="00DB5F42">
        <w:t xml:space="preserve"> de </w:t>
      </w:r>
      <w:r w:rsidRPr="00344C67" w:rsidR="00CA5A1E">
        <w:t xml:space="preserve">huidige </w:t>
      </w:r>
      <w:r w:rsidRPr="00344C67" w:rsidR="00DB5F42">
        <w:t>leeftijdsgrens van 35 jaar kan bijdragen aan de doeltreffendheid van de maatregel. Daarbij is gebruikgemaakt van de inzichten uit het verkennend onderzoek</w:t>
      </w:r>
      <w:r w:rsidRPr="00344C67" w:rsidR="00953FAC">
        <w:rPr>
          <w:rStyle w:val="Voetnootmarkering"/>
        </w:rPr>
        <w:footnoteReference w:id="3"/>
      </w:r>
      <w:r w:rsidRPr="00344C67" w:rsidR="0024567A">
        <w:t xml:space="preserve"> voorafgaand aan de Wet differentiatie van de overdrachtsbelasting</w:t>
      </w:r>
      <w:r w:rsidRPr="00344C67" w:rsidR="00DB5F42">
        <w:t xml:space="preserve"> en de recent gepubliceerde evaluatie</w:t>
      </w:r>
      <w:r w:rsidRPr="00344C67" w:rsidR="00953FAC">
        <w:rPr>
          <w:rStyle w:val="Voetnootmarkering"/>
        </w:rPr>
        <w:footnoteReference w:id="4"/>
      </w:r>
      <w:r w:rsidRPr="00344C67" w:rsidR="00E07F42">
        <w:t xml:space="preserve">. </w:t>
      </w:r>
      <w:r w:rsidRPr="00344C67" w:rsidR="00054681">
        <w:t xml:space="preserve">Op basis van </w:t>
      </w:r>
      <w:r w:rsidRPr="00344C67" w:rsidR="00B701E0">
        <w:t xml:space="preserve">deze </w:t>
      </w:r>
      <w:r w:rsidRPr="00344C67" w:rsidR="00054681">
        <w:t>onderzoek</w:t>
      </w:r>
      <w:r w:rsidRPr="00344C67" w:rsidR="00B701E0">
        <w:t>en</w:t>
      </w:r>
      <w:r w:rsidRPr="00344C67" w:rsidR="00054681">
        <w:t xml:space="preserve"> is niet gebleken dat een beter alternatief voor de bestaande leeftijdsgrens voorhanden is</w:t>
      </w:r>
      <w:r w:rsidRPr="00344C67" w:rsidR="00E07F42">
        <w:t>.</w:t>
      </w:r>
      <w:r w:rsidRPr="00344C67" w:rsidR="00CB7510">
        <w:t xml:space="preserve"> </w:t>
      </w:r>
      <w:r w:rsidRPr="00344C67" w:rsidR="00B701E0">
        <w:t xml:space="preserve">Een nadere toelichting hierop volgt </w:t>
      </w:r>
      <w:r w:rsidRPr="00344C67" w:rsidR="00CB7510">
        <w:t>in het tweede deel van deze brief.</w:t>
      </w:r>
    </w:p>
    <w:p w:rsidRPr="00344C67" w:rsidR="00CE3E91" w:rsidP="00DF3114" w:rsidRDefault="00CE3E91" w14:paraId="3D67DCDA" w14:textId="77777777"/>
    <w:p w:rsidRPr="00344C67" w:rsidR="00CB7510" w:rsidP="00CB7510" w:rsidRDefault="00CB7510" w14:paraId="549061E6" w14:textId="77777777">
      <w:pPr>
        <w:rPr>
          <w:b/>
          <w:bCs/>
          <w:i/>
          <w:iCs/>
        </w:rPr>
      </w:pPr>
      <w:bookmarkStart w:name="_Hlk220586905" w:id="0"/>
      <w:r w:rsidRPr="00344C67">
        <w:rPr>
          <w:b/>
          <w:bCs/>
          <w:i/>
          <w:iCs/>
        </w:rPr>
        <w:t>Deel 1: Woningmarkteffecten van fiscaal beleid</w:t>
      </w:r>
    </w:p>
    <w:p w:rsidRPr="00344C67" w:rsidR="009C1947" w:rsidP="00CB7510" w:rsidRDefault="009C1947" w14:paraId="42089211" w14:textId="77777777">
      <w:pPr>
        <w:rPr>
          <w:b/>
          <w:bCs/>
          <w:i/>
          <w:iCs/>
        </w:rPr>
      </w:pPr>
    </w:p>
    <w:p w:rsidRPr="00344C67" w:rsidR="00CB7510" w:rsidP="00CB7510" w:rsidRDefault="003E79B7" w14:paraId="5DD86406" w14:textId="77777777">
      <w:r w:rsidRPr="00344C67">
        <w:t xml:space="preserve">Het kabinet </w:t>
      </w:r>
      <w:r w:rsidR="002579FE">
        <w:t>ziet</w:t>
      </w:r>
      <w:r w:rsidRPr="00344C67" w:rsidR="002579FE">
        <w:t xml:space="preserve"> </w:t>
      </w:r>
      <w:r w:rsidRPr="00344C67">
        <w:t xml:space="preserve">de motie </w:t>
      </w:r>
      <w:r w:rsidRPr="00344C67" w:rsidR="00B701E0">
        <w:t xml:space="preserve">van de leden </w:t>
      </w:r>
      <w:r w:rsidRPr="00344C67">
        <w:t>Postma</w:t>
      </w:r>
      <w:r w:rsidRPr="00344C67" w:rsidR="00B701E0">
        <w:t xml:space="preserve"> en </w:t>
      </w:r>
      <w:r w:rsidRPr="00344C67">
        <w:t xml:space="preserve">Welzijn als </w:t>
      </w:r>
      <w:r w:rsidRPr="00344C67" w:rsidR="00B701E0">
        <w:t xml:space="preserve">een </w:t>
      </w:r>
      <w:r w:rsidR="002579FE">
        <w:t>bevestiging</w:t>
      </w:r>
      <w:r w:rsidRPr="00344C67" w:rsidR="002579FE">
        <w:t xml:space="preserve"> </w:t>
      </w:r>
      <w:r w:rsidRPr="00344C67">
        <w:t>van</w:t>
      </w:r>
      <w:r w:rsidRPr="00344C67" w:rsidR="00B701E0">
        <w:t xml:space="preserve"> het </w:t>
      </w:r>
      <w:proofErr w:type="gramStart"/>
      <w:r w:rsidR="002579FE">
        <w:t>reeds</w:t>
      </w:r>
      <w:proofErr w:type="gramEnd"/>
      <w:r w:rsidR="002579FE">
        <w:t xml:space="preserve"> bestaande</w:t>
      </w:r>
      <w:r w:rsidRPr="00344C67" w:rsidR="002579FE">
        <w:t xml:space="preserve"> </w:t>
      </w:r>
      <w:r w:rsidRPr="00344C67">
        <w:t xml:space="preserve">beleid. </w:t>
      </w:r>
      <w:r w:rsidRPr="00344C67" w:rsidR="00FA0848">
        <w:t xml:space="preserve">Het kabinet </w:t>
      </w:r>
      <w:r w:rsidRPr="00344C67" w:rsidR="00B701E0">
        <w:t>hecht er groot belang aan</w:t>
      </w:r>
      <w:r w:rsidRPr="00344C67" w:rsidR="00FA0848">
        <w:t xml:space="preserve"> dat bij</w:t>
      </w:r>
      <w:r w:rsidRPr="00344C67" w:rsidR="00CB7510">
        <w:t xml:space="preserve"> de ontwikkeling van fiscaal beleid</w:t>
      </w:r>
      <w:r w:rsidRPr="00344C67" w:rsidR="00B701E0">
        <w:t xml:space="preserve"> steeds</w:t>
      </w:r>
      <w:r w:rsidRPr="00344C67" w:rsidR="00CB7510">
        <w:t xml:space="preserve"> aandacht </w:t>
      </w:r>
      <w:r w:rsidRPr="00344C67" w:rsidR="00FA0848">
        <w:t xml:space="preserve">wordt </w:t>
      </w:r>
      <w:r w:rsidRPr="00344C67" w:rsidR="00CB7510">
        <w:t>besteed aan mogelijke neveneffecten en bredere maatschappelijke gevolgen</w:t>
      </w:r>
      <w:r w:rsidRPr="00344C67" w:rsidR="00FA0848">
        <w:t xml:space="preserve"> van </w:t>
      </w:r>
      <w:r w:rsidRPr="00344C67" w:rsidR="00B701E0">
        <w:t xml:space="preserve">dergelijk </w:t>
      </w:r>
      <w:r w:rsidRPr="00344C67" w:rsidR="00FA0848">
        <w:t>beleid</w:t>
      </w:r>
      <w:r w:rsidRPr="00344C67" w:rsidR="00CB7510">
        <w:t>, waaronder</w:t>
      </w:r>
      <w:r w:rsidRPr="00344C67" w:rsidR="00FA0848">
        <w:t xml:space="preserve"> </w:t>
      </w:r>
      <w:r w:rsidRPr="00344C67" w:rsidR="00B701E0">
        <w:t>uit</w:t>
      </w:r>
      <w:r w:rsidRPr="00344C67" w:rsidR="00FA0848">
        <w:t>drukkelijk ook de</w:t>
      </w:r>
      <w:r w:rsidRPr="00344C67" w:rsidR="00CB7510">
        <w:t xml:space="preserve"> </w:t>
      </w:r>
      <w:r w:rsidRPr="00344C67" w:rsidR="00B701E0">
        <w:t xml:space="preserve">gevolgen </w:t>
      </w:r>
      <w:r w:rsidRPr="00344C67" w:rsidR="00CB7510">
        <w:t xml:space="preserve">voor de woningmarkt. </w:t>
      </w:r>
    </w:p>
    <w:p w:rsidRPr="00344C67" w:rsidR="00CB7510" w:rsidP="00CB7510" w:rsidRDefault="00CB7510" w14:paraId="51822FD1" w14:textId="77777777"/>
    <w:p w:rsidRPr="00344C67" w:rsidR="00CB7510" w:rsidP="00CB7510" w:rsidRDefault="00CB7510" w14:paraId="0A714583" w14:textId="77777777">
      <w:r w:rsidRPr="00344C67">
        <w:t xml:space="preserve">Het is </w:t>
      </w:r>
      <w:r w:rsidRPr="00344C67" w:rsidR="00B701E0">
        <w:t xml:space="preserve">zinvol </w:t>
      </w:r>
      <w:r w:rsidRPr="00344C67">
        <w:t xml:space="preserve">om onderscheid te maken tussen generiek fiscaal beleid met </w:t>
      </w:r>
      <w:r w:rsidRPr="00344C67" w:rsidR="00B701E0">
        <w:t xml:space="preserve">mogelijke </w:t>
      </w:r>
      <w:r w:rsidRPr="00344C67">
        <w:t xml:space="preserve">gevolgen voor de woningmarkt en </w:t>
      </w:r>
      <w:r w:rsidRPr="00344C67" w:rsidR="00B701E0">
        <w:t xml:space="preserve">specifiek </w:t>
      </w:r>
      <w:r w:rsidRPr="00344C67">
        <w:t xml:space="preserve">woningmarktbeleid </w:t>
      </w:r>
      <w:r w:rsidRPr="00344C67" w:rsidR="00B701E0">
        <w:t>binnen de fiscaliteit</w:t>
      </w:r>
      <w:r w:rsidRPr="00344C67">
        <w:t xml:space="preserve">. </w:t>
      </w:r>
      <w:r w:rsidRPr="00344C67" w:rsidR="00B701E0">
        <w:t xml:space="preserve">In het geval van fiscale regelingen die primair zijn gericht op de woningmarkt, zoals </w:t>
      </w:r>
      <w:r w:rsidRPr="00344C67">
        <w:t xml:space="preserve">de startersvrijstelling in de overdrachtsbelasting </w:t>
      </w:r>
      <w:r w:rsidRPr="00344C67" w:rsidR="00B701E0">
        <w:t>(</w:t>
      </w:r>
      <w:r w:rsidRPr="00344C67">
        <w:t>waar</w:t>
      </w:r>
      <w:r w:rsidRPr="00344C67" w:rsidR="00B701E0">
        <w:t>op</w:t>
      </w:r>
      <w:r w:rsidRPr="00344C67">
        <w:t xml:space="preserve"> </w:t>
      </w:r>
      <w:r w:rsidRPr="00344C67" w:rsidR="00060D85">
        <w:t xml:space="preserve">het </w:t>
      </w:r>
      <w:r w:rsidRPr="00344C67" w:rsidR="003E79B7">
        <w:lastRenderedPageBreak/>
        <w:t xml:space="preserve">tweede deel van </w:t>
      </w:r>
      <w:r w:rsidRPr="00344C67">
        <w:t xml:space="preserve">deze brief </w:t>
      </w:r>
      <w:r w:rsidRPr="00344C67" w:rsidR="00B701E0">
        <w:t>nader wordt ingegaan)</w:t>
      </w:r>
      <w:r w:rsidRPr="00344C67">
        <w:t>, de fiscale eigenwoningregeling en</w:t>
      </w:r>
      <w:r w:rsidRPr="00344C67" w:rsidR="00B701E0">
        <w:t xml:space="preserve"> –</w:t>
      </w:r>
      <w:r w:rsidRPr="00344C67">
        <w:t xml:space="preserve"> </w:t>
      </w:r>
      <w:r w:rsidRPr="00344C67" w:rsidR="00060D85">
        <w:t>tot</w:t>
      </w:r>
      <w:r w:rsidRPr="00344C67" w:rsidR="006F01CA">
        <w:t xml:space="preserve"> enkele jaren geleden</w:t>
      </w:r>
      <w:r w:rsidRPr="00344C67" w:rsidR="00B701E0">
        <w:t xml:space="preserve"> –</w:t>
      </w:r>
      <w:r w:rsidRPr="00344C67">
        <w:t xml:space="preserve"> de schenkingsvrijstelling </w:t>
      </w:r>
      <w:r w:rsidRPr="00344C67" w:rsidR="00060D85">
        <w:t>eigen</w:t>
      </w:r>
      <w:r w:rsidRPr="00344C67">
        <w:t xml:space="preserve"> woning</w:t>
      </w:r>
      <w:r w:rsidRPr="00344C67" w:rsidR="00B701E0">
        <w:t>, staan de beoogde effecten op de woningmarkt centraal</w:t>
      </w:r>
      <w:r w:rsidRPr="00344C67">
        <w:t xml:space="preserve">. </w:t>
      </w:r>
    </w:p>
    <w:p w:rsidRPr="00344C67" w:rsidR="00CB7510" w:rsidP="00CB7510" w:rsidRDefault="00CB7510" w14:paraId="36846B3D" w14:textId="77777777"/>
    <w:p w:rsidRPr="00344C67" w:rsidR="00C141F9" w:rsidP="00CB7510" w:rsidRDefault="00CB7510" w14:paraId="1112C2ED" w14:textId="77777777">
      <w:r w:rsidRPr="00344C67">
        <w:t xml:space="preserve">Ook bij generiek fiscaal beleid </w:t>
      </w:r>
      <w:r w:rsidR="002579FE">
        <w:t>wordt</w:t>
      </w:r>
      <w:r w:rsidRPr="00344C67">
        <w:t xml:space="preserve"> aandacht</w:t>
      </w:r>
      <w:r w:rsidR="002579FE">
        <w:t xml:space="preserve"> besteed</w:t>
      </w:r>
      <w:r w:rsidRPr="00344C67">
        <w:t xml:space="preserve"> aan relevante gevolgen voor de woningmarkt. Dat </w:t>
      </w:r>
      <w:r w:rsidRPr="00344C67" w:rsidR="00B701E0">
        <w:t xml:space="preserve">krijgt </w:t>
      </w:r>
      <w:proofErr w:type="gramStart"/>
      <w:r w:rsidRPr="00344C67" w:rsidR="00B701E0">
        <w:t>reeds</w:t>
      </w:r>
      <w:proofErr w:type="gramEnd"/>
      <w:r w:rsidRPr="00344C67" w:rsidR="00B701E0">
        <w:t xml:space="preserve"> gestalte</w:t>
      </w:r>
      <w:r w:rsidRPr="00344C67">
        <w:t xml:space="preserve"> </w:t>
      </w:r>
      <w:r w:rsidRPr="00344C67" w:rsidR="00B701E0">
        <w:t xml:space="preserve">in </w:t>
      </w:r>
      <w:r w:rsidRPr="00344C67">
        <w:t>de beleidsvoorbereid</w:t>
      </w:r>
      <w:r w:rsidRPr="00344C67" w:rsidR="00B701E0">
        <w:t>ende fase</w:t>
      </w:r>
      <w:r w:rsidRPr="00344C67">
        <w:t xml:space="preserve">. Zo worden in het kader van – bijvoorbeeld – het gebruik van het Beleidskompas de beleidsopties integraal afgewogen, waarbij steeds expliciet wordt gekeken naar doeltreffendheid, doelmatigheid en mogelijke effecten op relevante beleidsterreinen, zoals de woningmarkt. </w:t>
      </w:r>
      <w:r w:rsidRPr="00344C67" w:rsidR="00B701E0">
        <w:t>D</w:t>
      </w:r>
      <w:r w:rsidRPr="00344C67">
        <w:t>e uitkomsten van deze afwegingen</w:t>
      </w:r>
      <w:r w:rsidRPr="00344C67" w:rsidR="00B701E0">
        <w:t xml:space="preserve"> worden, mede</w:t>
      </w:r>
      <w:r w:rsidRPr="00344C67">
        <w:t xml:space="preserve"> op grond van de Comptabiliteitswet</w:t>
      </w:r>
      <w:r w:rsidRPr="00344C67" w:rsidR="00B701E0">
        <w:t>,</w:t>
      </w:r>
      <w:r w:rsidRPr="00344C67">
        <w:t xml:space="preserve"> inzichtelijk gemaakt </w:t>
      </w:r>
      <w:r w:rsidRPr="00344C67" w:rsidR="00B701E0">
        <w:t xml:space="preserve">richting </w:t>
      </w:r>
      <w:r w:rsidRPr="00344C67">
        <w:t>de Staten-Generaal via onder meer de toelichtingen bij de wetsvoorstellen</w:t>
      </w:r>
      <w:r w:rsidRPr="00344C67" w:rsidR="00B701E0">
        <w:t>. Op die wijze kunnen</w:t>
      </w:r>
      <w:r w:rsidRPr="00344C67">
        <w:t xml:space="preserve"> </w:t>
      </w:r>
      <w:r w:rsidRPr="00344C67" w:rsidR="00B701E0">
        <w:t>dergelijke</w:t>
      </w:r>
      <w:r w:rsidRPr="00344C67">
        <w:t xml:space="preserve"> effecten worden betrokken bij de parlementaire behandeling.</w:t>
      </w:r>
    </w:p>
    <w:p w:rsidRPr="00344C67" w:rsidR="00C141F9" w:rsidP="00CB7510" w:rsidRDefault="00C141F9" w14:paraId="17CCC7AE" w14:textId="77777777"/>
    <w:p w:rsidRPr="00344C67" w:rsidR="00CB7510" w:rsidP="00CB7510" w:rsidRDefault="00CB7510" w14:paraId="26151FED" w14:textId="77777777">
      <w:r w:rsidRPr="00344C67">
        <w:t>Deze werkwijze sluit aan bij de strekking van motie van de leden Postma en Welzijn, in die zin dat bij de voorbereiding van beleid structureel aandacht wordt besteed aan mogelijke effecten op andere beleidsterreinen, zoals de woningmarkt. Op deze manier wordt gewaarborgd dat onder meer woningmarkteffecten, voor zover zij uit de beleidsuitwerking naar voren komen, onderdeel zijn van het besluitvormingsproces en de parlementaire behandeling.</w:t>
      </w:r>
    </w:p>
    <w:p w:rsidRPr="00344C67" w:rsidR="00CB7510" w:rsidP="00CB7510" w:rsidRDefault="00CB7510" w14:paraId="1376860A" w14:textId="77777777"/>
    <w:p w:rsidRPr="00344C67" w:rsidR="00CB7510" w:rsidP="0094753F" w:rsidRDefault="00CB7510" w14:paraId="4500F74A" w14:textId="77777777">
      <w:r w:rsidRPr="00344C67">
        <w:t>Er zijn meerdere voorbeelden van generiek fiscaal beleid waarbij aandacht is besteed aan de mogelijke gevolgen voor de woningmarkt.</w:t>
      </w:r>
      <w:r w:rsidRPr="00344C67" w:rsidR="0026213B">
        <w:t xml:space="preserve"> </w:t>
      </w:r>
      <w:r w:rsidRPr="00344C67" w:rsidR="00C141F9">
        <w:t xml:space="preserve">In het </w:t>
      </w:r>
      <w:r w:rsidRPr="00344C67" w:rsidR="0026213B">
        <w:t xml:space="preserve">Belastingplan 2025 </w:t>
      </w:r>
      <w:r w:rsidRPr="00344C67" w:rsidR="00C141F9">
        <w:t xml:space="preserve">waren </w:t>
      </w:r>
      <w:r w:rsidRPr="00344C67" w:rsidR="0026213B">
        <w:t xml:space="preserve">bijvoorbeeld twee voorstellen </w:t>
      </w:r>
      <w:r w:rsidRPr="00344C67" w:rsidR="00C141F9">
        <w:t xml:space="preserve">opgenomen </w:t>
      </w:r>
      <w:r w:rsidRPr="00344C67" w:rsidR="0026213B">
        <w:t xml:space="preserve">die </w:t>
      </w:r>
      <w:r w:rsidRPr="00344C67" w:rsidR="00C141F9">
        <w:t xml:space="preserve">naar verwachting </w:t>
      </w:r>
      <w:r w:rsidR="006E24BC">
        <w:t>effecten</w:t>
      </w:r>
      <w:r w:rsidRPr="00344C67" w:rsidR="0026213B">
        <w:t xml:space="preserve"> </w:t>
      </w:r>
      <w:r w:rsidRPr="00344C67" w:rsidR="00C141F9">
        <w:t xml:space="preserve">konden </w:t>
      </w:r>
      <w:r w:rsidRPr="00344C67" w:rsidR="0026213B">
        <w:t xml:space="preserve">hebben </w:t>
      </w:r>
      <w:r w:rsidRPr="00344C67" w:rsidR="00C141F9">
        <w:t xml:space="preserve">op </w:t>
      </w:r>
      <w:r w:rsidRPr="00344C67" w:rsidR="0026213B">
        <w:t>de woningmarkt</w:t>
      </w:r>
      <w:r w:rsidRPr="00344C67" w:rsidR="00C141F9">
        <w:t>, namelijk</w:t>
      </w:r>
      <w:r w:rsidRPr="00344C67" w:rsidR="0026213B">
        <w:t xml:space="preserve"> de verhoging van het percentage voor generieke renteaftrekbeperking en een </w:t>
      </w:r>
      <w:proofErr w:type="spellStart"/>
      <w:r w:rsidRPr="00344C67" w:rsidR="0026213B">
        <w:t>antifragmentatiemaatregel</w:t>
      </w:r>
      <w:proofErr w:type="spellEnd"/>
      <w:r w:rsidRPr="00344C67" w:rsidR="0094753F">
        <w:t xml:space="preserve"> voor deze renteaftrekbeperking. Voor beide maatregelen is in de </w:t>
      </w:r>
      <w:r w:rsidRPr="00344C67" w:rsidR="00C141F9">
        <w:t>m</w:t>
      </w:r>
      <w:r w:rsidRPr="00344C67" w:rsidR="0094753F">
        <w:t xml:space="preserve">emorie van </w:t>
      </w:r>
      <w:r w:rsidRPr="00344C67" w:rsidR="00C141F9">
        <w:t>t</w:t>
      </w:r>
      <w:r w:rsidRPr="00344C67" w:rsidR="0094753F">
        <w:t xml:space="preserve">oelichting het budgettaire belang voor woningbouwcorporaties </w:t>
      </w:r>
      <w:r w:rsidRPr="00344C67" w:rsidR="00C141F9">
        <w:t xml:space="preserve">afzonderlijk </w:t>
      </w:r>
      <w:r w:rsidRPr="00344C67" w:rsidR="0094753F">
        <w:t>vermeld</w:t>
      </w:r>
      <w:r w:rsidRPr="00344C67" w:rsidR="00C141F9">
        <w:t>.</w:t>
      </w:r>
      <w:r w:rsidRPr="00344C67" w:rsidR="0094753F">
        <w:t xml:space="preserve"> </w:t>
      </w:r>
      <w:r w:rsidRPr="00344C67" w:rsidR="00C141F9">
        <w:t xml:space="preserve">Bij </w:t>
      </w:r>
      <w:r w:rsidRPr="00344C67" w:rsidR="0094753F">
        <w:t xml:space="preserve">de parlementaire behandeling hebben de mogelijke gevolgen voor de woningmarkt er mede toe geleid dat de </w:t>
      </w:r>
      <w:proofErr w:type="spellStart"/>
      <w:r w:rsidRPr="00344C67" w:rsidR="0094753F">
        <w:t>antifragmentatiemaatregel</w:t>
      </w:r>
      <w:proofErr w:type="spellEnd"/>
      <w:r w:rsidRPr="00344C67" w:rsidR="0094753F">
        <w:t xml:space="preserve"> niet is aangenomen.</w:t>
      </w:r>
      <w:r w:rsidRPr="00344C67" w:rsidR="0094753F">
        <w:rPr>
          <w:rStyle w:val="Voetnootmarkering"/>
        </w:rPr>
        <w:footnoteReference w:id="5"/>
      </w:r>
      <w:r w:rsidRPr="00344C67" w:rsidR="00924C3D">
        <w:rPr>
          <w:vertAlign w:val="superscript"/>
        </w:rPr>
        <w:t>,</w:t>
      </w:r>
      <w:r w:rsidRPr="00344C67" w:rsidR="00924C3D">
        <w:rPr>
          <w:rStyle w:val="Voetnootmarkering"/>
        </w:rPr>
        <w:footnoteReference w:id="6"/>
      </w:r>
      <w:r w:rsidRPr="00344C67" w:rsidR="0094753F">
        <w:t xml:space="preserve"> Een ander voorbeeld </w:t>
      </w:r>
      <w:r w:rsidRPr="00344C67" w:rsidR="00C141F9">
        <w:t xml:space="preserve">betreft </w:t>
      </w:r>
      <w:r w:rsidRPr="00344C67" w:rsidR="0094753F">
        <w:t xml:space="preserve">de aandacht voor </w:t>
      </w:r>
      <w:r w:rsidRPr="00344C67">
        <w:t xml:space="preserve">de positie van particuliere verhuurders van woningen </w:t>
      </w:r>
      <w:r w:rsidRPr="00344C67" w:rsidR="00C141F9">
        <w:t xml:space="preserve">in het kader van </w:t>
      </w:r>
      <w:r w:rsidRPr="00344C67">
        <w:t>de lopende parlementaire behandeling van het wetsvoorstel Wet werkelijk rendement box 3.</w:t>
      </w:r>
      <w:r w:rsidRPr="00344C67">
        <w:rPr>
          <w:rStyle w:val="Voetnootmarkering"/>
        </w:rPr>
        <w:footnoteReference w:id="7"/>
      </w:r>
      <w:r w:rsidRPr="00344C67">
        <w:t xml:space="preserve"> </w:t>
      </w:r>
    </w:p>
    <w:bookmarkEnd w:id="0"/>
    <w:p w:rsidRPr="00344C67" w:rsidR="00DA7FE1" w:rsidP="00DF3114" w:rsidRDefault="00DA7FE1" w14:paraId="511B9A90" w14:textId="77777777"/>
    <w:p w:rsidRPr="00344C67" w:rsidR="0047488E" w:rsidP="00DF3114" w:rsidRDefault="0047488E" w14:paraId="2B05677F" w14:textId="77777777">
      <w:pPr>
        <w:rPr>
          <w:b/>
          <w:bCs/>
          <w:i/>
          <w:iCs/>
        </w:rPr>
      </w:pPr>
      <w:r w:rsidRPr="00344C67">
        <w:rPr>
          <w:b/>
          <w:bCs/>
          <w:i/>
          <w:iCs/>
        </w:rPr>
        <w:t xml:space="preserve">Deel </w:t>
      </w:r>
      <w:r w:rsidRPr="00344C67" w:rsidR="0094753F">
        <w:rPr>
          <w:b/>
          <w:bCs/>
          <w:i/>
          <w:iCs/>
        </w:rPr>
        <w:t>2</w:t>
      </w:r>
      <w:r w:rsidRPr="00344C67">
        <w:rPr>
          <w:b/>
          <w:bCs/>
          <w:i/>
          <w:iCs/>
        </w:rPr>
        <w:t>: Startersvrijstelling in de overdrachtsbelasting</w:t>
      </w:r>
    </w:p>
    <w:p w:rsidRPr="00344C67" w:rsidR="0047488E" w:rsidP="00DF3114" w:rsidRDefault="0047488E" w14:paraId="09603D2B" w14:textId="77777777"/>
    <w:p w:rsidRPr="00344C67" w:rsidR="00DB5F42" w:rsidP="00DF3114" w:rsidRDefault="00DB5F42" w14:paraId="4C175FC8" w14:textId="77777777">
      <w:r w:rsidRPr="00344C67">
        <w:rPr>
          <w:b/>
          <w:bCs/>
        </w:rPr>
        <w:t>Achtergrond</w:t>
      </w:r>
    </w:p>
    <w:p w:rsidRPr="00344C67" w:rsidR="008F2A7A" w:rsidP="00DF3114" w:rsidRDefault="00D65972" w14:paraId="37C2483C" w14:textId="77777777">
      <w:pPr>
        <w:spacing w:after="160" w:line="259" w:lineRule="auto"/>
      </w:pPr>
      <w:r w:rsidRPr="00344C67">
        <w:t xml:space="preserve">De startersvrijstelling is per 1 januari 2021 ingevoerd </w:t>
      </w:r>
      <w:r w:rsidRPr="00344C67" w:rsidR="002F157E">
        <w:t>als onderdeel van de Wet differentiatie overdrachtsbelasting</w:t>
      </w:r>
      <w:r w:rsidRPr="00344C67" w:rsidR="0024567A">
        <w:t>. Het</w:t>
      </w:r>
      <w:r w:rsidRPr="00344C67" w:rsidR="002F157E">
        <w:t xml:space="preserve"> doel</w:t>
      </w:r>
      <w:r w:rsidRPr="00344C67" w:rsidR="0024567A">
        <w:t xml:space="preserve"> daarvan was om</w:t>
      </w:r>
      <w:r w:rsidRPr="00344C67" w:rsidR="002F157E">
        <w:t xml:space="preserve"> de positie van koopstarters op de woningmarkt te versterken ten </w:t>
      </w:r>
      <w:r w:rsidRPr="00344C67" w:rsidR="00C62E2D">
        <w:t>opzichte</w:t>
      </w:r>
      <w:r w:rsidRPr="00344C67" w:rsidR="002F157E">
        <w:t xml:space="preserve"> van beleggers.</w:t>
      </w:r>
      <w:r w:rsidRPr="00344C67" w:rsidR="000F1590">
        <w:t xml:space="preserve"> Omdat </w:t>
      </w:r>
      <w:r w:rsidRPr="00344C67" w:rsidR="00E92BA4">
        <w:t>het ging om het verbeteren van</w:t>
      </w:r>
      <w:r w:rsidRPr="00344C67" w:rsidR="000F1590">
        <w:t xml:space="preserve"> </w:t>
      </w:r>
      <w:r w:rsidRPr="00344C67" w:rsidR="00815C1F">
        <w:t>de relatieve positie,</w:t>
      </w:r>
      <w:r w:rsidRPr="00344C67" w:rsidR="00C62E2D">
        <w:t xml:space="preserve"> </w:t>
      </w:r>
      <w:r w:rsidRPr="00344C67" w:rsidR="00815C1F">
        <w:t xml:space="preserve">dient </w:t>
      </w:r>
      <w:r w:rsidRPr="00344C67" w:rsidR="000F1590">
        <w:t>d</w:t>
      </w:r>
      <w:r w:rsidRPr="00344C67" w:rsidR="00C62E2D">
        <w:t>e vrijstelling</w:t>
      </w:r>
      <w:r w:rsidRPr="00344C67" w:rsidR="008F2A7A">
        <w:t xml:space="preserve"> </w:t>
      </w:r>
      <w:r w:rsidRPr="00344C67" w:rsidR="00E92BA4">
        <w:t xml:space="preserve">te worden beschouwd </w:t>
      </w:r>
      <w:r w:rsidRPr="00344C67" w:rsidR="00815C1F">
        <w:t xml:space="preserve">in samenhang met </w:t>
      </w:r>
      <w:r w:rsidRPr="00344C67" w:rsidR="000F1590">
        <w:t>de maatregelen</w:t>
      </w:r>
      <w:r w:rsidRPr="00344C67" w:rsidR="00E92BA4">
        <w:t xml:space="preserve"> die erop gericht zijn beleggers relatief zwaarder te belasten</w:t>
      </w:r>
      <w:r w:rsidRPr="00344C67" w:rsidR="008771C6">
        <w:t xml:space="preserve"> of op andere wijze strenger te reguleren</w:t>
      </w:r>
      <w:r w:rsidRPr="00344C67" w:rsidR="00054681">
        <w:t xml:space="preserve">. Voorbeelden van laatstgenoemde zijn </w:t>
      </w:r>
      <w:r w:rsidRPr="00344C67" w:rsidR="008771C6">
        <w:t>de Wet maximering huurprijs</w:t>
      </w:r>
      <w:r w:rsidRPr="00344C67" w:rsidR="00054681">
        <w:t>, die op 1 mei 2021 in werking is getreden en de opkoopbescherming, ingevoerd per 1 januari 2022. Met ingang van 1 juli 2024 is hieraan de Wet betaalbare huur toegevoegd</w:t>
      </w:r>
      <w:r w:rsidRPr="00344C67" w:rsidR="008771C6">
        <w:t xml:space="preserve">. </w:t>
      </w:r>
    </w:p>
    <w:p w:rsidRPr="00344C67" w:rsidR="008F2A7A" w:rsidP="00DF3114" w:rsidRDefault="008771C6" w14:paraId="3359F1B3" w14:textId="77777777">
      <w:pPr>
        <w:spacing w:after="160" w:line="259" w:lineRule="auto"/>
      </w:pPr>
      <w:r w:rsidRPr="00344C67">
        <w:t xml:space="preserve">De </w:t>
      </w:r>
      <w:r w:rsidRPr="00344C67" w:rsidR="00054681">
        <w:t>verbetering</w:t>
      </w:r>
      <w:r w:rsidRPr="00344C67">
        <w:t xml:space="preserve"> van de relatieve positie van starters in de overdrachtsbelasting is gerealiseerd door</w:t>
      </w:r>
      <w:r w:rsidRPr="00344C67" w:rsidR="00953FAC">
        <w:t xml:space="preserve"> een combinatie van maatregelen. Enerzijds</w:t>
      </w:r>
      <w:r w:rsidRPr="00344C67">
        <w:t xml:space="preserve"> een</w:t>
      </w:r>
      <w:r w:rsidRPr="00344C67" w:rsidR="000F1590">
        <w:t xml:space="preserve"> </w:t>
      </w:r>
      <w:r w:rsidRPr="00344C67" w:rsidR="008F2A7A">
        <w:t xml:space="preserve">verhoging van de belastingdruk </w:t>
      </w:r>
      <w:r w:rsidRPr="00344C67" w:rsidR="00815C1F">
        <w:t xml:space="preserve">bij verkrijging van </w:t>
      </w:r>
      <w:r w:rsidRPr="00344C67" w:rsidR="008F2A7A">
        <w:t xml:space="preserve">een woning met </w:t>
      </w:r>
      <w:r w:rsidRPr="00344C67" w:rsidR="00815C1F">
        <w:t xml:space="preserve">een </w:t>
      </w:r>
      <w:r w:rsidRPr="00344C67" w:rsidR="008F2A7A">
        <w:t>ander gebruik</w:t>
      </w:r>
      <w:r w:rsidRPr="00344C67" w:rsidR="00815C1F">
        <w:t>sdoel</w:t>
      </w:r>
      <w:r w:rsidRPr="00344C67" w:rsidR="008F2A7A">
        <w:t xml:space="preserve"> dan als hoofdverblijf</w:t>
      </w:r>
      <w:r w:rsidRPr="00344C67" w:rsidR="00953FAC">
        <w:t xml:space="preserve">, en anderzijds de introductie van de startersvrijstelling. </w:t>
      </w:r>
      <w:r w:rsidRPr="00344C67" w:rsidR="000F1590">
        <w:t>De</w:t>
      </w:r>
      <w:r w:rsidRPr="00344C67" w:rsidR="00953FAC">
        <w:t>ze</w:t>
      </w:r>
      <w:r w:rsidRPr="00344C67" w:rsidR="008F2A7A">
        <w:t xml:space="preserve"> vrijstelling </w:t>
      </w:r>
      <w:r w:rsidRPr="00344C67" w:rsidR="000F1590">
        <w:t xml:space="preserve">geldt </w:t>
      </w:r>
      <w:r w:rsidRPr="00344C67" w:rsidR="008F2A7A">
        <w:t xml:space="preserve">voor natuurlijke personen die bij de verkrijging voldoen aan </w:t>
      </w:r>
      <w:r w:rsidRPr="00344C67" w:rsidR="00FB4DDA">
        <w:t xml:space="preserve">vier </w:t>
      </w:r>
      <w:r w:rsidRPr="00344C67" w:rsidR="008F2A7A">
        <w:t>cumulatieve voorwaarden: (1) een leeftijd tussen 18 en 35 jaar, (2) het zelf als hoofdverblijf gaan gebruiken van de woning,</w:t>
      </w:r>
      <w:r w:rsidRPr="00344C67" w:rsidR="00FB4DDA">
        <w:t xml:space="preserve"> (3) de woning overschrijdt de </w:t>
      </w:r>
      <w:proofErr w:type="spellStart"/>
      <w:r w:rsidRPr="00344C67" w:rsidR="00FB4DDA">
        <w:t>woningwaardegrens</w:t>
      </w:r>
      <w:proofErr w:type="spellEnd"/>
      <w:r w:rsidRPr="00344C67" w:rsidR="00FB4DDA">
        <w:t xml:space="preserve"> niet</w:t>
      </w:r>
      <w:r w:rsidRPr="00344C67" w:rsidR="008F2A7A">
        <w:t xml:space="preserve"> en (</w:t>
      </w:r>
      <w:r w:rsidRPr="00344C67" w:rsidR="00FB4DDA">
        <w:t>4</w:t>
      </w:r>
      <w:r w:rsidRPr="00344C67" w:rsidR="008F2A7A">
        <w:t>) niet eerder gebruik hebben gemaakt van de vrijstelling.</w:t>
      </w:r>
    </w:p>
    <w:p w:rsidRPr="00344C67" w:rsidR="00602B47" w:rsidP="00DF3114" w:rsidRDefault="00602B47" w14:paraId="1C9A39F2" w14:textId="77777777">
      <w:pPr>
        <w:spacing w:after="160" w:line="259" w:lineRule="auto"/>
        <w:rPr>
          <w:b/>
          <w:bCs/>
        </w:rPr>
      </w:pPr>
      <w:r w:rsidRPr="00344C67">
        <w:rPr>
          <w:b/>
          <w:bCs/>
        </w:rPr>
        <w:t>Inzichten uit de evaluatie</w:t>
      </w:r>
    </w:p>
    <w:p w:rsidRPr="00344C67" w:rsidR="00602B47" w:rsidP="00DF3114" w:rsidRDefault="00602B47" w14:paraId="63ADAB30" w14:textId="77777777">
      <w:pPr>
        <w:spacing w:after="160" w:line="259" w:lineRule="auto"/>
      </w:pPr>
      <w:r w:rsidRPr="00344C67">
        <w:t>In augustus 2024 heeft onderzoeksbureau SEO Economisch Onderzoek, in opdracht van het ministerie van Financiën en het ministerie van Volkshuisvesting en Ruimtelijke Ordening, de Wet differentiatie overdrachtsbelasting geëvalueerd. Hieruit blijkt dat de differentiatie in de overdrachtsbelasting als geheel</w:t>
      </w:r>
      <w:r w:rsidRPr="00344C67" w:rsidR="008934A4">
        <w:t xml:space="preserve"> (de vrijstelling enerzijds in combinatie met de verhoging voor niet eigenaar-bewoners anderzijds)</w:t>
      </w:r>
      <w:r w:rsidRPr="00344C67">
        <w:t xml:space="preserve"> heeft bijgedragen aan een relatief sterkere positie van starters op de woningmarkt, vooral in wijken waar </w:t>
      </w:r>
      <w:r w:rsidRPr="00344C67" w:rsidR="00034D17">
        <w:t xml:space="preserve">sprake was van </w:t>
      </w:r>
      <w:r w:rsidRPr="00344C67">
        <w:t>concurrentie tussen beleggers en starters.</w:t>
      </w:r>
      <w:r w:rsidRPr="00344C67" w:rsidR="00D40B74">
        <w:t xml:space="preserve"> De</w:t>
      </w:r>
      <w:r w:rsidRPr="00344C67" w:rsidR="00815C1F">
        <w:t>ze</w:t>
      </w:r>
      <w:r w:rsidRPr="00344C67" w:rsidR="00D40B74">
        <w:t xml:space="preserve"> </w:t>
      </w:r>
      <w:r w:rsidRPr="00344C67" w:rsidR="00815C1F">
        <w:t>w</w:t>
      </w:r>
      <w:r w:rsidRPr="00344C67" w:rsidR="00D40B74">
        <w:t xml:space="preserve">et is </w:t>
      </w:r>
      <w:proofErr w:type="gramStart"/>
      <w:r w:rsidRPr="00344C67" w:rsidR="00034D17">
        <w:t>derhalve</w:t>
      </w:r>
      <w:proofErr w:type="gramEnd"/>
      <w:r w:rsidRPr="00344C67" w:rsidR="00034D17">
        <w:t xml:space="preserve"> </w:t>
      </w:r>
      <w:r w:rsidRPr="00344C67" w:rsidR="00D40B74">
        <w:t>doeltreffend bevonden.</w:t>
      </w:r>
    </w:p>
    <w:p w:rsidRPr="00344C67" w:rsidR="008F2A7A" w:rsidP="00DF3114" w:rsidRDefault="00B02877" w14:paraId="188D4C12" w14:textId="77777777">
      <w:pPr>
        <w:spacing w:after="160" w:line="259" w:lineRule="auto"/>
      </w:pPr>
      <w:r w:rsidRPr="00344C67">
        <w:t>In de econometrische analyse kon h</w:t>
      </w:r>
      <w:r w:rsidRPr="00344C67" w:rsidR="00602B47">
        <w:t xml:space="preserve">et afzonderlijke effect van de startersvrijstelling </w:t>
      </w:r>
      <w:r w:rsidRPr="00344C67" w:rsidR="00034D17">
        <w:t xml:space="preserve">echter </w:t>
      </w:r>
      <w:r w:rsidRPr="00344C67" w:rsidR="00602B47">
        <w:t xml:space="preserve">niet worden geïsoleerd. </w:t>
      </w:r>
      <w:r w:rsidRPr="00344C67" w:rsidR="00CF15BF">
        <w:t>Omdat d</w:t>
      </w:r>
      <w:r w:rsidRPr="00344C67" w:rsidR="00D40B74">
        <w:t xml:space="preserve">e startersvrijstelling </w:t>
      </w:r>
      <w:r w:rsidRPr="00344C67" w:rsidR="00CF15BF">
        <w:t xml:space="preserve">onderdeel is van de differentiatie, die als geheel doeltreffend is bevonden, </w:t>
      </w:r>
      <w:r w:rsidRPr="00344C67" w:rsidR="00815C1F">
        <w:t xml:space="preserve">wordt </w:t>
      </w:r>
      <w:r w:rsidRPr="00344C67" w:rsidR="00CF15BF">
        <w:t>de</w:t>
      </w:r>
      <w:r w:rsidRPr="00344C67" w:rsidR="00815C1F">
        <w:t>ze</w:t>
      </w:r>
      <w:r w:rsidRPr="00344C67" w:rsidR="00034D17">
        <w:t xml:space="preserve"> beschouwd</w:t>
      </w:r>
      <w:r w:rsidRPr="00344C67" w:rsidR="00CF15BF">
        <w:t xml:space="preserve"> </w:t>
      </w:r>
      <w:r w:rsidRPr="00344C67" w:rsidR="00D40B74">
        <w:t xml:space="preserve">als deels doeltreffend. </w:t>
      </w:r>
    </w:p>
    <w:p w:rsidRPr="00344C67" w:rsidR="008771C6" w:rsidP="00DF3114" w:rsidRDefault="008771C6" w14:paraId="7FAC1D23" w14:textId="77777777">
      <w:pPr>
        <w:spacing w:after="160" w:line="259" w:lineRule="auto"/>
      </w:pPr>
      <w:r w:rsidRPr="00344C67">
        <w:t xml:space="preserve">SEO geeft in het rapport aan </w:t>
      </w:r>
      <w:r w:rsidRPr="00344C67" w:rsidR="00B90A08">
        <w:t xml:space="preserve">dat </w:t>
      </w:r>
      <w:r w:rsidRPr="00344C67">
        <w:t xml:space="preserve">over de doeltreffendheid en doelmatigheid van de leeftijdsgrens geen </w:t>
      </w:r>
      <w:r w:rsidRPr="00344C67" w:rsidR="00B90A08">
        <w:t>uitspraken kunnen worden gedaan aangezien hiernaar geen onderzoek is verricht</w:t>
      </w:r>
      <w:r w:rsidRPr="00344C67" w:rsidR="00835C27">
        <w:t>.</w:t>
      </w:r>
      <w:r w:rsidRPr="00344C67" w:rsidR="00B90A08">
        <w:t xml:space="preserve"> Wel wordt vermeld dat over deze grens is geprocedeerd en dat de rechtbank heeft vastgesteld dat geen sprake is van leeftijdsdiscriminatie.</w:t>
      </w:r>
    </w:p>
    <w:p w:rsidRPr="00344C67" w:rsidR="00777E9C" w:rsidP="00DF3114" w:rsidRDefault="005C483E" w14:paraId="08E6B650" w14:textId="77777777">
      <w:pPr>
        <w:spacing w:after="160" w:line="259" w:lineRule="auto"/>
      </w:pPr>
      <w:r w:rsidRPr="00344C67">
        <w:t xml:space="preserve">Dezelfde evaluatie vermeld dat de </w:t>
      </w:r>
      <w:proofErr w:type="spellStart"/>
      <w:r w:rsidRPr="00344C67">
        <w:t>woningwaardegrens</w:t>
      </w:r>
      <w:proofErr w:type="spellEnd"/>
      <w:r w:rsidRPr="00344C67">
        <w:t xml:space="preserve"> </w:t>
      </w:r>
      <w:r w:rsidRPr="00344C67" w:rsidR="00777E9C">
        <w:t xml:space="preserve">deels doeltreffend is. Een deel van de starters kan hierdoor vanwege de prijs namelijk geen aanspraak maken op de startersvrijstelling. De </w:t>
      </w:r>
      <w:proofErr w:type="spellStart"/>
      <w:r w:rsidRPr="00344C67" w:rsidR="00777E9C">
        <w:t>woningwaardegrens</w:t>
      </w:r>
      <w:proofErr w:type="spellEnd"/>
      <w:r w:rsidRPr="00344C67" w:rsidR="00777E9C">
        <w:t xml:space="preserve"> is doelmatig voor het definiëren van starters. Het beperkt de budgettaire kosten van de vrijstelling omdat deze niet voor duurdere woningen van toepassing is.</w:t>
      </w:r>
      <w:r w:rsidRPr="00344C67" w:rsidR="00777E9C">
        <w:rPr>
          <w:rStyle w:val="Voetnootmarkering"/>
        </w:rPr>
        <w:footnoteReference w:id="8"/>
      </w:r>
    </w:p>
    <w:p w:rsidRPr="00344C67" w:rsidR="00E30319" w:rsidP="00DF3114" w:rsidRDefault="00E30319" w14:paraId="15ECD270" w14:textId="77777777">
      <w:pPr>
        <w:spacing w:after="160" w:line="259" w:lineRule="auto"/>
      </w:pPr>
      <w:r w:rsidRPr="00344C67">
        <w:t xml:space="preserve">Tot slot wijs ik erop dat volgens Kadastergegevens de gemiddelde leeftijd van koopstarters sinds 2014/2015 stabiel is gebleven rond de 30 à 31 jaar. </w:t>
      </w:r>
      <w:r w:rsidRPr="00344C67" w:rsidR="00B02877">
        <w:t xml:space="preserve">Ook blijft, hoewel het niet voor iedereen makkelijk is om voor de leeftijd van 35 jaar een huis te kopen, </w:t>
      </w:r>
      <w:r w:rsidRPr="00344C67">
        <w:t>het aandeel starters op de woningmarkt toenemen.</w:t>
      </w:r>
      <w:r w:rsidRPr="00344C67" w:rsidR="0081794C">
        <w:rPr>
          <w:rStyle w:val="Voetnootmarkering"/>
        </w:rPr>
        <w:footnoteReference w:id="9"/>
      </w:r>
    </w:p>
    <w:p w:rsidRPr="00344C67" w:rsidR="00602B47" w:rsidP="00DF3114" w:rsidRDefault="00602B47" w14:paraId="3951CF15" w14:textId="77777777">
      <w:pPr>
        <w:spacing w:after="160" w:line="259" w:lineRule="auto"/>
      </w:pPr>
      <w:r w:rsidRPr="00344C67">
        <w:rPr>
          <w:b/>
          <w:bCs/>
        </w:rPr>
        <w:t xml:space="preserve">Overwegingen </w:t>
      </w:r>
      <w:proofErr w:type="gramStart"/>
      <w:r w:rsidRPr="00344C67">
        <w:rPr>
          <w:b/>
          <w:bCs/>
        </w:rPr>
        <w:t>omtrent</w:t>
      </w:r>
      <w:proofErr w:type="gramEnd"/>
      <w:r w:rsidRPr="00344C67">
        <w:rPr>
          <w:b/>
          <w:bCs/>
        </w:rPr>
        <w:t xml:space="preserve"> </w:t>
      </w:r>
      <w:r w:rsidRPr="00344C67" w:rsidR="006C686C">
        <w:rPr>
          <w:b/>
          <w:bCs/>
        </w:rPr>
        <w:t xml:space="preserve">een effectievere vormgeving en </w:t>
      </w:r>
      <w:r w:rsidRPr="00344C67">
        <w:rPr>
          <w:b/>
          <w:bCs/>
        </w:rPr>
        <w:t>de leeftijdsgrens</w:t>
      </w:r>
    </w:p>
    <w:p w:rsidRPr="00344C67" w:rsidR="00CF15BF" w:rsidP="00DF3114" w:rsidRDefault="00602B47" w14:paraId="12821B8B" w14:textId="77777777">
      <w:pPr>
        <w:spacing w:after="160" w:line="259" w:lineRule="auto"/>
      </w:pPr>
      <w:r w:rsidRPr="00344C67">
        <w:t xml:space="preserve">In de motie wordt </w:t>
      </w:r>
      <w:r w:rsidRPr="00344C67" w:rsidR="00CF15BF">
        <w:t xml:space="preserve">geconstateerd </w:t>
      </w:r>
      <w:r w:rsidRPr="00344C67">
        <w:t xml:space="preserve">dat </w:t>
      </w:r>
      <w:r w:rsidRPr="00344C67" w:rsidR="00CF15BF">
        <w:t xml:space="preserve">het niet voor iedereen </w:t>
      </w:r>
      <w:r w:rsidRPr="00344C67" w:rsidR="00B87991">
        <w:t>ge</w:t>
      </w:r>
      <w:r w:rsidRPr="00344C67" w:rsidR="00CF15BF">
        <w:t xml:space="preserve">makkelijk is om voor </w:t>
      </w:r>
      <w:r w:rsidRPr="00344C67" w:rsidR="00034D17">
        <w:t xml:space="preserve">het bereiken van </w:t>
      </w:r>
      <w:r w:rsidRPr="00344C67">
        <w:t xml:space="preserve">de leeftijdsgrens </w:t>
      </w:r>
      <w:r w:rsidRPr="00344C67" w:rsidR="00CF15BF">
        <w:t xml:space="preserve">van 35 jaar een </w:t>
      </w:r>
      <w:r w:rsidRPr="00344C67" w:rsidR="00116DB7">
        <w:t xml:space="preserve">(eerste) </w:t>
      </w:r>
      <w:r w:rsidRPr="00344C67" w:rsidR="00B87991">
        <w:t xml:space="preserve">woning </w:t>
      </w:r>
      <w:r w:rsidRPr="00344C67" w:rsidR="00CF15BF">
        <w:t xml:space="preserve">te kopen. </w:t>
      </w:r>
      <w:proofErr w:type="gramStart"/>
      <w:r w:rsidRPr="00344C67" w:rsidR="00034D17">
        <w:t>Tevens</w:t>
      </w:r>
      <w:proofErr w:type="gramEnd"/>
      <w:r w:rsidRPr="00344C67" w:rsidR="00CF15BF">
        <w:t xml:space="preserve"> wordt</w:t>
      </w:r>
      <w:r w:rsidRPr="00344C67" w:rsidR="00EA0A6A">
        <w:t xml:space="preserve"> in de motie</w:t>
      </w:r>
      <w:r w:rsidRPr="00344C67" w:rsidR="000F65E2">
        <w:t xml:space="preserve"> geconstateerd</w:t>
      </w:r>
      <w:r w:rsidRPr="00344C67" w:rsidR="00B87991">
        <w:t xml:space="preserve"> </w:t>
      </w:r>
      <w:r w:rsidRPr="00344C67" w:rsidR="00CF15BF">
        <w:t xml:space="preserve">dat het </w:t>
      </w:r>
      <w:r w:rsidRPr="00344C67" w:rsidR="00034D17">
        <w:t>de vraag</w:t>
      </w:r>
      <w:r w:rsidRPr="00344C67" w:rsidR="00CF15BF">
        <w:t xml:space="preserve"> is in hoeverre de huidige vrijstelling starters</w:t>
      </w:r>
      <w:r w:rsidRPr="00344C67" w:rsidR="000F65E2">
        <w:t xml:space="preserve"> </w:t>
      </w:r>
      <w:r w:rsidRPr="00344C67" w:rsidR="00B87991">
        <w:t xml:space="preserve">daadwerkelijk </w:t>
      </w:r>
      <w:r w:rsidRPr="00344C67" w:rsidR="00CF15BF">
        <w:t xml:space="preserve">helpt. </w:t>
      </w:r>
      <w:r w:rsidRPr="00344C67">
        <w:t xml:space="preserve">Om die reden wordt </w:t>
      </w:r>
      <w:r w:rsidRPr="00344C67" w:rsidR="00CF15BF">
        <w:t xml:space="preserve">verzocht </w:t>
      </w:r>
      <w:r w:rsidRPr="00344C67" w:rsidR="00B87991">
        <w:t>te onderzoeken hoe de regeling</w:t>
      </w:r>
      <w:r w:rsidRPr="00344C67" w:rsidR="00CF15BF">
        <w:t xml:space="preserve"> effectiever </w:t>
      </w:r>
      <w:r w:rsidRPr="00344C67" w:rsidR="00B87991">
        <w:t xml:space="preserve">kan worden vormgegeven, met </w:t>
      </w:r>
      <w:r w:rsidRPr="00344C67" w:rsidR="00CF15BF">
        <w:t xml:space="preserve">in ieder geval </w:t>
      </w:r>
      <w:r w:rsidRPr="00344C67" w:rsidR="00B87991">
        <w:t xml:space="preserve">aandacht voor </w:t>
      </w:r>
      <w:r w:rsidRPr="00344C67" w:rsidR="00CF15BF">
        <w:t>de leeftijdsgrens.</w:t>
      </w:r>
    </w:p>
    <w:p w:rsidRPr="00344C67" w:rsidR="00230DCB" w:rsidP="00DF3114" w:rsidRDefault="00EA0A6A" w14:paraId="24675ED7" w14:textId="77777777">
      <w:pPr>
        <w:spacing w:after="160" w:line="259" w:lineRule="auto"/>
      </w:pPr>
      <w:r w:rsidRPr="00344C67">
        <w:t xml:space="preserve">Uit </w:t>
      </w:r>
      <w:r w:rsidRPr="00344C67" w:rsidR="00152031">
        <w:t xml:space="preserve">de onderzoeken </w:t>
      </w:r>
      <w:r w:rsidRPr="00344C67" w:rsidR="008771C6">
        <w:t xml:space="preserve">van </w:t>
      </w:r>
      <w:proofErr w:type="spellStart"/>
      <w:r w:rsidRPr="00344C67" w:rsidR="008771C6">
        <w:t>Dialogic</w:t>
      </w:r>
      <w:proofErr w:type="spellEnd"/>
      <w:r w:rsidRPr="00344C67" w:rsidR="008771C6">
        <w:t xml:space="preserve"> in 2019 en 2020 </w:t>
      </w:r>
      <w:r w:rsidRPr="00344C67" w:rsidR="00152031">
        <w:t>voorafgaand aan de Wet</w:t>
      </w:r>
      <w:r w:rsidRPr="00344C67" w:rsidR="00B87991">
        <w:t xml:space="preserve"> differentiatie overdrachtsbelasting</w:t>
      </w:r>
      <w:r w:rsidRPr="00344C67" w:rsidR="00152031">
        <w:t xml:space="preserve"> </w:t>
      </w:r>
      <w:r w:rsidRPr="00344C67">
        <w:t xml:space="preserve">is </w:t>
      </w:r>
      <w:r w:rsidRPr="00344C67" w:rsidR="00116DB7">
        <w:t>ge</w:t>
      </w:r>
      <w:r w:rsidRPr="00344C67" w:rsidR="00152031">
        <w:t>blek</w:t>
      </w:r>
      <w:r w:rsidRPr="00344C67" w:rsidR="00116DB7">
        <w:t>en</w:t>
      </w:r>
      <w:r w:rsidRPr="00344C67" w:rsidR="00152031">
        <w:t xml:space="preserve"> dat de differentiatie voor starters en beleggers </w:t>
      </w:r>
      <w:r w:rsidRPr="00344C67" w:rsidR="00B87991">
        <w:t>moeilijk</w:t>
      </w:r>
      <w:r w:rsidRPr="00344C67" w:rsidR="00152031">
        <w:t xml:space="preserve"> </w:t>
      </w:r>
      <w:r w:rsidRPr="00344C67" w:rsidR="00034D17">
        <w:t>realiseerbaar</w:t>
      </w:r>
      <w:r w:rsidRPr="00344C67" w:rsidR="009D3E8D">
        <w:t xml:space="preserve"> is</w:t>
      </w:r>
      <w:r w:rsidRPr="00344C67" w:rsidR="00152031">
        <w:t>.</w:t>
      </w:r>
      <w:r w:rsidRPr="00344C67" w:rsidR="00B90A08">
        <w:rPr>
          <w:rStyle w:val="Voetnootmarkering"/>
        </w:rPr>
        <w:footnoteReference w:id="10"/>
      </w:r>
      <w:r w:rsidRPr="00344C67" w:rsidR="00152031">
        <w:t xml:space="preserve"> </w:t>
      </w:r>
      <w:r w:rsidRPr="00344C67" w:rsidR="00B87991">
        <w:t xml:space="preserve">Een </w:t>
      </w:r>
      <w:r w:rsidRPr="00344C67" w:rsidR="008C31BB">
        <w:t>vrijstelling</w:t>
      </w:r>
      <w:r w:rsidRPr="00344C67" w:rsidR="00034D17">
        <w:t xml:space="preserve"> die rechtstreeks is</w:t>
      </w:r>
      <w:r w:rsidRPr="00344C67" w:rsidR="008C31BB">
        <w:t xml:space="preserve"> gekoppeld aan het </w:t>
      </w:r>
      <w:r w:rsidRPr="00344C67" w:rsidR="008771C6">
        <w:t xml:space="preserve">eerste </w:t>
      </w:r>
      <w:r w:rsidRPr="00344C67" w:rsidR="008C31BB">
        <w:t>woningbezit van een persoon</w:t>
      </w:r>
      <w:r w:rsidRPr="00344C67" w:rsidR="00B87991">
        <w:t xml:space="preserve"> bleek</w:t>
      </w:r>
      <w:r w:rsidRPr="00344C67" w:rsidR="006C686C">
        <w:t xml:space="preserve"> </w:t>
      </w:r>
      <w:r w:rsidRPr="00344C67" w:rsidR="008C31BB">
        <w:t>geen begaanbare route</w:t>
      </w:r>
      <w:r w:rsidRPr="00344C67" w:rsidR="00827A94">
        <w:t>,</w:t>
      </w:r>
      <w:r w:rsidRPr="00344C67" w:rsidR="008771C6">
        <w:t xml:space="preserve"> </w:t>
      </w:r>
      <w:r w:rsidRPr="00344C67" w:rsidR="00827A94">
        <w:t xml:space="preserve">aangezien de Belastingdienst dit niet </w:t>
      </w:r>
      <w:r w:rsidRPr="00344C67" w:rsidR="00FE6247">
        <w:t>betrouwbaar</w:t>
      </w:r>
      <w:r w:rsidRPr="00344C67" w:rsidR="00827A94">
        <w:t xml:space="preserve"> kan vaststellen</w:t>
      </w:r>
      <w:r w:rsidRPr="00344C67" w:rsidR="008C31BB">
        <w:t>.</w:t>
      </w:r>
      <w:r w:rsidRPr="00344C67" w:rsidR="00FE6247">
        <w:t xml:space="preserve"> Reden hiervoor is dat het Kadaster niet met zekerheid uit de systemen kan halen wat het woningbezit van een persoon is of in het verleden is geweest. </w:t>
      </w:r>
      <w:r w:rsidRPr="00344C67" w:rsidR="00B87991">
        <w:t>Vervolgens</w:t>
      </w:r>
      <w:r w:rsidRPr="00344C67" w:rsidR="008C31BB">
        <w:t xml:space="preserve"> zijn verschillende alternatieven </w:t>
      </w:r>
      <w:r w:rsidRPr="00344C67" w:rsidR="00B87991">
        <w:t>overwogen</w:t>
      </w:r>
      <w:r w:rsidRPr="00344C67" w:rsidR="008C31BB">
        <w:t>, maar deze bleken</w:t>
      </w:r>
      <w:r w:rsidRPr="00344C67" w:rsidR="00FD720E">
        <w:t xml:space="preserve"> eveneens</w:t>
      </w:r>
      <w:r w:rsidRPr="00344C67" w:rsidR="008C31BB">
        <w:t xml:space="preserve"> </w:t>
      </w:r>
      <w:r w:rsidRPr="00344C67" w:rsidR="00FD720E">
        <w:t>on</w:t>
      </w:r>
      <w:r w:rsidRPr="00344C67" w:rsidR="008C31BB">
        <w:t xml:space="preserve">uitvoerbaar of </w:t>
      </w:r>
      <w:r w:rsidRPr="00344C67" w:rsidR="00FD720E">
        <w:t>on</w:t>
      </w:r>
      <w:r w:rsidRPr="00344C67" w:rsidR="008C31BB">
        <w:t>doeltreffend.</w:t>
      </w:r>
      <w:r w:rsidRPr="00344C67" w:rsidR="00827A94">
        <w:rPr>
          <w:rStyle w:val="Voetnootmarkering"/>
        </w:rPr>
        <w:footnoteReference w:id="11"/>
      </w:r>
      <w:r w:rsidRPr="00344C67" w:rsidR="008C31BB">
        <w:t xml:space="preserve"> </w:t>
      </w:r>
      <w:r w:rsidRPr="00344C67" w:rsidR="002458C7">
        <w:t xml:space="preserve">Dat leidde </w:t>
      </w:r>
      <w:r w:rsidRPr="00344C67" w:rsidR="00034D17">
        <w:t xml:space="preserve">destijds </w:t>
      </w:r>
      <w:r w:rsidRPr="00344C67" w:rsidR="002458C7">
        <w:t xml:space="preserve">tot de conclusie dat de cumulatieve voorwaarden van de vrijstelling, waaronder </w:t>
      </w:r>
      <w:r w:rsidRPr="00344C67" w:rsidR="00034D17">
        <w:t>de</w:t>
      </w:r>
      <w:r w:rsidRPr="00344C67" w:rsidR="002458C7">
        <w:t xml:space="preserve"> leeftijdsgrens, </w:t>
      </w:r>
      <w:r w:rsidRPr="00344C67" w:rsidR="00B87991">
        <w:t xml:space="preserve">de enige </w:t>
      </w:r>
      <w:r w:rsidRPr="00344C67" w:rsidR="00936401">
        <w:t>uitvoerbare</w:t>
      </w:r>
      <w:r w:rsidRPr="00344C67" w:rsidR="00B87991">
        <w:t xml:space="preserve"> afbakening </w:t>
      </w:r>
      <w:r w:rsidRPr="00344C67" w:rsidR="00757970">
        <w:t xml:space="preserve">vormen </w:t>
      </w:r>
      <w:r w:rsidRPr="00344C67" w:rsidR="00B87991">
        <w:t xml:space="preserve">van de doelgroep </w:t>
      </w:r>
      <w:r w:rsidRPr="00344C67" w:rsidR="002458C7">
        <w:t>koopstarters.</w:t>
      </w:r>
      <w:r w:rsidRPr="00344C67" w:rsidR="00800CB4">
        <w:t xml:space="preserve"> De leeftijd</w:t>
      </w:r>
      <w:r w:rsidRPr="00344C67" w:rsidR="001506E7">
        <w:t>sgrens</w:t>
      </w:r>
      <w:r w:rsidRPr="00344C67" w:rsidR="00800CB4">
        <w:t xml:space="preserve"> van 35</w:t>
      </w:r>
      <w:r w:rsidRPr="00344C67" w:rsidR="001506E7">
        <w:t xml:space="preserve"> jaar</w:t>
      </w:r>
      <w:r w:rsidRPr="00344C67" w:rsidR="00800CB4">
        <w:t xml:space="preserve"> werd daarbij gekozen </w:t>
      </w:r>
      <w:r w:rsidRPr="00344C67" w:rsidR="001506E7">
        <w:t xml:space="preserve">op basis van </w:t>
      </w:r>
      <w:r w:rsidRPr="00344C67" w:rsidR="00800CB4">
        <w:t>onderzoek van het Kadaster</w:t>
      </w:r>
      <w:r w:rsidRPr="00344C67" w:rsidR="001506E7">
        <w:t xml:space="preserve">, waaruit bleek </w:t>
      </w:r>
      <w:r w:rsidRPr="00344C67" w:rsidR="00800CB4">
        <w:t xml:space="preserve">dat het merendeel van de starters zich bevonden in de leeftijdscategorie tussen de </w:t>
      </w:r>
      <w:r w:rsidRPr="00344C67" w:rsidR="001506E7">
        <w:t>25</w:t>
      </w:r>
      <w:r w:rsidRPr="00344C67" w:rsidR="00800CB4">
        <w:t xml:space="preserve"> en </w:t>
      </w:r>
      <w:r w:rsidRPr="00344C67" w:rsidR="001506E7">
        <w:t>35</w:t>
      </w:r>
      <w:r w:rsidRPr="00344C67" w:rsidR="00800CB4">
        <w:t xml:space="preserve"> jaar.</w:t>
      </w:r>
      <w:r w:rsidRPr="00344C67" w:rsidR="00800CB4">
        <w:rPr>
          <w:rStyle w:val="Voetnootmarkering"/>
        </w:rPr>
        <w:footnoteReference w:id="12"/>
      </w:r>
      <w:r w:rsidRPr="00344C67" w:rsidR="002458C7">
        <w:t xml:space="preserve"> </w:t>
      </w:r>
      <w:r w:rsidRPr="00344C67" w:rsidR="008C31BB">
        <w:t>Deze conclusie</w:t>
      </w:r>
      <w:r w:rsidRPr="00344C67" w:rsidR="00827A94">
        <w:t>s</w:t>
      </w:r>
      <w:r w:rsidRPr="00344C67" w:rsidR="008C31BB">
        <w:t xml:space="preserve"> geld</w:t>
      </w:r>
      <w:r w:rsidRPr="00344C67" w:rsidR="00827A94">
        <w:t>en</w:t>
      </w:r>
      <w:r w:rsidRPr="00344C67" w:rsidR="008C31BB">
        <w:t xml:space="preserve"> </w:t>
      </w:r>
      <w:r w:rsidRPr="00344C67" w:rsidR="006C686C">
        <w:t>onverminderd</w:t>
      </w:r>
      <w:r w:rsidRPr="00344C67">
        <w:t xml:space="preserve">. </w:t>
      </w:r>
      <w:r w:rsidRPr="00344C67" w:rsidR="00CC1E3F">
        <w:t>Zoals hierboven</w:t>
      </w:r>
      <w:r w:rsidRPr="00344C67">
        <w:t xml:space="preserve"> is aangegeven heeft de evaluatie van de differentiatie aangetoond dat de startersvrijstelling bijdraagt aan de relatieve verbetering van de positie van starters</w:t>
      </w:r>
      <w:r w:rsidRPr="00344C67" w:rsidR="00CC1E3F">
        <w:t>.</w:t>
      </w:r>
      <w:r w:rsidRPr="00344C67" w:rsidR="008C31BB">
        <w:t xml:space="preserve"> </w:t>
      </w:r>
      <w:r w:rsidRPr="00344C67" w:rsidR="00CD7AA8">
        <w:t>Als gevolg van de geformuleerde cumulatieve voorwaarden kunnen ook doorstromers de startersvrijstelling eenmalig toepassen als ze aan de cumulatieve voorwaarden voldoen.</w:t>
      </w:r>
      <w:r w:rsidRPr="00344C67" w:rsidR="00CC1E3F">
        <w:t xml:space="preserve"> </w:t>
      </w:r>
      <w:r w:rsidRPr="00344C67" w:rsidR="002B6A23">
        <w:t>Dat neemt niet weg dat h</w:t>
      </w:r>
      <w:r w:rsidRPr="00344C67" w:rsidR="00E317E0">
        <w:t xml:space="preserve">et toepassingsbereik van de startersvrijstelling kan </w:t>
      </w:r>
      <w:r w:rsidRPr="00344C67" w:rsidR="002B6A23">
        <w:t xml:space="preserve">worden </w:t>
      </w:r>
      <w:r w:rsidRPr="00344C67" w:rsidR="00E317E0">
        <w:t xml:space="preserve">vergroot door de criteria te versoepelen. </w:t>
      </w:r>
      <w:r w:rsidRPr="00344C67" w:rsidR="008C31BB">
        <w:t>D</w:t>
      </w:r>
      <w:r w:rsidRPr="00344C67" w:rsidR="002E3A30">
        <w:t>i</w:t>
      </w:r>
      <w:r w:rsidRPr="00344C67" w:rsidR="008C31BB">
        <w:t xml:space="preserve">t </w:t>
      </w:r>
      <w:r w:rsidRPr="00344C67" w:rsidR="002458C7">
        <w:t xml:space="preserve">kan op twee manieren: </w:t>
      </w:r>
      <w:r w:rsidRPr="00344C67" w:rsidR="002E3A30">
        <w:t xml:space="preserve">door </w:t>
      </w:r>
      <w:r w:rsidRPr="00344C67" w:rsidR="00757970">
        <w:t xml:space="preserve">een </w:t>
      </w:r>
      <w:r w:rsidRPr="00344C67" w:rsidR="008C31BB">
        <w:t>verhoging of afschaffing van de leeftijdsgrens</w:t>
      </w:r>
      <w:r w:rsidRPr="00344C67" w:rsidR="00757970">
        <w:t xml:space="preserve">, </w:t>
      </w:r>
      <w:r w:rsidRPr="00344C67" w:rsidR="008C31BB">
        <w:t xml:space="preserve">en/of </w:t>
      </w:r>
      <w:r w:rsidRPr="00344C67" w:rsidR="002E3A30">
        <w:t xml:space="preserve">door </w:t>
      </w:r>
      <w:r w:rsidRPr="00344C67" w:rsidR="00757970">
        <w:t xml:space="preserve">een </w:t>
      </w:r>
      <w:r w:rsidRPr="00344C67" w:rsidR="002458C7">
        <w:t xml:space="preserve">verhoging of afschaffing </w:t>
      </w:r>
      <w:r w:rsidRPr="00344C67" w:rsidR="008C31BB">
        <w:t xml:space="preserve">de </w:t>
      </w:r>
      <w:proofErr w:type="spellStart"/>
      <w:r w:rsidRPr="00344C67" w:rsidR="008C31BB">
        <w:t>woningwaardegrens</w:t>
      </w:r>
      <w:proofErr w:type="spellEnd"/>
      <w:r w:rsidRPr="00344C67" w:rsidR="008C31BB">
        <w:t>.</w:t>
      </w:r>
      <w:r w:rsidRPr="00344C67" w:rsidR="00CD7AA8">
        <w:t xml:space="preserve"> </w:t>
      </w:r>
    </w:p>
    <w:p w:rsidRPr="00344C67" w:rsidR="008C31BB" w:rsidP="00DF3114" w:rsidRDefault="00CD7AA8" w14:paraId="2CAE328D" w14:textId="77777777">
      <w:pPr>
        <w:spacing w:after="160" w:line="259" w:lineRule="auto"/>
      </w:pPr>
      <w:r w:rsidRPr="00344C67">
        <w:t xml:space="preserve">Op basis van cijfers over 2023 en 2024 heeft naar schatting 65% van de koopstarters een beroep kunnen doen op de vrijstelling. Het </w:t>
      </w:r>
      <w:r w:rsidR="00452FD7">
        <w:t>resterende</w:t>
      </w:r>
      <w:r w:rsidRPr="00344C67">
        <w:t xml:space="preserve"> deel van de koopstarters voldeed niet aan de leeftijds</w:t>
      </w:r>
      <w:r w:rsidRPr="00344C67" w:rsidR="003B513E">
        <w:t>-</w:t>
      </w:r>
      <w:r w:rsidRPr="00344C67" w:rsidR="000D62DE">
        <w:t xml:space="preserve"> (</w:t>
      </w:r>
      <w:proofErr w:type="gramStart"/>
      <w:r w:rsidRPr="00344C67" w:rsidR="000D62DE">
        <w:t>circa</w:t>
      </w:r>
      <w:proofErr w:type="gramEnd"/>
      <w:r w:rsidRPr="00344C67" w:rsidR="000D62DE">
        <w:t xml:space="preserve"> 60%)</w:t>
      </w:r>
      <w:r w:rsidRPr="00344C67">
        <w:t xml:space="preserve"> en of </w:t>
      </w:r>
      <w:proofErr w:type="spellStart"/>
      <w:r w:rsidRPr="00344C67">
        <w:t>woningwaardegrens</w:t>
      </w:r>
      <w:proofErr w:type="spellEnd"/>
      <w:r w:rsidRPr="00344C67" w:rsidR="000D62DE">
        <w:t xml:space="preserve"> (circa 40%)</w:t>
      </w:r>
      <w:r w:rsidRPr="00344C67">
        <w:t>. Tegelijkertijd is de startersvrijstelling naar schatting in 15% van de gevallen toegepast door doorstromers.</w:t>
      </w:r>
    </w:p>
    <w:p w:rsidRPr="00344C67" w:rsidR="00757970" w:rsidP="00DF3114" w:rsidRDefault="00BD1DC8" w14:paraId="31D619E6" w14:textId="77777777">
      <w:pPr>
        <w:spacing w:after="160" w:line="259" w:lineRule="auto"/>
        <w:rPr>
          <w:b/>
          <w:bCs/>
        </w:rPr>
      </w:pPr>
      <w:r w:rsidRPr="00344C67">
        <w:rPr>
          <w:b/>
          <w:bCs/>
        </w:rPr>
        <w:t>Aanpassing van de l</w:t>
      </w:r>
      <w:r w:rsidRPr="00344C67" w:rsidR="00757970">
        <w:rPr>
          <w:b/>
          <w:bCs/>
        </w:rPr>
        <w:t>eeftijdsgrens</w:t>
      </w:r>
    </w:p>
    <w:p w:rsidRPr="00344C67" w:rsidR="00CD7AA8" w:rsidP="00DF3114" w:rsidRDefault="00DD3C83" w14:paraId="7DAC5BC0" w14:textId="77777777">
      <w:pPr>
        <w:spacing w:after="160" w:line="259" w:lineRule="auto"/>
      </w:pPr>
      <w:r w:rsidRPr="00344C67">
        <w:t>Als de leeftijdsgrens wordt geschrapt, kan n</w:t>
      </w:r>
      <w:r w:rsidRPr="00344C67" w:rsidR="00CD7AA8">
        <w:t>aar verwachting 80% van de koopstarters een beroep doen op de vrijstelling t.o.v. 65% in de huidige situatie.</w:t>
      </w:r>
      <w:r w:rsidRPr="00344C67" w:rsidR="00723159">
        <w:t xml:space="preserve"> </w:t>
      </w:r>
      <w:r w:rsidRPr="00344C67" w:rsidR="004908A2">
        <w:t xml:space="preserve">Dat betekent een </w:t>
      </w:r>
      <w:r w:rsidRPr="00344C67" w:rsidR="00452FD7">
        <w:t xml:space="preserve">toename </w:t>
      </w:r>
      <w:r w:rsidR="00452FD7">
        <w:t xml:space="preserve">van </w:t>
      </w:r>
      <w:r w:rsidRPr="00344C67" w:rsidR="00723159">
        <w:t>15%</w:t>
      </w:r>
      <w:r w:rsidRPr="00344C67" w:rsidR="004908A2">
        <w:t>-punt</w:t>
      </w:r>
      <w:r w:rsidRPr="00344C67" w:rsidR="009C05BF">
        <w:t>.</w:t>
      </w:r>
      <w:r w:rsidRPr="00344C67" w:rsidR="00723159">
        <w:t xml:space="preserve"> </w:t>
      </w:r>
    </w:p>
    <w:p w:rsidRPr="00344C67" w:rsidR="00CD7AA8" w:rsidP="00DF3114" w:rsidRDefault="008C31BB" w14:paraId="5848D4BA" w14:textId="77777777">
      <w:pPr>
        <w:spacing w:after="160" w:line="259" w:lineRule="auto"/>
      </w:pPr>
      <w:r w:rsidRPr="00344C67">
        <w:t xml:space="preserve">Een verhoging of afschaffing van de leeftijdsgrens </w:t>
      </w:r>
      <w:r w:rsidRPr="00344C67" w:rsidR="00CD7AA8">
        <w:t>leidt er</w:t>
      </w:r>
      <w:r w:rsidRPr="00344C67" w:rsidR="00723159">
        <w:t xml:space="preserve"> echter ook </w:t>
      </w:r>
      <w:r w:rsidRPr="00344C67" w:rsidR="00CD7AA8">
        <w:t xml:space="preserve">toe dat meer doorstromers de vrijstelling kunnen toepassen. </w:t>
      </w:r>
      <w:r w:rsidRPr="00344C67" w:rsidR="00853BBD">
        <w:t>Hierdoor wordt de maatregel minder doelmatig</w:t>
      </w:r>
      <w:r w:rsidRPr="00344C67" w:rsidR="00CD7AA8">
        <w:t>. Naar schatting zal het aandeel toepassingen door doorstromers stijgen tot 35% als de leeftijdsgrens wordt afgeschaft</w:t>
      </w:r>
      <w:r w:rsidR="00452FD7">
        <w:t>,</w:t>
      </w:r>
      <w:r w:rsidRPr="00344C67" w:rsidR="00CD7AA8">
        <w:t xml:space="preserve"> t.o.v.</w:t>
      </w:r>
      <w:r w:rsidRPr="00344C67" w:rsidR="004908A2">
        <w:t xml:space="preserve"> </w:t>
      </w:r>
      <w:r w:rsidRPr="00344C67" w:rsidR="00CD7AA8">
        <w:t>15%</w:t>
      </w:r>
      <w:r w:rsidRPr="00344C67" w:rsidR="004908A2">
        <w:t xml:space="preserve"> </w:t>
      </w:r>
      <w:r w:rsidRPr="00344C67" w:rsidR="00CD7AA8">
        <w:t xml:space="preserve">in de huidige situatie. </w:t>
      </w:r>
      <w:r w:rsidRPr="00344C67" w:rsidR="004908A2">
        <w:t xml:space="preserve">Dat betekent </w:t>
      </w:r>
      <w:r w:rsidRPr="00344C67" w:rsidR="00DD3C83">
        <w:t xml:space="preserve">een 20%-punt toename van het aantal toepassingen van de vrijstelling door een groep (doorstromers) waarvoor deze niet bedoeld is. </w:t>
      </w:r>
    </w:p>
    <w:p w:rsidRPr="00344C67" w:rsidR="00CC1E3F" w:rsidP="00DF3114" w:rsidRDefault="00803B62" w14:paraId="7D15C6B2" w14:textId="77777777">
      <w:pPr>
        <w:spacing w:after="160" w:line="259" w:lineRule="auto"/>
      </w:pPr>
      <w:r w:rsidRPr="00344C67">
        <w:t>H</w:t>
      </w:r>
      <w:r w:rsidRPr="00344C67" w:rsidR="00CD7AA8">
        <w:t xml:space="preserve">et budgettaire effect van het volledig afschaffen van de leeftijdsgrens </w:t>
      </w:r>
      <w:r w:rsidRPr="00344C67">
        <w:t>wordt geschat op</w:t>
      </w:r>
      <w:r w:rsidRPr="00344C67" w:rsidR="00833E19">
        <w:t xml:space="preserve"> </w:t>
      </w:r>
      <w:proofErr w:type="gramStart"/>
      <w:r w:rsidRPr="00344C67" w:rsidR="00833E19">
        <w:t>circa</w:t>
      </w:r>
      <w:proofErr w:type="gramEnd"/>
      <w:r w:rsidRPr="00344C67">
        <w:t xml:space="preserve"> </w:t>
      </w:r>
      <w:r w:rsidRPr="00344C67" w:rsidR="00CD7AA8">
        <w:t>420 miljoen euro</w:t>
      </w:r>
      <w:r w:rsidRPr="00344C67" w:rsidR="001816B4">
        <w:t xml:space="preserve"> per jaar</w:t>
      </w:r>
      <w:r w:rsidRPr="00344C67" w:rsidR="00CD7AA8">
        <w:t xml:space="preserve">. </w:t>
      </w:r>
      <w:r w:rsidRPr="00344C67" w:rsidR="001816B4">
        <w:t xml:space="preserve">Een aanzienlijk deel van deze derving komt terecht bij doorstromers waardoor de doelmatigheid van de regeling afneemt. </w:t>
      </w:r>
    </w:p>
    <w:p w:rsidRPr="00344C67" w:rsidR="0015260C" w:rsidP="00DF3114" w:rsidRDefault="00BD1DC8" w14:paraId="4774A6C8" w14:textId="77777777">
      <w:pPr>
        <w:spacing w:after="160" w:line="259" w:lineRule="auto"/>
        <w:rPr>
          <w:b/>
          <w:bCs/>
        </w:rPr>
      </w:pPr>
      <w:r w:rsidRPr="00344C67">
        <w:rPr>
          <w:b/>
          <w:bCs/>
        </w:rPr>
        <w:t xml:space="preserve">Aanpassing van de </w:t>
      </w:r>
      <w:proofErr w:type="spellStart"/>
      <w:r w:rsidRPr="00344C67">
        <w:rPr>
          <w:b/>
          <w:bCs/>
        </w:rPr>
        <w:t>w</w:t>
      </w:r>
      <w:r w:rsidRPr="00344C67" w:rsidR="0015260C">
        <w:rPr>
          <w:b/>
          <w:bCs/>
        </w:rPr>
        <w:t>oningwaardegrens</w:t>
      </w:r>
      <w:proofErr w:type="spellEnd"/>
    </w:p>
    <w:p w:rsidRPr="00344C67" w:rsidR="007D33B6" w:rsidP="00DF3114" w:rsidRDefault="00777E9C" w14:paraId="612F13E8" w14:textId="77777777">
      <w:pPr>
        <w:spacing w:after="160" w:line="259" w:lineRule="auto"/>
      </w:pPr>
      <w:r w:rsidRPr="00344C67">
        <w:t xml:space="preserve">Als de </w:t>
      </w:r>
      <w:proofErr w:type="spellStart"/>
      <w:r w:rsidRPr="00344C67">
        <w:t>woningwaardegrens</w:t>
      </w:r>
      <w:proofErr w:type="spellEnd"/>
      <w:r w:rsidRPr="00344C67">
        <w:t xml:space="preserve"> wordt geschrapt, kan n</w:t>
      </w:r>
      <w:r w:rsidRPr="00344C67" w:rsidR="007D33B6">
        <w:t xml:space="preserve">aar verwachting ongeveer 75% van de koopstarters een beroep doen op de vrijstelling (t.o.v. 65% in de huidige situatie). </w:t>
      </w:r>
      <w:r w:rsidRPr="00344C67" w:rsidR="00883756">
        <w:t>De</w:t>
      </w:r>
      <w:r w:rsidRPr="00344C67" w:rsidR="007D33B6">
        <w:t xml:space="preserve"> resterende </w:t>
      </w:r>
      <w:r w:rsidRPr="00344C67" w:rsidR="00883756">
        <w:t>25% van de starters</w:t>
      </w:r>
      <w:r w:rsidRPr="00344C67" w:rsidR="007D33B6">
        <w:t xml:space="preserve"> zal in dat geval niet voldoen aan de leeftijdsgrens.</w:t>
      </w:r>
    </w:p>
    <w:p w:rsidRPr="00344C67" w:rsidR="007D33B6" w:rsidP="00DF3114" w:rsidRDefault="007D33B6" w14:paraId="661B8F89" w14:textId="77777777">
      <w:pPr>
        <w:spacing w:after="160" w:line="259" w:lineRule="auto"/>
      </w:pPr>
      <w:r w:rsidRPr="00344C67">
        <w:t xml:space="preserve">Een verhoging of afschaffing van de </w:t>
      </w:r>
      <w:proofErr w:type="spellStart"/>
      <w:r w:rsidRPr="00344C67">
        <w:t>woningwaardegrens</w:t>
      </w:r>
      <w:proofErr w:type="spellEnd"/>
      <w:r w:rsidRPr="00344C67">
        <w:t xml:space="preserve"> leidt er ook toe dat meer doorstromers de vrijstelling kunnen toepassen. Hierdoor wordt de maatregel minder doelmatig. Naar schatting zal het aandeel toepassingen door doorstromers stijgen tot 20% als de </w:t>
      </w:r>
      <w:proofErr w:type="spellStart"/>
      <w:r w:rsidRPr="00344C67">
        <w:t>woningwaardegrens</w:t>
      </w:r>
      <w:proofErr w:type="spellEnd"/>
      <w:r w:rsidRPr="00344C67">
        <w:t xml:space="preserve"> wordt afgeschaft (t.o.v. 15% in de huidige situatie). Ook een verhoging of afschaffing van de </w:t>
      </w:r>
      <w:proofErr w:type="spellStart"/>
      <w:r w:rsidRPr="00344C67">
        <w:t>woningwaardegrens</w:t>
      </w:r>
      <w:proofErr w:type="spellEnd"/>
      <w:r w:rsidRPr="00344C67">
        <w:t xml:space="preserve"> leidt tot een groter budgettair beslag. Het budgettaire effect van het volledig afschaffen van de </w:t>
      </w:r>
      <w:proofErr w:type="spellStart"/>
      <w:r w:rsidRPr="00344C67">
        <w:t>woningwaardegrens</w:t>
      </w:r>
      <w:proofErr w:type="spellEnd"/>
      <w:r w:rsidRPr="00344C67">
        <w:t xml:space="preserve"> is geraamd op </w:t>
      </w:r>
      <w:proofErr w:type="gramStart"/>
      <w:r w:rsidRPr="00344C67" w:rsidR="00833E19">
        <w:t>circa</w:t>
      </w:r>
      <w:proofErr w:type="gramEnd"/>
      <w:r w:rsidRPr="00344C67" w:rsidR="00833E19">
        <w:t xml:space="preserve"> </w:t>
      </w:r>
      <w:r w:rsidRPr="00344C67">
        <w:t>38</w:t>
      </w:r>
      <w:r w:rsidRPr="00344C67" w:rsidR="00833E19">
        <w:t>0</w:t>
      </w:r>
      <w:r w:rsidRPr="00344C67">
        <w:t xml:space="preserve"> miljoen euro</w:t>
      </w:r>
      <w:r w:rsidRPr="00344C67" w:rsidR="001816B4">
        <w:t xml:space="preserve"> per jaar</w:t>
      </w:r>
      <w:r w:rsidRPr="00344C67">
        <w:t xml:space="preserve">. </w:t>
      </w:r>
      <w:r w:rsidRPr="00344C67" w:rsidR="001816B4">
        <w:t xml:space="preserve">Het grootste deel van deze derving komt terecht bij doorstromers, niet bij starters, waardoor de doelmatigheid van de regeling </w:t>
      </w:r>
      <w:r w:rsidRPr="00344C67" w:rsidR="00B972AB">
        <w:t xml:space="preserve">sterk </w:t>
      </w:r>
      <w:r w:rsidRPr="00344C67" w:rsidR="001816B4">
        <w:t xml:space="preserve">afneemt. Het verlies aan doelmatigheid is bovendien groter bij het schrappen van de </w:t>
      </w:r>
      <w:proofErr w:type="spellStart"/>
      <w:r w:rsidRPr="00344C67" w:rsidR="001816B4">
        <w:t>woningwaardegrens</w:t>
      </w:r>
      <w:proofErr w:type="spellEnd"/>
      <w:r w:rsidRPr="00344C67" w:rsidR="001816B4">
        <w:t xml:space="preserve"> dan bij het schrappen van de leeftijdsgrens.</w:t>
      </w:r>
      <w:r w:rsidRPr="00344C67">
        <w:t xml:space="preserve"> </w:t>
      </w:r>
    </w:p>
    <w:p w:rsidRPr="00344C67" w:rsidR="009873C4" w:rsidP="00DF3114" w:rsidRDefault="009873C4" w14:paraId="4A5E55F5" w14:textId="77777777">
      <w:pPr>
        <w:spacing w:after="160" w:line="259" w:lineRule="auto"/>
        <w:rPr>
          <w:b/>
          <w:bCs/>
        </w:rPr>
      </w:pPr>
      <w:r w:rsidRPr="00344C67">
        <w:rPr>
          <w:b/>
          <w:bCs/>
        </w:rPr>
        <w:t xml:space="preserve">Aanpassen </w:t>
      </w:r>
      <w:proofErr w:type="spellStart"/>
      <w:r w:rsidRPr="00344C67">
        <w:rPr>
          <w:b/>
          <w:bCs/>
        </w:rPr>
        <w:t>woningwaardegrens</w:t>
      </w:r>
      <w:proofErr w:type="spellEnd"/>
      <w:r w:rsidRPr="00344C67">
        <w:rPr>
          <w:b/>
          <w:bCs/>
        </w:rPr>
        <w:t xml:space="preserve"> in combinatie met leeftijdsgrens </w:t>
      </w:r>
    </w:p>
    <w:p w:rsidRPr="00344C67" w:rsidR="00777E9C" w:rsidP="00DF3114" w:rsidRDefault="00B86FB4" w14:paraId="20147405" w14:textId="77777777">
      <w:pPr>
        <w:spacing w:after="160" w:line="259" w:lineRule="auto"/>
      </w:pPr>
      <w:r w:rsidRPr="00344C67">
        <w:t>De v</w:t>
      </w:r>
      <w:r w:rsidRPr="00344C67" w:rsidR="00506F34">
        <w:t xml:space="preserve">oorgaande </w:t>
      </w:r>
      <w:r w:rsidRPr="00344C67">
        <w:t>alinea’s laten</w:t>
      </w:r>
      <w:r w:rsidRPr="00344C67" w:rsidR="00506F34">
        <w:t xml:space="preserve"> zien dat </w:t>
      </w:r>
      <w:r w:rsidRPr="00344C67" w:rsidR="00777E9C">
        <w:t>het aanpassen</w:t>
      </w:r>
      <w:r w:rsidRPr="00344C67" w:rsidR="00506F34">
        <w:t xml:space="preserve"> (afschaffen)</w:t>
      </w:r>
      <w:r w:rsidRPr="00344C67" w:rsidR="00777E9C">
        <w:t xml:space="preserve"> van de </w:t>
      </w:r>
      <w:proofErr w:type="spellStart"/>
      <w:r w:rsidRPr="00344C67" w:rsidR="00777E9C">
        <w:t>woningwaardegrens</w:t>
      </w:r>
      <w:proofErr w:type="spellEnd"/>
      <w:r w:rsidRPr="00344C67" w:rsidR="00777E9C">
        <w:t xml:space="preserve"> </w:t>
      </w:r>
      <w:r w:rsidRPr="00344C67">
        <w:t>en</w:t>
      </w:r>
      <w:r w:rsidRPr="00344C67" w:rsidR="00777E9C">
        <w:t xml:space="preserve"> </w:t>
      </w:r>
      <w:r w:rsidRPr="00344C67" w:rsidR="00506F34">
        <w:t>de leeftijdsgrens de vrijstelling weliswaar doeltreffender</w:t>
      </w:r>
      <w:r w:rsidRPr="00344C67">
        <w:t xml:space="preserve"> maken</w:t>
      </w:r>
      <w:r w:rsidRPr="00344C67" w:rsidR="00506F34">
        <w:t xml:space="preserve">, maar </w:t>
      </w:r>
      <w:r w:rsidRPr="00344C67">
        <w:t xml:space="preserve">dat </w:t>
      </w:r>
      <w:r w:rsidRPr="00344C67" w:rsidR="000B7C51">
        <w:t xml:space="preserve">dit </w:t>
      </w:r>
      <w:r w:rsidRPr="00344C67" w:rsidR="00A81AC6">
        <w:t>leidt tot</w:t>
      </w:r>
      <w:r w:rsidRPr="00344C67" w:rsidR="000B7C51">
        <w:t xml:space="preserve"> </w:t>
      </w:r>
      <w:r w:rsidRPr="00344C67" w:rsidR="00A81AC6">
        <w:t xml:space="preserve">een </w:t>
      </w:r>
      <w:r w:rsidRPr="00344C67" w:rsidR="000B7C51">
        <w:t>verlies aan</w:t>
      </w:r>
      <w:r w:rsidRPr="00344C67" w:rsidR="00506F34">
        <w:t xml:space="preserve"> doelmatig</w:t>
      </w:r>
      <w:r w:rsidRPr="00344C67" w:rsidR="000B7C51">
        <w:t>heid</w:t>
      </w:r>
      <w:r w:rsidRPr="00344C67" w:rsidR="00506F34">
        <w:t xml:space="preserve"> </w:t>
      </w:r>
      <w:r w:rsidRPr="00344C67" w:rsidR="00FD1C8F">
        <w:t>omdat de budgettaire kosten toenemen</w:t>
      </w:r>
      <w:r w:rsidRPr="00344C67" w:rsidR="00506F34">
        <w:t>.</w:t>
      </w:r>
      <w:r w:rsidRPr="00344C67">
        <w:t xml:space="preserve"> </w:t>
      </w:r>
      <w:r w:rsidRPr="00344C67" w:rsidR="00D87ED8">
        <w:t>Een</w:t>
      </w:r>
      <w:r w:rsidRPr="00344C67" w:rsidR="00FD1C8F">
        <w:t xml:space="preserve"> budgetneutrale aanpassing </w:t>
      </w:r>
      <w:r w:rsidRPr="00344C67" w:rsidR="00D87ED8">
        <w:t>is ook mogelijk</w:t>
      </w:r>
      <w:r w:rsidRPr="00344C67" w:rsidR="001A5541">
        <w:t xml:space="preserve"> door</w:t>
      </w:r>
      <w:r w:rsidRPr="00344C67">
        <w:t xml:space="preserve"> </w:t>
      </w:r>
      <w:r w:rsidRPr="00344C67" w:rsidR="00777E9C">
        <w:t xml:space="preserve">de woningwaarde- </w:t>
      </w:r>
      <w:r w:rsidRPr="00344C67">
        <w:t>en</w:t>
      </w:r>
      <w:r w:rsidRPr="00344C67" w:rsidR="00777E9C">
        <w:t xml:space="preserve"> de leeftijdsgrens </w:t>
      </w:r>
      <w:r w:rsidRPr="00344C67" w:rsidR="00FD1C8F">
        <w:t xml:space="preserve">gelijktijdig </w:t>
      </w:r>
      <w:r w:rsidRPr="00344C67" w:rsidR="001A5541">
        <w:t>aan te passen</w:t>
      </w:r>
      <w:r w:rsidRPr="00344C67" w:rsidR="00FD1C8F">
        <w:t xml:space="preserve">. Als tegen dezelfde </w:t>
      </w:r>
      <w:r w:rsidRPr="00344C67" w:rsidR="001A5541">
        <w:t xml:space="preserve">budgettaire </w:t>
      </w:r>
      <w:r w:rsidRPr="00344C67" w:rsidR="00FD1C8F">
        <w:t>kosten meer starters worden</w:t>
      </w:r>
      <w:r w:rsidRPr="00344C67" w:rsidR="00D87ED8">
        <w:t xml:space="preserve"> geholpen</w:t>
      </w:r>
      <w:r w:rsidRPr="00344C67" w:rsidR="00FD1C8F">
        <w:t xml:space="preserve">, zou dat de regeling doeltreffender én doelmatiger maken. Daartoe is geanalyseerd wat er gebeurt als de leeftijdsgrens wordt verhoogd </w:t>
      </w:r>
      <w:r w:rsidRPr="00344C67" w:rsidR="000B7C51">
        <w:t>in combinatie met een</w:t>
      </w:r>
      <w:r w:rsidRPr="00344C67" w:rsidR="00FD1C8F">
        <w:t xml:space="preserve"> verlaging van de </w:t>
      </w:r>
      <w:proofErr w:type="spellStart"/>
      <w:r w:rsidRPr="00344C67" w:rsidR="00FD1C8F">
        <w:t>woningwaardegrens</w:t>
      </w:r>
      <w:proofErr w:type="spellEnd"/>
      <w:r w:rsidRPr="00344C67" w:rsidR="00FD1C8F">
        <w:t xml:space="preserve"> en </w:t>
      </w:r>
      <w:proofErr w:type="spellStart"/>
      <w:r w:rsidRPr="00344C67" w:rsidR="00FD1C8F">
        <w:t>vice</w:t>
      </w:r>
      <w:proofErr w:type="spellEnd"/>
      <w:r w:rsidRPr="00344C67" w:rsidR="00FD1C8F">
        <w:t xml:space="preserve"> versa. </w:t>
      </w:r>
    </w:p>
    <w:p w:rsidRPr="00344C67" w:rsidR="0028655E" w:rsidP="00DF3114" w:rsidRDefault="00D87ED8" w14:paraId="4BB39964" w14:textId="77777777">
      <w:pPr>
        <w:spacing w:after="160" w:line="259" w:lineRule="auto"/>
      </w:pPr>
      <w:proofErr w:type="gramStart"/>
      <w:r w:rsidRPr="00344C67">
        <w:t>Indien</w:t>
      </w:r>
      <w:proofErr w:type="gramEnd"/>
      <w:r w:rsidRPr="00344C67" w:rsidR="00506F34">
        <w:t xml:space="preserve"> </w:t>
      </w:r>
      <w:r w:rsidRPr="00344C67" w:rsidR="0028655E">
        <w:t xml:space="preserve">de leeftijdsgrens bijvoorbeeld wordt verhoogd naar 40 jaar, en de </w:t>
      </w:r>
      <w:proofErr w:type="spellStart"/>
      <w:r w:rsidRPr="00344C67" w:rsidR="0028655E">
        <w:t>woningwaardegrens</w:t>
      </w:r>
      <w:proofErr w:type="spellEnd"/>
      <w:r w:rsidRPr="00344C67" w:rsidR="0028655E">
        <w:t xml:space="preserve"> </w:t>
      </w:r>
      <w:r w:rsidRPr="00344C67">
        <w:t xml:space="preserve">gelijktijdig </w:t>
      </w:r>
      <w:r w:rsidRPr="00344C67" w:rsidR="0028655E">
        <w:t xml:space="preserve">wordt verlaagd naar € 480.000 </w:t>
      </w:r>
      <w:r w:rsidRPr="00344C67" w:rsidR="000B7C51">
        <w:t>verandert het aandeel starters dat een beroep kan doen op de vrijstelling niet (nog steeds 65%)</w:t>
      </w:r>
      <w:r w:rsidRPr="00344C67" w:rsidR="0028655E">
        <w:t>.</w:t>
      </w:r>
      <w:r w:rsidRPr="00344C67">
        <w:t xml:space="preserve"> </w:t>
      </w:r>
      <w:r w:rsidRPr="00344C67" w:rsidR="000B7C51">
        <w:t>De doeltreffendheid verbetert niet terwijl de doelmatigheid afneemt doordat meer doorstromers de vrijstelling toe kunnen passen</w:t>
      </w:r>
      <w:r w:rsidRPr="00344C67">
        <w:t>.</w:t>
      </w:r>
      <w:r w:rsidRPr="00344C67" w:rsidR="0028655E">
        <w:t xml:space="preserve"> Er is geen </w:t>
      </w:r>
      <w:r w:rsidRPr="00344C67" w:rsidR="001976F0">
        <w:t xml:space="preserve">budgetneutrale </w:t>
      </w:r>
      <w:r w:rsidRPr="00344C67" w:rsidR="000B7C51">
        <w:t>uitkomst</w:t>
      </w:r>
      <w:r w:rsidRPr="00344C67" w:rsidR="0028655E">
        <w:t xml:space="preserve"> gevonden die de doeltreffendheid van de vrijstelling significant verbeter</w:t>
      </w:r>
      <w:r w:rsidRPr="00344C67" w:rsidR="000B7C51">
        <w:t>t</w:t>
      </w:r>
      <w:r w:rsidRPr="00344C67" w:rsidR="00A81AC6">
        <w:t>.</w:t>
      </w:r>
      <w:r w:rsidRPr="00344C67" w:rsidR="0028655E">
        <w:t xml:space="preserve"> </w:t>
      </w:r>
    </w:p>
    <w:p w:rsidRPr="00344C67" w:rsidR="0028655E" w:rsidP="00DF3114" w:rsidRDefault="0028655E" w14:paraId="4410664C" w14:textId="77777777">
      <w:pPr>
        <w:spacing w:after="160" w:line="259" w:lineRule="auto"/>
      </w:pPr>
      <w:r w:rsidRPr="00344C67">
        <w:t xml:space="preserve">Ook </w:t>
      </w:r>
      <w:r w:rsidRPr="00344C67" w:rsidR="000B7C51">
        <w:t xml:space="preserve">een verhoging van de </w:t>
      </w:r>
      <w:proofErr w:type="spellStart"/>
      <w:r w:rsidRPr="00344C67" w:rsidR="000B7C51">
        <w:t>woningwaardegrens</w:t>
      </w:r>
      <w:proofErr w:type="spellEnd"/>
      <w:r w:rsidRPr="00344C67">
        <w:t>, bijvoorbeeld naar € 600.000</w:t>
      </w:r>
      <w:r w:rsidRPr="00344C67" w:rsidR="000B7C51">
        <w:t>, in combinatie met een verlaging van de leeftijdsgrens naar 32 jaar</w:t>
      </w:r>
      <w:r w:rsidRPr="00344C67">
        <w:t xml:space="preserve"> leidt niet tot een verbetering van de doeltreffendheid</w:t>
      </w:r>
      <w:r w:rsidRPr="00344C67" w:rsidR="00043CB4">
        <w:t>. Het aandeel starters dat een beroep kan doen op de vrijstelling daalt in deze situatie</w:t>
      </w:r>
      <w:r w:rsidRPr="00344C67" w:rsidR="001976F0">
        <w:t xml:space="preserve"> zelfs</w:t>
      </w:r>
      <w:r w:rsidRPr="00344C67">
        <w:t>.</w:t>
      </w:r>
      <w:r w:rsidRPr="00344C67" w:rsidR="00D87ED8">
        <w:t xml:space="preserve"> </w:t>
      </w:r>
    </w:p>
    <w:p w:rsidRPr="00344C67" w:rsidR="00E1420B" w:rsidP="00DF3114" w:rsidRDefault="003B513E" w14:paraId="44314AB3" w14:textId="77777777">
      <w:pPr>
        <w:spacing w:after="160" w:line="259" w:lineRule="auto"/>
        <w:rPr>
          <w:b/>
          <w:bCs/>
        </w:rPr>
      </w:pPr>
      <w:r w:rsidRPr="00344C67">
        <w:rPr>
          <w:b/>
          <w:bCs/>
        </w:rPr>
        <w:t>Conclusie</w:t>
      </w:r>
    </w:p>
    <w:p w:rsidRPr="00344C67" w:rsidR="00E1420B" w:rsidP="00DF3114" w:rsidRDefault="00E1420B" w14:paraId="320B8DBE" w14:textId="77777777">
      <w:pPr>
        <w:spacing w:after="160" w:line="259" w:lineRule="auto"/>
      </w:pPr>
      <w:r w:rsidRPr="00344C67">
        <w:t>De doeltreffendheid van de startersvrijstelling</w:t>
      </w:r>
      <w:r w:rsidRPr="00344C67" w:rsidR="00F66433">
        <w:t xml:space="preserve"> kan</w:t>
      </w:r>
      <w:r w:rsidRPr="00344C67">
        <w:t xml:space="preserve"> </w:t>
      </w:r>
      <w:r w:rsidRPr="00344C67" w:rsidR="00853BBD">
        <w:t xml:space="preserve">slechts worden vergroot ten koste van </w:t>
      </w:r>
      <w:r w:rsidRPr="00344C67" w:rsidR="00803B62">
        <w:t>een flinke afname van de</w:t>
      </w:r>
      <w:r w:rsidRPr="00344C67" w:rsidR="00853BBD">
        <w:t xml:space="preserve"> doelmatigheid van de regeling</w:t>
      </w:r>
      <w:r w:rsidRPr="00344C67">
        <w:t xml:space="preserve">. </w:t>
      </w:r>
      <w:r w:rsidRPr="00344C67" w:rsidR="00803B62">
        <w:t>Dat</w:t>
      </w:r>
      <w:r w:rsidRPr="00344C67" w:rsidR="00860E43">
        <w:t xml:space="preserve"> </w:t>
      </w:r>
      <w:r w:rsidRPr="00344C67" w:rsidR="00803B62">
        <w:t>leidt</w:t>
      </w:r>
      <w:r w:rsidRPr="00344C67" w:rsidR="00860E43">
        <w:t xml:space="preserve"> bovendien</w:t>
      </w:r>
      <w:r w:rsidRPr="00344C67" w:rsidR="00803B62">
        <w:t xml:space="preserve"> tot </w:t>
      </w:r>
      <w:r w:rsidRPr="00344C67" w:rsidR="00860E43">
        <w:t>een dekkingsopgave</w:t>
      </w:r>
      <w:r w:rsidRPr="00344C67" w:rsidR="00803B62">
        <w:t>.</w:t>
      </w:r>
      <w:r w:rsidRPr="00344C67" w:rsidR="000F65E2">
        <w:t xml:space="preserve"> </w:t>
      </w:r>
      <w:r w:rsidRPr="00344C67" w:rsidR="00B972AB">
        <w:t>Gelet hierop</w:t>
      </w:r>
      <w:r w:rsidRPr="00344C67" w:rsidR="00803B62">
        <w:t xml:space="preserve">, en </w:t>
      </w:r>
      <w:r w:rsidR="000028B5">
        <w:t xml:space="preserve">op </w:t>
      </w:r>
      <w:r w:rsidRPr="00344C67" w:rsidR="00803B62">
        <w:t>het feit dat de</w:t>
      </w:r>
      <w:r w:rsidRPr="00344C67" w:rsidR="00853BBD">
        <w:t xml:space="preserve"> </w:t>
      </w:r>
      <w:r w:rsidRPr="00344C67">
        <w:t xml:space="preserve">differentiatie in de overdrachtsbelasting starters </w:t>
      </w:r>
      <w:r w:rsidRPr="00344C67" w:rsidR="0078248B">
        <w:t>aantoonbaar</w:t>
      </w:r>
      <w:r w:rsidRPr="00344C67">
        <w:t xml:space="preserve"> heeft </w:t>
      </w:r>
      <w:r w:rsidRPr="00344C67" w:rsidR="0078248B">
        <w:t>ondersteund</w:t>
      </w:r>
      <w:r w:rsidRPr="00344C67">
        <w:t xml:space="preserve"> </w:t>
      </w:r>
      <w:r w:rsidRPr="00344C67" w:rsidR="00F00DA1">
        <w:t>en de gemiddelde leeftijd van koopstarters stabiel is</w:t>
      </w:r>
      <w:r w:rsidRPr="00344C67" w:rsidR="0078248B">
        <w:t xml:space="preserve"> gebleven</w:t>
      </w:r>
      <w:r w:rsidRPr="00344C67" w:rsidR="00F00DA1">
        <w:t>, zie ik</w:t>
      </w:r>
      <w:r w:rsidRPr="00344C67" w:rsidR="009873C4">
        <w:t xml:space="preserve"> op dit moment</w:t>
      </w:r>
      <w:r w:rsidRPr="00344C67" w:rsidR="00F00DA1">
        <w:t xml:space="preserve"> geen </w:t>
      </w:r>
      <w:r w:rsidRPr="00344C67" w:rsidR="0078248B">
        <w:t>aanleiding om de vormgeving van de</w:t>
      </w:r>
      <w:r w:rsidRPr="00344C67" w:rsidR="00803B62">
        <w:t>ze</w:t>
      </w:r>
      <w:r w:rsidRPr="00344C67" w:rsidR="0078248B">
        <w:t xml:space="preserve"> regeling aan te passen</w:t>
      </w:r>
      <w:r w:rsidRPr="00344C67" w:rsidR="00F00DA1">
        <w:t xml:space="preserve">. </w:t>
      </w:r>
    </w:p>
    <w:p w:rsidRPr="00344C67" w:rsidR="006A1AAB" w:rsidP="00DF3114" w:rsidRDefault="002579FE" w14:paraId="00498E44" w14:textId="77777777">
      <w:pPr>
        <w:spacing w:after="160" w:line="259" w:lineRule="auto"/>
      </w:pPr>
      <w:r>
        <w:t xml:space="preserve">De afgelopen jaren is </w:t>
      </w:r>
      <w:r w:rsidR="00C74452">
        <w:t xml:space="preserve">ingezet </w:t>
      </w:r>
      <w:r>
        <w:t>op</w:t>
      </w:r>
      <w:r w:rsidRPr="00344C67">
        <w:t xml:space="preserve"> </w:t>
      </w:r>
      <w:r>
        <w:t>het</w:t>
      </w:r>
      <w:r w:rsidRPr="00344C67">
        <w:t xml:space="preserve"> </w:t>
      </w:r>
      <w:r>
        <w:t>verbeteren</w:t>
      </w:r>
      <w:r w:rsidRPr="00344C67">
        <w:t xml:space="preserve"> </w:t>
      </w:r>
      <w:r w:rsidRPr="00344C67" w:rsidR="0078248B">
        <w:t xml:space="preserve">van de </w:t>
      </w:r>
      <w:r w:rsidRPr="00344C67" w:rsidR="008F56C0">
        <w:t>toegankelijkheid</w:t>
      </w:r>
      <w:r w:rsidRPr="00344C67" w:rsidR="00F00DA1">
        <w:t xml:space="preserve"> van de woningmarkt voor starters. </w:t>
      </w:r>
      <w:r w:rsidRPr="00344C67" w:rsidR="0078248B">
        <w:t xml:space="preserve">In </w:t>
      </w:r>
      <w:r w:rsidRPr="00344C67" w:rsidR="00A92849">
        <w:t>dit</w:t>
      </w:r>
      <w:r w:rsidRPr="00344C67" w:rsidR="0078248B">
        <w:t xml:space="preserve"> kader zijn </w:t>
      </w:r>
      <w:r w:rsidRPr="00344C67" w:rsidR="00A92849">
        <w:t>de afgelopen jaren diverse aanvullende maatregelen getroffen</w:t>
      </w:r>
      <w:r w:rsidRPr="00344C67" w:rsidR="00A95AD9">
        <w:t>.</w:t>
      </w:r>
      <w:r w:rsidRPr="00344C67" w:rsidR="007376E8">
        <w:t xml:space="preserve"> </w:t>
      </w:r>
      <w:r w:rsidRPr="00344C67" w:rsidR="0042335C">
        <w:t xml:space="preserve">Zo </w:t>
      </w:r>
      <w:r w:rsidRPr="00344C67" w:rsidR="007376E8">
        <w:t>is</w:t>
      </w:r>
      <w:r w:rsidRPr="00344C67" w:rsidR="0042335C">
        <w:t xml:space="preserve"> bijvoorbeeld</w:t>
      </w:r>
      <w:r w:rsidRPr="00344C67" w:rsidR="007376E8">
        <w:t xml:space="preserve"> sinds 2025 het Nationaal Fonds Betaalbare Koopwoningen (NFBK) actief. Dit fonds van 100 mln. ondersteunt starters met een middeninkomen bij de aankoop van hun eerste (nieuwbouw)woning. </w:t>
      </w:r>
      <w:r w:rsidRPr="00344C67" w:rsidR="00A95AD9">
        <w:t xml:space="preserve">Daarnaast is </w:t>
      </w:r>
      <w:r w:rsidRPr="00344C67" w:rsidR="007376E8">
        <w:t xml:space="preserve">de </w:t>
      </w:r>
      <w:r w:rsidRPr="00344C67" w:rsidR="00B92C50">
        <w:t xml:space="preserve">borgtochtprovisie voor de </w:t>
      </w:r>
      <w:r w:rsidRPr="00344C67" w:rsidR="007376E8">
        <w:t>N</w:t>
      </w:r>
      <w:r w:rsidRPr="00344C67" w:rsidR="00B92C50">
        <w:t xml:space="preserve">ationale </w:t>
      </w:r>
      <w:r w:rsidRPr="00344C67" w:rsidR="007376E8">
        <w:t>H</w:t>
      </w:r>
      <w:r w:rsidRPr="00344C67" w:rsidR="00B92C50">
        <w:t xml:space="preserve">ypotheekgarantie (NHG) </w:t>
      </w:r>
      <w:r w:rsidRPr="00344C67" w:rsidR="007376E8">
        <w:t>verlaag</w:t>
      </w:r>
      <w:r w:rsidRPr="00344C67" w:rsidR="00B92C50">
        <w:t>d</w:t>
      </w:r>
      <w:r w:rsidRPr="00344C67" w:rsidR="007376E8">
        <w:t xml:space="preserve"> van 0,6% naar 0,4% van het hypotheekbedrag.</w:t>
      </w:r>
      <w:r w:rsidRPr="00344C67" w:rsidR="008C37DF">
        <w:t xml:space="preserve"> Hierdoor kunnen meer starters en middeninkomens profiteren van de voordelen van NHG, </w:t>
      </w:r>
      <w:r w:rsidRPr="00344C67" w:rsidR="008C37DF">
        <w:rPr>
          <w:rFonts w:eastAsia="Calibri" w:cstheme="minorHAnsi"/>
        </w:rPr>
        <w:t>zoals een veiligere financiële positie en een lagere rente</w:t>
      </w:r>
      <w:r w:rsidRPr="00344C67" w:rsidR="008C37DF">
        <w:t xml:space="preserve">. </w:t>
      </w:r>
    </w:p>
    <w:p w:rsidRPr="00344C67" w:rsidR="003E79B7" w:rsidP="00DF3114" w:rsidRDefault="002579FE" w14:paraId="20E36AD2" w14:textId="77777777">
      <w:pPr>
        <w:spacing w:after="160" w:line="259" w:lineRule="auto"/>
      </w:pPr>
      <w:r>
        <w:t xml:space="preserve">Ook is afgelopen periode ingezet </w:t>
      </w:r>
      <w:r w:rsidRPr="00344C67" w:rsidR="00A92849">
        <w:t xml:space="preserve">op het vergroten van het </w:t>
      </w:r>
      <w:r w:rsidRPr="00344C67" w:rsidR="002A6E79">
        <w:t xml:space="preserve">totale </w:t>
      </w:r>
      <w:r w:rsidRPr="00344C67" w:rsidR="00936401">
        <w:t xml:space="preserve">(betaalbare) </w:t>
      </w:r>
      <w:r w:rsidRPr="00344C67" w:rsidR="00A92849">
        <w:t>woningaanbod</w:t>
      </w:r>
      <w:r w:rsidRPr="00344C67" w:rsidR="002A6E79">
        <w:t xml:space="preserve"> voor </w:t>
      </w:r>
      <w:r w:rsidRPr="00344C67" w:rsidR="00B972AB">
        <w:t>zowel starters als doorstromers</w:t>
      </w:r>
      <w:r w:rsidRPr="00344C67" w:rsidR="002A6E79">
        <w:t xml:space="preserve">. Dit wordt </w:t>
      </w:r>
      <w:r w:rsidRPr="00344C67" w:rsidR="0015733D">
        <w:t xml:space="preserve">onder andere </w:t>
      </w:r>
      <w:r w:rsidRPr="00344C67" w:rsidR="002A6E79">
        <w:t xml:space="preserve">gedaan </w:t>
      </w:r>
      <w:r w:rsidRPr="00344C67" w:rsidR="0015733D">
        <w:t xml:space="preserve">door het oppakken van de regie op volkshuisvesting via (herijkte) woondeals, het ondersteunen van projecten met extra financiering, zoals </w:t>
      </w:r>
      <w:r w:rsidRPr="00344C67" w:rsidR="008C37DF">
        <w:t>de woningbouw</w:t>
      </w:r>
      <w:r w:rsidRPr="00344C67" w:rsidR="009D2801">
        <w:t>- &amp;</w:t>
      </w:r>
      <w:r w:rsidRPr="00344C67" w:rsidR="008C37DF">
        <w:t xml:space="preserve"> de realisatiestimulans</w:t>
      </w:r>
      <w:r w:rsidRPr="00344C67" w:rsidR="0015733D">
        <w:t>, en het ontwikkelen van grootschalige woningbouwlocaties</w:t>
      </w:r>
      <w:r w:rsidRPr="00344C67" w:rsidR="00A92849">
        <w:t>.</w:t>
      </w:r>
      <w:r w:rsidRPr="00344C67" w:rsidR="0004451A">
        <w:rPr>
          <w:rStyle w:val="Voetnootmarkering"/>
        </w:rPr>
        <w:footnoteReference w:id="13"/>
      </w:r>
    </w:p>
    <w:p w:rsidRPr="00344C67" w:rsidR="001B2A20" w:rsidP="00DF3114" w:rsidRDefault="001B2A20" w14:paraId="4F85C2E5" w14:textId="77777777">
      <w:pPr>
        <w:spacing w:after="160" w:line="259" w:lineRule="auto"/>
      </w:pPr>
    </w:p>
    <w:p w:rsidRPr="00344C67" w:rsidR="001B2A20" w:rsidP="00DF3114" w:rsidRDefault="001B2A20" w14:paraId="5992B3CA" w14:textId="77777777">
      <w:pPr>
        <w:spacing w:after="160" w:line="259" w:lineRule="auto"/>
      </w:pPr>
      <w:r w:rsidRPr="00344C67">
        <w:t>Hoogachtend,</w:t>
      </w:r>
    </w:p>
    <w:p w:rsidRPr="00344C67" w:rsidR="001B2A20" w:rsidP="00DF3114" w:rsidRDefault="00637ECF" w14:paraId="6C083C19" w14:textId="77777777">
      <w:pPr>
        <w:spacing w:after="160" w:line="259" w:lineRule="auto"/>
      </w:pPr>
      <w:r>
        <w:br/>
        <w:t>d</w:t>
      </w:r>
      <w:r w:rsidRPr="00344C67" w:rsidR="001B2A20">
        <w:t xml:space="preserve">e </w:t>
      </w:r>
      <w:r>
        <w:t>s</w:t>
      </w:r>
      <w:r w:rsidRPr="00344C67" w:rsidR="001B2A20">
        <w:t>taatssecretaris</w:t>
      </w:r>
      <w:r>
        <w:t xml:space="preserve"> van Financiën</w:t>
      </w:r>
      <w:r w:rsidR="001617D0">
        <w:t>,</w:t>
      </w:r>
    </w:p>
    <w:p w:rsidR="001B2A20" w:rsidP="00DF3114" w:rsidRDefault="001B2A20" w14:paraId="12F6849E" w14:textId="77777777">
      <w:pPr>
        <w:spacing w:after="160" w:line="259" w:lineRule="auto"/>
      </w:pPr>
    </w:p>
    <w:p w:rsidRPr="00344C67" w:rsidR="00701E27" w:rsidP="00DF3114" w:rsidRDefault="00701E27" w14:paraId="164A6CDB" w14:textId="77777777">
      <w:pPr>
        <w:spacing w:after="160" w:line="259" w:lineRule="auto"/>
      </w:pPr>
    </w:p>
    <w:p w:rsidRPr="00344C67" w:rsidR="001B2A20" w:rsidP="00DF3114" w:rsidRDefault="001B2A20" w14:paraId="403EBDAA" w14:textId="77777777">
      <w:pPr>
        <w:spacing w:after="160" w:line="259" w:lineRule="auto"/>
      </w:pPr>
    </w:p>
    <w:p w:rsidRPr="00D65972" w:rsidR="001B2A20" w:rsidP="00DF3114" w:rsidRDefault="00447BB5" w14:paraId="41FEEDC3" w14:textId="77777777">
      <w:pPr>
        <w:spacing w:after="160" w:line="259" w:lineRule="auto"/>
      </w:pPr>
      <w:r>
        <w:t xml:space="preserve">Eelco </w:t>
      </w:r>
      <w:proofErr w:type="spellStart"/>
      <w:r>
        <w:t>Eerenberg</w:t>
      </w:r>
      <w:proofErr w:type="spellEnd"/>
    </w:p>
    <w:sectPr w:rsidRPr="00D65972" w:rsidR="001B2A20">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3744" w14:textId="77777777" w:rsidR="00895850" w:rsidRDefault="00895850">
      <w:pPr>
        <w:spacing w:line="240" w:lineRule="auto"/>
      </w:pPr>
      <w:r>
        <w:separator/>
      </w:r>
    </w:p>
  </w:endnote>
  <w:endnote w:type="continuationSeparator" w:id="0">
    <w:p w14:paraId="53C9A8FF" w14:textId="77777777" w:rsidR="00895850" w:rsidRDefault="00895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BNPM L+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B2D5" w14:textId="77777777" w:rsidR="001710B1" w:rsidRDefault="001710B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E7B4" w14:textId="77777777" w:rsidR="00895850" w:rsidRDefault="00895850">
      <w:pPr>
        <w:spacing w:line="240" w:lineRule="auto"/>
      </w:pPr>
      <w:r>
        <w:separator/>
      </w:r>
    </w:p>
  </w:footnote>
  <w:footnote w:type="continuationSeparator" w:id="0">
    <w:p w14:paraId="56EFA5BD" w14:textId="77777777" w:rsidR="00895850" w:rsidRDefault="00895850">
      <w:pPr>
        <w:spacing w:line="240" w:lineRule="auto"/>
      </w:pPr>
      <w:r>
        <w:continuationSeparator/>
      </w:r>
    </w:p>
  </w:footnote>
  <w:footnote w:id="1">
    <w:p w14:paraId="1ACB0F2D" w14:textId="77777777" w:rsidR="00CB7510" w:rsidRPr="00DF3114" w:rsidRDefault="00CB7510" w:rsidP="00CB7510">
      <w:pPr>
        <w:pStyle w:val="Voetnoottekst"/>
        <w:rPr>
          <w:sz w:val="16"/>
          <w:szCs w:val="16"/>
        </w:rPr>
      </w:pPr>
      <w:r w:rsidRPr="00242F11">
        <w:rPr>
          <w:rStyle w:val="Voetnootmarkering"/>
          <w:sz w:val="16"/>
          <w:szCs w:val="16"/>
        </w:rPr>
        <w:footnoteRef/>
      </w:r>
      <w:r w:rsidRPr="00DF3114">
        <w:rPr>
          <w:sz w:val="16"/>
          <w:szCs w:val="16"/>
        </w:rPr>
        <w:t xml:space="preserve"> </w:t>
      </w:r>
      <w:r w:rsidRPr="00924C3D">
        <w:rPr>
          <w:sz w:val="16"/>
          <w:szCs w:val="16"/>
        </w:rPr>
        <w:t>Kamerstukken II 2025</w:t>
      </w:r>
      <w:r w:rsidR="00A82505">
        <w:rPr>
          <w:sz w:val="16"/>
          <w:szCs w:val="16"/>
        </w:rPr>
        <w:t>/</w:t>
      </w:r>
      <w:r w:rsidRPr="00924C3D">
        <w:rPr>
          <w:sz w:val="16"/>
          <w:szCs w:val="16"/>
        </w:rPr>
        <w:t>26, 36637, nr. 6.</w:t>
      </w:r>
    </w:p>
  </w:footnote>
  <w:footnote w:id="2">
    <w:p w14:paraId="7B11EC03" w14:textId="77777777" w:rsidR="0024567A" w:rsidRPr="00924C3D" w:rsidRDefault="0024567A">
      <w:pPr>
        <w:pStyle w:val="Voetnoottekst"/>
        <w:rPr>
          <w:sz w:val="16"/>
          <w:szCs w:val="16"/>
        </w:rPr>
      </w:pPr>
      <w:r w:rsidRPr="00924C3D">
        <w:rPr>
          <w:rStyle w:val="Voetnootmarkering"/>
          <w:sz w:val="16"/>
          <w:szCs w:val="16"/>
        </w:rPr>
        <w:footnoteRef/>
      </w:r>
      <w:r w:rsidRPr="00924C3D">
        <w:rPr>
          <w:sz w:val="16"/>
          <w:szCs w:val="16"/>
        </w:rPr>
        <w:t xml:space="preserve"> Kamerstukken II </w:t>
      </w:r>
      <w:r w:rsidR="00E63670" w:rsidRPr="00924C3D">
        <w:rPr>
          <w:sz w:val="16"/>
          <w:szCs w:val="16"/>
        </w:rPr>
        <w:t>2024</w:t>
      </w:r>
      <w:r w:rsidR="00A82505">
        <w:rPr>
          <w:sz w:val="16"/>
          <w:szCs w:val="16"/>
        </w:rPr>
        <w:t>/</w:t>
      </w:r>
      <w:r w:rsidR="00E63670" w:rsidRPr="00924C3D">
        <w:rPr>
          <w:sz w:val="16"/>
          <w:szCs w:val="16"/>
        </w:rPr>
        <w:t>25, 3</w:t>
      </w:r>
      <w:r w:rsidR="007F514C">
        <w:rPr>
          <w:sz w:val="16"/>
          <w:szCs w:val="16"/>
        </w:rPr>
        <w:t>2140</w:t>
      </w:r>
      <w:r w:rsidR="00E63670" w:rsidRPr="00924C3D">
        <w:rPr>
          <w:sz w:val="16"/>
          <w:szCs w:val="16"/>
        </w:rPr>
        <w:t xml:space="preserve">, nr. </w:t>
      </w:r>
      <w:r w:rsidR="007F514C">
        <w:rPr>
          <w:sz w:val="16"/>
          <w:szCs w:val="16"/>
        </w:rPr>
        <w:t>273</w:t>
      </w:r>
      <w:r w:rsidR="00E63670" w:rsidRPr="00924C3D">
        <w:rPr>
          <w:sz w:val="16"/>
          <w:szCs w:val="16"/>
        </w:rPr>
        <w:t>.</w:t>
      </w:r>
    </w:p>
  </w:footnote>
  <w:footnote w:id="3">
    <w:p w14:paraId="799837E8" w14:textId="77777777" w:rsidR="00953FAC" w:rsidRPr="00924C3D" w:rsidRDefault="00953FAC" w:rsidP="00953FAC">
      <w:pPr>
        <w:pStyle w:val="Voetnoottekst"/>
        <w:rPr>
          <w:sz w:val="16"/>
          <w:szCs w:val="16"/>
        </w:rPr>
      </w:pPr>
      <w:r w:rsidRPr="00924C3D">
        <w:rPr>
          <w:rStyle w:val="Voetnootmarkering"/>
          <w:sz w:val="16"/>
          <w:szCs w:val="16"/>
        </w:rPr>
        <w:footnoteRef/>
      </w:r>
      <w:r w:rsidRPr="00924C3D">
        <w:rPr>
          <w:sz w:val="16"/>
          <w:szCs w:val="16"/>
        </w:rPr>
        <w:t xml:space="preserve"> </w:t>
      </w:r>
      <w:proofErr w:type="spellStart"/>
      <w:r w:rsidRPr="00924C3D">
        <w:rPr>
          <w:sz w:val="16"/>
          <w:szCs w:val="16"/>
        </w:rPr>
        <w:t>Dialogic</w:t>
      </w:r>
      <w:proofErr w:type="spellEnd"/>
      <w:r w:rsidRPr="00924C3D">
        <w:rPr>
          <w:sz w:val="16"/>
          <w:szCs w:val="16"/>
        </w:rPr>
        <w:t xml:space="preserve"> innovatie &amp; interactie, Verkenning differentiatie overdrachtsbelasting starters en beleggers, november 2019.</w:t>
      </w:r>
    </w:p>
  </w:footnote>
  <w:footnote w:id="4">
    <w:p w14:paraId="5FA5B332" w14:textId="77777777" w:rsidR="00953FAC" w:rsidRPr="00DF3114" w:rsidRDefault="00953FAC" w:rsidP="00953FAC">
      <w:pPr>
        <w:pStyle w:val="Voetnoottekst"/>
        <w:rPr>
          <w:sz w:val="16"/>
          <w:szCs w:val="16"/>
        </w:rPr>
      </w:pPr>
      <w:r w:rsidRPr="00924C3D">
        <w:rPr>
          <w:rStyle w:val="Voetnootmarkering"/>
          <w:sz w:val="16"/>
          <w:szCs w:val="16"/>
        </w:rPr>
        <w:footnoteRef/>
      </w:r>
      <w:r w:rsidRPr="00924C3D">
        <w:rPr>
          <w:sz w:val="16"/>
          <w:szCs w:val="16"/>
        </w:rPr>
        <w:t xml:space="preserve"> SEO Economische Onderzoek, Koppen zonder heffen – evaluatie differentiatie overdrachtsbelasting woningmarkt, augustus 2024.</w:t>
      </w:r>
    </w:p>
  </w:footnote>
  <w:footnote w:id="5">
    <w:p w14:paraId="72D85F00" w14:textId="77777777" w:rsidR="0094753F" w:rsidRPr="00DF3114" w:rsidRDefault="0094753F">
      <w:pPr>
        <w:pStyle w:val="Voetnoottekst"/>
        <w:rPr>
          <w:sz w:val="16"/>
          <w:szCs w:val="16"/>
        </w:rPr>
      </w:pPr>
      <w:r w:rsidRPr="00DF3114">
        <w:rPr>
          <w:rStyle w:val="Voetnootmarkering"/>
          <w:sz w:val="16"/>
          <w:szCs w:val="16"/>
        </w:rPr>
        <w:footnoteRef/>
      </w:r>
      <w:r w:rsidRPr="00DF3114">
        <w:rPr>
          <w:sz w:val="16"/>
          <w:szCs w:val="16"/>
        </w:rPr>
        <w:t xml:space="preserve"> Kamerstukken II 2024/25, 36602, nr. 3</w:t>
      </w:r>
      <w:r w:rsidR="00060D85" w:rsidRPr="00924C3D">
        <w:rPr>
          <w:sz w:val="16"/>
          <w:szCs w:val="16"/>
        </w:rPr>
        <w:t>.</w:t>
      </w:r>
    </w:p>
  </w:footnote>
  <w:footnote w:id="6">
    <w:p w14:paraId="71C17B08" w14:textId="77777777" w:rsidR="00924C3D" w:rsidRPr="00DF3114" w:rsidRDefault="00924C3D" w:rsidP="00924C3D">
      <w:pPr>
        <w:pStyle w:val="Voetnoottekst"/>
        <w:rPr>
          <w:sz w:val="16"/>
          <w:szCs w:val="16"/>
        </w:rPr>
      </w:pPr>
      <w:r w:rsidRPr="00DF3114">
        <w:rPr>
          <w:rStyle w:val="Voetnootmarkering"/>
          <w:sz w:val="16"/>
          <w:szCs w:val="16"/>
        </w:rPr>
        <w:footnoteRef/>
      </w:r>
      <w:r w:rsidRPr="00DF3114">
        <w:rPr>
          <w:sz w:val="16"/>
          <w:szCs w:val="16"/>
        </w:rPr>
        <w:t xml:space="preserve"> Kamerstukken II 2024/25, </w:t>
      </w:r>
      <w:r w:rsidRPr="0068348B">
        <w:rPr>
          <w:sz w:val="16"/>
          <w:szCs w:val="16"/>
        </w:rPr>
        <w:t xml:space="preserve">36602, </w:t>
      </w:r>
      <w:r w:rsidRPr="00DF3114">
        <w:rPr>
          <w:sz w:val="16"/>
          <w:szCs w:val="16"/>
        </w:rPr>
        <w:t>nr. 130.</w:t>
      </w:r>
    </w:p>
  </w:footnote>
  <w:footnote w:id="7">
    <w:p w14:paraId="2699E1D0" w14:textId="77777777" w:rsidR="00CB7510" w:rsidRPr="00DF3114" w:rsidRDefault="00CB7510" w:rsidP="00CB7510">
      <w:pPr>
        <w:pStyle w:val="Voetnoottekst"/>
        <w:rPr>
          <w:sz w:val="16"/>
          <w:szCs w:val="16"/>
        </w:rPr>
      </w:pPr>
      <w:r w:rsidRPr="00DF3114">
        <w:rPr>
          <w:rStyle w:val="Voetnootmarkering"/>
          <w:sz w:val="16"/>
          <w:szCs w:val="16"/>
        </w:rPr>
        <w:footnoteRef/>
      </w:r>
      <w:r w:rsidRPr="00DF3114">
        <w:rPr>
          <w:sz w:val="16"/>
          <w:szCs w:val="16"/>
        </w:rPr>
        <w:t xml:space="preserve"> </w:t>
      </w:r>
      <w:r w:rsidR="00060D85" w:rsidRPr="00DF3114">
        <w:rPr>
          <w:sz w:val="16"/>
          <w:szCs w:val="16"/>
        </w:rPr>
        <w:t>Kamerstukken II 2024/25, 36748</w:t>
      </w:r>
      <w:r w:rsidR="00060D85" w:rsidRPr="00924C3D">
        <w:rPr>
          <w:sz w:val="16"/>
          <w:szCs w:val="16"/>
        </w:rPr>
        <w:t>.</w:t>
      </w:r>
    </w:p>
  </w:footnote>
  <w:footnote w:id="8">
    <w:p w14:paraId="78789E6F" w14:textId="77777777" w:rsidR="00777E9C" w:rsidRPr="00924C3D" w:rsidRDefault="00777E9C">
      <w:pPr>
        <w:pStyle w:val="Voetnoottekst"/>
        <w:rPr>
          <w:sz w:val="16"/>
          <w:szCs w:val="16"/>
        </w:rPr>
      </w:pPr>
      <w:r w:rsidRPr="00924C3D">
        <w:rPr>
          <w:rStyle w:val="Voetnootmarkering"/>
          <w:sz w:val="16"/>
          <w:szCs w:val="16"/>
        </w:rPr>
        <w:footnoteRef/>
      </w:r>
      <w:r w:rsidRPr="00924C3D">
        <w:rPr>
          <w:sz w:val="16"/>
          <w:szCs w:val="16"/>
        </w:rPr>
        <w:t xml:space="preserve"> SEO Economische Onderzoek, Koppen zonder heffen – evaluatie differentiatie overdrachtsbelasting woningmarkt, augustus 2024, pagina 51 en 52.</w:t>
      </w:r>
    </w:p>
  </w:footnote>
  <w:footnote w:id="9">
    <w:p w14:paraId="4662F92B" w14:textId="77777777" w:rsidR="0081794C" w:rsidRPr="00DF3114" w:rsidRDefault="0081794C">
      <w:pPr>
        <w:pStyle w:val="Voetnoottekst"/>
        <w:rPr>
          <w:sz w:val="16"/>
          <w:szCs w:val="16"/>
        </w:rPr>
      </w:pPr>
      <w:r w:rsidRPr="00924C3D">
        <w:rPr>
          <w:rStyle w:val="Voetnootmarkering"/>
          <w:sz w:val="16"/>
          <w:szCs w:val="16"/>
        </w:rPr>
        <w:footnoteRef/>
      </w:r>
      <w:r w:rsidRPr="00924C3D">
        <w:rPr>
          <w:sz w:val="16"/>
          <w:szCs w:val="16"/>
        </w:rPr>
        <w:t xml:space="preserve"> </w:t>
      </w:r>
      <w:hyperlink r:id="rId1" w:history="1">
        <w:r w:rsidRPr="00924C3D">
          <w:rPr>
            <w:rStyle w:val="Hyperlink"/>
            <w:sz w:val="16"/>
            <w:szCs w:val="16"/>
          </w:rPr>
          <w:t>Steeds meer starters kopen samen woning - Kadaster.nl zakelijk</w:t>
        </w:r>
      </w:hyperlink>
    </w:p>
  </w:footnote>
  <w:footnote w:id="10">
    <w:p w14:paraId="5DFDAF60" w14:textId="77777777" w:rsidR="00B90A08" w:rsidRPr="00924C3D" w:rsidRDefault="00B90A08">
      <w:pPr>
        <w:pStyle w:val="Voetnoottekst"/>
        <w:rPr>
          <w:sz w:val="16"/>
          <w:szCs w:val="16"/>
        </w:rPr>
      </w:pPr>
      <w:r w:rsidRPr="00924C3D">
        <w:rPr>
          <w:rStyle w:val="Voetnootmarkering"/>
          <w:sz w:val="16"/>
          <w:szCs w:val="16"/>
        </w:rPr>
        <w:footnoteRef/>
      </w:r>
      <w:r w:rsidRPr="00924C3D">
        <w:rPr>
          <w:sz w:val="16"/>
          <w:szCs w:val="16"/>
        </w:rPr>
        <w:t xml:space="preserve"> </w:t>
      </w:r>
      <w:proofErr w:type="spellStart"/>
      <w:r w:rsidR="005C0F3C" w:rsidRPr="00924C3D">
        <w:rPr>
          <w:sz w:val="16"/>
          <w:szCs w:val="16"/>
        </w:rPr>
        <w:t>Dialogic</w:t>
      </w:r>
      <w:proofErr w:type="spellEnd"/>
      <w:r w:rsidR="005C0F3C" w:rsidRPr="00924C3D">
        <w:rPr>
          <w:sz w:val="16"/>
          <w:szCs w:val="16"/>
        </w:rPr>
        <w:t xml:space="preserve"> innovatie &amp; interactie, Verkenning differentiatie overdrachtsbelasting starters en beleggers, november 2019.</w:t>
      </w:r>
    </w:p>
  </w:footnote>
  <w:footnote w:id="11">
    <w:p w14:paraId="683DDE06" w14:textId="77777777" w:rsidR="00827A94" w:rsidRPr="00DF3114" w:rsidRDefault="00827A94">
      <w:pPr>
        <w:pStyle w:val="Voetnoottekst"/>
        <w:rPr>
          <w:sz w:val="16"/>
          <w:szCs w:val="16"/>
        </w:rPr>
      </w:pPr>
      <w:r w:rsidRPr="00924C3D">
        <w:rPr>
          <w:rStyle w:val="Voetnootmarkering"/>
          <w:sz w:val="16"/>
          <w:szCs w:val="16"/>
        </w:rPr>
        <w:footnoteRef/>
      </w:r>
      <w:r w:rsidRPr="00924C3D">
        <w:rPr>
          <w:sz w:val="16"/>
          <w:szCs w:val="16"/>
        </w:rPr>
        <w:t xml:space="preserve"> </w:t>
      </w:r>
      <w:r w:rsidR="00E63670" w:rsidRPr="00924C3D">
        <w:rPr>
          <w:sz w:val="16"/>
          <w:szCs w:val="16"/>
        </w:rPr>
        <w:t>Kamerstukken II 2020</w:t>
      </w:r>
      <w:r w:rsidR="00A82505">
        <w:rPr>
          <w:sz w:val="16"/>
          <w:szCs w:val="16"/>
        </w:rPr>
        <w:t>/</w:t>
      </w:r>
      <w:r w:rsidR="00E63670" w:rsidRPr="00924C3D">
        <w:rPr>
          <w:sz w:val="16"/>
          <w:szCs w:val="16"/>
        </w:rPr>
        <w:t>21, 35576, nr. 3.</w:t>
      </w:r>
    </w:p>
  </w:footnote>
  <w:footnote w:id="12">
    <w:p w14:paraId="287B7874" w14:textId="77777777" w:rsidR="00800CB4" w:rsidRPr="00924C3D" w:rsidRDefault="00800CB4">
      <w:pPr>
        <w:pStyle w:val="Voetnoottekst"/>
        <w:rPr>
          <w:sz w:val="16"/>
          <w:szCs w:val="16"/>
        </w:rPr>
      </w:pPr>
      <w:r w:rsidRPr="00924C3D">
        <w:rPr>
          <w:rStyle w:val="Voetnootmarkering"/>
          <w:sz w:val="16"/>
          <w:szCs w:val="16"/>
        </w:rPr>
        <w:footnoteRef/>
      </w:r>
      <w:r w:rsidRPr="00924C3D">
        <w:rPr>
          <w:sz w:val="16"/>
          <w:szCs w:val="16"/>
        </w:rPr>
        <w:t xml:space="preserve"> Onderzoek Kadaster, «Moeilijke tijden voor koopstarters op de woningmarkt», mei 2020.</w:t>
      </w:r>
    </w:p>
  </w:footnote>
  <w:footnote w:id="13">
    <w:p w14:paraId="23C8BFAD" w14:textId="77777777" w:rsidR="0004451A" w:rsidRPr="00924C3D" w:rsidRDefault="0004451A">
      <w:pPr>
        <w:pStyle w:val="Voetnoottekst"/>
        <w:rPr>
          <w:sz w:val="16"/>
          <w:szCs w:val="16"/>
        </w:rPr>
      </w:pPr>
      <w:r w:rsidRPr="00924C3D">
        <w:rPr>
          <w:rStyle w:val="Voetnootmarkering"/>
          <w:sz w:val="16"/>
          <w:szCs w:val="16"/>
        </w:rPr>
        <w:footnoteRef/>
      </w:r>
      <w:r w:rsidRPr="00924C3D">
        <w:rPr>
          <w:sz w:val="16"/>
          <w:szCs w:val="16"/>
        </w:rPr>
        <w:t xml:space="preserve"> </w:t>
      </w:r>
      <w:hyperlink r:id="rId2" w:history="1">
        <w:r w:rsidRPr="00924C3D">
          <w:rPr>
            <w:rStyle w:val="Hyperlink"/>
            <w:sz w:val="16"/>
            <w:szCs w:val="16"/>
          </w:rPr>
          <w:t>Ministerie van Binnenlandse Zaken en Koninkrijksrelaties, Voortgangsrapportage Programma Woningbouw</w:t>
        </w:r>
      </w:hyperlink>
      <w:r w:rsidRPr="00924C3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986B" w14:textId="77777777" w:rsidR="001710B1" w:rsidRDefault="003150A5">
    <w:r>
      <w:rPr>
        <w:noProof/>
      </w:rPr>
      <mc:AlternateContent>
        <mc:Choice Requires="wps">
          <w:drawing>
            <wp:anchor distT="0" distB="0" distL="0" distR="0" simplePos="0" relativeHeight="251652096" behindDoc="0" locked="1" layoutInCell="1" allowOverlap="1" wp14:anchorId="4468D065" wp14:editId="040F932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BE3395" w14:textId="77777777" w:rsidR="00BF6DA8" w:rsidRDefault="00BF6DA8"/>
                      </w:txbxContent>
                    </wps:txbx>
                    <wps:bodyPr vert="horz" wrap="square" lIns="0" tIns="0" rIns="0" bIns="0" anchor="t" anchorCtr="0"/>
                  </wps:wsp>
                </a:graphicData>
              </a:graphic>
            </wp:anchor>
          </w:drawing>
        </mc:Choice>
        <mc:Fallback>
          <w:pict>
            <v:shapetype w14:anchorId="4468D0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BE3395" w14:textId="77777777" w:rsidR="00BF6DA8" w:rsidRDefault="00BF6DA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48C03B2" wp14:editId="6A76B20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2F5E9F" w14:textId="77777777" w:rsidR="001710B1" w:rsidRDefault="003150A5">
                          <w:pPr>
                            <w:pStyle w:val="Referentiegegevensbold"/>
                          </w:pPr>
                          <w:r>
                            <w:t>Directoraat-Generaal voor Fiscale Zaken</w:t>
                          </w:r>
                        </w:p>
                        <w:p w14:paraId="254DB4BB" w14:textId="77777777" w:rsidR="001710B1" w:rsidRDefault="003150A5">
                          <w:pPr>
                            <w:pStyle w:val="Referentiegegevens"/>
                          </w:pPr>
                          <w:r>
                            <w:t xml:space="preserve">Directie Verbruiksbelastingen, Douane en Internationale </w:t>
                          </w:r>
                          <w:proofErr w:type="spellStart"/>
                          <w:r>
                            <w:t>aang</w:t>
                          </w:r>
                          <w:proofErr w:type="spellEnd"/>
                          <w:r>
                            <w:t>.</w:t>
                          </w:r>
                        </w:p>
                        <w:p w14:paraId="311B41E7" w14:textId="77777777" w:rsidR="001710B1" w:rsidRDefault="003150A5">
                          <w:pPr>
                            <w:pStyle w:val="Referentiegegevens"/>
                          </w:pPr>
                          <w:r>
                            <w:t>Btw en Overdrachtsbelasting</w:t>
                          </w:r>
                        </w:p>
                        <w:p w14:paraId="7DBBF7D5" w14:textId="77777777" w:rsidR="001710B1" w:rsidRDefault="001710B1">
                          <w:pPr>
                            <w:pStyle w:val="WitregelW2"/>
                          </w:pPr>
                        </w:p>
                        <w:p w14:paraId="2F1F9A12" w14:textId="77777777" w:rsidR="001710B1" w:rsidRDefault="003150A5">
                          <w:pPr>
                            <w:pStyle w:val="Referentiegegevensbold"/>
                          </w:pPr>
                          <w:r>
                            <w:t>Datum</w:t>
                          </w:r>
                        </w:p>
                        <w:p w14:paraId="6A666965" w14:textId="63413317" w:rsidR="001710B1" w:rsidRDefault="00B7750E">
                          <w:pPr>
                            <w:pStyle w:val="Referentiegegevens"/>
                          </w:pPr>
                          <w:sdt>
                            <w:sdtPr>
                              <w:id w:val="313150985"/>
                              <w:date w:fullDate="2026-03-10T00:00:00Z">
                                <w:dateFormat w:val="d MMMM yyyy"/>
                                <w:lid w:val="nl"/>
                                <w:storeMappedDataAs w:val="dateTime"/>
                                <w:calendar w:val="gregorian"/>
                              </w:date>
                            </w:sdtPr>
                            <w:sdtEndPr/>
                            <w:sdtContent>
                              <w:r w:rsidR="00B656B4">
                                <w:rPr>
                                  <w:lang w:val="nl"/>
                                </w:rPr>
                                <w:t>10 maart 2026</w:t>
                              </w:r>
                            </w:sdtContent>
                          </w:sdt>
                        </w:p>
                        <w:p w14:paraId="75E6451E" w14:textId="77777777" w:rsidR="001710B1" w:rsidRDefault="001710B1">
                          <w:pPr>
                            <w:pStyle w:val="WitregelW1"/>
                          </w:pPr>
                        </w:p>
                        <w:p w14:paraId="1DF692A7" w14:textId="77777777" w:rsidR="001710B1" w:rsidRDefault="003150A5">
                          <w:pPr>
                            <w:pStyle w:val="Referentiegegevensbold"/>
                          </w:pPr>
                          <w:r>
                            <w:t>Onze referentie</w:t>
                          </w:r>
                        </w:p>
                        <w:p w14:paraId="1764C2CC" w14:textId="6AF491CE" w:rsidR="00955181" w:rsidRDefault="00B656B4">
                          <w:pPr>
                            <w:pStyle w:val="Referentiegegevens"/>
                          </w:pPr>
                          <w:fldSimple w:instr=" DOCPROPERTY  &quot;Kenmerk&quot;  \* MERGEFORMAT ">
                            <w:r w:rsidR="00B7750E">
                              <w:t>2026-0000061576</w:t>
                            </w:r>
                          </w:fldSimple>
                        </w:p>
                      </w:txbxContent>
                    </wps:txbx>
                    <wps:bodyPr vert="horz" wrap="square" lIns="0" tIns="0" rIns="0" bIns="0" anchor="t" anchorCtr="0"/>
                  </wps:wsp>
                </a:graphicData>
              </a:graphic>
            </wp:anchor>
          </w:drawing>
        </mc:Choice>
        <mc:Fallback>
          <w:pict>
            <v:shape w14:anchorId="648C03B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2F5E9F" w14:textId="77777777" w:rsidR="001710B1" w:rsidRDefault="003150A5">
                    <w:pPr>
                      <w:pStyle w:val="Referentiegegevensbold"/>
                    </w:pPr>
                    <w:r>
                      <w:t>Directoraat-Generaal voor Fiscale Zaken</w:t>
                    </w:r>
                  </w:p>
                  <w:p w14:paraId="254DB4BB" w14:textId="77777777" w:rsidR="001710B1" w:rsidRDefault="003150A5">
                    <w:pPr>
                      <w:pStyle w:val="Referentiegegevens"/>
                    </w:pPr>
                    <w:r>
                      <w:t xml:space="preserve">Directie Verbruiksbelastingen, Douane en Internationale </w:t>
                    </w:r>
                    <w:proofErr w:type="spellStart"/>
                    <w:r>
                      <w:t>aang</w:t>
                    </w:r>
                    <w:proofErr w:type="spellEnd"/>
                    <w:r>
                      <w:t>.</w:t>
                    </w:r>
                  </w:p>
                  <w:p w14:paraId="311B41E7" w14:textId="77777777" w:rsidR="001710B1" w:rsidRDefault="003150A5">
                    <w:pPr>
                      <w:pStyle w:val="Referentiegegevens"/>
                    </w:pPr>
                    <w:r>
                      <w:t>Btw en Overdrachtsbelasting</w:t>
                    </w:r>
                  </w:p>
                  <w:p w14:paraId="7DBBF7D5" w14:textId="77777777" w:rsidR="001710B1" w:rsidRDefault="001710B1">
                    <w:pPr>
                      <w:pStyle w:val="WitregelW2"/>
                    </w:pPr>
                  </w:p>
                  <w:p w14:paraId="2F1F9A12" w14:textId="77777777" w:rsidR="001710B1" w:rsidRDefault="003150A5">
                    <w:pPr>
                      <w:pStyle w:val="Referentiegegevensbold"/>
                    </w:pPr>
                    <w:r>
                      <w:t>Datum</w:t>
                    </w:r>
                  </w:p>
                  <w:p w14:paraId="6A666965" w14:textId="63413317" w:rsidR="001710B1" w:rsidRDefault="00B7750E">
                    <w:pPr>
                      <w:pStyle w:val="Referentiegegevens"/>
                    </w:pPr>
                    <w:sdt>
                      <w:sdtPr>
                        <w:id w:val="313150985"/>
                        <w:date w:fullDate="2026-03-10T00:00:00Z">
                          <w:dateFormat w:val="d MMMM yyyy"/>
                          <w:lid w:val="nl"/>
                          <w:storeMappedDataAs w:val="dateTime"/>
                          <w:calendar w:val="gregorian"/>
                        </w:date>
                      </w:sdtPr>
                      <w:sdtEndPr/>
                      <w:sdtContent>
                        <w:r w:rsidR="00B656B4">
                          <w:rPr>
                            <w:lang w:val="nl"/>
                          </w:rPr>
                          <w:t>10 maart 2026</w:t>
                        </w:r>
                      </w:sdtContent>
                    </w:sdt>
                  </w:p>
                  <w:p w14:paraId="75E6451E" w14:textId="77777777" w:rsidR="001710B1" w:rsidRDefault="001710B1">
                    <w:pPr>
                      <w:pStyle w:val="WitregelW1"/>
                    </w:pPr>
                  </w:p>
                  <w:p w14:paraId="1DF692A7" w14:textId="77777777" w:rsidR="001710B1" w:rsidRDefault="003150A5">
                    <w:pPr>
                      <w:pStyle w:val="Referentiegegevensbold"/>
                    </w:pPr>
                    <w:r>
                      <w:t>Onze referentie</w:t>
                    </w:r>
                  </w:p>
                  <w:p w14:paraId="1764C2CC" w14:textId="6AF491CE" w:rsidR="00955181" w:rsidRDefault="00B656B4">
                    <w:pPr>
                      <w:pStyle w:val="Referentiegegevens"/>
                    </w:pPr>
                    <w:fldSimple w:instr=" DOCPROPERTY  &quot;Kenmerk&quot;  \* MERGEFORMAT ">
                      <w:r w:rsidR="00B7750E">
                        <w:t>2026-0000061576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698CC19" wp14:editId="0EDACA3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696CE4" w14:textId="77777777" w:rsidR="00BF6DA8" w:rsidRDefault="00BF6DA8"/>
                      </w:txbxContent>
                    </wps:txbx>
                    <wps:bodyPr vert="horz" wrap="square" lIns="0" tIns="0" rIns="0" bIns="0" anchor="t" anchorCtr="0"/>
                  </wps:wsp>
                </a:graphicData>
              </a:graphic>
            </wp:anchor>
          </w:drawing>
        </mc:Choice>
        <mc:Fallback>
          <w:pict>
            <v:shape w14:anchorId="6698CC1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8696CE4" w14:textId="77777777" w:rsidR="00BF6DA8" w:rsidRDefault="00BF6DA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A8BEEAD" wp14:editId="65504F1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542F43" w14:textId="77777777" w:rsidR="000A09C8" w:rsidRDefault="00B775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8BEEA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542F43" w14:textId="77777777" w:rsidR="000A09C8" w:rsidRDefault="00B775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5F92" w14:textId="77777777" w:rsidR="001710B1" w:rsidRDefault="003150A5">
    <w:pPr>
      <w:spacing w:after="6377" w:line="14" w:lineRule="exact"/>
    </w:pPr>
    <w:r>
      <w:rPr>
        <w:noProof/>
      </w:rPr>
      <mc:AlternateContent>
        <mc:Choice Requires="wps">
          <w:drawing>
            <wp:anchor distT="0" distB="0" distL="0" distR="0" simplePos="0" relativeHeight="251656192" behindDoc="0" locked="1" layoutInCell="1" allowOverlap="1" wp14:anchorId="54F81DDF" wp14:editId="4D9EC40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CBBD15" w14:textId="77777777" w:rsidR="001710B1" w:rsidRDefault="001710B1">
                          <w:pPr>
                            <w:spacing w:line="240" w:lineRule="auto"/>
                          </w:pPr>
                        </w:p>
                      </w:txbxContent>
                    </wps:txbx>
                    <wps:bodyPr vert="horz" wrap="square" lIns="0" tIns="0" rIns="0" bIns="0" anchor="t" anchorCtr="0"/>
                  </wps:wsp>
                </a:graphicData>
              </a:graphic>
            </wp:anchor>
          </w:drawing>
        </mc:Choice>
        <mc:Fallback>
          <w:pict>
            <v:shapetype w14:anchorId="54F81DD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FCBBD15" w14:textId="77777777" w:rsidR="001710B1" w:rsidRDefault="001710B1">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ED366CF" wp14:editId="6F1BEF5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3E2F56" w14:textId="77777777" w:rsidR="001710B1" w:rsidRDefault="003150A5">
                          <w:pPr>
                            <w:spacing w:line="240" w:lineRule="auto"/>
                          </w:pPr>
                          <w:r>
                            <w:rPr>
                              <w:noProof/>
                            </w:rPr>
                            <w:drawing>
                              <wp:inline distT="0" distB="0" distL="0" distR="0" wp14:anchorId="3A8506E6" wp14:editId="1C666B8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D366C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F3E2F56" w14:textId="77777777" w:rsidR="001710B1" w:rsidRDefault="003150A5">
                    <w:pPr>
                      <w:spacing w:line="240" w:lineRule="auto"/>
                    </w:pPr>
                    <w:r>
                      <w:rPr>
                        <w:noProof/>
                      </w:rPr>
                      <w:drawing>
                        <wp:inline distT="0" distB="0" distL="0" distR="0" wp14:anchorId="3A8506E6" wp14:editId="1C666B8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DBA864C" wp14:editId="17BEDE6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829AE7" w14:textId="77777777" w:rsidR="001710B1" w:rsidRDefault="003150A5">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DBA864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2829AE7" w14:textId="77777777" w:rsidR="001710B1" w:rsidRDefault="003150A5">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06742F5" wp14:editId="6480583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71B31C" w14:textId="77777777" w:rsidR="001710B1" w:rsidRDefault="003150A5">
                          <w:r>
                            <w:t>Voorzitter van de Tweede Kamer der Staten-Generaal</w:t>
                          </w:r>
                        </w:p>
                        <w:p w14:paraId="74F0F69C" w14:textId="77777777" w:rsidR="001710B1" w:rsidRDefault="003150A5">
                          <w:r>
                            <w:t>Postbus 20018</w:t>
                          </w:r>
                        </w:p>
                        <w:p w14:paraId="5B31BCC6" w14:textId="77777777" w:rsidR="001710B1" w:rsidRDefault="003150A5">
                          <w:r>
                            <w:t>2500EA Den Haag</w:t>
                          </w:r>
                        </w:p>
                      </w:txbxContent>
                    </wps:txbx>
                    <wps:bodyPr vert="horz" wrap="square" lIns="0" tIns="0" rIns="0" bIns="0" anchor="t" anchorCtr="0"/>
                  </wps:wsp>
                </a:graphicData>
              </a:graphic>
            </wp:anchor>
          </w:drawing>
        </mc:Choice>
        <mc:Fallback>
          <w:pict>
            <v:shape w14:anchorId="106742F5"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071B31C" w14:textId="77777777" w:rsidR="001710B1" w:rsidRDefault="003150A5">
                    <w:r>
                      <w:t>Voorzitter van de Tweede Kamer der Staten-Generaal</w:t>
                    </w:r>
                  </w:p>
                  <w:p w14:paraId="74F0F69C" w14:textId="77777777" w:rsidR="001710B1" w:rsidRDefault="003150A5">
                    <w:r>
                      <w:t>Postbus 20018</w:t>
                    </w:r>
                  </w:p>
                  <w:p w14:paraId="5B31BCC6" w14:textId="77777777" w:rsidR="001710B1" w:rsidRDefault="003150A5">
                    <w:r>
                      <w:t>2500EA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AC42991" wp14:editId="427B6A61">
              <wp:simplePos x="0" y="0"/>
              <wp:positionH relativeFrom="page">
                <wp:posOffset>1009650</wp:posOffset>
              </wp:positionH>
              <wp:positionV relativeFrom="paragraph">
                <wp:posOffset>3352800</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710B1" w14:paraId="2D720572" w14:textId="77777777">
                            <w:trPr>
                              <w:trHeight w:val="240"/>
                            </w:trPr>
                            <w:tc>
                              <w:tcPr>
                                <w:tcW w:w="1140" w:type="dxa"/>
                              </w:tcPr>
                              <w:p w14:paraId="633E15AE" w14:textId="77777777" w:rsidR="001710B1" w:rsidRDefault="003150A5">
                                <w:r>
                                  <w:t>Datum</w:t>
                                </w:r>
                              </w:p>
                            </w:tc>
                            <w:tc>
                              <w:tcPr>
                                <w:tcW w:w="5918" w:type="dxa"/>
                              </w:tcPr>
                              <w:p w14:paraId="5FD29A30" w14:textId="558CBAE9" w:rsidR="001710B1" w:rsidRDefault="00B7750E">
                                <w:r>
                                  <w:t>12 maart 2026</w:t>
                                </w:r>
                              </w:p>
                            </w:tc>
                          </w:tr>
                          <w:tr w:rsidR="001710B1" w14:paraId="4449CC17" w14:textId="77777777" w:rsidTr="00B656B4">
                            <w:trPr>
                              <w:trHeight w:val="901"/>
                            </w:trPr>
                            <w:tc>
                              <w:tcPr>
                                <w:tcW w:w="1140" w:type="dxa"/>
                              </w:tcPr>
                              <w:p w14:paraId="0A47B05F" w14:textId="77777777" w:rsidR="001710B1" w:rsidRDefault="003150A5">
                                <w:r>
                                  <w:t>Betreft</w:t>
                                </w:r>
                              </w:p>
                            </w:tc>
                            <w:tc>
                              <w:tcPr>
                                <w:tcW w:w="5918" w:type="dxa"/>
                              </w:tcPr>
                              <w:p w14:paraId="7B45EAB3" w14:textId="77777777" w:rsidR="001710B1" w:rsidRDefault="003150A5">
                                <w:r>
                                  <w:t xml:space="preserve">Motie van het lid Vijlbrief </w:t>
                                </w:r>
                                <w:proofErr w:type="gramStart"/>
                                <w:r>
                                  <w:t>inzake</w:t>
                                </w:r>
                                <w:proofErr w:type="gramEnd"/>
                                <w:r>
                                  <w:t xml:space="preserve"> de startersvrijstelling in de overdrachtsbelasting</w:t>
                                </w:r>
                                <w:r w:rsidR="001768B3">
                                  <w:t xml:space="preserve"> en motie van de leden Postma en Welzijn over woningmarkteffecten bij fiscaal beleid</w:t>
                                </w:r>
                              </w:p>
                            </w:tc>
                          </w:tr>
                        </w:tbl>
                        <w:p w14:paraId="5E2759F5" w14:textId="77777777" w:rsidR="00BF6DA8" w:rsidRDefault="00BF6DA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AC42991" id="1670fa0c-13cb-45ec-92be-ef1f34d237c5" o:spid="_x0000_s1034" type="#_x0000_t202" style="position:absolute;margin-left:79.5pt;margin-top:264pt;width:377pt;height:59.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710B1" w14:paraId="2D720572" w14:textId="77777777">
                      <w:trPr>
                        <w:trHeight w:val="240"/>
                      </w:trPr>
                      <w:tc>
                        <w:tcPr>
                          <w:tcW w:w="1140" w:type="dxa"/>
                        </w:tcPr>
                        <w:p w14:paraId="633E15AE" w14:textId="77777777" w:rsidR="001710B1" w:rsidRDefault="003150A5">
                          <w:r>
                            <w:t>Datum</w:t>
                          </w:r>
                        </w:p>
                      </w:tc>
                      <w:tc>
                        <w:tcPr>
                          <w:tcW w:w="5918" w:type="dxa"/>
                        </w:tcPr>
                        <w:p w14:paraId="5FD29A30" w14:textId="558CBAE9" w:rsidR="001710B1" w:rsidRDefault="00B7750E">
                          <w:r>
                            <w:t>12 maart 2026</w:t>
                          </w:r>
                        </w:p>
                      </w:tc>
                    </w:tr>
                    <w:tr w:rsidR="001710B1" w14:paraId="4449CC17" w14:textId="77777777" w:rsidTr="00B656B4">
                      <w:trPr>
                        <w:trHeight w:val="901"/>
                      </w:trPr>
                      <w:tc>
                        <w:tcPr>
                          <w:tcW w:w="1140" w:type="dxa"/>
                        </w:tcPr>
                        <w:p w14:paraId="0A47B05F" w14:textId="77777777" w:rsidR="001710B1" w:rsidRDefault="003150A5">
                          <w:r>
                            <w:t>Betreft</w:t>
                          </w:r>
                        </w:p>
                      </w:tc>
                      <w:tc>
                        <w:tcPr>
                          <w:tcW w:w="5918" w:type="dxa"/>
                        </w:tcPr>
                        <w:p w14:paraId="7B45EAB3" w14:textId="77777777" w:rsidR="001710B1" w:rsidRDefault="003150A5">
                          <w:r>
                            <w:t xml:space="preserve">Motie van het lid Vijlbrief </w:t>
                          </w:r>
                          <w:proofErr w:type="gramStart"/>
                          <w:r>
                            <w:t>inzake</w:t>
                          </w:r>
                          <w:proofErr w:type="gramEnd"/>
                          <w:r>
                            <w:t xml:space="preserve"> de startersvrijstelling in de overdrachtsbelasting</w:t>
                          </w:r>
                          <w:r w:rsidR="001768B3">
                            <w:t xml:space="preserve"> en motie van de leden Postma en Welzijn over woningmarkteffecten bij fiscaal beleid</w:t>
                          </w:r>
                        </w:p>
                      </w:tc>
                    </w:tr>
                  </w:tbl>
                  <w:p w14:paraId="5E2759F5" w14:textId="77777777" w:rsidR="00BF6DA8" w:rsidRDefault="00BF6DA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3ACE8C0" wp14:editId="6B69DB9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BDAEE8" w14:textId="77777777" w:rsidR="001710B1" w:rsidRDefault="003150A5">
                          <w:pPr>
                            <w:pStyle w:val="Referentiegegevensbold"/>
                          </w:pPr>
                          <w:r>
                            <w:t>Directoraat-Generaal voor Fiscale Zaken</w:t>
                          </w:r>
                        </w:p>
                        <w:p w14:paraId="3CEBCE0D" w14:textId="77777777" w:rsidR="001710B1" w:rsidRDefault="003150A5">
                          <w:pPr>
                            <w:pStyle w:val="Referentiegegevens"/>
                          </w:pPr>
                          <w:r>
                            <w:t xml:space="preserve">Directie Verbruiksbelastingen, Douane en Internationale </w:t>
                          </w:r>
                          <w:proofErr w:type="spellStart"/>
                          <w:r>
                            <w:t>aang</w:t>
                          </w:r>
                          <w:proofErr w:type="spellEnd"/>
                          <w:r>
                            <w:t>.</w:t>
                          </w:r>
                        </w:p>
                        <w:p w14:paraId="3D4CA569" w14:textId="77777777" w:rsidR="001710B1" w:rsidRDefault="003150A5">
                          <w:pPr>
                            <w:pStyle w:val="Referentiegegevens"/>
                          </w:pPr>
                          <w:r>
                            <w:t>Btw en Overdrachtsbelasting</w:t>
                          </w:r>
                        </w:p>
                        <w:p w14:paraId="40727B12" w14:textId="77777777" w:rsidR="001710B1" w:rsidRDefault="001710B1">
                          <w:pPr>
                            <w:pStyle w:val="WitregelW1"/>
                          </w:pPr>
                        </w:p>
                        <w:p w14:paraId="02E837C9" w14:textId="77777777" w:rsidR="001710B1" w:rsidRDefault="003150A5">
                          <w:pPr>
                            <w:pStyle w:val="Referentiegegevens"/>
                          </w:pPr>
                          <w:r>
                            <w:t>Korte Voorhout 7</w:t>
                          </w:r>
                        </w:p>
                        <w:p w14:paraId="21B0D01F" w14:textId="77777777" w:rsidR="001710B1" w:rsidRDefault="003150A5">
                          <w:pPr>
                            <w:pStyle w:val="Referentiegegevens"/>
                          </w:pPr>
                          <w:r>
                            <w:t>2511 CW Den Haag</w:t>
                          </w:r>
                        </w:p>
                        <w:p w14:paraId="172CEE4A" w14:textId="77777777" w:rsidR="001710B1" w:rsidRDefault="003150A5">
                          <w:pPr>
                            <w:pStyle w:val="Referentiegegevens"/>
                          </w:pPr>
                          <w:r>
                            <w:t>POSTBUS 20201</w:t>
                          </w:r>
                        </w:p>
                        <w:p w14:paraId="31BE39C4" w14:textId="77777777" w:rsidR="001710B1" w:rsidRDefault="003150A5">
                          <w:pPr>
                            <w:pStyle w:val="Referentiegegevens"/>
                          </w:pPr>
                          <w:r>
                            <w:t>2500 EE Den Haag</w:t>
                          </w:r>
                        </w:p>
                        <w:p w14:paraId="69BAE679" w14:textId="77777777" w:rsidR="001710B1" w:rsidRDefault="001710B1">
                          <w:pPr>
                            <w:pStyle w:val="WitregelW2"/>
                          </w:pPr>
                        </w:p>
                        <w:p w14:paraId="42289ABB" w14:textId="77777777" w:rsidR="001710B1" w:rsidRDefault="003150A5">
                          <w:pPr>
                            <w:pStyle w:val="Referentiegegevensbold"/>
                          </w:pPr>
                          <w:r>
                            <w:t>Onze referentie</w:t>
                          </w:r>
                        </w:p>
                        <w:p w14:paraId="2AC4CB8E" w14:textId="343C980A" w:rsidR="00955181" w:rsidRDefault="00B656B4">
                          <w:pPr>
                            <w:pStyle w:val="Referentiegegevens"/>
                          </w:pPr>
                          <w:fldSimple w:instr=" DOCPROPERTY  &quot;Kenmerk&quot;  \* MERGEFORMAT ">
                            <w:r w:rsidR="00B7750E">
                              <w:t>2026-0000061576</w:t>
                            </w:r>
                          </w:fldSimple>
                        </w:p>
                        <w:p w14:paraId="5AC1D556" w14:textId="77777777" w:rsidR="001710B1" w:rsidRDefault="001710B1">
                          <w:pPr>
                            <w:pStyle w:val="WitregelW1"/>
                          </w:pPr>
                        </w:p>
                        <w:p w14:paraId="59221A69" w14:textId="77777777" w:rsidR="001710B1" w:rsidRDefault="001710B1"/>
                      </w:txbxContent>
                    </wps:txbx>
                    <wps:bodyPr vert="horz" wrap="square" lIns="0" tIns="0" rIns="0" bIns="0" anchor="t" anchorCtr="0"/>
                  </wps:wsp>
                </a:graphicData>
              </a:graphic>
            </wp:anchor>
          </w:drawing>
        </mc:Choice>
        <mc:Fallback>
          <w:pict>
            <v:shape w14:anchorId="13ACE8C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9BDAEE8" w14:textId="77777777" w:rsidR="001710B1" w:rsidRDefault="003150A5">
                    <w:pPr>
                      <w:pStyle w:val="Referentiegegevensbold"/>
                    </w:pPr>
                    <w:r>
                      <w:t>Directoraat-Generaal voor Fiscale Zaken</w:t>
                    </w:r>
                  </w:p>
                  <w:p w14:paraId="3CEBCE0D" w14:textId="77777777" w:rsidR="001710B1" w:rsidRDefault="003150A5">
                    <w:pPr>
                      <w:pStyle w:val="Referentiegegevens"/>
                    </w:pPr>
                    <w:r>
                      <w:t xml:space="preserve">Directie Verbruiksbelastingen, Douane en Internationale </w:t>
                    </w:r>
                    <w:proofErr w:type="spellStart"/>
                    <w:r>
                      <w:t>aang</w:t>
                    </w:r>
                    <w:proofErr w:type="spellEnd"/>
                    <w:r>
                      <w:t>.</w:t>
                    </w:r>
                  </w:p>
                  <w:p w14:paraId="3D4CA569" w14:textId="77777777" w:rsidR="001710B1" w:rsidRDefault="003150A5">
                    <w:pPr>
                      <w:pStyle w:val="Referentiegegevens"/>
                    </w:pPr>
                    <w:r>
                      <w:t>Btw en Overdrachtsbelasting</w:t>
                    </w:r>
                  </w:p>
                  <w:p w14:paraId="40727B12" w14:textId="77777777" w:rsidR="001710B1" w:rsidRDefault="001710B1">
                    <w:pPr>
                      <w:pStyle w:val="WitregelW1"/>
                    </w:pPr>
                  </w:p>
                  <w:p w14:paraId="02E837C9" w14:textId="77777777" w:rsidR="001710B1" w:rsidRDefault="003150A5">
                    <w:pPr>
                      <w:pStyle w:val="Referentiegegevens"/>
                    </w:pPr>
                    <w:r>
                      <w:t>Korte Voorhout 7</w:t>
                    </w:r>
                  </w:p>
                  <w:p w14:paraId="21B0D01F" w14:textId="77777777" w:rsidR="001710B1" w:rsidRDefault="003150A5">
                    <w:pPr>
                      <w:pStyle w:val="Referentiegegevens"/>
                    </w:pPr>
                    <w:r>
                      <w:t>2511 CW Den Haag</w:t>
                    </w:r>
                  </w:p>
                  <w:p w14:paraId="172CEE4A" w14:textId="77777777" w:rsidR="001710B1" w:rsidRDefault="003150A5">
                    <w:pPr>
                      <w:pStyle w:val="Referentiegegevens"/>
                    </w:pPr>
                    <w:r>
                      <w:t>POSTBUS 20201</w:t>
                    </w:r>
                  </w:p>
                  <w:p w14:paraId="31BE39C4" w14:textId="77777777" w:rsidR="001710B1" w:rsidRDefault="003150A5">
                    <w:pPr>
                      <w:pStyle w:val="Referentiegegevens"/>
                    </w:pPr>
                    <w:r>
                      <w:t>2500 EE Den Haag</w:t>
                    </w:r>
                  </w:p>
                  <w:p w14:paraId="69BAE679" w14:textId="77777777" w:rsidR="001710B1" w:rsidRDefault="001710B1">
                    <w:pPr>
                      <w:pStyle w:val="WitregelW2"/>
                    </w:pPr>
                  </w:p>
                  <w:p w14:paraId="42289ABB" w14:textId="77777777" w:rsidR="001710B1" w:rsidRDefault="003150A5">
                    <w:pPr>
                      <w:pStyle w:val="Referentiegegevensbold"/>
                    </w:pPr>
                    <w:r>
                      <w:t>Onze referentie</w:t>
                    </w:r>
                  </w:p>
                  <w:p w14:paraId="2AC4CB8E" w14:textId="343C980A" w:rsidR="00955181" w:rsidRDefault="00B656B4">
                    <w:pPr>
                      <w:pStyle w:val="Referentiegegevens"/>
                    </w:pPr>
                    <w:fldSimple w:instr=" DOCPROPERTY  &quot;Kenmerk&quot;  \* MERGEFORMAT ">
                      <w:r w:rsidR="00B7750E">
                        <w:t>2026-0000061576</w:t>
                      </w:r>
                    </w:fldSimple>
                  </w:p>
                  <w:p w14:paraId="5AC1D556" w14:textId="77777777" w:rsidR="001710B1" w:rsidRDefault="001710B1">
                    <w:pPr>
                      <w:pStyle w:val="WitregelW1"/>
                    </w:pPr>
                  </w:p>
                  <w:p w14:paraId="59221A69" w14:textId="77777777" w:rsidR="001710B1" w:rsidRDefault="001710B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71A7238" wp14:editId="2C9CAF1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0467B8" w14:textId="77777777" w:rsidR="000A09C8" w:rsidRDefault="00B775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1A723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10467B8" w14:textId="77777777" w:rsidR="000A09C8" w:rsidRDefault="00B775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1F558DA" wp14:editId="0C5E5AB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A017C4" w14:textId="77777777" w:rsidR="00BF6DA8" w:rsidRDefault="00BF6DA8"/>
                      </w:txbxContent>
                    </wps:txbx>
                    <wps:bodyPr vert="horz" wrap="square" lIns="0" tIns="0" rIns="0" bIns="0" anchor="t" anchorCtr="0"/>
                  </wps:wsp>
                </a:graphicData>
              </a:graphic>
            </wp:anchor>
          </w:drawing>
        </mc:Choice>
        <mc:Fallback>
          <w:pict>
            <v:shape w14:anchorId="11F558D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A017C4" w14:textId="77777777" w:rsidR="00BF6DA8" w:rsidRDefault="00BF6DA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D16CC"/>
    <w:multiLevelType w:val="multilevel"/>
    <w:tmpl w:val="B9E16B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2F79662"/>
    <w:multiLevelType w:val="multilevel"/>
    <w:tmpl w:val="4133D6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44D419"/>
    <w:multiLevelType w:val="multilevel"/>
    <w:tmpl w:val="F7E912E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49FF97"/>
    <w:multiLevelType w:val="multilevel"/>
    <w:tmpl w:val="FB2BEDC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A72139D"/>
    <w:multiLevelType w:val="hybridMultilevel"/>
    <w:tmpl w:val="526665AC"/>
    <w:lvl w:ilvl="0" w:tplc="08CA8456">
      <w:start w:val="1"/>
      <w:numFmt w:val="bullet"/>
      <w:lvlText w:val=""/>
      <w:lvlJc w:val="left"/>
      <w:pPr>
        <w:ind w:left="720" w:hanging="360"/>
      </w:pPr>
      <w:rPr>
        <w:rFonts w:ascii="Symbol" w:hAnsi="Symbol"/>
      </w:rPr>
    </w:lvl>
    <w:lvl w:ilvl="1" w:tplc="587CF21C">
      <w:start w:val="1"/>
      <w:numFmt w:val="bullet"/>
      <w:lvlText w:val=""/>
      <w:lvlJc w:val="left"/>
      <w:pPr>
        <w:ind w:left="720" w:hanging="360"/>
      </w:pPr>
      <w:rPr>
        <w:rFonts w:ascii="Symbol" w:hAnsi="Symbol"/>
      </w:rPr>
    </w:lvl>
    <w:lvl w:ilvl="2" w:tplc="A378BB6C">
      <w:start w:val="1"/>
      <w:numFmt w:val="bullet"/>
      <w:lvlText w:val=""/>
      <w:lvlJc w:val="left"/>
      <w:pPr>
        <w:ind w:left="720" w:hanging="360"/>
      </w:pPr>
      <w:rPr>
        <w:rFonts w:ascii="Symbol" w:hAnsi="Symbol"/>
      </w:rPr>
    </w:lvl>
    <w:lvl w:ilvl="3" w:tplc="BC780090">
      <w:start w:val="1"/>
      <w:numFmt w:val="bullet"/>
      <w:lvlText w:val=""/>
      <w:lvlJc w:val="left"/>
      <w:pPr>
        <w:ind w:left="720" w:hanging="360"/>
      </w:pPr>
      <w:rPr>
        <w:rFonts w:ascii="Symbol" w:hAnsi="Symbol"/>
      </w:rPr>
    </w:lvl>
    <w:lvl w:ilvl="4" w:tplc="F0F21176">
      <w:start w:val="1"/>
      <w:numFmt w:val="bullet"/>
      <w:lvlText w:val=""/>
      <w:lvlJc w:val="left"/>
      <w:pPr>
        <w:ind w:left="720" w:hanging="360"/>
      </w:pPr>
      <w:rPr>
        <w:rFonts w:ascii="Symbol" w:hAnsi="Symbol"/>
      </w:rPr>
    </w:lvl>
    <w:lvl w:ilvl="5" w:tplc="62AA6C62">
      <w:start w:val="1"/>
      <w:numFmt w:val="bullet"/>
      <w:lvlText w:val=""/>
      <w:lvlJc w:val="left"/>
      <w:pPr>
        <w:ind w:left="720" w:hanging="360"/>
      </w:pPr>
      <w:rPr>
        <w:rFonts w:ascii="Symbol" w:hAnsi="Symbol"/>
      </w:rPr>
    </w:lvl>
    <w:lvl w:ilvl="6" w:tplc="70C25B3E">
      <w:start w:val="1"/>
      <w:numFmt w:val="bullet"/>
      <w:lvlText w:val=""/>
      <w:lvlJc w:val="left"/>
      <w:pPr>
        <w:ind w:left="720" w:hanging="360"/>
      </w:pPr>
      <w:rPr>
        <w:rFonts w:ascii="Symbol" w:hAnsi="Symbol"/>
      </w:rPr>
    </w:lvl>
    <w:lvl w:ilvl="7" w:tplc="CCBE193A">
      <w:start w:val="1"/>
      <w:numFmt w:val="bullet"/>
      <w:lvlText w:val=""/>
      <w:lvlJc w:val="left"/>
      <w:pPr>
        <w:ind w:left="720" w:hanging="360"/>
      </w:pPr>
      <w:rPr>
        <w:rFonts w:ascii="Symbol" w:hAnsi="Symbol"/>
      </w:rPr>
    </w:lvl>
    <w:lvl w:ilvl="8" w:tplc="40CC2858">
      <w:start w:val="1"/>
      <w:numFmt w:val="bullet"/>
      <w:lvlText w:val=""/>
      <w:lvlJc w:val="left"/>
      <w:pPr>
        <w:ind w:left="720" w:hanging="360"/>
      </w:pPr>
      <w:rPr>
        <w:rFonts w:ascii="Symbol" w:hAnsi="Symbol"/>
      </w:rPr>
    </w:lvl>
  </w:abstractNum>
  <w:abstractNum w:abstractNumId="5" w15:restartNumberingAfterBreak="0">
    <w:nsid w:val="3AEC32CA"/>
    <w:multiLevelType w:val="multilevel"/>
    <w:tmpl w:val="485E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938320">
    <w:abstractNumId w:val="1"/>
  </w:num>
  <w:num w:numId="2" w16cid:durableId="376127480">
    <w:abstractNumId w:val="0"/>
  </w:num>
  <w:num w:numId="3" w16cid:durableId="593510874">
    <w:abstractNumId w:val="2"/>
  </w:num>
  <w:num w:numId="4" w16cid:durableId="1303580470">
    <w:abstractNumId w:val="3"/>
  </w:num>
  <w:num w:numId="5" w16cid:durableId="575555978">
    <w:abstractNumId w:val="5"/>
  </w:num>
  <w:num w:numId="6" w16cid:durableId="491260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42"/>
    <w:rsid w:val="000005ED"/>
    <w:rsid w:val="000028B5"/>
    <w:rsid w:val="00017FAA"/>
    <w:rsid w:val="00022EE5"/>
    <w:rsid w:val="00034D17"/>
    <w:rsid w:val="00035CE8"/>
    <w:rsid w:val="000421AA"/>
    <w:rsid w:val="000424D6"/>
    <w:rsid w:val="00043CB4"/>
    <w:rsid w:val="0004451A"/>
    <w:rsid w:val="00047B58"/>
    <w:rsid w:val="00054681"/>
    <w:rsid w:val="00055B70"/>
    <w:rsid w:val="00060D85"/>
    <w:rsid w:val="000613CB"/>
    <w:rsid w:val="0006327E"/>
    <w:rsid w:val="00070938"/>
    <w:rsid w:val="00074BAA"/>
    <w:rsid w:val="00083C39"/>
    <w:rsid w:val="00086E09"/>
    <w:rsid w:val="0009441D"/>
    <w:rsid w:val="000973E5"/>
    <w:rsid w:val="000A0932"/>
    <w:rsid w:val="000A09C8"/>
    <w:rsid w:val="000A1C08"/>
    <w:rsid w:val="000B29F1"/>
    <w:rsid w:val="000B3FA0"/>
    <w:rsid w:val="000B7C51"/>
    <w:rsid w:val="000C4D43"/>
    <w:rsid w:val="000C6AAC"/>
    <w:rsid w:val="000C720F"/>
    <w:rsid w:val="000D62DE"/>
    <w:rsid w:val="000F1590"/>
    <w:rsid w:val="000F65E2"/>
    <w:rsid w:val="00110547"/>
    <w:rsid w:val="00114D42"/>
    <w:rsid w:val="00114F3E"/>
    <w:rsid w:val="00116DB7"/>
    <w:rsid w:val="00125DCA"/>
    <w:rsid w:val="0014044B"/>
    <w:rsid w:val="0014785C"/>
    <w:rsid w:val="001506E7"/>
    <w:rsid w:val="00152031"/>
    <w:rsid w:val="0015260C"/>
    <w:rsid w:val="00155880"/>
    <w:rsid w:val="0015733D"/>
    <w:rsid w:val="001617D0"/>
    <w:rsid w:val="00167133"/>
    <w:rsid w:val="001710B1"/>
    <w:rsid w:val="001768B3"/>
    <w:rsid w:val="001816B4"/>
    <w:rsid w:val="00194604"/>
    <w:rsid w:val="00196D27"/>
    <w:rsid w:val="001976F0"/>
    <w:rsid w:val="001A4E28"/>
    <w:rsid w:val="001A5541"/>
    <w:rsid w:val="001A7CEB"/>
    <w:rsid w:val="001B2A20"/>
    <w:rsid w:val="001B4B56"/>
    <w:rsid w:val="001C529A"/>
    <w:rsid w:val="001D0197"/>
    <w:rsid w:val="001D4AED"/>
    <w:rsid w:val="001F3BE9"/>
    <w:rsid w:val="001F78B7"/>
    <w:rsid w:val="002003CE"/>
    <w:rsid w:val="002131BE"/>
    <w:rsid w:val="00220C0F"/>
    <w:rsid w:val="0022745F"/>
    <w:rsid w:val="00230DCB"/>
    <w:rsid w:val="00241B6B"/>
    <w:rsid w:val="00242F11"/>
    <w:rsid w:val="0024567A"/>
    <w:rsid w:val="002458C7"/>
    <w:rsid w:val="00245CDE"/>
    <w:rsid w:val="00250337"/>
    <w:rsid w:val="002579FE"/>
    <w:rsid w:val="00257F08"/>
    <w:rsid w:val="0026213B"/>
    <w:rsid w:val="00281282"/>
    <w:rsid w:val="002854DD"/>
    <w:rsid w:val="0028655E"/>
    <w:rsid w:val="00291311"/>
    <w:rsid w:val="002A0CA8"/>
    <w:rsid w:val="002A3D7B"/>
    <w:rsid w:val="002A50F8"/>
    <w:rsid w:val="002A67C5"/>
    <w:rsid w:val="002A6E79"/>
    <w:rsid w:val="002B6A23"/>
    <w:rsid w:val="002D5F05"/>
    <w:rsid w:val="002E3A30"/>
    <w:rsid w:val="002E71DC"/>
    <w:rsid w:val="002F157E"/>
    <w:rsid w:val="00306CC0"/>
    <w:rsid w:val="0031279E"/>
    <w:rsid w:val="003150A5"/>
    <w:rsid w:val="00324E0B"/>
    <w:rsid w:val="00327E79"/>
    <w:rsid w:val="00332C30"/>
    <w:rsid w:val="003334B9"/>
    <w:rsid w:val="00335E35"/>
    <w:rsid w:val="0033735B"/>
    <w:rsid w:val="00342B83"/>
    <w:rsid w:val="00344C67"/>
    <w:rsid w:val="00364E1A"/>
    <w:rsid w:val="00371634"/>
    <w:rsid w:val="0038429D"/>
    <w:rsid w:val="00385F9C"/>
    <w:rsid w:val="00394075"/>
    <w:rsid w:val="00397028"/>
    <w:rsid w:val="003A0285"/>
    <w:rsid w:val="003A73C7"/>
    <w:rsid w:val="003B513E"/>
    <w:rsid w:val="003C6756"/>
    <w:rsid w:val="003D59D8"/>
    <w:rsid w:val="003E1147"/>
    <w:rsid w:val="003E4AB3"/>
    <w:rsid w:val="003E572B"/>
    <w:rsid w:val="003E79B7"/>
    <w:rsid w:val="003F1246"/>
    <w:rsid w:val="003F1F0D"/>
    <w:rsid w:val="003F1F13"/>
    <w:rsid w:val="003F37DA"/>
    <w:rsid w:val="003F5F1C"/>
    <w:rsid w:val="003F5FDE"/>
    <w:rsid w:val="00403629"/>
    <w:rsid w:val="00406048"/>
    <w:rsid w:val="00413411"/>
    <w:rsid w:val="004150DF"/>
    <w:rsid w:val="00415C49"/>
    <w:rsid w:val="0042335C"/>
    <w:rsid w:val="00427693"/>
    <w:rsid w:val="00432922"/>
    <w:rsid w:val="00433924"/>
    <w:rsid w:val="00446F5B"/>
    <w:rsid w:val="00447BB5"/>
    <w:rsid w:val="00452FD7"/>
    <w:rsid w:val="00457980"/>
    <w:rsid w:val="00460936"/>
    <w:rsid w:val="00462340"/>
    <w:rsid w:val="004652C7"/>
    <w:rsid w:val="00470AAC"/>
    <w:rsid w:val="004746DB"/>
    <w:rsid w:val="0047488E"/>
    <w:rsid w:val="00475B07"/>
    <w:rsid w:val="004779E4"/>
    <w:rsid w:val="0048061E"/>
    <w:rsid w:val="004824A8"/>
    <w:rsid w:val="004908A2"/>
    <w:rsid w:val="00495002"/>
    <w:rsid w:val="004C0559"/>
    <w:rsid w:val="004C685F"/>
    <w:rsid w:val="004D3C3A"/>
    <w:rsid w:val="004D795C"/>
    <w:rsid w:val="004E1D54"/>
    <w:rsid w:val="004E623B"/>
    <w:rsid w:val="004E668A"/>
    <w:rsid w:val="004F02B9"/>
    <w:rsid w:val="00506F34"/>
    <w:rsid w:val="00517EA7"/>
    <w:rsid w:val="00525BCC"/>
    <w:rsid w:val="00527C51"/>
    <w:rsid w:val="005338E6"/>
    <w:rsid w:val="00566567"/>
    <w:rsid w:val="0057102C"/>
    <w:rsid w:val="005842D8"/>
    <w:rsid w:val="00594894"/>
    <w:rsid w:val="005A3107"/>
    <w:rsid w:val="005B5F57"/>
    <w:rsid w:val="005C0F3C"/>
    <w:rsid w:val="005C483E"/>
    <w:rsid w:val="005C487F"/>
    <w:rsid w:val="005D2026"/>
    <w:rsid w:val="005D3785"/>
    <w:rsid w:val="005D5D46"/>
    <w:rsid w:val="005E79DB"/>
    <w:rsid w:val="005F18BE"/>
    <w:rsid w:val="00602B47"/>
    <w:rsid w:val="00605192"/>
    <w:rsid w:val="0060525B"/>
    <w:rsid w:val="006126B1"/>
    <w:rsid w:val="00617E6A"/>
    <w:rsid w:val="00624453"/>
    <w:rsid w:val="00624EF2"/>
    <w:rsid w:val="00625F93"/>
    <w:rsid w:val="0063591C"/>
    <w:rsid w:val="00637ECF"/>
    <w:rsid w:val="00647F52"/>
    <w:rsid w:val="00654540"/>
    <w:rsid w:val="0066507C"/>
    <w:rsid w:val="00674ED2"/>
    <w:rsid w:val="00675413"/>
    <w:rsid w:val="00686335"/>
    <w:rsid w:val="0069589A"/>
    <w:rsid w:val="006A1517"/>
    <w:rsid w:val="006A1AAB"/>
    <w:rsid w:val="006A29C6"/>
    <w:rsid w:val="006B316C"/>
    <w:rsid w:val="006C33D2"/>
    <w:rsid w:val="006C686C"/>
    <w:rsid w:val="006D012C"/>
    <w:rsid w:val="006D35FC"/>
    <w:rsid w:val="006E24BC"/>
    <w:rsid w:val="006E7751"/>
    <w:rsid w:val="006F01CA"/>
    <w:rsid w:val="006F1602"/>
    <w:rsid w:val="00701E27"/>
    <w:rsid w:val="007178AB"/>
    <w:rsid w:val="007178BA"/>
    <w:rsid w:val="00723159"/>
    <w:rsid w:val="00726CFF"/>
    <w:rsid w:val="007376E8"/>
    <w:rsid w:val="00746138"/>
    <w:rsid w:val="00757970"/>
    <w:rsid w:val="007613AB"/>
    <w:rsid w:val="00773980"/>
    <w:rsid w:val="00773A03"/>
    <w:rsid w:val="00777E9C"/>
    <w:rsid w:val="0078248B"/>
    <w:rsid w:val="00783212"/>
    <w:rsid w:val="007876B8"/>
    <w:rsid w:val="00791467"/>
    <w:rsid w:val="007B1438"/>
    <w:rsid w:val="007C0CA8"/>
    <w:rsid w:val="007C1498"/>
    <w:rsid w:val="007C2976"/>
    <w:rsid w:val="007D0A41"/>
    <w:rsid w:val="007D33B6"/>
    <w:rsid w:val="007D50AE"/>
    <w:rsid w:val="007F2249"/>
    <w:rsid w:val="007F514C"/>
    <w:rsid w:val="0080078D"/>
    <w:rsid w:val="00800CB4"/>
    <w:rsid w:val="00803B62"/>
    <w:rsid w:val="00812509"/>
    <w:rsid w:val="00815C1F"/>
    <w:rsid w:val="0081794C"/>
    <w:rsid w:val="00827A94"/>
    <w:rsid w:val="00833E19"/>
    <w:rsid w:val="00835C27"/>
    <w:rsid w:val="00835F31"/>
    <w:rsid w:val="00842D3A"/>
    <w:rsid w:val="00843AC8"/>
    <w:rsid w:val="0084669E"/>
    <w:rsid w:val="008509C5"/>
    <w:rsid w:val="00853BBD"/>
    <w:rsid w:val="00853CCA"/>
    <w:rsid w:val="00860E43"/>
    <w:rsid w:val="00865461"/>
    <w:rsid w:val="00866B7C"/>
    <w:rsid w:val="008715D0"/>
    <w:rsid w:val="008771C6"/>
    <w:rsid w:val="00877A68"/>
    <w:rsid w:val="0088151B"/>
    <w:rsid w:val="00883298"/>
    <w:rsid w:val="00883756"/>
    <w:rsid w:val="00890ABE"/>
    <w:rsid w:val="008934A4"/>
    <w:rsid w:val="00893D4B"/>
    <w:rsid w:val="00895850"/>
    <w:rsid w:val="008A3174"/>
    <w:rsid w:val="008A4982"/>
    <w:rsid w:val="008A4AC8"/>
    <w:rsid w:val="008B10BD"/>
    <w:rsid w:val="008C31BB"/>
    <w:rsid w:val="008C37DF"/>
    <w:rsid w:val="008D4672"/>
    <w:rsid w:val="008D7324"/>
    <w:rsid w:val="008E2CE9"/>
    <w:rsid w:val="008F2A7A"/>
    <w:rsid w:val="008F2B13"/>
    <w:rsid w:val="008F56C0"/>
    <w:rsid w:val="009122D6"/>
    <w:rsid w:val="00916DDE"/>
    <w:rsid w:val="00917E18"/>
    <w:rsid w:val="00924C3D"/>
    <w:rsid w:val="00926488"/>
    <w:rsid w:val="009331D4"/>
    <w:rsid w:val="00936401"/>
    <w:rsid w:val="00945518"/>
    <w:rsid w:val="0094753F"/>
    <w:rsid w:val="00953FAC"/>
    <w:rsid w:val="00955181"/>
    <w:rsid w:val="00964348"/>
    <w:rsid w:val="00976FC0"/>
    <w:rsid w:val="00981C6D"/>
    <w:rsid w:val="009873C4"/>
    <w:rsid w:val="009971C9"/>
    <w:rsid w:val="009A0E1D"/>
    <w:rsid w:val="009C05BF"/>
    <w:rsid w:val="009C1947"/>
    <w:rsid w:val="009D1A10"/>
    <w:rsid w:val="009D1C36"/>
    <w:rsid w:val="009D2801"/>
    <w:rsid w:val="009D3E8D"/>
    <w:rsid w:val="009E290A"/>
    <w:rsid w:val="009F5262"/>
    <w:rsid w:val="009F5E5D"/>
    <w:rsid w:val="00A06633"/>
    <w:rsid w:val="00A077F2"/>
    <w:rsid w:val="00A109DF"/>
    <w:rsid w:val="00A21A3F"/>
    <w:rsid w:val="00A31D6C"/>
    <w:rsid w:val="00A44386"/>
    <w:rsid w:val="00A81AC6"/>
    <w:rsid w:val="00A82505"/>
    <w:rsid w:val="00A92849"/>
    <w:rsid w:val="00A94A20"/>
    <w:rsid w:val="00A95AD9"/>
    <w:rsid w:val="00A97BE0"/>
    <w:rsid w:val="00AA3FFA"/>
    <w:rsid w:val="00AB5525"/>
    <w:rsid w:val="00AD225C"/>
    <w:rsid w:val="00AD5E31"/>
    <w:rsid w:val="00AE0162"/>
    <w:rsid w:val="00B02877"/>
    <w:rsid w:val="00B0344C"/>
    <w:rsid w:val="00B24E9A"/>
    <w:rsid w:val="00B35A64"/>
    <w:rsid w:val="00B45051"/>
    <w:rsid w:val="00B47B75"/>
    <w:rsid w:val="00B656B4"/>
    <w:rsid w:val="00B701E0"/>
    <w:rsid w:val="00B757F1"/>
    <w:rsid w:val="00B765F5"/>
    <w:rsid w:val="00B7750E"/>
    <w:rsid w:val="00B84117"/>
    <w:rsid w:val="00B85400"/>
    <w:rsid w:val="00B86554"/>
    <w:rsid w:val="00B86D25"/>
    <w:rsid w:val="00B86FB4"/>
    <w:rsid w:val="00B87991"/>
    <w:rsid w:val="00B90A08"/>
    <w:rsid w:val="00B91D32"/>
    <w:rsid w:val="00B92C50"/>
    <w:rsid w:val="00B9444A"/>
    <w:rsid w:val="00B972AB"/>
    <w:rsid w:val="00BA1452"/>
    <w:rsid w:val="00BD1DC8"/>
    <w:rsid w:val="00BD7170"/>
    <w:rsid w:val="00BE6AF3"/>
    <w:rsid w:val="00BF41D9"/>
    <w:rsid w:val="00BF6DA8"/>
    <w:rsid w:val="00C04C46"/>
    <w:rsid w:val="00C141F9"/>
    <w:rsid w:val="00C307FC"/>
    <w:rsid w:val="00C330AD"/>
    <w:rsid w:val="00C46FC5"/>
    <w:rsid w:val="00C545F9"/>
    <w:rsid w:val="00C57B96"/>
    <w:rsid w:val="00C62E2D"/>
    <w:rsid w:val="00C663AE"/>
    <w:rsid w:val="00C664FB"/>
    <w:rsid w:val="00C74452"/>
    <w:rsid w:val="00C7747E"/>
    <w:rsid w:val="00C80602"/>
    <w:rsid w:val="00C865D3"/>
    <w:rsid w:val="00CA238A"/>
    <w:rsid w:val="00CA5A1E"/>
    <w:rsid w:val="00CB1CB6"/>
    <w:rsid w:val="00CB419C"/>
    <w:rsid w:val="00CB7510"/>
    <w:rsid w:val="00CC1E3F"/>
    <w:rsid w:val="00CD7AA8"/>
    <w:rsid w:val="00CE01E4"/>
    <w:rsid w:val="00CE02B8"/>
    <w:rsid w:val="00CE1476"/>
    <w:rsid w:val="00CE3E91"/>
    <w:rsid w:val="00CE547E"/>
    <w:rsid w:val="00CF15BF"/>
    <w:rsid w:val="00CF478D"/>
    <w:rsid w:val="00CF79CB"/>
    <w:rsid w:val="00D03F64"/>
    <w:rsid w:val="00D04604"/>
    <w:rsid w:val="00D118DA"/>
    <w:rsid w:val="00D11FCB"/>
    <w:rsid w:val="00D12DB1"/>
    <w:rsid w:val="00D15BEC"/>
    <w:rsid w:val="00D25A6E"/>
    <w:rsid w:val="00D27C72"/>
    <w:rsid w:val="00D32AC0"/>
    <w:rsid w:val="00D35253"/>
    <w:rsid w:val="00D36725"/>
    <w:rsid w:val="00D40128"/>
    <w:rsid w:val="00D40B74"/>
    <w:rsid w:val="00D60046"/>
    <w:rsid w:val="00D65972"/>
    <w:rsid w:val="00D73B14"/>
    <w:rsid w:val="00D836EB"/>
    <w:rsid w:val="00D87ED8"/>
    <w:rsid w:val="00D97E5C"/>
    <w:rsid w:val="00DA76C2"/>
    <w:rsid w:val="00DA7FE1"/>
    <w:rsid w:val="00DB1DC3"/>
    <w:rsid w:val="00DB5F42"/>
    <w:rsid w:val="00DC098E"/>
    <w:rsid w:val="00DC51D4"/>
    <w:rsid w:val="00DD3C83"/>
    <w:rsid w:val="00DD6834"/>
    <w:rsid w:val="00DD75B8"/>
    <w:rsid w:val="00DE5F29"/>
    <w:rsid w:val="00DE70E6"/>
    <w:rsid w:val="00DF3114"/>
    <w:rsid w:val="00DF6727"/>
    <w:rsid w:val="00E00C76"/>
    <w:rsid w:val="00E04410"/>
    <w:rsid w:val="00E07F42"/>
    <w:rsid w:val="00E11337"/>
    <w:rsid w:val="00E1420B"/>
    <w:rsid w:val="00E16ADC"/>
    <w:rsid w:val="00E30319"/>
    <w:rsid w:val="00E317E0"/>
    <w:rsid w:val="00E52DF7"/>
    <w:rsid w:val="00E52F05"/>
    <w:rsid w:val="00E531B0"/>
    <w:rsid w:val="00E62664"/>
    <w:rsid w:val="00E63670"/>
    <w:rsid w:val="00E72C91"/>
    <w:rsid w:val="00E872F9"/>
    <w:rsid w:val="00E90A91"/>
    <w:rsid w:val="00E92BA4"/>
    <w:rsid w:val="00E95354"/>
    <w:rsid w:val="00EA0A6A"/>
    <w:rsid w:val="00EE2E9F"/>
    <w:rsid w:val="00F00DA1"/>
    <w:rsid w:val="00F058EC"/>
    <w:rsid w:val="00F13001"/>
    <w:rsid w:val="00F26DA5"/>
    <w:rsid w:val="00F31A29"/>
    <w:rsid w:val="00F31DF6"/>
    <w:rsid w:val="00F35DC3"/>
    <w:rsid w:val="00F43B34"/>
    <w:rsid w:val="00F57D1B"/>
    <w:rsid w:val="00F66433"/>
    <w:rsid w:val="00F71596"/>
    <w:rsid w:val="00F72621"/>
    <w:rsid w:val="00F860DA"/>
    <w:rsid w:val="00F9066A"/>
    <w:rsid w:val="00F92E1B"/>
    <w:rsid w:val="00FA0848"/>
    <w:rsid w:val="00FB3F68"/>
    <w:rsid w:val="00FB4DDA"/>
    <w:rsid w:val="00FC2352"/>
    <w:rsid w:val="00FC4E7E"/>
    <w:rsid w:val="00FD1C8F"/>
    <w:rsid w:val="00FD374C"/>
    <w:rsid w:val="00FD720E"/>
    <w:rsid w:val="00FE6247"/>
    <w:rsid w:val="00FF1C55"/>
    <w:rsid w:val="00FF4156"/>
    <w:rsid w:val="00FF4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49AD7"/>
  <w15:docId w15:val="{9574492D-0A23-4E9E-8663-481E4F2B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5F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5F42"/>
    <w:rPr>
      <w:rFonts w:ascii="Verdana" w:hAnsi="Verdana"/>
      <w:color w:val="000000"/>
      <w:sz w:val="18"/>
      <w:szCs w:val="18"/>
    </w:rPr>
  </w:style>
  <w:style w:type="paragraph" w:styleId="Voettekst">
    <w:name w:val="footer"/>
    <w:basedOn w:val="Standaard"/>
    <w:link w:val="VoettekstChar"/>
    <w:uiPriority w:val="99"/>
    <w:unhideWhenUsed/>
    <w:rsid w:val="00DB5F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5F42"/>
    <w:rPr>
      <w:rFonts w:ascii="Verdana" w:hAnsi="Verdana"/>
      <w:color w:val="000000"/>
      <w:sz w:val="18"/>
      <w:szCs w:val="18"/>
    </w:rPr>
  </w:style>
  <w:style w:type="paragraph" w:styleId="Voetnoottekst">
    <w:name w:val="footnote text"/>
    <w:basedOn w:val="Standaard"/>
    <w:link w:val="VoetnoottekstChar"/>
    <w:uiPriority w:val="99"/>
    <w:unhideWhenUsed/>
    <w:rsid w:val="00C62E2D"/>
    <w:pPr>
      <w:spacing w:line="240" w:lineRule="auto"/>
    </w:pPr>
    <w:rPr>
      <w:sz w:val="20"/>
      <w:szCs w:val="20"/>
    </w:rPr>
  </w:style>
  <w:style w:type="character" w:customStyle="1" w:styleId="VoetnoottekstChar">
    <w:name w:val="Voetnoottekst Char"/>
    <w:basedOn w:val="Standaardalinea-lettertype"/>
    <w:link w:val="Voetnoottekst"/>
    <w:uiPriority w:val="99"/>
    <w:rsid w:val="00C62E2D"/>
    <w:rPr>
      <w:rFonts w:ascii="Verdana" w:hAnsi="Verdana"/>
      <w:color w:val="000000"/>
    </w:rPr>
  </w:style>
  <w:style w:type="character" w:styleId="Voetnootmarkering">
    <w:name w:val="footnote reference"/>
    <w:basedOn w:val="Standaardalinea-lettertype"/>
    <w:uiPriority w:val="99"/>
    <w:semiHidden/>
    <w:unhideWhenUsed/>
    <w:rsid w:val="00C62E2D"/>
    <w:rPr>
      <w:vertAlign w:val="superscript"/>
    </w:rPr>
  </w:style>
  <w:style w:type="character" w:styleId="Verwijzingopmerking">
    <w:name w:val="annotation reference"/>
    <w:basedOn w:val="Standaardalinea-lettertype"/>
    <w:uiPriority w:val="99"/>
    <w:semiHidden/>
    <w:unhideWhenUsed/>
    <w:rsid w:val="00602B47"/>
    <w:rPr>
      <w:sz w:val="16"/>
      <w:szCs w:val="16"/>
    </w:rPr>
  </w:style>
  <w:style w:type="paragraph" w:styleId="Tekstopmerking">
    <w:name w:val="annotation text"/>
    <w:basedOn w:val="Standaard"/>
    <w:link w:val="TekstopmerkingChar"/>
    <w:uiPriority w:val="99"/>
    <w:unhideWhenUsed/>
    <w:rsid w:val="00602B47"/>
    <w:pPr>
      <w:spacing w:line="240" w:lineRule="auto"/>
    </w:pPr>
    <w:rPr>
      <w:sz w:val="20"/>
      <w:szCs w:val="20"/>
    </w:rPr>
  </w:style>
  <w:style w:type="character" w:customStyle="1" w:styleId="TekstopmerkingChar">
    <w:name w:val="Tekst opmerking Char"/>
    <w:basedOn w:val="Standaardalinea-lettertype"/>
    <w:link w:val="Tekstopmerking"/>
    <w:uiPriority w:val="99"/>
    <w:rsid w:val="00602B4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02B47"/>
    <w:rPr>
      <w:b/>
      <w:bCs/>
    </w:rPr>
  </w:style>
  <w:style w:type="character" w:customStyle="1" w:styleId="OnderwerpvanopmerkingChar">
    <w:name w:val="Onderwerp van opmerking Char"/>
    <w:basedOn w:val="TekstopmerkingChar"/>
    <w:link w:val="Onderwerpvanopmerking"/>
    <w:uiPriority w:val="99"/>
    <w:semiHidden/>
    <w:rsid w:val="00602B47"/>
    <w:rPr>
      <w:rFonts w:ascii="Verdana" w:hAnsi="Verdana"/>
      <w:b/>
      <w:bCs/>
      <w:color w:val="000000"/>
    </w:rPr>
  </w:style>
  <w:style w:type="character" w:styleId="Onopgelostemelding">
    <w:name w:val="Unresolved Mention"/>
    <w:basedOn w:val="Standaardalinea-lettertype"/>
    <w:uiPriority w:val="99"/>
    <w:semiHidden/>
    <w:unhideWhenUsed/>
    <w:rsid w:val="00FC2352"/>
    <w:rPr>
      <w:color w:val="605E5C"/>
      <w:shd w:val="clear" w:color="auto" w:fill="E1DFDD"/>
    </w:rPr>
  </w:style>
  <w:style w:type="paragraph" w:styleId="Revisie">
    <w:name w:val="Revision"/>
    <w:hidden/>
    <w:uiPriority w:val="99"/>
    <w:semiHidden/>
    <w:rsid w:val="0024567A"/>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8C37DF"/>
    <w:rPr>
      <w:color w:val="96607D" w:themeColor="followedHyperlink"/>
      <w:u w:val="single"/>
    </w:rPr>
  </w:style>
  <w:style w:type="paragraph" w:customStyle="1" w:styleId="Default">
    <w:name w:val="Default"/>
    <w:rsid w:val="00654540"/>
    <w:pPr>
      <w:autoSpaceDE w:val="0"/>
      <w:adjustRightInd w:val="0"/>
      <w:textAlignment w:val="auto"/>
    </w:pPr>
    <w:rPr>
      <w:rFonts w:ascii="CBNPM L+ Univers" w:hAnsi="CBNPM L+ Univers" w:cs="CBNPM L+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90c45e0f-23a5-41a9-a7f4-8d15a8dc23fa/file" TargetMode="External"/><Relationship Id="rId1" Type="http://schemas.openxmlformats.org/officeDocument/2006/relationships/hyperlink" Target="https://www.kadaster.nl/-/steeds-meer-starters-kopen-samen-wo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2341</ap:Words>
  <ap:Characters>12880</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Brief - Motie van het lid Vijlbrief inzake de startersvrijstelling in de overdrachtsbelasting</vt:lpstr>
    </vt:vector>
  </ap:TitlesOfParts>
  <ap:LinksUpToDate>false</ap:LinksUpToDate>
  <ap:CharactersWithSpaces>15191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2026-03-12T10:15:00.0000000Z</dcterms:created>
  <dcterms:modified xsi:type="dcterms:W3CDTF">2026-03-12T10:15:00.0000000Z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maart 2026</vt:lpwstr>
  </property>
  <property fmtid="{D5CDD505-2E9C-101B-9397-08002B2CF9AE}" pid="14" name="Opgesteld door, Naam">
    <vt:lpwstr>Benjamin Sparidis</vt:lpwstr>
  </property>
  <property fmtid="{D5CDD505-2E9C-101B-9397-08002B2CF9AE}" pid="15" name="Opgesteld door, Telefoonnummer">
    <vt:lpwstr/>
  </property>
  <property fmtid="{D5CDD505-2E9C-101B-9397-08002B2CF9AE}" pid="16" name="Kenmerk">
    <vt:lpwstr>2026-0000061576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Motie van het lid Vijlbrief inzake de startersvrijstelling in de overdrachtsbelasting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2025-10-20T15:10:30Z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0aeb46e9-df0b-4afd-89a7-1185f9281906</vt:lpwstr>
  </property>
  <property fmtid="{D5CDD505-2E9C-101B-9397-08002B2CF9AE}" pid="38" name="MSIP_Label_b2aa6e22-2c82-48c6-bf24-1790f4b9c128_ContentBits">
    <vt:lpwstr>0</vt:lpwstr>
  </property>
</Properties>
</file>