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61F6" w:rsidR="009314E4" w:rsidP="009314E4" w:rsidRDefault="009314E4" w14:paraId="737BD6A8" w14:textId="77777777">
      <w:pPr>
        <w:rPr>
          <w:rFonts w:ascii="Verdana" w:hAnsi="Verdana"/>
          <w:b/>
          <w:bCs/>
          <w:sz w:val="18"/>
          <w:szCs w:val="18"/>
        </w:rPr>
      </w:pPr>
      <w:r w:rsidRPr="00D661F6">
        <w:rPr>
          <w:rFonts w:ascii="Verdana" w:hAnsi="Verdana"/>
          <w:b/>
          <w:bCs/>
          <w:sz w:val="18"/>
          <w:szCs w:val="18"/>
        </w:rPr>
        <w:t xml:space="preserve">Lijst van nieuwe EU-voorstellen </w:t>
      </w:r>
    </w:p>
    <w:p w:rsidRPr="00D661F6" w:rsidR="009314E4" w:rsidP="009314E4" w:rsidRDefault="009314E4" w14:paraId="70E6D4AD" w14:textId="77777777">
      <w:pPr>
        <w:rPr>
          <w:rFonts w:ascii="Verdana" w:hAnsi="Verdana"/>
          <w:b/>
          <w:bCs/>
          <w:sz w:val="18"/>
          <w:szCs w:val="18"/>
        </w:rPr>
      </w:pPr>
    </w:p>
    <w:p w:rsidRPr="00D661F6" w:rsidR="009314E4" w:rsidP="009314E4" w:rsidRDefault="009314E4" w14:paraId="6279F58B" w14:textId="7A960209">
      <w:pPr>
        <w:rPr>
          <w:rFonts w:ascii="Verdana" w:hAnsi="Verdana"/>
          <w:sz w:val="18"/>
          <w:szCs w:val="18"/>
        </w:rPr>
      </w:pPr>
      <w:r w:rsidRPr="00D661F6">
        <w:rPr>
          <w:rFonts w:ascii="Verdana" w:hAnsi="Verdana"/>
          <w:sz w:val="18"/>
          <w:szCs w:val="18"/>
        </w:rPr>
        <w:t>De</w:t>
      </w:r>
      <w:r w:rsidRPr="00D661F6">
        <w:rPr>
          <w:rFonts w:ascii="Verdana" w:hAnsi="Verdana"/>
          <w:b/>
          <w:bCs/>
          <w:sz w:val="18"/>
          <w:szCs w:val="18"/>
        </w:rPr>
        <w:t> </w:t>
      </w:r>
      <w:r w:rsidRPr="00D661F6">
        <w:rPr>
          <w:rFonts w:ascii="Verdana" w:hAnsi="Verdana"/>
          <w:sz w:val="18"/>
          <w:szCs w:val="18"/>
        </w:rPr>
        <w:t>Europese Commissie heeft in de periode tussen </w:t>
      </w:r>
      <w:r>
        <w:rPr>
          <w:rFonts w:ascii="Verdana" w:hAnsi="Verdana"/>
          <w:b/>
          <w:bCs/>
          <w:sz w:val="18"/>
          <w:szCs w:val="18"/>
        </w:rPr>
        <w:t xml:space="preserve">26 februari </w:t>
      </w:r>
      <w:r>
        <w:rPr>
          <w:rFonts w:ascii="Verdana" w:hAnsi="Verdana"/>
          <w:b/>
          <w:bCs/>
          <w:sz w:val="18"/>
          <w:szCs w:val="18"/>
        </w:rPr>
        <w:t xml:space="preserve">en 12 maart </w:t>
      </w:r>
      <w:r w:rsidRPr="00D661F6">
        <w:rPr>
          <w:rFonts w:ascii="Verdana" w:hAnsi="Verdana"/>
          <w:sz w:val="18"/>
          <w:szCs w:val="18"/>
        </w:rPr>
        <w:t>de volgende voor deze vaste commissie</w:t>
      </w:r>
      <w:r w:rsidRPr="00D661F6">
        <w:rPr>
          <w:rFonts w:ascii="Verdana" w:hAnsi="Verdana"/>
          <w:b/>
          <w:bCs/>
          <w:sz w:val="18"/>
          <w:szCs w:val="18"/>
        </w:rPr>
        <w:t> </w:t>
      </w:r>
      <w:r w:rsidRPr="00D661F6">
        <w:rPr>
          <w:rFonts w:ascii="Verdana" w:hAnsi="Verdana"/>
          <w:sz w:val="18"/>
          <w:szCs w:val="18"/>
        </w:rPr>
        <w:t>relevante voorstellen voor Europese wetgeving, besluiten en andere beleidsvormende documenten aan de Tweede Kamer gestuurd:  </w:t>
      </w:r>
    </w:p>
    <w:p w:rsidRPr="00D661F6" w:rsidR="009314E4" w:rsidP="009314E4" w:rsidRDefault="009314E4" w14:paraId="20C01A65" w14:textId="77777777">
      <w:pPr>
        <w:rPr>
          <w:rFonts w:ascii="Verdana" w:hAnsi="Verdana"/>
          <w:b/>
          <w:bCs/>
          <w:sz w:val="18"/>
          <w:szCs w:val="18"/>
        </w:rPr>
      </w:pPr>
    </w:p>
    <w:p w:rsidRPr="00D661F6" w:rsidR="009314E4" w:rsidP="009314E4" w:rsidRDefault="009314E4" w14:paraId="04C14F11" w14:textId="77777777">
      <w:pPr>
        <w:pStyle w:val="Lijstalinea"/>
        <w:numPr>
          <w:ilvl w:val="0"/>
          <w:numId w:val="1"/>
        </w:numPr>
        <w:rPr>
          <w:b/>
          <w:bCs/>
          <w:szCs w:val="18"/>
        </w:rPr>
      </w:pPr>
      <w:r w:rsidRPr="00D661F6">
        <w:rPr>
          <w:b/>
          <w:bCs/>
          <w:szCs w:val="18"/>
        </w:rPr>
        <w:t>Nieuw voorgestelde EU-wetgeving</w:t>
      </w:r>
      <w:r w:rsidRPr="00D661F6">
        <w:rPr>
          <w:szCs w:val="18"/>
        </w:rPr>
        <w:br/>
        <w:t>(Verordeningen, richtlijnen en wetgevende besluiten)</w:t>
      </w:r>
    </w:p>
    <w:p w:rsidRPr="00D661F6" w:rsidR="009314E4" w:rsidP="009314E4" w:rsidRDefault="009314E4" w14:paraId="0702DF66" w14:textId="77777777">
      <w:pPr>
        <w:rPr>
          <w:rFonts w:ascii="Verdana" w:hAnsi="Verdana"/>
          <w:b/>
          <w:bCs/>
          <w:sz w:val="18"/>
          <w:szCs w:val="18"/>
        </w:rPr>
      </w:pPr>
    </w:p>
    <w:p w:rsidRPr="00FA65B6" w:rsidR="009314E4" w:rsidP="009314E4" w:rsidRDefault="009314E4" w14:paraId="14410394" w14:textId="77777777">
      <w:pPr>
        <w:pStyle w:val="Lijstalinea"/>
        <w:numPr>
          <w:ilvl w:val="0"/>
          <w:numId w:val="1"/>
        </w:numPr>
        <w:rPr>
          <w:b/>
          <w:bCs/>
          <w:szCs w:val="18"/>
        </w:rPr>
      </w:pPr>
      <w:r w:rsidRPr="00D661F6">
        <w:rPr>
          <w:b/>
          <w:bCs/>
          <w:szCs w:val="18"/>
        </w:rPr>
        <w:t xml:space="preserve">Nieuwe EU-documenten van niet-wetgevende aard </w:t>
      </w:r>
      <w:r w:rsidRPr="00D661F6">
        <w:rPr>
          <w:szCs w:val="18"/>
        </w:rPr>
        <w:br/>
        <w:t>(Mededelingen, aanbevelingen, actieplannen, consultaties, etc.)</w:t>
      </w:r>
    </w:p>
    <w:p w:rsidRPr="00D661F6" w:rsidR="009314E4" w:rsidP="009314E4" w:rsidRDefault="009314E4" w14:paraId="1D330F19" w14:textId="77777777">
      <w:pPr>
        <w:rPr>
          <w:rFonts w:ascii="Verdana" w:hAnsi="Verdana"/>
          <w:sz w:val="18"/>
          <w:szCs w:val="18"/>
        </w:rPr>
      </w:pPr>
    </w:p>
    <w:p w:rsidRPr="00D661F6" w:rsidR="009314E4" w:rsidP="009314E4" w:rsidRDefault="009314E4" w14:paraId="4AD6ECC0" w14:textId="77777777">
      <w:pPr>
        <w:rPr>
          <w:rFonts w:ascii="Verdana" w:hAnsi="Verdana"/>
          <w:b/>
          <w:bCs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D661F6" w:rsidR="009314E4" w:rsidTr="00F51A8F" w14:paraId="736E9568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661F6" w:rsidR="009314E4" w:rsidP="00F51A8F" w:rsidRDefault="009314E4" w14:paraId="32456435" w14:textId="77777777">
            <w:pPr>
              <w:pStyle w:val="Lijstalinea"/>
              <w:numPr>
                <w:ilvl w:val="0"/>
                <w:numId w:val="2"/>
              </w:numPr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61F6" w:rsidR="009314E4" w:rsidP="00F51A8F" w:rsidRDefault="009314E4" w14:paraId="2B2212A8" w14:textId="77777777">
            <w:pPr>
              <w:rPr>
                <w:rFonts w:ascii="Verdana" w:hAnsi="Verdana"/>
                <w:sz w:val="18"/>
                <w:szCs w:val="18"/>
              </w:rPr>
            </w:pPr>
            <w:r w:rsidRPr="00D661F6">
              <w:rPr>
                <w:rFonts w:ascii="Verdana" w:hAnsi="Verdana"/>
                <w:sz w:val="18"/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61F6" w:rsidR="009314E4" w:rsidP="00F51A8F" w:rsidRDefault="00CD2210" w14:paraId="553282DC" w14:textId="0B12EC29">
            <w:pPr>
              <w:rPr>
                <w:rFonts w:ascii="Verdana" w:hAnsi="Verdana"/>
                <w:sz w:val="18"/>
                <w:szCs w:val="18"/>
              </w:rPr>
            </w:pPr>
            <w:r w:rsidRPr="00CD2210">
              <w:rPr>
                <w:rFonts w:ascii="Verdana" w:hAnsi="Verdana"/>
                <w:sz w:val="18"/>
                <w:szCs w:val="18"/>
              </w:rPr>
              <w:t>Aanbeveling voor een BESLUIT VAN DE RAAD houdende machtiging tot het openen van onderhandelingen over individuele overeenkomsten tussen de Europese Unie en de Republiek Albanië, Bosnië en Herzegovina, Kosovo</w:t>
            </w:r>
            <w:r w:rsidR="00250568">
              <w:rPr>
                <w:rFonts w:ascii="Verdana" w:hAnsi="Verdana"/>
                <w:sz w:val="18"/>
                <w:szCs w:val="18"/>
              </w:rPr>
              <w:t>.</w:t>
            </w:r>
            <w:r w:rsidRPr="00CD2210">
              <w:rPr>
                <w:rFonts w:ascii="Verdana" w:hAnsi="Verdana"/>
                <w:sz w:val="18"/>
                <w:szCs w:val="18"/>
              </w:rPr>
              <w:t xml:space="preserve"> Deze benaming laat de standpunten over de status van Kosovo onverlet, en is in overeenstemming met Resolutie 1244 (1999) van de VN-Veiligheidsraad en het advies van het Internationaal Gerechtshof over de onafhankelijkheidsverklaring van Kosovo., Montenegro, de Republiek Noord-Macedonië en de Republiek Servië betreffende roaming op openbare mobielecommunicatienetwerken </w:t>
            </w:r>
            <w:hyperlink w:history="1" r:id="rId9">
              <w:r w:rsidRPr="00CD2210">
                <w:rPr>
                  <w:rStyle w:val="Hyperlink"/>
                  <w:rFonts w:ascii="Verdana" w:hAnsi="Verdana"/>
                  <w:sz w:val="18"/>
                  <w:szCs w:val="18"/>
                </w:rPr>
                <w:t>COM(2026</w:t>
              </w:r>
              <w:r w:rsidRPr="00CD2210">
                <w:rPr>
                  <w:rStyle w:val="Hyperlink"/>
                  <w:rFonts w:ascii="Verdana" w:hAnsi="Verdana"/>
                  <w:sz w:val="18"/>
                  <w:szCs w:val="18"/>
                </w:rPr>
                <w:t>)</w:t>
              </w:r>
              <w:r w:rsidRPr="00CD2210">
                <w:rPr>
                  <w:rStyle w:val="Hyperlink"/>
                  <w:rFonts w:ascii="Verdana" w:hAnsi="Verdana"/>
                  <w:sz w:val="18"/>
                  <w:szCs w:val="18"/>
                </w:rPr>
                <w:t>79</w:t>
              </w:r>
            </w:hyperlink>
          </w:p>
          <w:p w:rsidRPr="00D661F6" w:rsidR="009314E4" w:rsidP="00F51A8F" w:rsidRDefault="009314E4" w14:paraId="0DD304D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D661F6" w:rsidR="009314E4" w:rsidTr="00F51A8F" w14:paraId="732136EF" w14:textId="77777777">
        <w:trPr>
          <w:trHeight w:val="2231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D661F6" w:rsidR="009314E4" w:rsidP="00F51A8F" w:rsidRDefault="009314E4" w14:paraId="7466B20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7520F" w:rsidR="009314E4" w:rsidP="00F51A8F" w:rsidRDefault="009314E4" w14:paraId="22C8FBD5" w14:textId="77777777">
            <w:pPr>
              <w:rPr>
                <w:rFonts w:ascii="Verdana" w:hAnsi="Verdana"/>
                <w:sz w:val="18"/>
                <w:szCs w:val="18"/>
              </w:rPr>
            </w:pPr>
            <w:r w:rsidRPr="0067520F">
              <w:rPr>
                <w:rFonts w:ascii="Verdana" w:hAnsi="Verdana"/>
                <w:sz w:val="18"/>
                <w:szCs w:val="18"/>
              </w:rPr>
              <w:t>Voorstel</w:t>
            </w:r>
          </w:p>
          <w:p w:rsidRPr="0067520F" w:rsidR="009314E4" w:rsidP="00F51A8F" w:rsidRDefault="009314E4" w14:paraId="1371D7E6" w14:textId="77777777">
            <w:pPr>
              <w:rPr>
                <w:rFonts w:ascii="Verdana" w:hAnsi="Verdana"/>
                <w:sz w:val="18"/>
                <w:szCs w:val="18"/>
              </w:rPr>
            </w:pPr>
            <w:r w:rsidRPr="0067520F">
              <w:rPr>
                <w:rFonts w:ascii="Verdana" w:hAnsi="Verdana"/>
                <w:sz w:val="18"/>
                <w:szCs w:val="18"/>
                <w:lang w:val="en-GB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7520F" w:rsidR="009314E4" w:rsidP="00F51A8F" w:rsidRDefault="009314E4" w14:paraId="11744AE7" w14:textId="77777777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7520F">
              <w:rPr>
                <w:rFonts w:ascii="Verdana" w:hAnsi="Verdana"/>
                <w:color w:val="000000"/>
                <w:sz w:val="18"/>
                <w:szCs w:val="18"/>
              </w:rPr>
              <w:t>Ter informatie</w:t>
            </w:r>
          </w:p>
          <w:p w:rsidRPr="0067520F" w:rsidR="009314E4" w:rsidP="00F51A8F" w:rsidRDefault="009314E4" w14:paraId="356A4A2C" w14:textId="77777777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Pr="00250568" w:rsidR="009314E4" w:rsidP="00F51A8F" w:rsidRDefault="00501FCF" w14:paraId="49AC540C" w14:textId="7B97397C">
            <w:pPr>
              <w:pStyle w:val="Standaard1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250568">
              <w:rPr>
                <w:rFonts w:ascii="Verdana" w:hAnsi="Verdana"/>
                <w:color w:val="000000"/>
                <w:sz w:val="18"/>
                <w:szCs w:val="18"/>
              </w:rPr>
              <w:t>De Europese Commissie stelt voor om onderhandelingen te starten met de zes Westelijke Balkan-landen</w:t>
            </w:r>
            <w:r w:rsidRPr="0025056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250568" w:rsidR="00250568">
              <w:rPr>
                <w:rFonts w:ascii="Verdana" w:hAnsi="Verdana"/>
                <w:color w:val="000000"/>
                <w:sz w:val="18"/>
                <w:szCs w:val="18"/>
              </w:rPr>
              <w:t>voor roaming tegen thuistarief, om zo het EU-roaminggebied uit te breiden naar deze regio.</w:t>
            </w:r>
            <w:r w:rsidRPr="00250568" w:rsidR="00250568">
              <w:rPr>
                <w:rFonts w:asciiTheme="minorHAnsi" w:hAnsiTheme="minorHAnsi" w:eastAsiaTheme="minorHAnsi" w:cstheme="minorBidi"/>
                <w:lang w:eastAsia="en-US"/>
              </w:rPr>
              <w:t xml:space="preserve"> </w:t>
            </w:r>
            <w:r w:rsidRPr="00250568" w:rsidR="00250568">
              <w:rPr>
                <w:rFonts w:ascii="Verdana" w:hAnsi="Verdana"/>
                <w:color w:val="000000"/>
                <w:sz w:val="18"/>
                <w:szCs w:val="18"/>
              </w:rPr>
              <w:t>De Westelijke Balkan-landen hebben al een regionaal roamingakkoord en een vrijwillige overeenkomst met de EU voor lagere datatarieven, maar een formele sectorale overeenkomst is nodig om volledige integratie in het EU-roaminggebied mogelijk te maken.</w:t>
            </w:r>
            <w:r w:rsidRPr="00250568" w:rsidR="00250568">
              <w:rPr>
                <w:rFonts w:asciiTheme="minorHAnsi" w:hAnsiTheme="minorHAnsi" w:eastAsiaTheme="minorHAnsi" w:cstheme="minorBidi"/>
                <w:lang w:eastAsia="en-US"/>
              </w:rPr>
              <w:t xml:space="preserve"> </w:t>
            </w:r>
            <w:r w:rsidRPr="00250568" w:rsidR="00250568">
              <w:rPr>
                <w:rFonts w:ascii="Verdana" w:hAnsi="Verdana"/>
                <w:color w:val="000000"/>
                <w:sz w:val="18"/>
                <w:szCs w:val="18"/>
              </w:rPr>
              <w:t>Voorwaarde is dat elk land het EU-roamingacquis (de relevante EU-wetgeving) volledig implementeert en handhaaft, wat door de Commissie zal worden beoordeeld.</w:t>
            </w:r>
          </w:p>
        </w:tc>
      </w:tr>
    </w:tbl>
    <w:p w:rsidR="00E46A68" w:rsidP="00802783" w:rsidRDefault="00E46A68" w14:paraId="7B5CAEB5" w14:textId="77777777"/>
    <w:sectPr w:rsidR="00E46A68" w:rsidSect="009314E4">
      <w:headerReference w:type="default" r:id="rId10"/>
      <w:pgSz w:w="11906" w:h="16838"/>
      <w:pgMar w:top="1417" w:right="1417" w:bottom="1417" w:left="1417" w:header="2370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7818" w14:textId="77777777" w:rsidR="009314E4" w:rsidRDefault="009314E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691ADF8D" wp14:editId="46FF0867">
          <wp:simplePos x="0" y="0"/>
          <wp:positionH relativeFrom="page">
            <wp:posOffset>258445</wp:posOffset>
          </wp:positionH>
          <wp:positionV relativeFrom="page">
            <wp:posOffset>81915</wp:posOffset>
          </wp:positionV>
          <wp:extent cx="431800" cy="1238250"/>
          <wp:effectExtent l="0" t="0" r="6350" b="0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9" name="Afbeelding 9" descr="Afbeelding met schets, symbool, tekening, embleem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fbeelding met schets, symbool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F22BA3" wp14:editId="2580EC5A">
          <wp:simplePos x="0" y="0"/>
          <wp:positionH relativeFrom="margin">
            <wp:posOffset>-171450</wp:posOffset>
          </wp:positionH>
          <wp:positionV relativeFrom="page">
            <wp:align>top</wp:align>
          </wp:positionV>
          <wp:extent cx="3070225" cy="1238250"/>
          <wp:effectExtent l="0" t="0" r="0" b="0"/>
          <wp:wrapTight wrapText="bothSides">
            <wp:wrapPolygon edited="0">
              <wp:start x="0" y="0"/>
              <wp:lineTo x="0" y="21268"/>
              <wp:lineTo x="21444" y="21268"/>
              <wp:lineTo x="21444" y="0"/>
              <wp:lineTo x="0" y="0"/>
            </wp:wrapPolygon>
          </wp:wrapTight>
          <wp:docPr id="7" name="Afbeelding 7" descr="Afbeelding met tekst, Lettertype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Afbeelding met tekst, Lettertype, wit, ontwerp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225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9B801AEA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0236">
    <w:abstractNumId w:val="1"/>
  </w:num>
  <w:num w:numId="2" w16cid:durableId="1881015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43466E"/>
    <w:rsid w:val="00250568"/>
    <w:rsid w:val="00452E5E"/>
    <w:rsid w:val="00501FCF"/>
    <w:rsid w:val="006C3C36"/>
    <w:rsid w:val="00802783"/>
    <w:rsid w:val="009314E4"/>
    <w:rsid w:val="00CD2210"/>
    <w:rsid w:val="00E46A68"/>
    <w:rsid w:val="1843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C3FB"/>
  <w15:chartTrackingRefBased/>
  <w15:docId w15:val="{EE302751-8828-4912-8F47-AE123CD1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14E4"/>
    <w:pPr>
      <w:spacing w:after="0" w:line="240" w:lineRule="auto"/>
      <w:ind w:left="720"/>
      <w:contextualSpacing/>
    </w:pPr>
    <w:rPr>
      <w:rFonts w:ascii="Verdana" w:eastAsia="Calibri" w:hAnsi="Verdana" w:cs="Times New Roman"/>
      <w:sz w:val="18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9314E4"/>
    <w:pPr>
      <w:tabs>
        <w:tab w:val="center" w:pos="4536"/>
        <w:tab w:val="right" w:pos="9072"/>
      </w:tabs>
      <w:spacing w:after="0" w:line="240" w:lineRule="auto"/>
    </w:pPr>
    <w:rPr>
      <w:rFonts w:ascii="Verdana" w:eastAsia="Calibri" w:hAnsi="Verdana" w:cs="Times New Roman"/>
      <w:sz w:val="18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314E4"/>
    <w:rPr>
      <w:rFonts w:ascii="Verdana" w:eastAsia="Calibri" w:hAnsi="Verdana" w:cs="Times New Roman"/>
      <w:sz w:val="18"/>
      <w:szCs w:val="22"/>
    </w:rPr>
  </w:style>
  <w:style w:type="character" w:styleId="Hyperlink">
    <w:name w:val="Hyperlink"/>
    <w:rsid w:val="009314E4"/>
    <w:rPr>
      <w:color w:val="0000FF"/>
      <w:u w:val="single"/>
    </w:rPr>
  </w:style>
  <w:style w:type="paragraph" w:customStyle="1" w:styleId="Standaard1">
    <w:name w:val="Standaard1"/>
    <w:basedOn w:val="Standaard"/>
    <w:rsid w:val="0093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221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22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eader" Target="header1.xml" Id="rId10" /><Relationship Type="http://schemas.openxmlformats.org/officeDocument/2006/relationships/hyperlink" Target="https://eur06.safelinks.protection.outlook.com/?url=https%3A%2F%2Feur-lex.europa.eu%2Flegal-content%2FNL%2FTXT%2F%3Furi%3DCELEX%253A52026PC0079%26qid%3D1772441061942&amp;data=05%7C02%7Cl.haverkamp%40tweedekamer.nl%7C919b9833c05a4494552008de7a902ab5%7C238cb5073f714afeaaab8382731a4345%7C0%7C0%7C639082956787690242%7CUnknown%7CTWFpbGZsb3d8eyJFbXB0eU1hcGkiOnRydWUsIlYiOiIwLjAuMDAwMCIsIlAiOiJXaW4zMiIsIkFOIjoiTWFpbCIsIldUIjoyfQ%3D%3D%7C0%7C%7C%7C&amp;sdata=IdoKkjygQH0pUGhvUjVSBr6XwuYjiObMx1hlTK707WM%3D&amp;reserved=0" TargetMode="Externa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342</ap:Words>
  <ap:Characters>1881</ap:Characters>
  <ap:DocSecurity>0</ap:DocSecurity>
  <ap:Lines>15</ap:Lines>
  <ap:Paragraphs>4</ap:Paragraphs>
  <ap:ScaleCrop>false</ap:ScaleCrop>
  <ap:LinksUpToDate>false</ap:LinksUpToDate>
  <ap:CharactersWithSpaces>2219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2026-03-11T16:45:00.0000000Z</dcterms:created>
  <dcterms:modified xsi:type="dcterms:W3CDTF">2026-03-11T16:54:00.0000000Z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0x010100BB93CF778AF26044BFEA169266F8E057</vt:lpwstr>
  </property>
</Properties>
</file>