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614"/>
        <w:gridCol w:w="5596"/>
      </w:tblGrid>
      <w:tr w:rsidR="003F75A1" w:rsidTr="0EC1BB5F" w14:paraId="34416328" w14:textId="77777777">
        <w:tc>
          <w:tcPr>
            <w:tcW w:w="3614" w:type="dxa"/>
            <w:tcBorders>
              <w:bottom w:val="single" w:color="auto" w:sz="4" w:space="0"/>
            </w:tcBorders>
            <w:tcMar/>
          </w:tcPr>
          <w:p w:rsidR="003F75A1" w:rsidRDefault="003F75A1" w14:paraId="34416326" w14:textId="77777777">
            <w:pPr>
              <w:rPr>
                <w:b/>
              </w:rPr>
            </w:pPr>
            <w:r>
              <w:rPr>
                <w:b/>
              </w:rPr>
              <w:t>Tweede Kamer der Staten-Generaal</w:t>
            </w:r>
          </w:p>
        </w:tc>
        <w:tc>
          <w:tcPr>
            <w:tcW w:w="5596" w:type="dxa"/>
            <w:tcBorders>
              <w:bottom w:val="single" w:color="auto" w:sz="4" w:space="0"/>
            </w:tcBorders>
            <w:tcMar/>
          </w:tcPr>
          <w:p w:rsidR="003F75A1" w:rsidRDefault="003F75A1" w14:paraId="34416327" w14:textId="77777777">
            <w:pPr>
              <w:jc w:val="right"/>
              <w:rPr>
                <w:b/>
                <w:sz w:val="32"/>
              </w:rPr>
            </w:pPr>
            <w:r>
              <w:rPr>
                <w:b/>
                <w:sz w:val="32"/>
              </w:rPr>
              <w:t>2</w:t>
            </w:r>
          </w:p>
        </w:tc>
      </w:tr>
      <w:tr w:rsidR="003F75A1" w:rsidTr="0EC1BB5F" w14:paraId="3441632B" w14:textId="77777777">
        <w:trPr>
          <w:trHeight w:val="330"/>
        </w:trPr>
        <w:tc>
          <w:tcPr>
            <w:tcW w:w="3614" w:type="dxa"/>
            <w:tcMar/>
          </w:tcPr>
          <w:p w:rsidR="003F75A1" w:rsidRDefault="003F75A1" w14:paraId="34416329" w14:textId="77777777"/>
        </w:tc>
        <w:tc>
          <w:tcPr>
            <w:tcW w:w="5596" w:type="dxa"/>
            <w:tcMar/>
          </w:tcPr>
          <w:p w:rsidR="003F75A1" w:rsidRDefault="003F75A1" w14:paraId="3441632A" w14:textId="77777777"/>
        </w:tc>
      </w:tr>
      <w:tr w:rsidR="003F75A1" w:rsidTr="0EC1BB5F" w14:paraId="3441632E" w14:textId="77777777">
        <w:tc>
          <w:tcPr>
            <w:tcW w:w="3614" w:type="dxa"/>
            <w:tcBorders>
              <w:bottom w:val="single" w:color="auto" w:sz="4" w:space="0"/>
            </w:tcBorders>
            <w:tcMar/>
          </w:tcPr>
          <w:p w:rsidR="003F75A1" w:rsidP="00380064" w:rsidRDefault="003F75A1" w14:paraId="3441632C" w14:textId="496D87F2">
            <w:r>
              <w:t>Vergaderjaar 20</w:t>
            </w:r>
            <w:r w:rsidR="000D5248">
              <w:t>2</w:t>
            </w:r>
            <w:r w:rsidR="004B0FE7">
              <w:t>5</w:t>
            </w:r>
            <w:r>
              <w:t>-20</w:t>
            </w:r>
            <w:r w:rsidR="00EA66D5">
              <w:t>2</w:t>
            </w:r>
            <w:r w:rsidR="004B0FE7">
              <w:t>6</w:t>
            </w:r>
          </w:p>
        </w:tc>
        <w:tc>
          <w:tcPr>
            <w:tcW w:w="5596" w:type="dxa"/>
            <w:tcBorders>
              <w:bottom w:val="single" w:color="auto" w:sz="4" w:space="0"/>
            </w:tcBorders>
            <w:tcMar/>
          </w:tcPr>
          <w:p w:rsidR="003F75A1" w:rsidRDefault="003F75A1" w14:paraId="3441632D" w14:textId="77777777"/>
        </w:tc>
      </w:tr>
      <w:tr w:rsidR="003F75A1" w:rsidTr="0EC1BB5F" w14:paraId="34416331" w14:textId="77777777">
        <w:tc>
          <w:tcPr>
            <w:tcW w:w="3614" w:type="dxa"/>
            <w:tcMar/>
          </w:tcPr>
          <w:p w:rsidR="003F75A1" w:rsidRDefault="003F75A1" w14:paraId="3441632F" w14:textId="77777777"/>
        </w:tc>
        <w:tc>
          <w:tcPr>
            <w:tcW w:w="5596" w:type="dxa"/>
            <w:tcMar/>
          </w:tcPr>
          <w:p w:rsidRPr="0043511E" w:rsidR="003F75A1" w:rsidRDefault="003F75A1" w14:paraId="34416330" w14:textId="77777777">
            <w:pPr>
              <w:rPr>
                <w:b/>
              </w:rPr>
            </w:pPr>
          </w:p>
        </w:tc>
      </w:tr>
      <w:tr w:rsidRPr="001F0B0F" w:rsidR="003F75A1" w:rsidTr="0EC1BB5F" w14:paraId="34416336" w14:textId="77777777">
        <w:tc>
          <w:tcPr>
            <w:tcW w:w="3614" w:type="dxa"/>
            <w:tcMar/>
          </w:tcPr>
          <w:p w:rsidRPr="00CF3D97" w:rsidR="003F75A1" w:rsidP="00606DC3" w:rsidRDefault="003F75A1" w14:paraId="34416332" w14:textId="77777777">
            <w:pPr>
              <w:rPr>
                <w:b/>
                <w:highlight w:val="yellow"/>
              </w:rPr>
            </w:pPr>
          </w:p>
        </w:tc>
        <w:tc>
          <w:tcPr>
            <w:tcW w:w="5596" w:type="dxa"/>
            <w:tcMar/>
          </w:tcPr>
          <w:tbl>
            <w:tblPr>
              <w:tblW w:w="216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1600"/>
            </w:tblGrid>
            <w:tr w:rsidRPr="00AD33D5" w:rsidR="00AD33D5" w:rsidTr="00AD33D5" w14:paraId="34416334" w14:textId="77777777">
              <w:tc>
                <w:tcPr>
                  <w:tcW w:w="18938" w:type="dxa"/>
                  <w:shd w:val="clear" w:color="auto" w:fill="FFFFFF"/>
                  <w:vAlign w:val="center"/>
                  <w:hideMark/>
                </w:tcPr>
                <w:p w:rsidRPr="00606DC3" w:rsidR="00AD33D5" w:rsidP="00AD33D5" w:rsidRDefault="00AD33D5" w14:paraId="34416333" w14:textId="77777777">
                  <w:pPr>
                    <w:rPr>
                      <w:b/>
                      <w:szCs w:val="22"/>
                    </w:rPr>
                  </w:pPr>
                </w:p>
              </w:tc>
            </w:tr>
          </w:tbl>
          <w:p w:rsidRPr="00AD33D5" w:rsidR="003F75A1" w:rsidP="00F337A0" w:rsidRDefault="003F75A1" w14:paraId="34416335" w14:textId="77777777">
            <w:pPr>
              <w:rPr>
                <w:b/>
                <w:szCs w:val="22"/>
              </w:rPr>
            </w:pPr>
          </w:p>
        </w:tc>
      </w:tr>
      <w:tr w:rsidRPr="001F0B0F" w:rsidR="003F75A1" w:rsidTr="0EC1BB5F" w14:paraId="34416339" w14:textId="77777777">
        <w:tc>
          <w:tcPr>
            <w:tcW w:w="3614" w:type="dxa"/>
            <w:tcMar/>
          </w:tcPr>
          <w:p w:rsidRPr="00821561" w:rsidR="00F46616" w:rsidP="00D20AEC" w:rsidRDefault="00D20AEC" w14:paraId="34416337" w14:textId="293DEE09">
            <w:pPr>
              <w:rPr>
                <w:b/>
              </w:rPr>
            </w:pPr>
            <w:r>
              <w:rPr>
                <w:b/>
              </w:rPr>
              <w:t>28 165</w:t>
            </w:r>
          </w:p>
        </w:tc>
        <w:tc>
          <w:tcPr>
            <w:tcW w:w="5596" w:type="dxa"/>
            <w:tcMar/>
          </w:tcPr>
          <w:p w:rsidRPr="00D20AEC" w:rsidR="00707E21" w:rsidP="00D20AEC" w:rsidRDefault="00366C83" w14:paraId="34416338" w14:textId="08F95A3C">
            <w:pPr>
              <w:rPr>
                <w:b/>
                <w:bCs/>
              </w:rPr>
            </w:pPr>
            <w:r w:rsidRPr="00366C83">
              <w:rPr>
                <w:b/>
                <w:bCs/>
              </w:rPr>
              <w:t>Deelnemingenbeleid Rijksoverheid</w:t>
            </w:r>
          </w:p>
        </w:tc>
      </w:tr>
      <w:tr w:rsidRPr="001F0B0F" w:rsidR="003F75A1" w:rsidTr="0EC1BB5F" w14:paraId="3441633C" w14:textId="77777777">
        <w:tc>
          <w:tcPr>
            <w:tcW w:w="3614" w:type="dxa"/>
            <w:tcMar/>
          </w:tcPr>
          <w:p w:rsidRPr="001F0B0F" w:rsidR="003F75A1" w:rsidRDefault="003F75A1" w14:paraId="3441633A" w14:textId="77777777"/>
        </w:tc>
        <w:tc>
          <w:tcPr>
            <w:tcW w:w="5596" w:type="dxa"/>
            <w:tcMar/>
          </w:tcPr>
          <w:p w:rsidRPr="001F0B0F" w:rsidR="003F75A1" w:rsidRDefault="003F75A1" w14:paraId="3441633B" w14:textId="77777777"/>
        </w:tc>
      </w:tr>
      <w:tr w:rsidRPr="001F0B0F" w:rsidR="003F75A1" w:rsidTr="0EC1BB5F" w14:paraId="3441633F" w14:textId="77777777">
        <w:tc>
          <w:tcPr>
            <w:tcW w:w="3614" w:type="dxa"/>
            <w:tcMar/>
          </w:tcPr>
          <w:p w:rsidRPr="001F0B0F" w:rsidR="003F75A1" w:rsidRDefault="003F75A1" w14:paraId="3441633D" w14:textId="77777777"/>
        </w:tc>
        <w:tc>
          <w:tcPr>
            <w:tcW w:w="5596" w:type="dxa"/>
            <w:tcMar/>
          </w:tcPr>
          <w:p w:rsidRPr="001F0B0F" w:rsidR="003F75A1" w:rsidRDefault="003F75A1" w14:paraId="3441633E" w14:textId="77777777"/>
        </w:tc>
      </w:tr>
      <w:tr w:rsidR="003F75A1" w:rsidTr="0EC1BB5F" w14:paraId="34416342" w14:textId="77777777">
        <w:tc>
          <w:tcPr>
            <w:tcW w:w="3614" w:type="dxa"/>
            <w:tcMar/>
          </w:tcPr>
          <w:p w:rsidR="003F75A1" w:rsidRDefault="003F75A1" w14:paraId="34416340" w14:textId="77777777">
            <w:pPr>
              <w:rPr>
                <w:b/>
              </w:rPr>
            </w:pPr>
            <w:r>
              <w:rPr>
                <w:b/>
              </w:rPr>
              <w:t xml:space="preserve">Nr. </w:t>
            </w:r>
          </w:p>
        </w:tc>
        <w:tc>
          <w:tcPr>
            <w:tcW w:w="5596" w:type="dxa"/>
            <w:tcMar/>
          </w:tcPr>
          <w:p w:rsidR="003F75A1" w:rsidRDefault="003F75A1" w14:paraId="34416341" w14:textId="77777777">
            <w:pPr>
              <w:pStyle w:val="Kop1"/>
            </w:pPr>
            <w:r>
              <w:t>VERSLAG</w:t>
            </w:r>
            <w:r w:rsidR="00857C2B">
              <w:t xml:space="preserve"> VAN EEN SCHRIFTELIJK OVERLEG</w:t>
            </w:r>
          </w:p>
        </w:tc>
      </w:tr>
      <w:tr w:rsidR="003F75A1" w:rsidTr="0EC1BB5F" w14:paraId="34416345" w14:textId="77777777">
        <w:tc>
          <w:tcPr>
            <w:tcW w:w="3614" w:type="dxa"/>
            <w:tcMar/>
          </w:tcPr>
          <w:p w:rsidR="003F75A1" w:rsidRDefault="003F75A1" w14:paraId="34416343" w14:textId="77777777"/>
        </w:tc>
        <w:tc>
          <w:tcPr>
            <w:tcW w:w="5596" w:type="dxa"/>
            <w:tcMar/>
          </w:tcPr>
          <w:p w:rsidR="003F75A1" w:rsidP="00314519" w:rsidRDefault="003F75A1" w14:paraId="34416344" w14:textId="490CFAD1">
            <w:pPr>
              <w:pStyle w:val="Kop1"/>
              <w:rPr>
                <w:b w:val="0"/>
              </w:rPr>
            </w:pPr>
            <w:r>
              <w:rPr>
                <w:b w:val="0"/>
              </w:rPr>
              <w:t xml:space="preserve">Vastgesteld </w:t>
            </w:r>
            <w:r w:rsidR="00606DC3">
              <w:rPr>
                <w:b w:val="0"/>
              </w:rPr>
              <w:t>…</w:t>
            </w:r>
            <w:r w:rsidR="0047266F">
              <w:rPr>
                <w:b w:val="0"/>
              </w:rPr>
              <w:t xml:space="preserve"> </w:t>
            </w:r>
            <w:r w:rsidR="001E0A22">
              <w:rPr>
                <w:b w:val="0"/>
              </w:rPr>
              <w:t>2026</w:t>
            </w:r>
          </w:p>
        </w:tc>
      </w:tr>
      <w:tr w:rsidR="003F75A1" w:rsidTr="0EC1BB5F" w14:paraId="34416348" w14:textId="77777777">
        <w:tc>
          <w:tcPr>
            <w:tcW w:w="3614" w:type="dxa"/>
            <w:tcMar/>
          </w:tcPr>
          <w:p w:rsidR="003F75A1" w:rsidRDefault="003F75A1" w14:paraId="34416346" w14:textId="77777777"/>
        </w:tc>
        <w:tc>
          <w:tcPr>
            <w:tcW w:w="5596" w:type="dxa"/>
            <w:tcMar/>
          </w:tcPr>
          <w:p w:rsidR="003F75A1" w:rsidRDefault="003F75A1" w14:paraId="34416347" w14:textId="77777777">
            <w:pPr>
              <w:pStyle w:val="Kop1"/>
            </w:pPr>
          </w:p>
        </w:tc>
      </w:tr>
      <w:tr w:rsidR="003F75A1" w:rsidTr="0EC1BB5F" w14:paraId="3441634E" w14:textId="77777777">
        <w:tc>
          <w:tcPr>
            <w:tcW w:w="3614" w:type="dxa"/>
            <w:tcMar/>
          </w:tcPr>
          <w:p w:rsidR="003F75A1" w:rsidRDefault="003F75A1" w14:paraId="34416349" w14:textId="77777777"/>
        </w:tc>
        <w:tc>
          <w:tcPr>
            <w:tcW w:w="5596" w:type="dxa"/>
            <w:tcMar/>
          </w:tcPr>
          <w:p w:rsidR="0047266F" w:rsidP="004F7AB1" w:rsidRDefault="00336562" w14:paraId="3441634B" w14:textId="57F8FB2E">
            <w:pPr>
              <w:pStyle w:val="Kop1"/>
              <w:rPr>
                <w:b w:val="0"/>
                <w:bCs w:val="0"/>
              </w:rPr>
            </w:pPr>
            <w:r w:rsidR="00336562">
              <w:rPr>
                <w:b w:val="0"/>
                <w:bCs w:val="0"/>
              </w:rPr>
              <w:t xml:space="preserve">De vaste commissie voor Financiën heeft op </w:t>
            </w:r>
            <w:r w:rsidR="00366C83">
              <w:rPr>
                <w:b w:val="0"/>
                <w:bCs w:val="0"/>
              </w:rPr>
              <w:t>1</w:t>
            </w:r>
            <w:r w:rsidR="0AAA5BE1">
              <w:rPr>
                <w:b w:val="0"/>
                <w:bCs w:val="0"/>
              </w:rPr>
              <w:t>2</w:t>
            </w:r>
            <w:r w:rsidR="00336562">
              <w:rPr>
                <w:b w:val="0"/>
                <w:bCs w:val="0"/>
              </w:rPr>
              <w:t xml:space="preserve"> maart 2026 een aantal vragen en opmerkingen voorgelegd aan de </w:t>
            </w:r>
            <w:r w:rsidR="00366C83">
              <w:rPr>
                <w:b w:val="0"/>
                <w:bCs w:val="0"/>
              </w:rPr>
              <w:t>minister</w:t>
            </w:r>
            <w:r w:rsidR="00336562">
              <w:rPr>
                <w:b w:val="0"/>
                <w:bCs w:val="0"/>
              </w:rPr>
              <w:t xml:space="preserve"> van Financiën over de door de </w:t>
            </w:r>
            <w:r w:rsidR="00366C83">
              <w:rPr>
                <w:b w:val="0"/>
                <w:bCs w:val="0"/>
              </w:rPr>
              <w:t>minister</w:t>
            </w:r>
            <w:r w:rsidR="00336562">
              <w:rPr>
                <w:b w:val="0"/>
                <w:bCs w:val="0"/>
              </w:rPr>
              <w:t xml:space="preserve"> op </w:t>
            </w:r>
            <w:r w:rsidR="00366C83">
              <w:rPr>
                <w:b w:val="0"/>
                <w:bCs w:val="0"/>
              </w:rPr>
              <w:t>3</w:t>
            </w:r>
            <w:r w:rsidR="00336562">
              <w:rPr>
                <w:b w:val="0"/>
                <w:bCs w:val="0"/>
              </w:rPr>
              <w:t xml:space="preserve"> februari 2026 toegezonden brief over de </w:t>
            </w:r>
            <w:r w:rsidR="00A079EE">
              <w:rPr>
                <w:b w:val="0"/>
                <w:bCs w:val="0"/>
              </w:rPr>
              <w:t>o</w:t>
            </w:r>
            <w:r w:rsidR="00A079EE">
              <w:rPr>
                <w:b w:val="0"/>
                <w:bCs w:val="0"/>
              </w:rPr>
              <w:t xml:space="preserve">vereenkomst </w:t>
            </w:r>
            <w:r w:rsidR="00A079EE">
              <w:rPr>
                <w:b w:val="0"/>
                <w:bCs w:val="0"/>
              </w:rPr>
              <w:t xml:space="preserve">met de </w:t>
            </w:r>
            <w:r w:rsidR="00A079EE">
              <w:rPr>
                <w:b w:val="0"/>
                <w:bCs w:val="0"/>
              </w:rPr>
              <w:t>Duitse staat</w:t>
            </w:r>
            <w:r w:rsidR="00A079EE">
              <w:rPr>
                <w:b w:val="0"/>
                <w:bCs w:val="0"/>
              </w:rPr>
              <w:t xml:space="preserve"> over de</w:t>
            </w:r>
            <w:r w:rsidR="00A079EE">
              <w:rPr>
                <w:b w:val="0"/>
                <w:bCs w:val="0"/>
              </w:rPr>
              <w:t xml:space="preserve"> deelverkoop</w:t>
            </w:r>
            <w:r w:rsidR="00A079EE">
              <w:rPr>
                <w:b w:val="0"/>
                <w:bCs w:val="0"/>
              </w:rPr>
              <w:t xml:space="preserve"> van</w:t>
            </w:r>
            <w:r w:rsidR="00A079EE">
              <w:rPr>
                <w:b w:val="0"/>
                <w:bCs w:val="0"/>
              </w:rPr>
              <w:t xml:space="preserve"> </w:t>
            </w:r>
            <w:r w:rsidR="00A079EE">
              <w:rPr>
                <w:b w:val="0"/>
                <w:bCs w:val="0"/>
              </w:rPr>
              <w:t>TenneT</w:t>
            </w:r>
            <w:r w:rsidR="00A079EE">
              <w:rPr>
                <w:b w:val="0"/>
                <w:bCs w:val="0"/>
              </w:rPr>
              <w:t xml:space="preserve"> Duitsland</w:t>
            </w:r>
            <w:r w:rsidR="00336562">
              <w:rPr>
                <w:b w:val="0"/>
                <w:bCs w:val="0"/>
              </w:rPr>
              <w:t xml:space="preserve"> (Kamerstuk </w:t>
            </w:r>
            <w:r w:rsidR="00A079EE">
              <w:rPr>
                <w:b w:val="0"/>
                <w:bCs w:val="0"/>
              </w:rPr>
              <w:t>28 165</w:t>
            </w:r>
            <w:r w:rsidR="00336562">
              <w:rPr>
                <w:b w:val="0"/>
                <w:bCs w:val="0"/>
              </w:rPr>
              <w:t xml:space="preserve">, nr. </w:t>
            </w:r>
            <w:r w:rsidR="000308CF">
              <w:rPr>
                <w:b w:val="0"/>
                <w:bCs w:val="0"/>
              </w:rPr>
              <w:t>470</w:t>
            </w:r>
            <w:r w:rsidR="00336562">
              <w:rPr>
                <w:b w:val="0"/>
                <w:bCs w:val="0"/>
              </w:rPr>
              <w:t>)</w:t>
            </w:r>
            <w:r w:rsidR="004B3DC8">
              <w:rPr>
                <w:b w:val="0"/>
                <w:bCs w:val="0"/>
              </w:rPr>
              <w:t>.</w:t>
            </w:r>
          </w:p>
          <w:p w:rsidRPr="004B3DC8" w:rsidR="004B3DC8" w:rsidP="004B3DC8" w:rsidRDefault="004B3DC8" w14:paraId="78B78EE9" w14:textId="77777777"/>
          <w:p w:rsidR="00F5347D" w:rsidP="004F7AB1" w:rsidRDefault="00E019F9" w14:paraId="3441634C" w14:textId="7DDC36E8">
            <w:pPr>
              <w:pStyle w:val="Kop1"/>
              <w:rPr>
                <w:b w:val="0"/>
              </w:rPr>
            </w:pPr>
            <w:r w:rsidRPr="00E019F9">
              <w:rPr>
                <w:b w:val="0"/>
              </w:rPr>
              <w:t xml:space="preserve">De </w:t>
            </w:r>
            <w:r w:rsidR="000308CF">
              <w:rPr>
                <w:b w:val="0"/>
              </w:rPr>
              <w:t>minister</w:t>
            </w:r>
            <w:r w:rsidRPr="006A4F24" w:rsidR="006A4F24">
              <w:rPr>
                <w:b w:val="0"/>
              </w:rPr>
              <w:t xml:space="preserve"> van Financiën </w:t>
            </w:r>
            <w:r w:rsidR="00626773">
              <w:rPr>
                <w:b w:val="0"/>
              </w:rPr>
              <w:t>h</w:t>
            </w:r>
            <w:r w:rsidRPr="00E019F9">
              <w:rPr>
                <w:b w:val="0"/>
              </w:rPr>
              <w:t xml:space="preserve">eeft deze vragen beantwoord bij brief van </w:t>
            </w:r>
            <w:r w:rsidR="004F7AB1">
              <w:rPr>
                <w:b w:val="0"/>
              </w:rPr>
              <w:t>…..</w:t>
            </w:r>
            <w:r w:rsidRPr="00E019F9">
              <w:rPr>
                <w:b w:val="0"/>
              </w:rPr>
              <w:t xml:space="preserve">. </w:t>
            </w:r>
          </w:p>
          <w:p w:rsidR="006A4F24" w:rsidP="004F7AB1" w:rsidRDefault="006A4F24" w14:paraId="6D6A9A7C" w14:textId="77777777">
            <w:pPr>
              <w:pStyle w:val="Kop1"/>
              <w:rPr>
                <w:b w:val="0"/>
              </w:rPr>
            </w:pPr>
          </w:p>
          <w:p w:rsidRPr="003B7B12" w:rsidR="003F75A1" w:rsidP="004F7AB1" w:rsidRDefault="00E019F9" w14:paraId="3441634D" w14:textId="0B739D6A">
            <w:pPr>
              <w:pStyle w:val="Kop1"/>
              <w:rPr>
                <w:b w:val="0"/>
              </w:rPr>
            </w:pPr>
            <w:r w:rsidRPr="00E019F9">
              <w:rPr>
                <w:b w:val="0"/>
              </w:rPr>
              <w:t xml:space="preserve">Vragen en antwoorden zijn hierna afgedrukt. </w:t>
            </w:r>
          </w:p>
        </w:tc>
      </w:tr>
      <w:tr w:rsidR="003B7B12" w:rsidTr="0EC1BB5F" w14:paraId="34416351" w14:textId="77777777">
        <w:tc>
          <w:tcPr>
            <w:tcW w:w="3614" w:type="dxa"/>
            <w:tcMar/>
          </w:tcPr>
          <w:p w:rsidR="003B7B12" w:rsidRDefault="003B7B12" w14:paraId="3441634F" w14:textId="77777777"/>
        </w:tc>
        <w:tc>
          <w:tcPr>
            <w:tcW w:w="5596" w:type="dxa"/>
            <w:tcMar/>
          </w:tcPr>
          <w:p w:rsidR="003B7B12" w:rsidRDefault="003B7B12" w14:paraId="34416350" w14:textId="77777777">
            <w:pPr>
              <w:pStyle w:val="Kop1"/>
              <w:rPr>
                <w:b w:val="0"/>
              </w:rPr>
            </w:pPr>
          </w:p>
        </w:tc>
      </w:tr>
      <w:tr w:rsidR="003F75A1" w:rsidTr="0EC1BB5F" w14:paraId="34416355" w14:textId="77777777">
        <w:tc>
          <w:tcPr>
            <w:tcW w:w="3614" w:type="dxa"/>
            <w:tcMar/>
          </w:tcPr>
          <w:p w:rsidR="003F75A1" w:rsidRDefault="003F75A1" w14:paraId="34416352" w14:textId="77777777"/>
        </w:tc>
        <w:tc>
          <w:tcPr>
            <w:tcW w:w="5596" w:type="dxa"/>
            <w:tcMar/>
          </w:tcPr>
          <w:p w:rsidR="003F75A1" w:rsidRDefault="003F75A1" w14:paraId="34416353" w14:textId="66DE76AD">
            <w:pPr>
              <w:pStyle w:val="Kop1"/>
              <w:rPr>
                <w:b w:val="0"/>
              </w:rPr>
            </w:pPr>
            <w:r>
              <w:rPr>
                <w:b w:val="0"/>
              </w:rPr>
              <w:t xml:space="preserve">De </w:t>
            </w:r>
            <w:r w:rsidR="006A4F24">
              <w:rPr>
                <w:b w:val="0"/>
              </w:rPr>
              <w:t xml:space="preserve">fungerend </w:t>
            </w:r>
            <w:r>
              <w:rPr>
                <w:b w:val="0"/>
              </w:rPr>
              <w:t>voorzitter van de commissie,</w:t>
            </w:r>
          </w:p>
          <w:p w:rsidR="00B450E9" w:rsidP="00B450E9" w:rsidRDefault="006A4F24" w14:paraId="34416354" w14:textId="603A4629">
            <w:r>
              <w:t>Van der Lee</w:t>
            </w:r>
          </w:p>
        </w:tc>
      </w:tr>
      <w:tr w:rsidR="003F75A1" w:rsidTr="0EC1BB5F" w14:paraId="34416358" w14:textId="77777777">
        <w:tc>
          <w:tcPr>
            <w:tcW w:w="3614" w:type="dxa"/>
            <w:tcMar/>
          </w:tcPr>
          <w:p w:rsidR="003F75A1" w:rsidRDefault="003F75A1" w14:paraId="34416356" w14:textId="77777777"/>
        </w:tc>
        <w:tc>
          <w:tcPr>
            <w:tcW w:w="5596" w:type="dxa"/>
            <w:tcMar/>
          </w:tcPr>
          <w:p w:rsidR="003F75A1" w:rsidRDefault="003F75A1" w14:paraId="34416357" w14:textId="77777777">
            <w:pPr>
              <w:pStyle w:val="Kop1"/>
              <w:rPr>
                <w:b w:val="0"/>
              </w:rPr>
            </w:pPr>
          </w:p>
        </w:tc>
      </w:tr>
      <w:tr w:rsidR="003F75A1" w:rsidTr="0EC1BB5F" w14:paraId="3441635C" w14:textId="77777777">
        <w:tc>
          <w:tcPr>
            <w:tcW w:w="3614" w:type="dxa"/>
            <w:tcMar/>
          </w:tcPr>
          <w:p w:rsidR="003F75A1" w:rsidRDefault="003F75A1" w14:paraId="34416359" w14:textId="77777777"/>
        </w:tc>
        <w:tc>
          <w:tcPr>
            <w:tcW w:w="5596" w:type="dxa"/>
            <w:tcMar/>
          </w:tcPr>
          <w:p w:rsidR="003F75A1" w:rsidRDefault="003F75A1" w14:paraId="3441635A" w14:textId="3CD2A6D3">
            <w:pPr>
              <w:pStyle w:val="Kop1"/>
              <w:rPr>
                <w:b w:val="0"/>
              </w:rPr>
            </w:pPr>
            <w:r>
              <w:rPr>
                <w:b w:val="0"/>
              </w:rPr>
              <w:t xml:space="preserve">De </w:t>
            </w:r>
            <w:r w:rsidR="004B0FE7">
              <w:rPr>
                <w:b w:val="0"/>
              </w:rPr>
              <w:t>adjunct-</w:t>
            </w:r>
            <w:r>
              <w:rPr>
                <w:b w:val="0"/>
              </w:rPr>
              <w:t>griffier van de commissie,</w:t>
            </w:r>
          </w:p>
          <w:p w:rsidR="003F75A1" w:rsidRDefault="000308CF" w14:paraId="3441635B" w14:textId="08ED6444">
            <w:r>
              <w:t>Van der Steur</w:t>
            </w:r>
          </w:p>
        </w:tc>
      </w:tr>
      <w:tr w:rsidR="00F474A2" w:rsidTr="0EC1BB5F" w14:paraId="3441635F" w14:textId="77777777">
        <w:tc>
          <w:tcPr>
            <w:tcW w:w="3614" w:type="dxa"/>
            <w:tcMar/>
          </w:tcPr>
          <w:p w:rsidR="00F474A2" w:rsidRDefault="00F474A2" w14:paraId="3441635D" w14:textId="77777777"/>
        </w:tc>
        <w:tc>
          <w:tcPr>
            <w:tcW w:w="5596" w:type="dxa"/>
            <w:tcMar/>
          </w:tcPr>
          <w:p w:rsidR="00F474A2" w:rsidRDefault="00F474A2" w14:paraId="3441635E" w14:textId="77777777">
            <w:pPr>
              <w:pStyle w:val="Kop1"/>
              <w:rPr>
                <w:b w:val="0"/>
              </w:rPr>
            </w:pPr>
          </w:p>
        </w:tc>
      </w:tr>
      <w:tr w:rsidR="00F474A2" w:rsidTr="0EC1BB5F" w14:paraId="34416362" w14:textId="77777777">
        <w:tc>
          <w:tcPr>
            <w:tcW w:w="3614" w:type="dxa"/>
            <w:tcMar/>
          </w:tcPr>
          <w:p w:rsidR="00F474A2" w:rsidRDefault="00F474A2" w14:paraId="34416360" w14:textId="77777777"/>
        </w:tc>
        <w:tc>
          <w:tcPr>
            <w:tcW w:w="5596" w:type="dxa"/>
            <w:tcMar/>
          </w:tcPr>
          <w:p w:rsidRPr="00F474A2" w:rsidR="00F474A2" w:rsidRDefault="00F474A2" w14:paraId="34416361" w14:textId="77777777">
            <w:pPr>
              <w:pStyle w:val="Kop1"/>
            </w:pPr>
            <w:r w:rsidRPr="00F474A2">
              <w:t xml:space="preserve">I </w:t>
            </w:r>
            <w:r w:rsidRPr="00F474A2">
              <w:tab/>
            </w:r>
            <w:r w:rsidRPr="00F474A2">
              <w:t>Vragen en opmerkingen vanuit de fracties</w:t>
            </w:r>
          </w:p>
        </w:tc>
      </w:tr>
      <w:tr w:rsidR="00F474A2" w:rsidTr="0EC1BB5F" w14:paraId="34416365" w14:textId="77777777">
        <w:tc>
          <w:tcPr>
            <w:tcW w:w="3614" w:type="dxa"/>
            <w:tcMar/>
          </w:tcPr>
          <w:p w:rsidR="00F474A2" w:rsidRDefault="00F474A2" w14:paraId="34416363" w14:textId="77777777"/>
        </w:tc>
        <w:tc>
          <w:tcPr>
            <w:tcW w:w="5596" w:type="dxa"/>
            <w:tcMar/>
          </w:tcPr>
          <w:p w:rsidRPr="001E30CE" w:rsidR="00326C79" w:rsidP="002F019D" w:rsidRDefault="00326C79" w14:paraId="34416364" w14:textId="77777777"/>
        </w:tc>
      </w:tr>
      <w:tr w:rsidR="00F474A2" w:rsidTr="0EC1BB5F" w14:paraId="34416379" w14:textId="77777777">
        <w:tc>
          <w:tcPr>
            <w:tcW w:w="3614" w:type="dxa"/>
            <w:tcMar/>
          </w:tcPr>
          <w:p w:rsidR="00F474A2" w:rsidRDefault="00F474A2" w14:paraId="34416366" w14:textId="77777777"/>
        </w:tc>
        <w:tc>
          <w:tcPr>
            <w:tcW w:w="5596" w:type="dxa"/>
            <w:tcMar/>
          </w:tcPr>
          <w:p w:rsidRPr="0073088A" w:rsidR="0073088A" w:rsidP="0073088A" w:rsidRDefault="0073088A" w14:paraId="1AB99D43" w14:textId="77777777">
            <w:pPr>
              <w:rPr>
                <w:b/>
                <w:bCs/>
              </w:rPr>
            </w:pPr>
            <w:r w:rsidRPr="0073088A">
              <w:rPr>
                <w:b/>
                <w:bCs/>
              </w:rPr>
              <w:t>Vragen en opmerkingen van de leden van de D66-fractie</w:t>
            </w:r>
          </w:p>
          <w:p w:rsidR="0073088A" w:rsidP="0073088A" w:rsidRDefault="0073088A" w14:paraId="75253BFA" w14:textId="77777777"/>
          <w:p w:rsidR="00B23ABD" w:rsidP="0073088A" w:rsidRDefault="00046F2F" w14:paraId="573A30FC" w14:textId="0C5D94B5">
            <w:r w:rsidRPr="00046F2F">
              <w:t xml:space="preserve">De leden van de D66-fractie hebben met belangstelling kennisgenomen van de overeenkomst met de Duitse staat over een deelname in </w:t>
            </w:r>
            <w:proofErr w:type="spellStart"/>
            <w:r w:rsidRPr="00046F2F">
              <w:t>TenneT</w:t>
            </w:r>
            <w:proofErr w:type="spellEnd"/>
            <w:r w:rsidRPr="00046F2F">
              <w:t xml:space="preserve"> Duitsland. Deze leden constateren dat de minister aangeeft dat de bijdrage aan de Nederlandse publieke belangen "grotendeels in stand kan blijven" door contracten met beperkte beëindigingsmogelijkheden. Kan de minister nader toelichten wat "grotendeels" en "beperkt" in dit verband precies betekenen? Welke concrete synergiën zijn juridisch geborgd, voor welke termijn, en wat zijn de beëindigingsgronden?</w:t>
            </w:r>
          </w:p>
          <w:p w:rsidR="00AE099D" w:rsidP="0073088A" w:rsidRDefault="00AE099D" w14:paraId="1882D0C8" w14:textId="77777777"/>
          <w:p w:rsidR="00AC0999" w:rsidP="00AC0999" w:rsidRDefault="00AC0999" w14:paraId="3762B692" w14:textId="7C0368D4">
            <w:r w:rsidR="00AC0999">
              <w:rPr/>
              <w:t>De</w:t>
            </w:r>
            <w:r w:rsidR="00AC0999">
              <w:rPr/>
              <w:t>ze</w:t>
            </w:r>
            <w:r w:rsidR="00AC0999">
              <w:rPr/>
              <w:t xml:space="preserve"> leden merken op dat </w:t>
            </w:r>
            <w:r w:rsidR="00AC0999">
              <w:rPr/>
              <w:t>TenneT</w:t>
            </w:r>
            <w:r w:rsidR="00AC0999">
              <w:rPr/>
              <w:t xml:space="preserve"> op basis van de huidige kapitaalbehoefte een belang van </w:t>
            </w:r>
            <w:r w:rsidR="00AC0999">
              <w:rPr/>
              <w:t>circa</w:t>
            </w:r>
            <w:r w:rsidR="00AC0999">
              <w:rPr/>
              <w:t xml:space="preserve"> 28,9</w:t>
            </w:r>
            <w:r w:rsidR="6667942F">
              <w:rPr/>
              <w:t xml:space="preserve"> procent</w:t>
            </w:r>
            <w:r w:rsidR="00AC0999">
              <w:rPr/>
              <w:t xml:space="preserve"> behoudt en dat vetorechten behouden blijven zolang dit belang boven 25</w:t>
            </w:r>
            <w:r w:rsidR="0F227B16">
              <w:rPr/>
              <w:t xml:space="preserve"> procent</w:t>
            </w:r>
            <w:r w:rsidR="00AC0999">
              <w:rPr/>
              <w:t xml:space="preserve"> ligt. Wat gebeurt er met de </w:t>
            </w:r>
            <w:r w:rsidR="00AC0999">
              <w:rPr/>
              <w:t>governance</w:t>
            </w:r>
            <w:r w:rsidR="00AC0999">
              <w:rPr/>
              <w:t xml:space="preserve">-positie van </w:t>
            </w:r>
            <w:r w:rsidR="00AC0999">
              <w:rPr/>
              <w:t>TenneT</w:t>
            </w:r>
            <w:r w:rsidR="00AC0999">
              <w:rPr/>
              <w:t xml:space="preserve"> </w:t>
            </w:r>
            <w:r w:rsidR="00AC0999">
              <w:rPr/>
              <w:t>indien</w:t>
            </w:r>
            <w:r w:rsidR="00AC0999">
              <w:rPr/>
              <w:t xml:space="preserve"> de kapitaalbehoefte hoger uitvalt dan voorzien en </w:t>
            </w:r>
            <w:r w:rsidR="00AC0999">
              <w:rPr/>
              <w:t>TenneT</w:t>
            </w:r>
            <w:r w:rsidR="00AC0999">
              <w:rPr/>
              <w:t xml:space="preserve"> verwatert tot onder de 25</w:t>
            </w:r>
            <w:r w:rsidR="356AF8D1">
              <w:rPr/>
              <w:t xml:space="preserve"> procent</w:t>
            </w:r>
            <w:r w:rsidR="00AC0999">
              <w:rPr/>
              <w:t>? Welke afspraken zijn gemaakt om te voorkomen dat de Nederlandse staat haar vetorechten en daarmee haar sturingsmogelijkheden verliest?</w:t>
            </w:r>
          </w:p>
          <w:p w:rsidR="00AC0999" w:rsidP="00AC0999" w:rsidRDefault="00AC0999" w14:paraId="397DB01C" w14:textId="77777777"/>
          <w:p w:rsidRPr="00FB5A9B" w:rsidR="00FB5A9B" w:rsidP="00FB5A9B" w:rsidRDefault="00FB5A9B" w14:paraId="057D1DA5" w14:textId="59E7C9E6">
            <w:r w:rsidR="00FB5A9B">
              <w:rPr/>
              <w:t>De leden</w:t>
            </w:r>
            <w:r w:rsidR="00FB5A9B">
              <w:rPr/>
              <w:t xml:space="preserve"> van de D66-fractie</w:t>
            </w:r>
            <w:r w:rsidR="00FB5A9B">
              <w:rPr/>
              <w:t xml:space="preserve"> waarderen dat het risico dat de Nederlandse staat als </w:t>
            </w:r>
            <w:r w:rsidR="00FB5A9B">
              <w:rPr/>
              <w:t>lender</w:t>
            </w:r>
            <w:r w:rsidR="00FB5A9B">
              <w:rPr/>
              <w:t xml:space="preserve"> of last resort wordt aangesproken verder wordt verkleind. Tegelijk stellen </w:t>
            </w:r>
            <w:r w:rsidR="69B17CDE">
              <w:rPr/>
              <w:t>deze leden</w:t>
            </w:r>
            <w:r w:rsidR="00FB5A9B">
              <w:rPr/>
              <w:t xml:space="preserve"> vast dat geen van de aandeelhouders verplicht is bij te storten wanneer de kapitaalbehoefte boven het beschikbare kapitaal uitkomt. Kan de minister schetsen welk scenario zich voordoet als alle aandeelhouders weigeren bij te storten? </w:t>
            </w:r>
          </w:p>
          <w:p w:rsidRPr="00AC0999" w:rsidR="00AC0999" w:rsidP="00AC0999" w:rsidRDefault="00AC0999" w14:paraId="379D05A4" w14:textId="77777777"/>
          <w:p w:rsidR="00AE099D" w:rsidP="0073088A" w:rsidRDefault="00B24594" w14:paraId="545693E1" w14:textId="5BB0A83D">
            <w:r w:rsidR="00B24594">
              <w:rPr/>
              <w:t>De</w:t>
            </w:r>
            <w:r w:rsidR="00B24594">
              <w:rPr/>
              <w:t>ze</w:t>
            </w:r>
            <w:r w:rsidR="00B24594">
              <w:rPr/>
              <w:t xml:space="preserve"> leden constateren dat tegenover de aflossing van de aandeelhouderslening een structureel negatief saldo-effect staat van </w:t>
            </w:r>
            <w:r w:rsidR="00B24594">
              <w:rPr/>
              <w:t>circa</w:t>
            </w:r>
            <w:r w:rsidR="00B24594">
              <w:rPr/>
              <w:t xml:space="preserve"> 20 miljoen </w:t>
            </w:r>
            <w:r w:rsidR="42F5C053">
              <w:rPr/>
              <w:t xml:space="preserve">euro </w:t>
            </w:r>
            <w:r w:rsidR="00B24594">
              <w:rPr/>
              <w:t>per jaar. Kan de minister bevestigen dat dit netto-effect en de verwerking in de Voorjaarsnota 2026 tijdig met de Kamer worden gedeeld?</w:t>
            </w:r>
          </w:p>
          <w:p w:rsidR="00B24594" w:rsidP="0073088A" w:rsidRDefault="00B24594" w14:paraId="689BC144" w14:textId="77777777"/>
          <w:p w:rsidR="00B24594" w:rsidP="0073088A" w:rsidRDefault="00B11F94" w14:paraId="7EA0FBB2" w14:textId="2E7D4964">
            <w:r w:rsidR="00B11F94">
              <w:rPr/>
              <w:t xml:space="preserve">De leden </w:t>
            </w:r>
            <w:r w:rsidR="00B11F94">
              <w:rPr/>
              <w:t>van de D66-fractie</w:t>
            </w:r>
            <w:r w:rsidR="00B11F94">
              <w:rPr/>
              <w:t xml:space="preserve"> </w:t>
            </w:r>
            <w:r w:rsidR="00B11F94">
              <w:rPr/>
              <w:t>constateren</w:t>
            </w:r>
            <w:r w:rsidR="00B11F94">
              <w:rPr/>
              <w:t xml:space="preserve"> ten slotte</w:t>
            </w:r>
            <w:r w:rsidR="00B11F94">
              <w:rPr/>
              <w:t xml:space="preserve"> dat </w:t>
            </w:r>
            <w:r w:rsidR="00B11F94">
              <w:rPr/>
              <w:t>TenneT</w:t>
            </w:r>
            <w:r w:rsidR="00B11F94">
              <w:rPr/>
              <w:t xml:space="preserve"> een centrale rol speelt in de uitbreiding van het elektriciteitsnet, de aansluiting van offshore windparken en de integratie van het Nederlandse en Duitse elektriciteitssysteem. </w:t>
            </w:r>
            <w:r w:rsidR="2613320F">
              <w:rPr/>
              <w:t>Deze leden</w:t>
            </w:r>
            <w:r w:rsidR="00B11F94">
              <w:rPr/>
              <w:t xml:space="preserve"> </w:t>
            </w:r>
            <w:r w:rsidR="00B11F94">
              <w:rPr/>
              <w:t xml:space="preserve">vragen in hoeverre de gewijzigde aandeelhoudersstructuur van </w:t>
            </w:r>
            <w:r w:rsidR="00B11F94">
              <w:rPr/>
              <w:t>TenneT</w:t>
            </w:r>
            <w:r w:rsidR="00B11F94">
              <w:rPr/>
              <w:t xml:space="preserve"> Duitsland gevolgen kan hebben voor de prioritering en snelheid van netinvesteringen en hoe wordt geborgd dat de samenwerking tussen </w:t>
            </w:r>
            <w:r w:rsidR="00B11F94">
              <w:rPr/>
              <w:t>TenneT</w:t>
            </w:r>
            <w:r w:rsidR="00B11F94">
              <w:rPr/>
              <w:t xml:space="preserve"> en </w:t>
            </w:r>
            <w:r w:rsidR="00B11F94">
              <w:rPr/>
              <w:t>TenneT</w:t>
            </w:r>
            <w:r w:rsidR="00B11F94">
              <w:rPr/>
              <w:t xml:space="preserve"> Duitsland blijft bijdragen aan efficiënte netontwikkeling, systeemintegratie en leveringszekerheid in Noordwest-Europa.</w:t>
            </w:r>
          </w:p>
          <w:p w:rsidR="00011238" w:rsidP="0073088A" w:rsidRDefault="00011238" w14:paraId="0721F3DE" w14:textId="77777777"/>
          <w:p w:rsidRPr="00DF1637" w:rsidR="00DF1637" w:rsidP="00DF1637" w:rsidRDefault="00DF1637" w14:paraId="49B717BD" w14:textId="580C3E20">
            <w:r w:rsidRPr="00DF1637">
              <w:rPr>
                <w:b/>
                <w:bCs/>
              </w:rPr>
              <w:t>Vragen en opmerkingen van de leden van de VVD-fractie</w:t>
            </w:r>
          </w:p>
          <w:p w:rsidR="00DF1637" w:rsidP="00DF1637" w:rsidRDefault="00DF1637" w14:paraId="525A2638" w14:textId="77777777"/>
          <w:p w:rsidR="007F52C6" w:rsidP="007F52C6" w:rsidRDefault="007F52C6" w14:paraId="244975CE" w14:textId="47F20F4A">
            <w:r w:rsidR="007F52C6">
              <w:rPr/>
              <w:t xml:space="preserve">De leden van de VVD-fractie hebben kennisgenomen van de overeenkomst Duitse staat deelverkoop </w:t>
            </w:r>
            <w:r w:rsidR="007F52C6">
              <w:rPr/>
              <w:t>TenneT</w:t>
            </w:r>
            <w:r w:rsidR="007F52C6">
              <w:rPr/>
              <w:t xml:space="preserve"> Duitsland. </w:t>
            </w:r>
            <w:r w:rsidR="2A516862">
              <w:rPr/>
              <w:t>Deze leden</w:t>
            </w:r>
            <w:r w:rsidR="007F52C6">
              <w:rPr/>
              <w:t xml:space="preserve"> hebben hierbij de volgende vragen.</w:t>
            </w:r>
          </w:p>
          <w:p w:rsidRPr="007F52C6" w:rsidR="007F52C6" w:rsidP="007F52C6" w:rsidRDefault="007F52C6" w14:paraId="34A4A631" w14:textId="77777777"/>
          <w:p w:rsidR="00B27681" w:rsidP="007F52C6" w:rsidRDefault="007F52C6" w14:paraId="60794B7E" w14:textId="4A1169DA">
            <w:r w:rsidR="007F52C6">
              <w:rPr/>
              <w:t>De</w:t>
            </w:r>
            <w:r w:rsidR="007F52C6">
              <w:rPr/>
              <w:t>ze</w:t>
            </w:r>
            <w:r w:rsidR="007F52C6">
              <w:rPr/>
              <w:t xml:space="preserve"> leden lezen dat de transactiedocumentatie op 3 februari </w:t>
            </w:r>
            <w:r w:rsidR="00B27681">
              <w:rPr/>
              <w:t xml:space="preserve">2026 </w:t>
            </w:r>
            <w:r w:rsidR="007F52C6">
              <w:rPr/>
              <w:t>is ondertekend, maar dat nog aan enkele opschortende voorwaarden moet worden voldaan voordat de transactie kan worden geïmplementeerd. Welke andere opschortende voorwaarden zijn er naast de genoemde bevestiging door de Duitse energietoezichthouder en is ook bij deze voorwaarden de stellige verwachting dat hieraan zal worden</w:t>
            </w:r>
            <w:r w:rsidR="0CCCB254">
              <w:rPr/>
              <w:t xml:space="preserve"> voldaan</w:t>
            </w:r>
            <w:r w:rsidR="007F52C6">
              <w:rPr/>
              <w:t>?</w:t>
            </w:r>
          </w:p>
          <w:p w:rsidRPr="007F52C6" w:rsidR="00B27681" w:rsidP="007F52C6" w:rsidRDefault="00B27681" w14:paraId="59A32832" w14:textId="77777777"/>
          <w:p w:rsidR="00B27681" w:rsidP="007F52C6" w:rsidRDefault="007F52C6" w14:paraId="26651E0B" w14:textId="77777777">
            <w:r w:rsidRPr="007F52C6">
              <w:t>De verwachting is dat het proces in de eerste helft van 2026 zal worden afgerond, zo lezen de leden van de VVD-fractie. Wat zijn de consequenties voor de transactie indien de implementatie onverhoopt toch vertraging oploopt?</w:t>
            </w:r>
          </w:p>
          <w:p w:rsidRPr="007F52C6" w:rsidR="007F52C6" w:rsidP="007F52C6" w:rsidRDefault="007F52C6" w14:paraId="7994C878" w14:textId="6349EF10">
            <w:r w:rsidRPr="007F52C6">
              <w:t xml:space="preserve"> </w:t>
            </w:r>
          </w:p>
          <w:p w:rsidR="007F52C6" w:rsidP="007F52C6" w:rsidRDefault="007F52C6" w14:paraId="5BDB8C6B" w14:textId="1C878249">
            <w:r w:rsidR="007F52C6">
              <w:rPr/>
              <w:t xml:space="preserve">De leden van de VVD-fractie lezen in paragraaf 2 dat, </w:t>
            </w:r>
            <w:r w:rsidR="007F52C6">
              <w:rPr/>
              <w:t>indien</w:t>
            </w:r>
            <w:r w:rsidR="007F52C6">
              <w:rPr/>
              <w:t xml:space="preserve"> de kapitaalbehoefte van </w:t>
            </w:r>
            <w:r w:rsidR="007F52C6">
              <w:rPr/>
              <w:t>TenneT</w:t>
            </w:r>
            <w:r w:rsidR="007F52C6">
              <w:rPr/>
              <w:t xml:space="preserve"> Duitsland hoger is dan verwacht, de inbreng van de Duitse staat van 1,5 miljard</w:t>
            </w:r>
            <w:r w:rsidR="003F3165">
              <w:rPr/>
              <w:t xml:space="preserve"> euro</w:t>
            </w:r>
            <w:r w:rsidR="007F52C6">
              <w:rPr/>
              <w:t xml:space="preserve"> tot maximaal 2,34 miljard</w:t>
            </w:r>
            <w:r w:rsidR="003F3165">
              <w:rPr/>
              <w:t xml:space="preserve"> euro</w:t>
            </w:r>
            <w:r w:rsidR="007F52C6">
              <w:rPr/>
              <w:t xml:space="preserve"> toe zal nemen. </w:t>
            </w:r>
            <w:r w:rsidR="5611952B">
              <w:rPr/>
              <w:t>Deze leden</w:t>
            </w:r>
            <w:r w:rsidR="007F52C6">
              <w:rPr/>
              <w:t xml:space="preserve"> vragen welke effecten de toename van de inbreng of het uitblijven daarvan heeft op de aandelenbelangen of financiële verhoudingen.</w:t>
            </w:r>
          </w:p>
          <w:p w:rsidRPr="007F52C6" w:rsidR="00B27681" w:rsidP="007F52C6" w:rsidRDefault="00B27681" w14:paraId="35ADAFAF" w14:textId="77777777"/>
          <w:p w:rsidRPr="007F52C6" w:rsidR="007F52C6" w:rsidP="007F52C6" w:rsidRDefault="007F52C6" w14:paraId="10A6C336" w14:textId="331FBC53">
            <w:r w:rsidR="007F52C6">
              <w:rPr/>
              <w:t xml:space="preserve">Volgens paragraaf 2.3 blijft </w:t>
            </w:r>
            <w:r w:rsidR="007F52C6">
              <w:rPr/>
              <w:t>TenneT</w:t>
            </w:r>
            <w:r w:rsidR="007F52C6">
              <w:rPr/>
              <w:t xml:space="preserve"> de grootste aandeelhouder van </w:t>
            </w:r>
            <w:r w:rsidR="007F52C6">
              <w:rPr/>
              <w:t>TenneT</w:t>
            </w:r>
            <w:r w:rsidR="007F52C6">
              <w:rPr/>
              <w:t xml:space="preserve"> Duitsland,</w:t>
            </w:r>
            <w:r w:rsidR="00F312EF">
              <w:rPr/>
              <w:t xml:space="preserve"> zo lezen de leden van </w:t>
            </w:r>
            <w:r w:rsidR="00F312EF">
              <w:rPr/>
              <w:t xml:space="preserve">de VVD-fractie. </w:t>
            </w:r>
            <w:r w:rsidR="0086375A">
              <w:rPr/>
              <w:t>In</w:t>
            </w:r>
            <w:r w:rsidR="007F52C6">
              <w:rPr/>
              <w:t xml:space="preserve"> paragraaf 2.4 </w:t>
            </w:r>
            <w:r w:rsidR="0086375A">
              <w:rPr/>
              <w:t xml:space="preserve">zien </w:t>
            </w:r>
            <w:r w:rsidR="1BF00EB5">
              <w:rPr/>
              <w:t>deze leden</w:t>
            </w:r>
            <w:r w:rsidR="0086375A">
              <w:rPr/>
              <w:t xml:space="preserve"> echter</w:t>
            </w:r>
            <w:r w:rsidR="007F52C6">
              <w:rPr/>
              <w:t xml:space="preserve"> dat dit, uiteindelijk, de private investeerders zullen zijn. De</w:t>
            </w:r>
            <w:r w:rsidR="0086375A">
              <w:rPr/>
              <w:t>ze</w:t>
            </w:r>
            <w:r w:rsidR="007F52C6">
              <w:rPr/>
              <w:t xml:space="preserve"> leden</w:t>
            </w:r>
            <w:r w:rsidR="0086375A">
              <w:rPr/>
              <w:t xml:space="preserve"> </w:t>
            </w:r>
            <w:r w:rsidR="007F52C6">
              <w:rPr/>
              <w:t xml:space="preserve">vragen hoe in de </w:t>
            </w:r>
            <w:r w:rsidR="007F52C6">
              <w:rPr/>
              <w:t>governance</w:t>
            </w:r>
            <w:r w:rsidR="007F52C6">
              <w:rPr/>
              <w:t xml:space="preserve"> wordt geborgd dat er, naast de borging in wet- en regelgeving van grensoverschrijdende samenwerking, via </w:t>
            </w:r>
            <w:r w:rsidR="007F52C6">
              <w:rPr/>
              <w:t>TenneT</w:t>
            </w:r>
            <w:r w:rsidR="007F52C6">
              <w:rPr/>
              <w:t xml:space="preserve"> alsnog gestuurd kan worden op het Nederlandse publieke belang. Op welke belangrijke beslissingen behoudt </w:t>
            </w:r>
            <w:r w:rsidR="007F52C6">
              <w:rPr/>
              <w:t>TenneT</w:t>
            </w:r>
            <w:r w:rsidR="007F52C6">
              <w:rPr/>
              <w:t xml:space="preserve"> vetorechten?</w:t>
            </w:r>
          </w:p>
          <w:p w:rsidR="00B23ABD" w:rsidP="0073088A" w:rsidRDefault="00B23ABD" w14:paraId="440E8811" w14:textId="77777777"/>
          <w:p w:rsidRPr="00711EB7" w:rsidR="00711EB7" w:rsidP="00711EB7" w:rsidRDefault="00711EB7" w14:paraId="48528EB2" w14:textId="77777777">
            <w:r w:rsidRPr="00711EB7">
              <w:rPr>
                <w:b/>
                <w:bCs/>
              </w:rPr>
              <w:t>Vragen en opmerkingen van de leden van de GroenLinks-PvdA-fractie</w:t>
            </w:r>
            <w:r w:rsidRPr="00711EB7">
              <w:t> </w:t>
            </w:r>
          </w:p>
          <w:p w:rsidR="00711EB7" w:rsidP="00711EB7" w:rsidRDefault="00711EB7" w14:paraId="6C478538" w14:textId="77777777"/>
          <w:p w:rsidR="002C7062" w:rsidP="002C7062" w:rsidRDefault="002C7062" w14:paraId="219E46A6" w14:textId="08A9AA4C">
            <w:r w:rsidR="002C7062">
              <w:rPr/>
              <w:t>De leden van de GroenLinks-PvdA-fractie hebben met interesse kennisgenomen van de</w:t>
            </w:r>
            <w:r w:rsidR="00C519F3">
              <w:rPr/>
              <w:t xml:space="preserve"> brief</w:t>
            </w:r>
            <w:r w:rsidR="002C7062">
              <w:rPr/>
              <w:t xml:space="preserve"> </w:t>
            </w:r>
            <w:r w:rsidR="102C1375">
              <w:rPr/>
              <w:t>betreffende de o</w:t>
            </w:r>
            <w:r w:rsidRPr="0EC1BB5F" w:rsidR="002C7062">
              <w:rPr>
                <w:i w:val="0"/>
                <w:iCs w:val="0"/>
              </w:rPr>
              <w:t xml:space="preserve">vereenkomst Duitse staat deelverkoop </w:t>
            </w:r>
            <w:r w:rsidRPr="0EC1BB5F" w:rsidR="002C7062">
              <w:rPr>
                <w:i w:val="0"/>
                <w:iCs w:val="0"/>
              </w:rPr>
              <w:t>TenneT</w:t>
            </w:r>
            <w:r w:rsidRPr="0EC1BB5F" w:rsidR="002C7062">
              <w:rPr>
                <w:i w:val="0"/>
                <w:iCs w:val="0"/>
              </w:rPr>
              <w:t xml:space="preserve"> Duitsland</w:t>
            </w:r>
            <w:r w:rsidRPr="0EC1BB5F" w:rsidR="002C7062">
              <w:rPr>
                <w:i w:val="0"/>
                <w:iCs w:val="0"/>
              </w:rPr>
              <w:t>. Deze leden hebben hierover enkele vragen.</w:t>
            </w:r>
          </w:p>
          <w:p w:rsidR="00C519F3" w:rsidP="002C7062" w:rsidRDefault="00C519F3" w14:paraId="290E0855" w14:textId="77777777"/>
          <w:p w:rsidRPr="004E0CE1" w:rsidR="00950611" w:rsidP="00950611" w:rsidRDefault="00950611" w14:paraId="351E18DC" w14:textId="77777777">
            <w:r w:rsidRPr="0076063A">
              <w:t xml:space="preserve">De leden van de GroenLinks-PvdA-fractie begrijpen dat de </w:t>
            </w:r>
            <w:r>
              <w:t xml:space="preserve">gedeeltelijke verkoop van de aandelen in </w:t>
            </w:r>
            <w:proofErr w:type="spellStart"/>
            <w:r>
              <w:t>TenneT</w:t>
            </w:r>
            <w:proofErr w:type="spellEnd"/>
            <w:r>
              <w:t xml:space="preserve"> Duitsland aan de</w:t>
            </w:r>
            <w:r w:rsidRPr="0076063A">
              <w:t xml:space="preserve"> Duitse staat kan bijdragen aan het verminderen van de financiële risico’s voor de Nederlandse staat en aan de </w:t>
            </w:r>
            <w:r>
              <w:t>mogelijkheden voor de belangrijke</w:t>
            </w:r>
            <w:r w:rsidRPr="0076063A">
              <w:t xml:space="preserve"> investeringsopgave in het elektriciteitsnet. Deze leden hebben echter nog vragen over de budgettaire verwerking van de transactie</w:t>
            </w:r>
            <w:r>
              <w:t xml:space="preserve"> en</w:t>
            </w:r>
            <w:r w:rsidRPr="0076063A">
              <w:t xml:space="preserve"> de gevolgen voor de publieke belangen.</w:t>
            </w:r>
          </w:p>
          <w:p w:rsidR="00E22F92" w:rsidP="00711EB7" w:rsidRDefault="00E22F92" w14:paraId="1FCAC9FA" w14:textId="77777777"/>
          <w:p w:rsidR="00950611" w:rsidP="00711EB7" w:rsidRDefault="005B7287" w14:paraId="705A4463" w14:textId="6ED17157">
            <w:r w:rsidRPr="005B7287">
              <w:t>De leden van de GroenLinks-PvdA</w:t>
            </w:r>
            <w:r>
              <w:t>-</w:t>
            </w:r>
            <w:r w:rsidRPr="005B7287">
              <w:t xml:space="preserve">fractie constateren dat de minister stelt dat door de deelname van de Duitse staat het risico kleiner wordt dat de Nederlandse staat opnieuw moet bijstorten in </w:t>
            </w:r>
            <w:proofErr w:type="spellStart"/>
            <w:r w:rsidRPr="005B7287">
              <w:t>TenneT</w:t>
            </w:r>
            <w:proofErr w:type="spellEnd"/>
            <w:r w:rsidRPr="005B7287">
              <w:t xml:space="preserve"> Duitsland. In hoeverre blijft de Nederlandse staat, via </w:t>
            </w:r>
            <w:proofErr w:type="spellStart"/>
            <w:r w:rsidRPr="005B7287">
              <w:t>TenneT</w:t>
            </w:r>
            <w:proofErr w:type="spellEnd"/>
            <w:r w:rsidRPr="005B7287">
              <w:t xml:space="preserve">, nog blootgesteld aan risico’s voortvloeiend uit de investeringsopgave van </w:t>
            </w:r>
            <w:proofErr w:type="spellStart"/>
            <w:r w:rsidRPr="005B7287">
              <w:t>TenneT</w:t>
            </w:r>
            <w:proofErr w:type="spellEnd"/>
            <w:r w:rsidRPr="005B7287">
              <w:t xml:space="preserve"> Duitsland? De</w:t>
            </w:r>
            <w:r>
              <w:t>ze</w:t>
            </w:r>
            <w:r w:rsidRPr="005B7287">
              <w:t xml:space="preserve"> leden merken op dat het kabinet eerder aanstuurde op een volledige verkoop van de aandelen. Is die optie nog aan de orde? Hoe ziet de minister de toekomstige rol van de Nederlandse staat in </w:t>
            </w:r>
            <w:proofErr w:type="spellStart"/>
            <w:r w:rsidRPr="005B7287">
              <w:t>TenneT</w:t>
            </w:r>
            <w:proofErr w:type="spellEnd"/>
            <w:r w:rsidRPr="005B7287">
              <w:t xml:space="preserve"> Duitsland? Welke operationele en strategische voordelen zijn er in deze nieuwe constructie uit dit aandeelhouderschap te halen?</w:t>
            </w:r>
          </w:p>
          <w:p w:rsidR="00C91BF3" w:rsidP="00711EB7" w:rsidRDefault="00C91BF3" w14:paraId="1ED6EF09" w14:textId="77777777"/>
          <w:p w:rsidR="00822EDF" w:rsidP="00822EDF" w:rsidRDefault="00822EDF" w14:paraId="1F8778EF" w14:textId="566BF0A8">
            <w:r w:rsidR="00822EDF">
              <w:rPr/>
              <w:t xml:space="preserve">De leden van de GroenLinks-PvdA-fractie </w:t>
            </w:r>
            <w:r w:rsidR="00822EDF">
              <w:rPr/>
              <w:t>lezen</w:t>
            </w:r>
            <w:r w:rsidR="00822EDF">
              <w:rPr/>
              <w:t xml:space="preserve"> dat de minister schrijft dat de verkoop van aandelen aan de Duitse staat leidt tot een niet-saldorelevante opbrengst van </w:t>
            </w:r>
            <w:r w:rsidR="00822EDF">
              <w:rPr/>
              <w:t>circa</w:t>
            </w:r>
            <w:r w:rsidR="00822EDF">
              <w:rPr/>
              <w:t xml:space="preserve"> 3,3 miljard</w:t>
            </w:r>
            <w:r w:rsidR="573D5FB0">
              <w:rPr/>
              <w:t xml:space="preserve"> euro</w:t>
            </w:r>
            <w:r w:rsidR="00822EDF">
              <w:rPr/>
              <w:t xml:space="preserve"> in 2026 en mogelijk nog </w:t>
            </w:r>
            <w:r w:rsidR="00822EDF">
              <w:rPr/>
              <w:t>circa</w:t>
            </w:r>
            <w:r w:rsidR="00822EDF">
              <w:rPr/>
              <w:t xml:space="preserve"> 1,5 miljard</w:t>
            </w:r>
            <w:r w:rsidR="699611E2">
              <w:rPr/>
              <w:t xml:space="preserve"> euro</w:t>
            </w:r>
            <w:r w:rsidR="00822EDF">
              <w:rPr/>
              <w:t xml:space="preserve"> uiterlijk in 2029. </w:t>
            </w:r>
            <w:r w:rsidR="00BC281E">
              <w:rPr/>
              <w:t xml:space="preserve">Deze leden </w:t>
            </w:r>
            <w:r w:rsidR="00822EDF">
              <w:rPr/>
              <w:t xml:space="preserve">vragen de minister nader toe te lichten waarom deze opbrengsten als niet-saldorelevant worden beschouwd. </w:t>
            </w:r>
            <w:r w:rsidR="6B9C7E89">
              <w:rPr/>
              <w:t>Deze leden</w:t>
            </w:r>
            <w:r w:rsidR="00822EDF">
              <w:rPr/>
              <w:t xml:space="preserve"> </w:t>
            </w:r>
            <w:r w:rsidR="00822EDF">
              <w:rPr/>
              <w:t xml:space="preserve">vragen de minister of </w:t>
            </w:r>
            <w:r w:rsidR="7A5D277F">
              <w:rPr/>
              <w:t>de minister</w:t>
            </w:r>
            <w:r w:rsidR="00822EDF">
              <w:rPr/>
              <w:t xml:space="preserve"> kan </w:t>
            </w:r>
            <w:r w:rsidR="6F7E1D35">
              <w:rPr/>
              <w:t xml:space="preserve">uiteen </w:t>
            </w:r>
            <w:r w:rsidR="00822EDF">
              <w:rPr/>
              <w:t>zetten welke begrotingsregels ertoe leiden dat deze opbrengsten als niet-saldorelevant worden aangemerkt? In hoeverre verschilt deze behandeling van de situatie waarin de staat saldorelevant dividend of verkoopopbrengsten uit een staatsdeelneming ontvangt? Begrijpen de leden van de GroenLinks-PvdA-fractie het goed dat de aflossing van de lening leidt tot een vermindering van de financiële activa van de staat, maar niet tot een verbetering van het EMU-saldo? Kan de minister dit toelichten?</w:t>
            </w:r>
          </w:p>
          <w:p w:rsidRPr="00822EDF" w:rsidR="00822EDF" w:rsidP="00822EDF" w:rsidRDefault="00822EDF" w14:paraId="79AF1532" w14:textId="77777777"/>
          <w:p w:rsidR="00822EDF" w:rsidP="00822EDF" w:rsidRDefault="00822EDF" w14:paraId="2B3735DA" w14:textId="13A905CC">
            <w:r w:rsidR="00822EDF">
              <w:rPr/>
              <w:t xml:space="preserve">De leden van de GroenLinks-PvdA-fractie lezen verder dat de aflossing leidt tot een daling van de rentebaten van </w:t>
            </w:r>
            <w:r w:rsidR="00822EDF">
              <w:rPr/>
              <w:t>circa</w:t>
            </w:r>
            <w:r w:rsidR="00822EDF">
              <w:rPr/>
              <w:t xml:space="preserve"> 110 miljoen </w:t>
            </w:r>
            <w:r w:rsidR="17A5202E">
              <w:rPr/>
              <w:t xml:space="preserve">euro </w:t>
            </w:r>
            <w:r w:rsidR="00822EDF">
              <w:rPr/>
              <w:t xml:space="preserve">per jaar, terwijl daar een besparing van </w:t>
            </w:r>
            <w:r w:rsidR="00822EDF">
              <w:rPr/>
              <w:t>circa</w:t>
            </w:r>
            <w:r w:rsidR="00822EDF">
              <w:rPr/>
              <w:t xml:space="preserve"> 90 miljoen </w:t>
            </w:r>
            <w:r w:rsidR="283CB340">
              <w:rPr/>
              <w:t xml:space="preserve">euro </w:t>
            </w:r>
            <w:r w:rsidR="00822EDF">
              <w:rPr/>
              <w:t xml:space="preserve">op de rentelasten van de staatsschuld tegenover staat. Deze leden vragen zich af of het klopt dat we er hierdoor jaarlijks </w:t>
            </w:r>
            <w:r w:rsidR="00822EDF">
              <w:rPr/>
              <w:t xml:space="preserve">20 miljoen </w:t>
            </w:r>
            <w:r w:rsidR="6DC57FBE">
              <w:rPr/>
              <w:t xml:space="preserve">euro </w:t>
            </w:r>
            <w:r w:rsidR="00822EDF">
              <w:rPr/>
              <w:t>op achteruitgaan. Kan de minister uiteenzetten wat het structurele saldo-effect hiervan is? Hoe worden deze effecten precies verwerkt in de Voorjaarsnota 2026 en in het EMU-saldo en de EMU-schuld? Weegt dit negatieve verschil in inkomsten op tegen de waarde van de verwachte risicomijding als gevolg van de verkoop van de aandelen?</w:t>
            </w:r>
          </w:p>
          <w:p w:rsidRPr="00822EDF" w:rsidR="00822EDF" w:rsidP="00822EDF" w:rsidRDefault="00822EDF" w14:paraId="758C5BA2" w14:textId="77777777"/>
          <w:p w:rsidR="00C91BF3" w:rsidP="00711EB7" w:rsidRDefault="00822EDF" w14:paraId="3C48E829" w14:textId="7F22D4B4">
            <w:r w:rsidRPr="00822EDF">
              <w:t>Kan de minister bevestigen dat de niet-saldorelevante opbrengst geen extra begrotingsruimte creëert voor andere uitgaven, en zo ja, kan hij toelichten hoe dit zich verhoudt tot de grote voorgenomen bezuinigingen? Hoe kijkt de minister naar het beeld wat nu ontstaat van een opbrengst van miljarden euro’s voor de schatkist terwijl er ook flink bezuinigd wordt op de sociale zekerheid en zorg?</w:t>
            </w:r>
          </w:p>
          <w:p w:rsidRPr="00711EB7" w:rsidR="00001312" w:rsidP="00711EB7" w:rsidRDefault="00001312" w14:paraId="49445A27" w14:textId="77777777"/>
          <w:p w:rsidR="00711EB7" w:rsidP="00711EB7" w:rsidRDefault="00711EB7" w14:paraId="26178A31" w14:textId="7B11F57E">
            <w:pPr>
              <w:rPr>
                <w:b/>
                <w:bCs/>
              </w:rPr>
            </w:pPr>
            <w:r w:rsidRPr="00711EB7">
              <w:rPr>
                <w:b/>
                <w:bCs/>
              </w:rPr>
              <w:t xml:space="preserve">Vragen en opmerkingen van de leden van de </w:t>
            </w:r>
            <w:r w:rsidR="00F00030">
              <w:rPr>
                <w:b/>
                <w:bCs/>
              </w:rPr>
              <w:t>PVV</w:t>
            </w:r>
            <w:r w:rsidRPr="00711EB7">
              <w:rPr>
                <w:b/>
                <w:bCs/>
              </w:rPr>
              <w:t>-fractie</w:t>
            </w:r>
          </w:p>
          <w:p w:rsidRPr="00711EB7" w:rsidR="00001312" w:rsidP="00711EB7" w:rsidRDefault="00001312" w14:paraId="58DC63DB" w14:textId="77777777">
            <w:pPr>
              <w:rPr>
                <w:b/>
                <w:bCs/>
              </w:rPr>
            </w:pPr>
          </w:p>
          <w:p w:rsidRPr="001E2FEA" w:rsidR="001E2FEA" w:rsidP="001E2FEA" w:rsidRDefault="001E2FEA" w14:paraId="7C1048F7" w14:textId="5C106E91">
            <w:r w:rsidR="001E2FEA">
              <w:rPr/>
              <w:t xml:space="preserve">De leden van de PVV-fractie hebben met belangstelling kennisgenomen van de brief van de minister van Financiën over de overeenkomst met de Duitse staat </w:t>
            </w:r>
            <w:r w:rsidR="001E2FEA">
              <w:rPr/>
              <w:t>inzake</w:t>
            </w:r>
            <w:r w:rsidR="001E2FEA">
              <w:rPr/>
              <w:t xml:space="preserve"> de deelverkoop van </w:t>
            </w:r>
            <w:r w:rsidR="001E2FEA">
              <w:rPr/>
              <w:t>TenneT</w:t>
            </w:r>
            <w:r w:rsidR="001E2FEA">
              <w:rPr/>
              <w:t xml:space="preserve"> Duitsland. </w:t>
            </w:r>
            <w:r w:rsidR="3E53571D">
              <w:rPr/>
              <w:t xml:space="preserve">Deze leden </w:t>
            </w:r>
            <w:r w:rsidR="001E2FEA">
              <w:rPr/>
              <w:t>h</w:t>
            </w:r>
            <w:r w:rsidR="001E2FEA">
              <w:rPr/>
              <w:t>ebben daarbij de volgende vragen</w:t>
            </w:r>
          </w:p>
          <w:p w:rsidRPr="001E2FEA" w:rsidR="001E2FEA" w:rsidP="001E2FEA" w:rsidRDefault="001E2FEA" w14:paraId="17CC232B" w14:textId="77777777"/>
          <w:p w:rsidRPr="001E2FEA" w:rsidR="001E2FEA" w:rsidP="001E2FEA" w:rsidRDefault="001E2FEA" w14:paraId="0D6DF0C8" w14:textId="43C998CE">
            <w:r w:rsidRPr="001E2FEA">
              <w:t xml:space="preserve">Allereerst willen deze leden helderheid over de richting die het kabinet hiermee inslaat. Kan de minister aangeven of deze verkoop het eindstation is of een tussenstation naar volledige verkoop van het Nederlandse belang in </w:t>
            </w:r>
            <w:proofErr w:type="spellStart"/>
            <w:r w:rsidRPr="001E2FEA">
              <w:t>TenneT</w:t>
            </w:r>
            <w:proofErr w:type="spellEnd"/>
            <w:r w:rsidRPr="001E2FEA">
              <w:t xml:space="preserve"> Duitsland?</w:t>
            </w:r>
          </w:p>
          <w:p w:rsidRPr="001E2FEA" w:rsidR="001E2FEA" w:rsidP="001E2FEA" w:rsidRDefault="001E2FEA" w14:paraId="4DBAD90F" w14:textId="77777777">
            <w:r w:rsidRPr="001E2FEA">
              <w:t xml:space="preserve"> </w:t>
            </w:r>
          </w:p>
          <w:p w:rsidRPr="001E2FEA" w:rsidR="001E2FEA" w:rsidP="001E2FEA" w:rsidRDefault="001E2FEA" w14:paraId="1425FB54" w14:textId="359A33CE">
            <w:r w:rsidR="001E2FEA">
              <w:rPr/>
              <w:t xml:space="preserve">De leden van de PVV-fractie </w:t>
            </w:r>
            <w:r w:rsidR="001E2FEA">
              <w:rPr/>
              <w:t>vragen</w:t>
            </w:r>
            <w:r w:rsidR="001E2FEA">
              <w:rPr/>
              <w:t xml:space="preserve"> daarnaast om een precies overzicht van de resterende risico’s. Hoe groot is, na deze deelverkoop aan de Duitse staat, het nog steeds aanwezige financiële risico (kapitaalbehoefte, garanties, leningen) voor Nederland met betrekking tot </w:t>
            </w:r>
            <w:r w:rsidR="001E2FEA">
              <w:rPr/>
              <w:t>TenneT</w:t>
            </w:r>
            <w:r w:rsidR="001E2FEA">
              <w:rPr/>
              <w:t xml:space="preserve"> Duitsland? </w:t>
            </w:r>
            <w:r w:rsidR="45A7576D">
              <w:rPr/>
              <w:t xml:space="preserve">Deze leden </w:t>
            </w:r>
            <w:r w:rsidR="001E2FEA">
              <w:rPr/>
              <w:t>ontvangen graag een uitsplitsing per jaar en per scenario en daarnaast een concreet tijdpad waaruit blijkt hoe en wanneer dit risico tot nul wordt teruggebracht.</w:t>
            </w:r>
          </w:p>
          <w:p w:rsidRPr="001E2FEA" w:rsidR="001E2FEA" w:rsidP="001E2FEA" w:rsidRDefault="001E2FEA" w14:paraId="1027880E" w14:textId="77777777"/>
          <w:p w:rsidRPr="001E2FEA" w:rsidR="001E2FEA" w:rsidP="001E2FEA" w:rsidRDefault="001E2FEA" w14:paraId="579B3FF3" w14:textId="6F833737">
            <w:r w:rsidRPr="001E2FEA">
              <w:t>Voorts wens</w:t>
            </w:r>
            <w:r w:rsidR="006D2F9E">
              <w:t>en</w:t>
            </w:r>
            <w:r w:rsidRPr="001E2FEA">
              <w:t xml:space="preserve"> de </w:t>
            </w:r>
            <w:r w:rsidRPr="001E2FEA" w:rsidR="006D2F9E">
              <w:t xml:space="preserve">leden van de </w:t>
            </w:r>
            <w:r w:rsidRPr="001E2FEA">
              <w:t xml:space="preserve">PVV-fractie expliciete zekerheid voor Nederlandse huishoudens en het MKB. Kan de minister garanderen dat geen enkel deel van de kosten of risico’s rond </w:t>
            </w:r>
            <w:proofErr w:type="spellStart"/>
            <w:r w:rsidRPr="001E2FEA">
              <w:t>TenneT</w:t>
            </w:r>
            <w:proofErr w:type="spellEnd"/>
            <w:r w:rsidRPr="001E2FEA">
              <w:t xml:space="preserve"> Duitsland – nu of in de toekomst – via hogere nettarieven, heffingen of belastingen bij Nederlandse afnemers terechtkomt? Hoe wordt dit juridisch en </w:t>
            </w:r>
            <w:proofErr w:type="spellStart"/>
            <w:r w:rsidRPr="001E2FEA">
              <w:t>regulatoir</w:t>
            </w:r>
            <w:proofErr w:type="spellEnd"/>
            <w:r w:rsidRPr="001E2FEA">
              <w:t xml:space="preserve"> geborgd richting toezichthouder ACM en richting </w:t>
            </w:r>
            <w:proofErr w:type="spellStart"/>
            <w:r w:rsidRPr="001E2FEA">
              <w:t>TenneT</w:t>
            </w:r>
            <w:proofErr w:type="spellEnd"/>
            <w:r w:rsidRPr="001E2FEA">
              <w:t xml:space="preserve"> zelf?</w:t>
            </w:r>
          </w:p>
          <w:p w:rsidRPr="001E2FEA" w:rsidR="001E2FEA" w:rsidP="001E2FEA" w:rsidRDefault="001E2FEA" w14:paraId="79F13653" w14:textId="77777777"/>
          <w:p w:rsidRPr="001E2FEA" w:rsidR="001E2FEA" w:rsidP="001E2FEA" w:rsidRDefault="001E2FEA" w14:paraId="35BE0151" w14:textId="17EA3AAF">
            <w:r w:rsidRPr="001E2FEA">
              <w:t xml:space="preserve">De leden van de PVV-fractie hechten eraan dat het uitgangspunt “Duits net, Duitse verantwoordelijkheid” wordt </w:t>
            </w:r>
            <w:r w:rsidRPr="001E2FEA">
              <w:t>gerespecteerd. Deelt de minister de opvatting dat investeringen in het Duitse elektriciteitsnet primair een verantwoordelijkheid zijn van de Duitse staat en de Duitse afnemers en dus niet van Nederlandse belastingbetalers? Zo ja, op welke manier is dit beginsel concreet verankerd in de bepalingen van de nu voorliggende overeenkomst?</w:t>
            </w:r>
          </w:p>
          <w:p w:rsidRPr="001E2FEA" w:rsidR="001E2FEA" w:rsidP="001E2FEA" w:rsidRDefault="001E2FEA" w14:paraId="5545614F" w14:textId="77777777"/>
          <w:p w:rsidRPr="001E2FEA" w:rsidR="001E2FEA" w:rsidP="001E2FEA" w:rsidRDefault="001E2FEA" w14:paraId="61B2E837" w14:textId="77777777">
            <w:r w:rsidRPr="001E2FEA">
              <w:t xml:space="preserve">Verder vragen deze leden aandacht voor de operationele verwevenheid tussen de Nederlandse en Duitse activiteiten van </w:t>
            </w:r>
            <w:proofErr w:type="spellStart"/>
            <w:r w:rsidRPr="001E2FEA">
              <w:t>TenneT</w:t>
            </w:r>
            <w:proofErr w:type="spellEnd"/>
            <w:r w:rsidRPr="001E2FEA">
              <w:t xml:space="preserve">. In hoeverre blijft, na deze deelverkoop, de operationele samenhang tussen </w:t>
            </w:r>
            <w:proofErr w:type="spellStart"/>
            <w:r w:rsidRPr="001E2FEA">
              <w:t>TenneT</w:t>
            </w:r>
            <w:proofErr w:type="spellEnd"/>
            <w:r w:rsidRPr="001E2FEA">
              <w:t xml:space="preserve"> Nederland en </w:t>
            </w:r>
            <w:proofErr w:type="spellStart"/>
            <w:r w:rsidRPr="001E2FEA">
              <w:t>TenneT</w:t>
            </w:r>
            <w:proofErr w:type="spellEnd"/>
            <w:r w:rsidRPr="001E2FEA">
              <w:t xml:space="preserve"> Duitsland bestaan? Welke waarborgen zijn er dat storingen, investeringsachterstanden of politieke keuzes in Duitsland niet alsnog gevolgen hebben voor de leveringszekerheid in Nederland en voor de hoogte van de Nederlandse energierekening?</w:t>
            </w:r>
          </w:p>
          <w:p w:rsidRPr="001E2FEA" w:rsidR="001E2FEA" w:rsidP="001E2FEA" w:rsidRDefault="001E2FEA" w14:paraId="278381FD" w14:textId="77777777"/>
          <w:p w:rsidRPr="001E2FEA" w:rsidR="001E2FEA" w:rsidP="001E2FEA" w:rsidRDefault="001E2FEA" w14:paraId="7B1E91FC" w14:textId="2970BA0F">
            <w:r w:rsidR="001E2FEA">
              <w:rPr/>
              <w:t>Ook de gekozen vorm roept vragen op</w:t>
            </w:r>
            <w:r w:rsidR="00F9506E">
              <w:rPr/>
              <w:t xml:space="preserve"> bij de </w:t>
            </w:r>
            <w:r w:rsidR="00F9506E">
              <w:rPr/>
              <w:t>leden van de</w:t>
            </w:r>
            <w:r w:rsidR="00F9506E">
              <w:rPr/>
              <w:t xml:space="preserve"> PVV-fractie</w:t>
            </w:r>
            <w:r w:rsidR="001E2FEA">
              <w:rPr/>
              <w:t xml:space="preserve">. Waarom heeft het kabinet er niet voor gekozen om de Duitse tak van </w:t>
            </w:r>
            <w:r w:rsidR="001E2FEA">
              <w:rPr/>
              <w:t>TenneT</w:t>
            </w:r>
            <w:r w:rsidR="001E2FEA">
              <w:rPr/>
              <w:t xml:space="preserve"> volledig aan de Duitse staat te verkopen? Dit </w:t>
            </w:r>
            <w:r w:rsidR="646DAA48">
              <w:rPr/>
              <w:t xml:space="preserve">des </w:t>
            </w:r>
            <w:r w:rsidR="001E2FEA">
              <w:rPr/>
              <w:t>te meer daar voorheen juist is gesproken over het afbouwen van buitenlandse activiteiten van staatsdeelnemingen.</w:t>
            </w:r>
          </w:p>
          <w:p w:rsidRPr="001E2FEA" w:rsidR="001E2FEA" w:rsidP="001E2FEA" w:rsidRDefault="001E2FEA" w14:paraId="5ED370E6" w14:textId="77777777"/>
          <w:p w:rsidRPr="001E2FEA" w:rsidR="001E2FEA" w:rsidP="001E2FEA" w:rsidRDefault="001E2FEA" w14:paraId="709F073C" w14:textId="6172EBA6">
            <w:r w:rsidRPr="001E2FEA">
              <w:t xml:space="preserve">De </w:t>
            </w:r>
            <w:r w:rsidRPr="001E2FEA" w:rsidR="001C09C0">
              <w:t xml:space="preserve">leden van de </w:t>
            </w:r>
            <w:r w:rsidRPr="001E2FEA">
              <w:t>PVV-</w:t>
            </w:r>
            <w:r w:rsidR="001C09C0">
              <w:t>fractie</w:t>
            </w:r>
            <w:r w:rsidRPr="001E2FEA">
              <w:t xml:space="preserve"> vragen de minister verder om de relatie met eerdere financiële steunmaatregelen uiteen te zetten. Hoe verhoudt deze deelverkoop zich tot de in het verleden aan </w:t>
            </w:r>
            <w:proofErr w:type="spellStart"/>
            <w:r w:rsidRPr="001E2FEA">
              <w:t>TenneT</w:t>
            </w:r>
            <w:proofErr w:type="spellEnd"/>
            <w:r w:rsidRPr="001E2FEA">
              <w:t xml:space="preserve"> verstrekte leningen en kapitaalversterkingen door de Nederlandse staat? Welk deel van deze publieke middelen vloeit met deze overeenkomst daadwerkelijk terug naar de schatkist? Wat heeft </w:t>
            </w:r>
            <w:proofErr w:type="spellStart"/>
            <w:r w:rsidRPr="001E2FEA">
              <w:t>TenneT</w:t>
            </w:r>
            <w:proofErr w:type="spellEnd"/>
            <w:r w:rsidRPr="001E2FEA">
              <w:t xml:space="preserve"> Duitsland de Nederlandse belastingbetaler uiteindelijk gekost? </w:t>
            </w:r>
          </w:p>
          <w:p w:rsidRPr="001E2FEA" w:rsidR="001E2FEA" w:rsidP="001E2FEA" w:rsidRDefault="001E2FEA" w14:paraId="1FE58747" w14:textId="77777777"/>
          <w:p w:rsidRPr="001E2FEA" w:rsidR="001E2FEA" w:rsidP="001E2FEA" w:rsidRDefault="001E2FEA" w14:paraId="67D5B3EF" w14:textId="0B196728">
            <w:r w:rsidRPr="001E2FEA" w:rsidR="001E2FEA">
              <w:rPr/>
              <w:t xml:space="preserve">In een recent bericht in </w:t>
            </w:r>
            <w:r w:rsidR="00507653">
              <w:rPr/>
              <w:t>H</w:t>
            </w:r>
            <w:r w:rsidRPr="001E2FEA" w:rsidR="001E2FEA">
              <w:rPr/>
              <w:t xml:space="preserve">et </w:t>
            </w:r>
            <w:r w:rsidRPr="001E2FEA" w:rsidR="001E2FEA">
              <w:rPr/>
              <w:t>Financi</w:t>
            </w:r>
            <w:r w:rsidR="00507653">
              <w:rPr/>
              <w:t>ee</w:t>
            </w:r>
            <w:r w:rsidRPr="001E2FEA" w:rsidR="001E2FEA">
              <w:rPr/>
              <w:t>le</w:t>
            </w:r>
            <w:r w:rsidRPr="001E2FEA" w:rsidR="001E2FEA">
              <w:rPr/>
              <w:t xml:space="preserve"> Dagblad staat vermeld dat </w:t>
            </w:r>
            <w:r w:rsidRPr="001E2FEA" w:rsidR="001E2FEA">
              <w:rPr/>
              <w:t>TenneT</w:t>
            </w:r>
            <w:r w:rsidRPr="001E2FEA" w:rsidR="001E2FEA">
              <w:rPr/>
              <w:t xml:space="preserve"> een recordbedrag van 14,8 miljard</w:t>
            </w:r>
            <w:r w:rsidRPr="001E2FEA" w:rsidR="56E22E92">
              <w:rPr/>
              <w:t xml:space="preserve"> euro</w:t>
            </w:r>
            <w:r w:rsidRPr="001E2FEA" w:rsidR="001E2FEA">
              <w:rPr/>
              <w:t xml:space="preserve"> heeft geïnvesteerd in de uitbreiding van het hoogspanningsnet in Nederland en Duitsland</w:t>
            </w:r>
            <w:r w:rsidR="00A859AE">
              <w:rPr/>
              <w:t xml:space="preserve"> </w:t>
            </w:r>
            <w:r w:rsidR="00A859AE">
              <w:rPr>
                <w:rStyle w:val="Voetnootmarkering"/>
              </w:rPr>
              <w:footnoteReference w:id="2"/>
            </w:r>
            <w:r w:rsidRPr="001E2FEA" w:rsidR="001E2FEA">
              <w:rPr/>
              <w:t>. De leden van de PVV</w:t>
            </w:r>
            <w:r w:rsidR="00507653">
              <w:rPr/>
              <w:t>-fractie</w:t>
            </w:r>
            <w:r w:rsidRPr="001E2FEA" w:rsidR="001E2FEA">
              <w:rPr/>
              <w:t xml:space="preserve"> vragen zich af waarom er twee keer zoveel wordt geïnvesteerd in het Duitse net dan in het Nederlandse? </w:t>
            </w:r>
            <w:r w:rsidR="00911D0D">
              <w:rPr/>
              <w:t>W</w:t>
            </w:r>
            <w:r w:rsidRPr="001E2FEA" w:rsidR="001E2FEA">
              <w:rPr/>
              <w:t xml:space="preserve">aarom wordt er überhaupt nog geïnvesteerd in Duitsland gezien de huidige problemen? Kan de minister garanderen dat er in de toekomst geen dubbeltje meer wordt geïnvesteerd in het Duitse hoogspanningsnet van </w:t>
            </w:r>
            <w:r w:rsidRPr="001E2FEA" w:rsidR="001E2FEA">
              <w:rPr/>
              <w:t>TenneT</w:t>
            </w:r>
            <w:r w:rsidRPr="001E2FEA" w:rsidR="001E2FEA">
              <w:rPr/>
              <w:t>?</w:t>
            </w:r>
          </w:p>
          <w:p w:rsidRPr="001E2FEA" w:rsidR="001E2FEA" w:rsidP="001E2FEA" w:rsidRDefault="001E2FEA" w14:paraId="0C64CE37" w14:textId="77777777"/>
          <w:p w:rsidRPr="001E2FEA" w:rsidR="001E2FEA" w:rsidP="001E2FEA" w:rsidRDefault="00BE5EE8" w14:paraId="1247C729" w14:textId="031111E8">
            <w:r>
              <w:t>Tevens vragen de leden van de PVV-fractie of</w:t>
            </w:r>
            <w:r w:rsidRPr="001E2FEA" w:rsidR="001E2FEA">
              <w:t xml:space="preserve"> de minister inzichtelijk</w:t>
            </w:r>
            <w:r>
              <w:t xml:space="preserve"> kan</w:t>
            </w:r>
            <w:r w:rsidRPr="001E2FEA" w:rsidR="001E2FEA">
              <w:t xml:space="preserve"> maken welke andere opties (bijvoorbeeld volledige verkoop aan de Duitse staat, een andere structuur met investeerders, of eerdere en snellere afsplitsing) zijn onderzocht? Welke voor- en nadelen zijn daarbij gewogen en waarom is uiteindelijk gekozen voor deze constructie, mede in het licht van de mislukte verkooppoging in 2024?</w:t>
            </w:r>
          </w:p>
          <w:p w:rsidRPr="001E2FEA" w:rsidR="001E2FEA" w:rsidP="001E2FEA" w:rsidRDefault="001E2FEA" w14:paraId="66B025B1" w14:textId="77777777"/>
          <w:p w:rsidRPr="001E2FEA" w:rsidR="001E2FEA" w:rsidP="001E2FEA" w:rsidRDefault="001E2FEA" w14:paraId="0EA2E12E" w14:textId="202B6E6E">
            <w:r w:rsidRPr="001E2FEA">
              <w:t>Daarbij ontvangen de</w:t>
            </w:r>
            <w:r w:rsidR="00025135">
              <w:t>ze</w:t>
            </w:r>
            <w:r w:rsidRPr="001E2FEA">
              <w:t xml:space="preserve"> leden graag een duidelijke toelichting wat deze overeenkomst concreet betekent voor de ontwikkeling van de Nederlandse nettarieven en de energierekening in de komende jaren</w:t>
            </w:r>
            <w:r w:rsidR="00025135">
              <w:t>. Is</w:t>
            </w:r>
            <w:r w:rsidRPr="001E2FEA">
              <w:t xml:space="preserve"> de minister bereid vast te leggen dat deze deelverkoop niet mag worden aangegrepen om Nederlandse tarieven verder te verhogen in de toekomst?</w:t>
            </w:r>
          </w:p>
          <w:p w:rsidRPr="001E2FEA" w:rsidR="001E2FEA" w:rsidP="001E2FEA" w:rsidRDefault="001E2FEA" w14:paraId="19A54814" w14:textId="77777777"/>
          <w:p w:rsidR="001E2FEA" w:rsidP="001E2FEA" w:rsidRDefault="001E2FEA" w14:paraId="74CADABD" w14:textId="46E6FD5E">
            <w:r w:rsidRPr="001E2FEA">
              <w:t>De minister spreekt over synergiën en contracten die zijn aangegaan voor het</w:t>
            </w:r>
            <w:r w:rsidR="0046566D">
              <w:t xml:space="preserve"> </w:t>
            </w:r>
            <w:r w:rsidRPr="001E2FEA">
              <w:t xml:space="preserve">voortzetten van de samenwerking met beperkte beëindigingsmogelijkheden. Kunt u </w:t>
            </w:r>
            <w:r w:rsidRPr="001E2FEA">
              <w:br/>
            </w:r>
            <w:r w:rsidRPr="001E2FEA">
              <w:t>dit nader toelichten</w:t>
            </w:r>
            <w:r w:rsidR="0046566D">
              <w:t>, zo vragen de leden van de PVV-fractie</w:t>
            </w:r>
            <w:r w:rsidRPr="001E2FEA">
              <w:t>. Welke Nederlandse belang</w:t>
            </w:r>
            <w:r w:rsidR="0046566D">
              <w:t xml:space="preserve">en zijn </w:t>
            </w:r>
            <w:r w:rsidRPr="001E2FEA">
              <w:t>met deze samenwerking gemoeid</w:t>
            </w:r>
            <w:r w:rsidR="0046566D">
              <w:t xml:space="preserve">? </w:t>
            </w:r>
            <w:r w:rsidRPr="001E2FEA">
              <w:t>Welke samenwerkingscontracten zijn aangegaan en waarom zijn de mogelijkheden om deze te beëindigen beperkt?</w:t>
            </w:r>
          </w:p>
          <w:p w:rsidRPr="001E2FEA" w:rsidR="00E16129" w:rsidP="001E2FEA" w:rsidRDefault="00E16129" w14:paraId="7AF34D7A" w14:textId="77777777"/>
          <w:p w:rsidRPr="001E2FEA" w:rsidR="001E2FEA" w:rsidP="001E2FEA" w:rsidRDefault="00E16129" w14:paraId="25367CB2" w14:textId="2364FC29">
            <w:r w:rsidR="00E16129">
              <w:rPr/>
              <w:t>Tenslotte constateren deze leden dat p</w:t>
            </w:r>
            <w:r w:rsidR="001E2FEA">
              <w:rPr/>
              <w:t>rivate investeerders een aandelenbelang</w:t>
            </w:r>
            <w:r w:rsidR="00E16129">
              <w:rPr/>
              <w:t xml:space="preserve"> </w:t>
            </w:r>
            <w:r w:rsidR="00E16129">
              <w:rPr/>
              <w:t>op</w:t>
            </w:r>
            <w:r w:rsidR="00E16129">
              <w:rPr/>
              <w:t>bouwen</w:t>
            </w:r>
            <w:r w:rsidR="001E2FEA">
              <w:rPr/>
              <w:t xml:space="preserve"> van 46</w:t>
            </w:r>
            <w:r w:rsidR="14FD510D">
              <w:rPr/>
              <w:t xml:space="preserve"> procent</w:t>
            </w:r>
            <w:r w:rsidR="001E2FEA">
              <w:rPr/>
              <w:t>. Hoe is dit verdeeld tussen de verschillende investeerders (</w:t>
            </w:r>
            <w:r w:rsidR="001E2FEA">
              <w:rPr/>
              <w:t>Norges</w:t>
            </w:r>
            <w:r w:rsidR="001E2FEA">
              <w:rPr/>
              <w:t xml:space="preserve"> Bank, APG en GIC)?</w:t>
            </w:r>
          </w:p>
          <w:p w:rsidR="0073088A" w:rsidP="00711EB7" w:rsidRDefault="0073088A" w14:paraId="7764C107" w14:textId="77777777"/>
          <w:p w:rsidR="0066383F" w:rsidP="0066383F" w:rsidRDefault="0066383F" w14:paraId="09CA7214" w14:textId="353F660A">
            <w:pPr>
              <w:rPr>
                <w:b/>
                <w:bCs/>
              </w:rPr>
            </w:pPr>
            <w:r w:rsidRPr="00711EB7">
              <w:rPr>
                <w:b/>
                <w:bCs/>
              </w:rPr>
              <w:t xml:space="preserve">Vragen en opmerkingen van de leden van de </w:t>
            </w:r>
            <w:r>
              <w:rPr>
                <w:b/>
                <w:bCs/>
              </w:rPr>
              <w:t>CDA</w:t>
            </w:r>
            <w:r w:rsidRPr="00711EB7">
              <w:rPr>
                <w:b/>
                <w:bCs/>
              </w:rPr>
              <w:t>-fractie</w:t>
            </w:r>
          </w:p>
          <w:p w:rsidR="0066383F" w:rsidP="00711EB7" w:rsidRDefault="0066383F" w14:paraId="689A7D6B" w14:textId="77777777"/>
          <w:p w:rsidR="00167C49" w:rsidP="00167C49" w:rsidRDefault="00167C49" w14:paraId="2F1D9F5E" w14:textId="0B710F02">
            <w:r>
              <w:t>De leden van de CDA-</w:t>
            </w:r>
            <w:r>
              <w:t>f</w:t>
            </w:r>
            <w:r>
              <w:t xml:space="preserve">ractie hebben met interesse kennisgenomen van de recente ontwikkelingen aangaande </w:t>
            </w:r>
            <w:proofErr w:type="spellStart"/>
            <w:r>
              <w:t>TenneT</w:t>
            </w:r>
            <w:proofErr w:type="spellEnd"/>
            <w:r>
              <w:t xml:space="preserve"> Duitsland en hebben hierbij enkele vragen.</w:t>
            </w:r>
          </w:p>
          <w:p w:rsidR="00167C49" w:rsidP="00167C49" w:rsidRDefault="00167C49" w14:paraId="02351D1A" w14:textId="77777777"/>
          <w:p w:rsidR="00167C49" w:rsidP="00167C49" w:rsidRDefault="00167C49" w14:paraId="1E77B0BE" w14:textId="417CC572">
            <w:r>
              <w:t>De</w:t>
            </w:r>
            <w:r>
              <w:t>ze</w:t>
            </w:r>
            <w:r>
              <w:t xml:space="preserve"> leden zijn blij met de structurele oplossing voor de investeringsbehoefte van </w:t>
            </w:r>
            <w:proofErr w:type="spellStart"/>
            <w:r>
              <w:t>TenneT</w:t>
            </w:r>
            <w:proofErr w:type="spellEnd"/>
            <w:r>
              <w:t xml:space="preserve"> Duitsland. Investeringen in het stroomnet zijn hard nodig voor verdere elektrificatie, zowel in Duitsland als in Nederland. Het is passend dat beide landen zelf primair verantwoordelijk zijn voor het benodigde investeringskapitaal. De leden van de CDA-</w:t>
            </w:r>
            <w:r w:rsidR="00EA0171">
              <w:t>f</w:t>
            </w:r>
            <w:r>
              <w:t>ractie vinden het van belang dat de voorgestelde route hieraan voldoet.</w:t>
            </w:r>
          </w:p>
          <w:p w:rsidR="0066383F" w:rsidP="00711EB7" w:rsidRDefault="0066383F" w14:paraId="19E94DF9" w14:textId="77777777"/>
          <w:p w:rsidR="004D5B78" w:rsidP="004D5B78" w:rsidRDefault="004D5B78" w14:paraId="49363928" w14:textId="3165BF08">
            <w:r w:rsidR="004D5B78">
              <w:rPr/>
              <w:t>De leden van de CDA</w:t>
            </w:r>
            <w:r w:rsidR="004D5B78">
              <w:rPr/>
              <w:t>-f</w:t>
            </w:r>
            <w:r w:rsidR="004D5B78">
              <w:rPr/>
              <w:t xml:space="preserve">ractie zien veel waarde in de continuering van de samenwerking tussen </w:t>
            </w:r>
            <w:r w:rsidR="004D5B78">
              <w:rPr/>
              <w:t>TenneT</w:t>
            </w:r>
            <w:r w:rsidR="004D5B78">
              <w:rPr/>
              <w:t xml:space="preserve"> en </w:t>
            </w:r>
            <w:r w:rsidR="004D5B78">
              <w:rPr/>
              <w:t>TenneT</w:t>
            </w:r>
            <w:r w:rsidR="004D5B78">
              <w:rPr/>
              <w:t xml:space="preserve"> Duitsland. </w:t>
            </w:r>
            <w:r w:rsidR="49C58D9D">
              <w:rPr/>
              <w:t xml:space="preserve">Deze leden </w:t>
            </w:r>
            <w:r w:rsidR="004D5B78">
              <w:rPr/>
              <w:t>vernemen dat deze samenwerking is vastgelegd in contracten met beperkte</w:t>
            </w:r>
            <w:r w:rsidR="004D5B78">
              <w:rPr/>
              <w:t xml:space="preserve"> </w:t>
            </w:r>
            <w:r w:rsidR="004D5B78">
              <w:rPr/>
              <w:t xml:space="preserve">beëindigingsmogelijkheden. </w:t>
            </w:r>
            <w:r w:rsidR="56C0FE10">
              <w:rPr/>
              <w:t>Deze leden</w:t>
            </w:r>
            <w:r w:rsidR="004D5B78">
              <w:rPr/>
              <w:t xml:space="preserve"> </w:t>
            </w:r>
            <w:r w:rsidR="004D5B78">
              <w:rPr/>
              <w:t>vragen echter wat de onderliggende criteria zijn van deze beëindigingsmogelijkheden. In hoeverre acht de minister het aannemelijk dat er een situatie ontstaat waarbij deze beëindigingsclausule geactiveerd kan worden? Wat zou de impact zijn voor Nederland wanneer deze contracten opgezegd worden? In hoeverre kan het vetore</w:t>
            </w:r>
            <w:r w:rsidR="004D5B78">
              <w:rPr/>
              <w:t xml:space="preserve">cht van </w:t>
            </w:r>
            <w:r w:rsidR="004D5B78">
              <w:rPr/>
              <w:t>TenneT</w:t>
            </w:r>
            <w:r w:rsidR="004D5B78">
              <w:rPr/>
              <w:t xml:space="preserve"> dit voorkomen?</w:t>
            </w:r>
          </w:p>
          <w:p w:rsidR="0080073D" w:rsidP="004D5B78" w:rsidRDefault="0080073D" w14:paraId="083EFDA3" w14:textId="77777777"/>
          <w:p w:rsidR="004D5B78" w:rsidP="004D5B78" w:rsidRDefault="004D5B78" w14:paraId="403B81FB" w14:textId="27A82355">
            <w:r w:rsidR="004D5B78">
              <w:rPr/>
              <w:t>De leden van de CDA</w:t>
            </w:r>
            <w:r w:rsidR="0080073D">
              <w:rPr/>
              <w:t>-f</w:t>
            </w:r>
            <w:r w:rsidR="004D5B78">
              <w:rPr/>
              <w:t>ractie vragen welke activiteiten, naast het offshore 2GW</w:t>
            </w:r>
            <w:r w:rsidR="0080073D">
              <w:rPr/>
              <w:t>-</w:t>
            </w:r>
            <w:r w:rsidR="004D5B78">
              <w:rPr/>
              <w:t xml:space="preserve">programma, onder de reikwijdte </w:t>
            </w:r>
            <w:r w:rsidR="0080073D">
              <w:rPr/>
              <w:t xml:space="preserve">vallen </w:t>
            </w:r>
            <w:r w:rsidR="004D5B78">
              <w:rPr/>
              <w:t>van deze contracten. Kan de minister hier</w:t>
            </w:r>
            <w:r w:rsidR="1D9A0637">
              <w:rPr/>
              <w:t>van</w:t>
            </w:r>
            <w:r w:rsidR="004D5B78">
              <w:rPr/>
              <w:t xml:space="preserve"> een overzicht geven?</w:t>
            </w:r>
          </w:p>
          <w:p w:rsidR="0080073D" w:rsidP="004D5B78" w:rsidRDefault="0080073D" w14:paraId="23C01DCF" w14:textId="77777777"/>
          <w:p w:rsidR="00B8708A" w:rsidP="00B8708A" w:rsidRDefault="00B8708A" w14:paraId="75614B44" w14:textId="38DD6B45">
            <w:r w:rsidR="00B8708A">
              <w:rPr/>
              <w:t>De leden van de CDA</w:t>
            </w:r>
            <w:r w:rsidR="00B8708A">
              <w:rPr/>
              <w:t>-f</w:t>
            </w:r>
            <w:r w:rsidR="00B8708A">
              <w:rPr/>
              <w:t xml:space="preserve">ractie lezen dat de verkoop van aandelen </w:t>
            </w:r>
            <w:r w:rsidR="005702D5">
              <w:rPr/>
              <w:t>in</w:t>
            </w:r>
            <w:r w:rsidR="00B8708A">
              <w:rPr/>
              <w:t xml:space="preserve"> </w:t>
            </w:r>
            <w:r w:rsidR="00B8708A">
              <w:rPr/>
              <w:t>TenneT</w:t>
            </w:r>
            <w:r w:rsidR="005702D5">
              <w:rPr/>
              <w:t xml:space="preserve"> Duitsland</w:t>
            </w:r>
            <w:r w:rsidR="00B8708A">
              <w:rPr/>
              <w:t xml:space="preserve"> aan de Duitse staat </w:t>
            </w:r>
            <w:r w:rsidR="00B8708A">
              <w:rPr/>
              <w:t>3,3 m</w:t>
            </w:r>
            <w:r w:rsidR="1A85AE51">
              <w:rPr/>
              <w:t xml:space="preserve">iljard </w:t>
            </w:r>
            <w:r w:rsidR="00B8708A">
              <w:rPr/>
              <w:t xml:space="preserve">euro oplevert. Dit bedrag wordt gebruikt ter aflossing van een lening aan </w:t>
            </w:r>
            <w:r w:rsidR="00B8708A">
              <w:rPr/>
              <w:t>TenneT</w:t>
            </w:r>
            <w:r w:rsidR="00B8708A">
              <w:rPr/>
              <w:t xml:space="preserve"> van de Nederlandse Staat. Begrijpen </w:t>
            </w:r>
            <w:r w:rsidR="2E02581F">
              <w:rPr/>
              <w:t>deze leden</w:t>
            </w:r>
            <w:r w:rsidR="00B8708A">
              <w:rPr/>
              <w:t xml:space="preserve"> het goed dat de </w:t>
            </w:r>
            <w:r w:rsidR="00B8708A">
              <w:rPr/>
              <w:t>3,3 m</w:t>
            </w:r>
            <w:r w:rsidR="6F5A4B07">
              <w:rPr/>
              <w:t>iljard euro</w:t>
            </w:r>
            <w:r w:rsidR="00B8708A">
              <w:rPr/>
              <w:t xml:space="preserve"> dus niet bij </w:t>
            </w:r>
            <w:r w:rsidR="00B8708A">
              <w:rPr/>
              <w:t>TenneT</w:t>
            </w:r>
            <w:r w:rsidR="00B8708A">
              <w:rPr/>
              <w:t xml:space="preserve"> op de balans blijft staan? Klopt het dat deze </w:t>
            </w:r>
            <w:r w:rsidR="00B8708A">
              <w:rPr/>
              <w:t>3,3 m</w:t>
            </w:r>
            <w:r w:rsidR="4DD566C0">
              <w:rPr/>
              <w:t>iljard euro</w:t>
            </w:r>
            <w:r w:rsidR="00B8708A">
              <w:rPr/>
              <w:t xml:space="preserve"> beschikbaar blijft voor staatsdeelnemingen en o</w:t>
            </w:r>
            <w:r w:rsidR="0411F59E">
              <w:rPr/>
              <w:t>nder andere wordt</w:t>
            </w:r>
            <w:r w:rsidR="00B8708A">
              <w:rPr/>
              <w:t xml:space="preserve"> gebruikt voor het kernkapitaal van de Nationale Investeringsinstell</w:t>
            </w:r>
            <w:r w:rsidR="00B8708A">
              <w:rPr/>
              <w:t xml:space="preserve">ing </w:t>
            </w:r>
            <w:r w:rsidR="00B8708A">
              <w:rPr/>
              <w:t>conform</w:t>
            </w:r>
            <w:r w:rsidR="00B8708A">
              <w:rPr/>
              <w:t xml:space="preserve"> het Coalitieakkoord? </w:t>
            </w:r>
            <w:r w:rsidR="00B8708A">
              <w:rPr/>
              <w:t>Wanneer verwacht de minister hierover uitsluitsel te geven?</w:t>
            </w:r>
          </w:p>
          <w:p w:rsidR="008274BC" w:rsidP="002B6D4F" w:rsidRDefault="008274BC" w14:paraId="70F2376D" w14:textId="77777777"/>
          <w:p w:rsidRPr="00F44C4F" w:rsidR="008B55B5" w:rsidP="002B6D4F" w:rsidRDefault="008B55B5" w14:paraId="34416378" w14:textId="5122D213">
            <w:r w:rsidR="008B55B5">
              <w:rPr/>
              <w:t xml:space="preserve">De leden van de CDA-fractie vragen </w:t>
            </w:r>
            <w:r w:rsidR="008B55B5">
              <w:rPr/>
              <w:t>tenslotte</w:t>
            </w:r>
            <w:r w:rsidR="079CA8F2">
              <w:rPr/>
              <w:t xml:space="preserve"> </w:t>
            </w:r>
            <w:r w:rsidR="008B55B5">
              <w:rPr/>
              <w:t xml:space="preserve">waarom de toetsing van de Duitse energietoezichthouder nog moet plaatsvinden. Zijn er mogelijkheden om dit te versnellen? Is er </w:t>
            </w:r>
            <w:r w:rsidR="008B55B5">
              <w:rPr/>
              <w:t>reeds</w:t>
            </w:r>
            <w:r w:rsidR="008B55B5">
              <w:rPr/>
              <w:t xml:space="preserve"> contact met de toezichthouder bijv. door een a priori </w:t>
            </w:r>
            <w:r w:rsidR="008B55B5">
              <w:rPr/>
              <w:t>toetsmoment</w:t>
            </w:r>
            <w:r w:rsidR="008B55B5">
              <w:rPr/>
              <w:t>?</w:t>
            </w:r>
          </w:p>
        </w:tc>
      </w:tr>
      <w:tr w:rsidR="00F474A2" w:rsidTr="0EC1BB5F" w14:paraId="3441637C" w14:textId="77777777">
        <w:tc>
          <w:tcPr>
            <w:tcW w:w="3614" w:type="dxa"/>
            <w:tcMar/>
          </w:tcPr>
          <w:p w:rsidR="00F474A2" w:rsidRDefault="00F474A2" w14:paraId="3441637A" w14:textId="77777777"/>
        </w:tc>
        <w:tc>
          <w:tcPr>
            <w:tcW w:w="5596" w:type="dxa"/>
            <w:tcMar/>
          </w:tcPr>
          <w:p w:rsidRPr="00F474A2" w:rsidR="00F474A2" w:rsidRDefault="00F474A2" w14:paraId="3441637B" w14:textId="77777777">
            <w:pPr>
              <w:pStyle w:val="Kop1"/>
              <w:rPr>
                <w:b w:val="0"/>
              </w:rPr>
            </w:pPr>
          </w:p>
        </w:tc>
      </w:tr>
      <w:tr w:rsidRPr="00F474A2" w:rsidR="00F474A2" w:rsidTr="0EC1BB5F" w14:paraId="3441637F" w14:textId="77777777">
        <w:tc>
          <w:tcPr>
            <w:tcW w:w="3614" w:type="dxa"/>
            <w:tcMar/>
          </w:tcPr>
          <w:p w:rsidRPr="00F474A2" w:rsidR="00F474A2" w:rsidRDefault="00F474A2" w14:paraId="3441637D" w14:textId="77777777">
            <w:pPr>
              <w:rPr>
                <w:b/>
              </w:rPr>
            </w:pPr>
          </w:p>
        </w:tc>
        <w:tc>
          <w:tcPr>
            <w:tcW w:w="5596" w:type="dxa"/>
            <w:tcMar/>
          </w:tcPr>
          <w:p w:rsidRPr="00F474A2" w:rsidR="00F474A2" w:rsidP="00DD7360" w:rsidRDefault="00F474A2" w14:paraId="3441637E" w14:textId="26E37270">
            <w:pPr>
              <w:pStyle w:val="Kop1"/>
            </w:pPr>
            <w:r w:rsidRPr="00F474A2">
              <w:t xml:space="preserve">II </w:t>
            </w:r>
            <w:r w:rsidRPr="00F474A2">
              <w:tab/>
            </w:r>
            <w:r w:rsidRPr="00F474A2">
              <w:t xml:space="preserve">Reactie </w:t>
            </w:r>
            <w:r w:rsidR="0072564C">
              <w:t xml:space="preserve">van de </w:t>
            </w:r>
            <w:r w:rsidR="008B55B5">
              <w:t>minister</w:t>
            </w:r>
            <w:r w:rsidR="00756E39">
              <w:t xml:space="preserve"> van Financiën</w:t>
            </w:r>
          </w:p>
        </w:tc>
      </w:tr>
      <w:tr w:rsidR="00F474A2" w:rsidTr="0EC1BB5F" w14:paraId="34416382" w14:textId="77777777">
        <w:tc>
          <w:tcPr>
            <w:tcW w:w="3614" w:type="dxa"/>
            <w:tcMar/>
          </w:tcPr>
          <w:p w:rsidR="00F474A2" w:rsidRDefault="00F474A2" w14:paraId="34416380" w14:textId="77777777"/>
        </w:tc>
        <w:tc>
          <w:tcPr>
            <w:tcW w:w="5596" w:type="dxa"/>
            <w:tcMar/>
          </w:tcPr>
          <w:p w:rsidRPr="00F474A2" w:rsidR="00F474A2" w:rsidRDefault="00F474A2" w14:paraId="34416381" w14:textId="77777777">
            <w:pPr>
              <w:pStyle w:val="Kop1"/>
              <w:rPr>
                <w:b w:val="0"/>
              </w:rPr>
            </w:pPr>
          </w:p>
        </w:tc>
      </w:tr>
      <w:tr w:rsidR="00F474A2" w:rsidTr="0EC1BB5F" w14:paraId="34416385" w14:textId="77777777">
        <w:tc>
          <w:tcPr>
            <w:tcW w:w="3614" w:type="dxa"/>
            <w:tcMar/>
          </w:tcPr>
          <w:p w:rsidR="00F474A2" w:rsidRDefault="00F474A2" w14:paraId="34416383" w14:textId="77777777"/>
        </w:tc>
        <w:tc>
          <w:tcPr>
            <w:tcW w:w="5596" w:type="dxa"/>
            <w:tcMar/>
          </w:tcPr>
          <w:p w:rsidRPr="00F474A2" w:rsidR="00F474A2" w:rsidRDefault="00F474A2" w14:paraId="34416384" w14:textId="77777777">
            <w:pPr>
              <w:pStyle w:val="Kop1"/>
              <w:rPr>
                <w:b w:val="0"/>
              </w:rPr>
            </w:pPr>
          </w:p>
        </w:tc>
      </w:tr>
    </w:tbl>
    <w:p w:rsidR="003F75A1" w:rsidRDefault="003F75A1" w14:paraId="34416386" w14:textId="77777777"/>
    <w:sectPr w:rsidR="003F75A1">
      <w:footerReference w:type="even" r:id="rId13"/>
      <w:footerReference w:type="default" r:id="rId14"/>
      <w:pgSz w:w="11906" w:h="16838" w:orient="portrait"/>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497" w:rsidRDefault="00420497" w14:paraId="72E4A757" w14:textId="77777777">
      <w:r>
        <w:separator/>
      </w:r>
    </w:p>
  </w:endnote>
  <w:endnote w:type="continuationSeparator" w:id="0">
    <w:p w:rsidR="00420497" w:rsidRDefault="00420497" w14:paraId="6B3A0404" w14:textId="77777777">
      <w:r>
        <w:continuationSeparator/>
      </w:r>
    </w:p>
  </w:endnote>
  <w:endnote w:type="continuationNotice" w:id="1">
    <w:p w:rsidR="00420497" w:rsidRDefault="00420497" w14:paraId="71E0FF4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0AB" w:rsidP="007F2292" w:rsidRDefault="00BD00AB" w14:paraId="3441638B" w14:textId="77777777">
    <w:pPr>
      <w:pStyle w:val="Voet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D00AB" w:rsidP="007F2292" w:rsidRDefault="00BD00AB" w14:paraId="3441638C"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0AB" w:rsidP="007F2292" w:rsidRDefault="00BD00AB" w14:paraId="3441638D" w14:textId="77777777">
    <w:pPr>
      <w:pStyle w:val="Voet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D2DE7">
      <w:rPr>
        <w:rStyle w:val="Paginanummer"/>
        <w:noProof/>
      </w:rPr>
      <w:t>1</w:t>
    </w:r>
    <w:r>
      <w:rPr>
        <w:rStyle w:val="Paginanummer"/>
      </w:rPr>
      <w:fldChar w:fldCharType="end"/>
    </w:r>
  </w:p>
  <w:p w:rsidR="00BD00AB" w:rsidP="007F2292" w:rsidRDefault="00BD00AB" w14:paraId="3441638E" w14:textId="7777777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497" w:rsidRDefault="00420497" w14:paraId="3542D7A9" w14:textId="77777777">
      <w:r>
        <w:separator/>
      </w:r>
    </w:p>
  </w:footnote>
  <w:footnote w:type="continuationSeparator" w:id="0">
    <w:p w:rsidR="00420497" w:rsidRDefault="00420497" w14:paraId="365951A6" w14:textId="77777777">
      <w:r>
        <w:continuationSeparator/>
      </w:r>
    </w:p>
  </w:footnote>
  <w:footnote w:type="continuationNotice" w:id="1">
    <w:p w:rsidR="00420497" w:rsidRDefault="00420497" w14:paraId="1E339DE6" w14:textId="77777777"/>
  </w:footnote>
  <w:footnote w:id="2">
    <w:p w:rsidR="00A859AE" w:rsidRDefault="00A859AE" w14:paraId="230B4879" w14:textId="3B5AD024">
      <w:pPr>
        <w:pStyle w:val="Voetnoottekst"/>
      </w:pPr>
      <w:r>
        <w:rPr>
          <w:rStyle w:val="Voetnootmarkering"/>
        </w:rPr>
        <w:footnoteRef/>
      </w:r>
      <w:r>
        <w:t xml:space="preserve"> FD.nl, 9 maart 2026, </w:t>
      </w:r>
      <w:r w:rsidRPr="00A859AE">
        <w:t>https://fd.nl/bedrijfsleven/1588536/tennet-investeert-opnieuw-recordbedrag-in-uitbreiding-hoogspanningsnet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287B"/>
    <w:multiLevelType w:val="multilevel"/>
    <w:tmpl w:val="7ECA8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EA05803"/>
    <w:multiLevelType w:val="hybridMultilevel"/>
    <w:tmpl w:val="54E09300"/>
    <w:lvl w:ilvl="0" w:tplc="0409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66E9334B"/>
    <w:multiLevelType w:val="multilevel"/>
    <w:tmpl w:val="FE5E2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DDE2DA3"/>
    <w:multiLevelType w:val="multilevel"/>
    <w:tmpl w:val="1BD62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7467723A"/>
    <w:multiLevelType w:val="hybridMultilevel"/>
    <w:tmpl w:val="D4EAD30E"/>
    <w:lvl w:ilvl="0" w:tplc="F1C25476">
      <w:start w:val="1"/>
      <w:numFmt w:val="bullet"/>
      <w:lvlText w:val=""/>
      <w:lvlJc w:val="left"/>
      <w:pPr>
        <w:tabs>
          <w:tab w:val="num" w:pos="340"/>
        </w:tabs>
        <w:ind w:left="340" w:hanging="227"/>
      </w:pPr>
      <w:rPr>
        <w:rFonts w:hint="default" w:ascii="Symbol" w:hAnsi="Symbol"/>
      </w:rPr>
    </w:lvl>
    <w:lvl w:ilvl="1" w:tplc="04130003">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755B75E2"/>
    <w:multiLevelType w:val="multilevel"/>
    <w:tmpl w:val="55424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7"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7C0A6999"/>
    <w:multiLevelType w:val="multilevel"/>
    <w:tmpl w:val="D07482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84083432">
    <w:abstractNumId w:val="4"/>
  </w:num>
  <w:num w:numId="2" w16cid:durableId="445545206">
    <w:abstractNumId w:val="9"/>
  </w:num>
  <w:num w:numId="3" w16cid:durableId="812021449">
    <w:abstractNumId w:val="6"/>
  </w:num>
  <w:num w:numId="4" w16cid:durableId="1215773636">
    <w:abstractNumId w:val="7"/>
  </w:num>
  <w:num w:numId="5" w16cid:durableId="1594364560">
    <w:abstractNumId w:val="5"/>
  </w:num>
  <w:num w:numId="6" w16cid:durableId="586421573">
    <w:abstractNumId w:val="3"/>
  </w:num>
  <w:num w:numId="7" w16cid:durableId="1316570664">
    <w:abstractNumId w:val="8"/>
  </w:num>
  <w:num w:numId="8" w16cid:durableId="621234248">
    <w:abstractNumId w:val="0"/>
  </w:num>
  <w:num w:numId="9" w16cid:durableId="1549487761">
    <w:abstractNumId w:val="2"/>
  </w:num>
  <w:num w:numId="10" w16cid:durableId="205399142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312"/>
    <w:rsid w:val="00011099"/>
    <w:rsid w:val="00011238"/>
    <w:rsid w:val="000159CA"/>
    <w:rsid w:val="00025135"/>
    <w:rsid w:val="000308CF"/>
    <w:rsid w:val="000318B7"/>
    <w:rsid w:val="00044AB5"/>
    <w:rsid w:val="00046F2F"/>
    <w:rsid w:val="00052E5C"/>
    <w:rsid w:val="00064416"/>
    <w:rsid w:val="00080190"/>
    <w:rsid w:val="00091EE0"/>
    <w:rsid w:val="000C714B"/>
    <w:rsid w:val="000C791D"/>
    <w:rsid w:val="000D5248"/>
    <w:rsid w:val="000E40F2"/>
    <w:rsid w:val="000F1DD1"/>
    <w:rsid w:val="000F23FA"/>
    <w:rsid w:val="000F5370"/>
    <w:rsid w:val="00103DE9"/>
    <w:rsid w:val="001107E3"/>
    <w:rsid w:val="00114BD9"/>
    <w:rsid w:val="001421B2"/>
    <w:rsid w:val="001439DF"/>
    <w:rsid w:val="00165222"/>
    <w:rsid w:val="00167C49"/>
    <w:rsid w:val="00173096"/>
    <w:rsid w:val="00173AF5"/>
    <w:rsid w:val="00180FCB"/>
    <w:rsid w:val="001875AC"/>
    <w:rsid w:val="001B0BC6"/>
    <w:rsid w:val="001C09C0"/>
    <w:rsid w:val="001D681E"/>
    <w:rsid w:val="001E0A22"/>
    <w:rsid w:val="001E2FEA"/>
    <w:rsid w:val="001E3008"/>
    <w:rsid w:val="001E30CE"/>
    <w:rsid w:val="001F0B0F"/>
    <w:rsid w:val="001F6DB6"/>
    <w:rsid w:val="002008EE"/>
    <w:rsid w:val="0021404D"/>
    <w:rsid w:val="00221609"/>
    <w:rsid w:val="00221D9A"/>
    <w:rsid w:val="00231E69"/>
    <w:rsid w:val="002356FB"/>
    <w:rsid w:val="00240EE0"/>
    <w:rsid w:val="00251390"/>
    <w:rsid w:val="00267801"/>
    <w:rsid w:val="00272385"/>
    <w:rsid w:val="002752E1"/>
    <w:rsid w:val="00283C02"/>
    <w:rsid w:val="002848B4"/>
    <w:rsid w:val="002969EF"/>
    <w:rsid w:val="002B64BD"/>
    <w:rsid w:val="002B6D4F"/>
    <w:rsid w:val="002C0B49"/>
    <w:rsid w:val="002C2007"/>
    <w:rsid w:val="002C5C6A"/>
    <w:rsid w:val="002C7062"/>
    <w:rsid w:val="002D1B2F"/>
    <w:rsid w:val="002E60B6"/>
    <w:rsid w:val="002F019D"/>
    <w:rsid w:val="0030120D"/>
    <w:rsid w:val="00314519"/>
    <w:rsid w:val="003151A5"/>
    <w:rsid w:val="003234D6"/>
    <w:rsid w:val="00326C79"/>
    <w:rsid w:val="00336562"/>
    <w:rsid w:val="003427BD"/>
    <w:rsid w:val="00346019"/>
    <w:rsid w:val="00351BF2"/>
    <w:rsid w:val="00366C83"/>
    <w:rsid w:val="003747F0"/>
    <w:rsid w:val="00380064"/>
    <w:rsid w:val="003808BC"/>
    <w:rsid w:val="00393435"/>
    <w:rsid w:val="003A0274"/>
    <w:rsid w:val="003B4CD9"/>
    <w:rsid w:val="003B7B12"/>
    <w:rsid w:val="003C7D3D"/>
    <w:rsid w:val="003D3E03"/>
    <w:rsid w:val="003D3F72"/>
    <w:rsid w:val="003D6040"/>
    <w:rsid w:val="003E0D69"/>
    <w:rsid w:val="003E1896"/>
    <w:rsid w:val="003E2117"/>
    <w:rsid w:val="003F3165"/>
    <w:rsid w:val="003F4052"/>
    <w:rsid w:val="003F75A1"/>
    <w:rsid w:val="00420497"/>
    <w:rsid w:val="00422402"/>
    <w:rsid w:val="00423E1D"/>
    <w:rsid w:val="0043511E"/>
    <w:rsid w:val="00446B57"/>
    <w:rsid w:val="0044717C"/>
    <w:rsid w:val="00461CBA"/>
    <w:rsid w:val="0046566D"/>
    <w:rsid w:val="0047266F"/>
    <w:rsid w:val="00476151"/>
    <w:rsid w:val="00491388"/>
    <w:rsid w:val="004A2A86"/>
    <w:rsid w:val="004B0FE7"/>
    <w:rsid w:val="004B3DC8"/>
    <w:rsid w:val="004C2D03"/>
    <w:rsid w:val="004D019A"/>
    <w:rsid w:val="004D5B78"/>
    <w:rsid w:val="004F7AB1"/>
    <w:rsid w:val="0050486D"/>
    <w:rsid w:val="00507653"/>
    <w:rsid w:val="00507684"/>
    <w:rsid w:val="00514A75"/>
    <w:rsid w:val="0052428E"/>
    <w:rsid w:val="005339DB"/>
    <w:rsid w:val="005475A3"/>
    <w:rsid w:val="00556781"/>
    <w:rsid w:val="005702D5"/>
    <w:rsid w:val="005709EA"/>
    <w:rsid w:val="0057515C"/>
    <w:rsid w:val="00577806"/>
    <w:rsid w:val="00590463"/>
    <w:rsid w:val="00593751"/>
    <w:rsid w:val="005944F1"/>
    <w:rsid w:val="005B0304"/>
    <w:rsid w:val="005B7287"/>
    <w:rsid w:val="005D15EC"/>
    <w:rsid w:val="005D1D6A"/>
    <w:rsid w:val="00604E87"/>
    <w:rsid w:val="006068C3"/>
    <w:rsid w:val="00606DC3"/>
    <w:rsid w:val="00611E22"/>
    <w:rsid w:val="00611FF7"/>
    <w:rsid w:val="00626773"/>
    <w:rsid w:val="00644B8B"/>
    <w:rsid w:val="00644C2D"/>
    <w:rsid w:val="0066383F"/>
    <w:rsid w:val="00674238"/>
    <w:rsid w:val="00690427"/>
    <w:rsid w:val="006A4F24"/>
    <w:rsid w:val="006B32C0"/>
    <w:rsid w:val="006B3DAE"/>
    <w:rsid w:val="006B5F19"/>
    <w:rsid w:val="006D2F9E"/>
    <w:rsid w:val="006D7FCB"/>
    <w:rsid w:val="006F10A7"/>
    <w:rsid w:val="006F4E23"/>
    <w:rsid w:val="00702DA6"/>
    <w:rsid w:val="00704554"/>
    <w:rsid w:val="00707E21"/>
    <w:rsid w:val="00711EB7"/>
    <w:rsid w:val="00717F85"/>
    <w:rsid w:val="007230A7"/>
    <w:rsid w:val="0072564C"/>
    <w:rsid w:val="0073088A"/>
    <w:rsid w:val="0073364B"/>
    <w:rsid w:val="0075590E"/>
    <w:rsid w:val="00756E39"/>
    <w:rsid w:val="00794522"/>
    <w:rsid w:val="00797020"/>
    <w:rsid w:val="007A0824"/>
    <w:rsid w:val="007A61D7"/>
    <w:rsid w:val="007A674D"/>
    <w:rsid w:val="007B2EAB"/>
    <w:rsid w:val="007D0D31"/>
    <w:rsid w:val="007D42C5"/>
    <w:rsid w:val="007E7900"/>
    <w:rsid w:val="007F039D"/>
    <w:rsid w:val="007F2292"/>
    <w:rsid w:val="007F52C6"/>
    <w:rsid w:val="0080073D"/>
    <w:rsid w:val="008212C9"/>
    <w:rsid w:val="00821561"/>
    <w:rsid w:val="00822EDF"/>
    <w:rsid w:val="008274BC"/>
    <w:rsid w:val="00840F1D"/>
    <w:rsid w:val="00845AF3"/>
    <w:rsid w:val="00854EAA"/>
    <w:rsid w:val="00857134"/>
    <w:rsid w:val="00857C2B"/>
    <w:rsid w:val="0086375A"/>
    <w:rsid w:val="00876271"/>
    <w:rsid w:val="00886F1C"/>
    <w:rsid w:val="008A38F6"/>
    <w:rsid w:val="008B10AF"/>
    <w:rsid w:val="008B24F5"/>
    <w:rsid w:val="008B40CF"/>
    <w:rsid w:val="008B55B5"/>
    <w:rsid w:val="008B5D44"/>
    <w:rsid w:val="008B7AF4"/>
    <w:rsid w:val="008E2E5B"/>
    <w:rsid w:val="008F645B"/>
    <w:rsid w:val="008F6667"/>
    <w:rsid w:val="00905129"/>
    <w:rsid w:val="00905D2C"/>
    <w:rsid w:val="00911D0D"/>
    <w:rsid w:val="00914762"/>
    <w:rsid w:val="009227FE"/>
    <w:rsid w:val="00925608"/>
    <w:rsid w:val="00936DF0"/>
    <w:rsid w:val="00940317"/>
    <w:rsid w:val="009460E0"/>
    <w:rsid w:val="00947C94"/>
    <w:rsid w:val="00950611"/>
    <w:rsid w:val="00952901"/>
    <w:rsid w:val="0097024B"/>
    <w:rsid w:val="009712F0"/>
    <w:rsid w:val="00974EC1"/>
    <w:rsid w:val="00977D39"/>
    <w:rsid w:val="00983E0D"/>
    <w:rsid w:val="009901E1"/>
    <w:rsid w:val="009A39C1"/>
    <w:rsid w:val="009B46C4"/>
    <w:rsid w:val="009C52A0"/>
    <w:rsid w:val="009C61DA"/>
    <w:rsid w:val="009D4B51"/>
    <w:rsid w:val="009E5730"/>
    <w:rsid w:val="009E5C21"/>
    <w:rsid w:val="009E6418"/>
    <w:rsid w:val="009F72D2"/>
    <w:rsid w:val="00A062F1"/>
    <w:rsid w:val="00A079EE"/>
    <w:rsid w:val="00A1492F"/>
    <w:rsid w:val="00A15738"/>
    <w:rsid w:val="00A3665C"/>
    <w:rsid w:val="00A445D9"/>
    <w:rsid w:val="00A51A2F"/>
    <w:rsid w:val="00A6433E"/>
    <w:rsid w:val="00A76666"/>
    <w:rsid w:val="00A859AE"/>
    <w:rsid w:val="00A93053"/>
    <w:rsid w:val="00AB35BB"/>
    <w:rsid w:val="00AB59F9"/>
    <w:rsid w:val="00AB6111"/>
    <w:rsid w:val="00AC0999"/>
    <w:rsid w:val="00AD33D5"/>
    <w:rsid w:val="00AE099D"/>
    <w:rsid w:val="00B0233A"/>
    <w:rsid w:val="00B03FCF"/>
    <w:rsid w:val="00B11F94"/>
    <w:rsid w:val="00B14346"/>
    <w:rsid w:val="00B23ABD"/>
    <w:rsid w:val="00B24594"/>
    <w:rsid w:val="00B27681"/>
    <w:rsid w:val="00B414C4"/>
    <w:rsid w:val="00B450E9"/>
    <w:rsid w:val="00B4533C"/>
    <w:rsid w:val="00B505C3"/>
    <w:rsid w:val="00B676F6"/>
    <w:rsid w:val="00B77052"/>
    <w:rsid w:val="00B81FF7"/>
    <w:rsid w:val="00B8708A"/>
    <w:rsid w:val="00BA62B1"/>
    <w:rsid w:val="00BC281E"/>
    <w:rsid w:val="00BD00AB"/>
    <w:rsid w:val="00BD28F1"/>
    <w:rsid w:val="00BE301B"/>
    <w:rsid w:val="00BE4FE2"/>
    <w:rsid w:val="00BE5EE8"/>
    <w:rsid w:val="00C157DA"/>
    <w:rsid w:val="00C178D2"/>
    <w:rsid w:val="00C20411"/>
    <w:rsid w:val="00C20EE5"/>
    <w:rsid w:val="00C24F6F"/>
    <w:rsid w:val="00C46529"/>
    <w:rsid w:val="00C51910"/>
    <w:rsid w:val="00C519F3"/>
    <w:rsid w:val="00C71720"/>
    <w:rsid w:val="00C77232"/>
    <w:rsid w:val="00C82098"/>
    <w:rsid w:val="00C91BF3"/>
    <w:rsid w:val="00C92FB8"/>
    <w:rsid w:val="00C97747"/>
    <w:rsid w:val="00CA79D3"/>
    <w:rsid w:val="00CB770C"/>
    <w:rsid w:val="00CC01AA"/>
    <w:rsid w:val="00CC0D12"/>
    <w:rsid w:val="00CC5C03"/>
    <w:rsid w:val="00CE3A5B"/>
    <w:rsid w:val="00CF3D97"/>
    <w:rsid w:val="00D103E1"/>
    <w:rsid w:val="00D112E6"/>
    <w:rsid w:val="00D17B47"/>
    <w:rsid w:val="00D17FB1"/>
    <w:rsid w:val="00D20AEC"/>
    <w:rsid w:val="00D21029"/>
    <w:rsid w:val="00D32890"/>
    <w:rsid w:val="00D32D4A"/>
    <w:rsid w:val="00D47429"/>
    <w:rsid w:val="00D64193"/>
    <w:rsid w:val="00D67C8E"/>
    <w:rsid w:val="00D76376"/>
    <w:rsid w:val="00D9105A"/>
    <w:rsid w:val="00DB17FF"/>
    <w:rsid w:val="00DD7360"/>
    <w:rsid w:val="00DF1637"/>
    <w:rsid w:val="00E019F9"/>
    <w:rsid w:val="00E10937"/>
    <w:rsid w:val="00E16129"/>
    <w:rsid w:val="00E22F92"/>
    <w:rsid w:val="00E55C31"/>
    <w:rsid w:val="00E5671D"/>
    <w:rsid w:val="00E60F63"/>
    <w:rsid w:val="00E669BB"/>
    <w:rsid w:val="00E67F84"/>
    <w:rsid w:val="00E86E0B"/>
    <w:rsid w:val="00EA0171"/>
    <w:rsid w:val="00EA352E"/>
    <w:rsid w:val="00EA66D5"/>
    <w:rsid w:val="00EC6B4D"/>
    <w:rsid w:val="00EC78A5"/>
    <w:rsid w:val="00EE0B6C"/>
    <w:rsid w:val="00EF0EC2"/>
    <w:rsid w:val="00EF28B7"/>
    <w:rsid w:val="00EF5795"/>
    <w:rsid w:val="00F00030"/>
    <w:rsid w:val="00F04AE5"/>
    <w:rsid w:val="00F16E04"/>
    <w:rsid w:val="00F2079F"/>
    <w:rsid w:val="00F312EF"/>
    <w:rsid w:val="00F337A0"/>
    <w:rsid w:val="00F41080"/>
    <w:rsid w:val="00F42E06"/>
    <w:rsid w:val="00F44C4F"/>
    <w:rsid w:val="00F46616"/>
    <w:rsid w:val="00F474A2"/>
    <w:rsid w:val="00F5347D"/>
    <w:rsid w:val="00F56228"/>
    <w:rsid w:val="00F62FBC"/>
    <w:rsid w:val="00F74809"/>
    <w:rsid w:val="00F93601"/>
    <w:rsid w:val="00F9506E"/>
    <w:rsid w:val="00FB1E6C"/>
    <w:rsid w:val="00FB5A9B"/>
    <w:rsid w:val="00FC1AFD"/>
    <w:rsid w:val="00FD2DE7"/>
    <w:rsid w:val="00FD2E7A"/>
    <w:rsid w:val="00FD3533"/>
    <w:rsid w:val="00FD66CD"/>
    <w:rsid w:val="00FF31E4"/>
    <w:rsid w:val="03985D57"/>
    <w:rsid w:val="0411F59E"/>
    <w:rsid w:val="079CA8F2"/>
    <w:rsid w:val="0AAA5BE1"/>
    <w:rsid w:val="0CCCB254"/>
    <w:rsid w:val="0D723460"/>
    <w:rsid w:val="0EC1BB5F"/>
    <w:rsid w:val="0F227B16"/>
    <w:rsid w:val="102C1375"/>
    <w:rsid w:val="14FD510D"/>
    <w:rsid w:val="17A5202E"/>
    <w:rsid w:val="192D03E4"/>
    <w:rsid w:val="1A85AE51"/>
    <w:rsid w:val="1AB82EC3"/>
    <w:rsid w:val="1AC9A63C"/>
    <w:rsid w:val="1BF00EB5"/>
    <w:rsid w:val="1D9A0637"/>
    <w:rsid w:val="2613320F"/>
    <w:rsid w:val="283CB340"/>
    <w:rsid w:val="2A516862"/>
    <w:rsid w:val="2E02581F"/>
    <w:rsid w:val="30AE41AE"/>
    <w:rsid w:val="31CEB81A"/>
    <w:rsid w:val="356AF8D1"/>
    <w:rsid w:val="3E53571D"/>
    <w:rsid w:val="42F5C053"/>
    <w:rsid w:val="45A7576D"/>
    <w:rsid w:val="49C58D9D"/>
    <w:rsid w:val="4B6C678E"/>
    <w:rsid w:val="4DD566C0"/>
    <w:rsid w:val="5611952B"/>
    <w:rsid w:val="56C0FE10"/>
    <w:rsid w:val="56E22E92"/>
    <w:rsid w:val="573D5FB0"/>
    <w:rsid w:val="5AFDFB77"/>
    <w:rsid w:val="605CA0FD"/>
    <w:rsid w:val="60C23ACC"/>
    <w:rsid w:val="646DAA48"/>
    <w:rsid w:val="6667942F"/>
    <w:rsid w:val="699611E2"/>
    <w:rsid w:val="69B17CDE"/>
    <w:rsid w:val="6B9C7E89"/>
    <w:rsid w:val="6DC57FBE"/>
    <w:rsid w:val="6F5A4B07"/>
    <w:rsid w:val="6F7E1D35"/>
    <w:rsid w:val="7A5D277F"/>
    <w:rsid w:val="7C0C561C"/>
    <w:rsid w:val="7C5817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16326"/>
  <w15:chartTrackingRefBased/>
  <w15:docId w15:val="{23FC8D9A-4065-401D-8820-8DDC8D3970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styleId="Kop1Char" w:customStyle="1">
    <w:name w:val="Kop 1 Char"/>
    <w:link w:val="Kop1"/>
    <w:rsid w:val="00221609"/>
    <w:rPr>
      <w:b/>
      <w:sz w:val="22"/>
    </w:rPr>
  </w:style>
  <w:style w:type="paragraph" w:styleId="Default" w:customStyle="1">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styleId="highlightcontent" w:customStyle="1">
    <w:name w:val="highlightcontent"/>
    <w:rsid w:val="00977D39"/>
  </w:style>
  <w:style w:type="paragraph" w:styleId="Geenafstand">
    <w:name w:val="No Spacing"/>
    <w:basedOn w:val="Standaard"/>
    <w:uiPriority w:val="1"/>
    <w:qFormat/>
    <w:rsid w:val="009E5730"/>
    <w:rPr>
      <w:rFonts w:ascii="Calibri" w:hAnsi="Calibri" w:eastAsia="Calibri"/>
      <w:szCs w:val="22"/>
      <w:lang w:eastAsia="en-US"/>
    </w:rPr>
  </w:style>
  <w:style w:type="paragraph" w:styleId="Koptekst">
    <w:name w:val="header"/>
    <w:basedOn w:val="Standaard"/>
    <w:link w:val="KoptekstChar"/>
    <w:rsid w:val="00577806"/>
    <w:pPr>
      <w:tabs>
        <w:tab w:val="center" w:pos="4536"/>
        <w:tab w:val="right" w:pos="9072"/>
      </w:tabs>
    </w:pPr>
  </w:style>
  <w:style w:type="character" w:styleId="KoptekstChar" w:customStyle="1">
    <w:name w:val="Koptekst Char"/>
    <w:basedOn w:val="Standaardalinea-lettertype"/>
    <w:link w:val="Koptekst"/>
    <w:rsid w:val="00577806"/>
    <w:rPr>
      <w:sz w:val="22"/>
      <w:lang w:eastAsia="nl-NL"/>
    </w:rPr>
  </w:style>
  <w:style w:type="paragraph" w:styleId="Revisie">
    <w:name w:val="Revision"/>
    <w:hidden/>
    <w:uiPriority w:val="99"/>
    <w:semiHidden/>
    <w:rsid w:val="00103DE9"/>
    <w:rPr>
      <w:sz w:val="22"/>
      <w:lang w:eastAsia="nl-NL"/>
    </w:rPr>
  </w:style>
  <w:style w:type="character" w:styleId="Onopgelostemelding">
    <w:name w:val="Unresolved Mention"/>
    <w:basedOn w:val="Standaardalinea-lettertype"/>
    <w:uiPriority w:val="99"/>
    <w:semiHidden/>
    <w:unhideWhenUsed/>
    <w:rsid w:val="00711EB7"/>
    <w:rPr>
      <w:color w:val="605E5C"/>
      <w:shd w:val="clear" w:color="auto" w:fill="E1DFDD"/>
    </w:rPr>
  </w:style>
  <w:style w:type="paragraph" w:styleId="Voetnoottekst">
    <w:name w:val="footnote text"/>
    <w:basedOn w:val="Standaard"/>
    <w:link w:val="VoetnoottekstChar"/>
    <w:rsid w:val="00A859AE"/>
    <w:rPr>
      <w:sz w:val="20"/>
    </w:rPr>
  </w:style>
  <w:style w:type="character" w:styleId="VoetnoottekstChar" w:customStyle="1">
    <w:name w:val="Voetnoottekst Char"/>
    <w:basedOn w:val="Standaardalinea-lettertype"/>
    <w:link w:val="Voetnoottekst"/>
    <w:rsid w:val="00A859AE"/>
    <w:rPr>
      <w:lang w:eastAsia="nl-NL"/>
    </w:rPr>
  </w:style>
  <w:style w:type="character" w:styleId="Voetnootmarkering">
    <w:name w:val="footnote reference"/>
    <w:basedOn w:val="Standaardalinea-lettertype"/>
    <w:rsid w:val="00A859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9420">
      <w:bodyDiv w:val="1"/>
      <w:marLeft w:val="0"/>
      <w:marRight w:val="0"/>
      <w:marTop w:val="0"/>
      <w:marBottom w:val="0"/>
      <w:divBdr>
        <w:top w:val="none" w:sz="0" w:space="0" w:color="auto"/>
        <w:left w:val="none" w:sz="0" w:space="0" w:color="auto"/>
        <w:bottom w:val="none" w:sz="0" w:space="0" w:color="auto"/>
        <w:right w:val="none" w:sz="0" w:space="0" w:color="auto"/>
      </w:divBdr>
    </w:div>
    <w:div w:id="680818535">
      <w:bodyDiv w:val="1"/>
      <w:marLeft w:val="0"/>
      <w:marRight w:val="0"/>
      <w:marTop w:val="0"/>
      <w:marBottom w:val="0"/>
      <w:divBdr>
        <w:top w:val="none" w:sz="0" w:space="0" w:color="auto"/>
        <w:left w:val="none" w:sz="0" w:space="0" w:color="auto"/>
        <w:bottom w:val="none" w:sz="0" w:space="0" w:color="auto"/>
        <w:right w:val="none" w:sz="0" w:space="0" w:color="auto"/>
      </w:divBdr>
    </w:div>
    <w:div w:id="796607874">
      <w:bodyDiv w:val="1"/>
      <w:marLeft w:val="0"/>
      <w:marRight w:val="0"/>
      <w:marTop w:val="0"/>
      <w:marBottom w:val="0"/>
      <w:divBdr>
        <w:top w:val="none" w:sz="0" w:space="0" w:color="auto"/>
        <w:left w:val="none" w:sz="0" w:space="0" w:color="auto"/>
        <w:bottom w:val="none" w:sz="0" w:space="0" w:color="auto"/>
        <w:right w:val="none" w:sz="0" w:space="0" w:color="auto"/>
      </w:divBdr>
    </w:div>
    <w:div w:id="824470007">
      <w:bodyDiv w:val="1"/>
      <w:marLeft w:val="0"/>
      <w:marRight w:val="0"/>
      <w:marTop w:val="0"/>
      <w:marBottom w:val="0"/>
      <w:divBdr>
        <w:top w:val="none" w:sz="0" w:space="0" w:color="auto"/>
        <w:left w:val="none" w:sz="0" w:space="0" w:color="auto"/>
        <w:bottom w:val="none" w:sz="0" w:space="0" w:color="auto"/>
        <w:right w:val="none" w:sz="0" w:space="0" w:color="auto"/>
      </w:divBdr>
    </w:div>
    <w:div w:id="1033457672">
      <w:bodyDiv w:val="1"/>
      <w:marLeft w:val="0"/>
      <w:marRight w:val="0"/>
      <w:marTop w:val="0"/>
      <w:marBottom w:val="0"/>
      <w:divBdr>
        <w:top w:val="none" w:sz="0" w:space="0" w:color="auto"/>
        <w:left w:val="none" w:sz="0" w:space="0" w:color="auto"/>
        <w:bottom w:val="none" w:sz="0" w:space="0" w:color="auto"/>
        <w:right w:val="none" w:sz="0" w:space="0" w:color="auto"/>
      </w:divBdr>
    </w:div>
    <w:div w:id="1067801283">
      <w:bodyDiv w:val="1"/>
      <w:marLeft w:val="0"/>
      <w:marRight w:val="0"/>
      <w:marTop w:val="0"/>
      <w:marBottom w:val="0"/>
      <w:divBdr>
        <w:top w:val="none" w:sz="0" w:space="0" w:color="auto"/>
        <w:left w:val="none" w:sz="0" w:space="0" w:color="auto"/>
        <w:bottom w:val="none" w:sz="0" w:space="0" w:color="auto"/>
        <w:right w:val="none" w:sz="0" w:space="0" w:color="auto"/>
      </w:divBdr>
    </w:div>
    <w:div w:id="1351565797">
      <w:bodyDiv w:val="1"/>
      <w:marLeft w:val="0"/>
      <w:marRight w:val="0"/>
      <w:marTop w:val="0"/>
      <w:marBottom w:val="0"/>
      <w:divBdr>
        <w:top w:val="none" w:sz="0" w:space="0" w:color="auto"/>
        <w:left w:val="none" w:sz="0" w:space="0" w:color="auto"/>
        <w:bottom w:val="none" w:sz="0" w:space="0" w:color="auto"/>
        <w:right w:val="none" w:sz="0" w:space="0" w:color="auto"/>
      </w:divBdr>
    </w:div>
    <w:div w:id="1545482634">
      <w:bodyDiv w:val="1"/>
      <w:marLeft w:val="0"/>
      <w:marRight w:val="0"/>
      <w:marTop w:val="0"/>
      <w:marBottom w:val="0"/>
      <w:divBdr>
        <w:top w:val="none" w:sz="0" w:space="0" w:color="auto"/>
        <w:left w:val="none" w:sz="0" w:space="0" w:color="auto"/>
        <w:bottom w:val="none" w:sz="0" w:space="0" w:color="auto"/>
        <w:right w:val="none" w:sz="0" w:space="0" w:color="auto"/>
      </w:divBdr>
    </w:div>
    <w:div w:id="1903368460">
      <w:bodyDiv w:val="1"/>
      <w:marLeft w:val="0"/>
      <w:marRight w:val="0"/>
      <w:marTop w:val="0"/>
      <w:marBottom w:val="0"/>
      <w:divBdr>
        <w:top w:val="none" w:sz="0" w:space="0" w:color="auto"/>
        <w:left w:val="none" w:sz="0" w:space="0" w:color="auto"/>
        <w:bottom w:val="none" w:sz="0" w:space="0" w:color="auto"/>
        <w:right w:val="none" w:sz="0" w:space="0" w:color="auto"/>
      </w:divBdr>
      <w:divsChild>
        <w:div w:id="685600415">
          <w:marLeft w:val="0"/>
          <w:marRight w:val="0"/>
          <w:marTop w:val="0"/>
          <w:marBottom w:val="0"/>
          <w:divBdr>
            <w:top w:val="none" w:sz="0" w:space="0" w:color="auto"/>
            <w:left w:val="none" w:sz="0" w:space="0" w:color="auto"/>
            <w:bottom w:val="none" w:sz="0" w:space="0" w:color="auto"/>
            <w:right w:val="none" w:sz="0" w:space="0" w:color="auto"/>
          </w:divBdr>
        </w:div>
      </w:divsChild>
    </w:div>
    <w:div w:id="213825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2025-10-06T11:48:00.0000000Z</dcterms:created>
  <dcterms:modified xsi:type="dcterms:W3CDTF">2026-03-13T09:01:14.9900012Z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4ZDN3PVYHFMW-1027967194-464</vt:lpwstr>
  </property>
  <property fmtid="{D5CDD505-2E9C-101B-9397-08002B2CF9AE}" pid="3" name="_dlc_DocIdItemGuid">
    <vt:lpwstr>ea83d8ee-e0db-4981-b5aa-b0f10d7a4a36</vt:lpwstr>
  </property>
  <property fmtid="{D5CDD505-2E9C-101B-9397-08002B2CF9AE}" pid="4" name="_dlc_DocIdUrl">
    <vt:lpwstr>https://teamsites/commissie/Fin/_layouts/15/DocIdRedir.aspx?ID=4ZDN3PVYHFMW-1027967194-464, 4ZDN3PVYHFMW-1027967194-464</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0x01010040BB22957839204C85B21D4BCADBB660</vt:lpwstr>
  </property>
  <property fmtid="{D5CDD505-2E9C-101B-9397-08002B2CF9AE}" pid="8" name="MediaServiceImageTags">
    <vt:lpwstr/>
  </property>
  <property fmtid="{D5CDD505-2E9C-101B-9397-08002B2CF9AE}" pid="9" name="_ExtendedDescription">
    <vt:lpwstr/>
  </property>
</Properties>
</file>