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2026Z05111</w:t>
        <w:br/>
      </w:r>
      <w:proofErr w:type="spellEnd"/>
    </w:p>
    <w:p>
      <w:pPr>
        <w:pStyle w:val="Normal"/>
        <w:rPr>
          <w:b w:val="1"/>
          <w:bCs w:val="1"/>
        </w:rPr>
      </w:pPr>
      <w:r w:rsidR="250AE766">
        <w:rPr>
          <w:b w:val="0"/>
          <w:bCs w:val="0"/>
        </w:rPr>
        <w:t>(ingezonden 13 maart 2026)</w:t>
        <w:br/>
      </w:r>
    </w:p>
    <w:p>
      <w:r>
        <w:t xml:space="preserve">Vragen van het lid Van Oosterhout (GroenLinks-PvdA) aan minister van Klimaat en Groene Groei over de juridische implicaties van het on hold zetten van gaswinning</w:t>
      </w:r>
      <w:r>
        <w:br/>
      </w:r>
    </w:p>
    <w:p>
      <w:r>
        <w:t xml:space="preserve"> </w:t>
      </w:r>
      <w:r>
        <w:br/>
      </w:r>
    </w:p>
    <w:p>
      <w:pPr>
        <w:pStyle w:val="ListParagraph"/>
        <w:numPr>
          <w:ilvl w:val="0"/>
          <w:numId w:val="100500130"/>
        </w:numPr>
        <w:ind w:left="360"/>
      </w:pPr>
      <w:r>
        <w:t xml:space="preserve">Zou een tijdelijk staken van reeds vergunde gaswinning om bepaalde onderzoeken naar de gevolgen ervan af te wachten, neerkomen op contractbreuk met de gaswinningsbedrijven?</w:t>
      </w:r>
      <w:r>
        <w:br/>
      </w:r>
    </w:p>
    <w:p>
      <w:pPr>
        <w:pStyle w:val="ListParagraph"/>
        <w:numPr>
          <w:ilvl w:val="0"/>
          <w:numId w:val="100500130"/>
        </w:numPr>
        <w:ind w:left="360"/>
      </w:pPr>
      <w:r>
        <w:t xml:space="preserve">Heeft u binnen de huidige wetgeving juridische mogelijkheden om een algemene tijdelijke of permanente stop op nieuwe gasboringen in te voeren in een specifiek gebied, inclusief wanneer er exploratievergunningen zijn toegekend? Is er daarbij een verschil tussen projecten die nog in een proefboorfase zitten en projecten die al volop gas aan het winnen zijn? Zo ja, welke mogelijkheden heeft u?</w:t>
      </w:r>
      <w:r>
        <w:br/>
      </w:r>
    </w:p>
    <w:p>
      <w:pPr>
        <w:pStyle w:val="ListParagraph"/>
        <w:numPr>
          <w:ilvl w:val="0"/>
          <w:numId w:val="100500130"/>
        </w:numPr>
        <w:ind w:left="360"/>
      </w:pPr>
      <w:r>
        <w:t xml:space="preserve">Welke juridische mogelijkheden heeft u om reeds verleende vergunningen voor gasboringen weer in te trekken?</w:t>
      </w:r>
      <w:r>
        <w:br/>
      </w:r>
    </w:p>
    <w:p>
      <w:pPr>
        <w:pStyle w:val="ListParagraph"/>
        <w:numPr>
          <w:ilvl w:val="0"/>
          <w:numId w:val="100500130"/>
        </w:numPr>
        <w:ind w:left="360"/>
      </w:pPr>
      <w:r>
        <w:t xml:space="preserve">Heeft u juridische mogelijkheden om reeds lopende gaswinningsprojecten tijdelijk of permanent stil te leggen in een specifiek gebied? Zo ja, welke?</w:t>
      </w:r>
      <w:r>
        <w:br/>
      </w:r>
    </w:p>
    <w:p>
      <w:pPr>
        <w:pStyle w:val="ListParagraph"/>
        <w:numPr>
          <w:ilvl w:val="0"/>
          <w:numId w:val="100500130"/>
        </w:numPr>
        <w:ind w:left="360"/>
      </w:pPr>
      <w:r>
        <w:t xml:space="preserve">In welke van deze gevallen zullen betrokken bedrijven financieel gecompenseerd moeten worden en in welke gevallen is dat niet nodig?</w:t>
      </w:r>
      <w:r>
        <w:br/>
      </w:r>
    </w:p>
    <w:p>
      <w:pPr>
        <w:pStyle w:val="ListParagraph"/>
        <w:numPr>
          <w:ilvl w:val="0"/>
          <w:numId w:val="100500130"/>
        </w:numPr>
        <w:ind w:left="360"/>
      </w:pPr>
      <w:r>
        <w:t xml:space="preserve">Zijn er omstandigheden waarin u meer ruimte heeft om vergunningen in te trekken of vergunde projecten stil te leggen, bijvoorbeeld in het geval van nieuwe inzichten over risico's die bij op het moment van vergunningverlening niet bekend waren of als minder riskant werden ingeschat?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