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2026Z05114</w:t>
        <w:br/>
      </w:r>
      <w:proofErr w:type="spellEnd"/>
    </w:p>
    <w:p>
      <w:pPr>
        <w:pStyle w:val="Normal"/>
        <w:rPr>
          <w:b w:val="1"/>
          <w:bCs w:val="1"/>
        </w:rPr>
      </w:pPr>
      <w:r w:rsidR="250AE766">
        <w:rPr>
          <w:b w:val="0"/>
          <w:bCs w:val="0"/>
        </w:rPr>
        <w:t>(ingezonden 13 maart 2026)</w:t>
        <w:br/>
      </w:r>
    </w:p>
    <w:p>
      <w:r>
        <w:t xml:space="preserve">Vragen van het lid Vermeer (BBB) aan de staatssecretaris van Financiën over de positie van gedupeerde ouders in het buitenland en rechtsbescherming binnen de hersteloperatie.</w:t>
      </w:r>
      <w:r>
        <w:br/>
      </w:r>
    </w:p>
    <w:p>
      <w:r>
        <w:t xml:space="preserve"> </w:t>
      </w:r>
      <w:r>
        <w:br/>
      </w:r>
    </w:p>
    <w:p>
      <w:pPr>
        <w:pStyle w:val="ListParagraph"/>
        <w:numPr>
          <w:ilvl w:val="0"/>
          <w:numId w:val="100500170"/>
        </w:numPr>
        <w:ind w:left="360"/>
      </w:pPr>
      <w:r>
        <w:t xml:space="preserve">Bent u bekend met signalen dat gedupeerde ouders dossiers ontvangen waarin delen zijn gelakt, terwijl deze betrekking hebben op hun eigen persoonsgegevens?</w:t>
      </w:r>
      <w:r>
        <w:br/>
      </w:r>
    </w:p>
    <w:p>
      <w:pPr>
        <w:pStyle w:val="ListParagraph"/>
        <w:numPr>
          <w:ilvl w:val="0"/>
          <w:numId w:val="100500170"/>
        </w:numPr>
        <w:ind w:left="360"/>
      </w:pPr>
      <w:r>
        <w:t xml:space="preserve">Hoe verhoudt het verstrekken van gelakte dossiers zich tot de verplichting voor ouders om hun werkelijke schade aannemelijk te maken?</w:t>
      </w:r>
      <w:r>
        <w:br/>
      </w:r>
    </w:p>
    <w:p>
      <w:pPr>
        <w:pStyle w:val="ListParagraph"/>
        <w:numPr>
          <w:ilvl w:val="0"/>
          <w:numId w:val="100500170"/>
        </w:numPr>
        <w:ind w:left="360"/>
      </w:pPr>
      <w:r>
        <w:t xml:space="preserve">Hebben externe partijen die betrokken zijn bij schadebeoordelingen toegang tot ongelakte dossiers?</w:t>
      </w:r>
      <w:r>
        <w:br/>
      </w:r>
    </w:p>
    <w:p>
      <w:pPr>
        <w:pStyle w:val="ListParagraph"/>
        <w:numPr>
          <w:ilvl w:val="0"/>
          <w:numId w:val="100500170"/>
        </w:numPr>
        <w:ind w:left="360"/>
      </w:pPr>
      <w:r>
        <w:t xml:space="preserve">Hoe waarborgt u het beginsel van wapengelijkheid als beoordelaars over meer informatie beschikken dan ouders zelf?</w:t>
      </w:r>
      <w:r>
        <w:br/>
      </w:r>
    </w:p>
    <w:p>
      <w:pPr>
        <w:pStyle w:val="ListParagraph"/>
        <w:numPr>
          <w:ilvl w:val="0"/>
          <w:numId w:val="100500170"/>
        </w:numPr>
        <w:ind w:left="360"/>
      </w:pPr>
      <w:r>
        <w:t xml:space="preserve">Hoe beoordeelt u verschillen tussen gemeenten in ondersteuning van gedupeerde ouders via de SPUK-regeling?</w:t>
      </w:r>
      <w:r>
        <w:br/>
      </w:r>
    </w:p>
    <w:p>
      <w:pPr>
        <w:pStyle w:val="ListParagraph"/>
        <w:numPr>
          <w:ilvl w:val="0"/>
          <w:numId w:val="100500170"/>
        </w:numPr>
        <w:ind w:left="360"/>
      </w:pPr>
      <w:r>
        <w:t xml:space="preserve">Erkent u dat hierdoor verschillen in ondersteuning ontstaan afhankelijk van de woonplaats van gedupeerde ouders?</w:t>
      </w:r>
      <w:r>
        <w:br/>
      </w:r>
    </w:p>
    <w:p>
      <w:pPr>
        <w:pStyle w:val="ListParagraph"/>
        <w:numPr>
          <w:ilvl w:val="0"/>
          <w:numId w:val="100500170"/>
        </w:numPr>
        <w:ind w:left="360"/>
      </w:pPr>
      <w:r>
        <w:t xml:space="preserve">Welke maatregelen neemt u om te zorgen voor een uniform niveau van ondersteuning voor alle gedupeerden?</w:t>
      </w:r>
      <w:r>
        <w:br/>
      </w:r>
    </w:p>
    <w:p>
      <w:pPr>
        <w:pStyle w:val="ListParagraph"/>
        <w:numPr>
          <w:ilvl w:val="0"/>
          <w:numId w:val="100500170"/>
        </w:numPr>
        <w:ind w:left="360"/>
      </w:pPr>
      <w:r>
        <w:t xml:space="preserve">Op welke wijze wordt binnen herstelroutes rekening gehouden met immateriële schade van jongeren die direct zijn geraakt door de toeslagenaffaire?</w:t>
      </w:r>
      <w:r>
        <w:br/>
      </w:r>
    </w:p>
    <w:p>
      <w:pPr>
        <w:pStyle w:val="ListParagraph"/>
        <w:numPr>
          <w:ilvl w:val="0"/>
          <w:numId w:val="100500170"/>
        </w:numPr>
        <w:ind w:left="360"/>
      </w:pPr>
      <w:r>
        <w:t xml:space="preserve">Is er voor jongeren die te maken hebben gehad met uithuisplaatsing een afzonderlijk traumasensitief traject ingericht?</w:t>
      </w:r>
      <w:r>
        <w:br/>
      </w:r>
    </w:p>
    <w:p>
      <w:pPr>
        <w:pStyle w:val="ListParagraph"/>
        <w:numPr>
          <w:ilvl w:val="0"/>
          <w:numId w:val="100500170"/>
        </w:numPr>
        <w:ind w:left="360"/>
      </w:pPr>
      <w:r>
        <w:t xml:space="preserve">Hoe wordt voorkomen dat dossiers van jongeren vastlopen in dezelfde administratieve processen als die van hun ouders?</w:t>
      </w:r>
      <w:r>
        <w:br/>
      </w:r>
    </w:p>
    <w:p>
      <w:pPr>
        <w:pStyle w:val="ListParagraph"/>
        <w:numPr>
          <w:ilvl w:val="0"/>
          <w:numId w:val="100500170"/>
        </w:numPr>
        <w:ind w:left="360"/>
      </w:pPr>
      <w:r>
        <w:t xml:space="preserve">Hoeveel gedupeerde ouders bevinden zich volgens uw gegevens momenteel buiten Nederland?</w:t>
      </w:r>
      <w:r>
        <w:br/>
      </w:r>
    </w:p>
    <w:p>
      <w:pPr>
        <w:pStyle w:val="ListParagraph"/>
        <w:numPr>
          <w:ilvl w:val="0"/>
          <w:numId w:val="100500170"/>
        </w:numPr>
        <w:ind w:left="360"/>
      </w:pPr>
      <w:r>
        <w:t xml:space="preserve">Hoeveel van deze ouders beschikken niet over een BSN, DigiD of geldig Nederlands identiteitsdocument?</w:t>
      </w:r>
      <w:r>
        <w:br/>
      </w:r>
    </w:p>
    <w:p>
      <w:pPr>
        <w:pStyle w:val="ListParagraph"/>
        <w:numPr>
          <w:ilvl w:val="0"/>
          <w:numId w:val="100500170"/>
        </w:numPr>
        <w:ind w:left="360"/>
      </w:pPr>
      <w:r>
        <w:t xml:space="preserve">Hoe kunnen deze ouders hun dossier opvragen en deelnemen aan herstelprocedures?</w:t>
      </w:r>
      <w:r>
        <w:br/>
      </w:r>
    </w:p>
    <w:p>
      <w:pPr>
        <w:pStyle w:val="ListParagraph"/>
        <w:numPr>
          <w:ilvl w:val="0"/>
          <w:numId w:val="100500170"/>
        </w:numPr>
        <w:ind w:left="360"/>
      </w:pPr>
      <w:r>
        <w:t xml:space="preserve">Welke inspanningen worden verricht om gedupeerde ouders in het buitenland actief te traceren en te informeren over hun rechten binnen de hersteloperatie?</w:t>
      </w:r>
      <w:r>
        <w:br/>
      </w:r>
    </w:p>
    <w:p>
      <w:pPr>
        <w:pStyle w:val="ListParagraph"/>
        <w:numPr>
          <w:ilvl w:val="0"/>
          <w:numId w:val="100500170"/>
        </w:numPr>
        <w:ind w:left="360"/>
      </w:pPr>
      <w:r>
        <w:t xml:space="preserve">Kunt u aangeven hoeveel gedupeerde ouders volgens uw gegevens in het buitenland verblijven, in welke landen zij zich bevinden en hoeveel van hen nog geen contact hebben gehad met een persoonlijke zaakbehandelaar?</w:t>
      </w:r>
      <w:r>
        <w:br/>
      </w:r>
    </w:p>
    <w:p>
      <w:pPr>
        <w:pStyle w:val="ListParagraph"/>
        <w:numPr>
          <w:ilvl w:val="0"/>
          <w:numId w:val="100500170"/>
        </w:numPr>
        <w:ind w:left="360"/>
      </w:pPr>
      <w:r>
        <w:t xml:space="preserve">Op welke wijze onderzoekt u welke gedupeerde ouders in het buitenland mogelijk nog niet zijn bereikt of niet hebben gereageerd, en welke stappen worden genomen om deze groep alsnog actief te benaderen?</w:t>
      </w:r>
      <w:r>
        <w:br/>
      </w:r>
    </w:p>
    <w:p>
      <w:pPr>
        <w:pStyle w:val="ListParagraph"/>
        <w:numPr>
          <w:ilvl w:val="0"/>
          <w:numId w:val="100500170"/>
        </w:numPr>
        <w:ind w:left="360"/>
      </w:pPr>
      <w:r>
        <w:t xml:space="preserve">Zijn er afspraken met buitenlandse schuldeisers om te voorkomen dat herstelbetalingen direct in beslag worden genomen? Zo nee, bent u bereid deze vorm te geven? </w:t>
      </w:r>
      <w:r>
        <w:br/>
      </w:r>
    </w:p>
    <w:p>
      <w:pPr>
        <w:pStyle w:val="ListParagraph"/>
        <w:numPr>
          <w:ilvl w:val="0"/>
          <w:numId w:val="100500170"/>
        </w:numPr>
        <w:ind w:left="360"/>
      </w:pPr>
      <w:r>
        <w:t xml:space="preserve">U geeft in de voortgangsrapportage aan dat er wordt gewerkt aan een steunpunt waar gedupeerde ouders en getroffen jongeren terecht kunnen voor vragen over psychosociale hulp. Ligt de ontwikkeling nog steeds op schema, nu het tweede kwartaal van dit kalenderjaar snel nadert?</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100">
    <w:abstractNumId w:val="10050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