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2026Z05115</w:t>
        <w:br/>
      </w:r>
      <w:proofErr w:type="spellEnd"/>
    </w:p>
    <w:p>
      <w:pPr>
        <w:pStyle w:val="Normal"/>
        <w:rPr>
          <w:b w:val="1"/>
          <w:bCs w:val="1"/>
        </w:rPr>
      </w:pPr>
      <w:r w:rsidR="250AE766">
        <w:rPr>
          <w:b w:val="0"/>
          <w:bCs w:val="0"/>
        </w:rPr>
        <w:t>(ingezonden 13 maart 2026)</w:t>
        <w:br/>
      </w:r>
    </w:p>
    <w:p>
      <w:r>
        <w:t xml:space="preserve">Vragen van de lid Inge van Dijk en Straatman (beiden CDA) aan de ministers van Financiën en van Justitie en Veiligheid over het bericht 'Pijnlijke conclusie: peperdure maatregelen tegen witwassen niet effectief en oneerlijk'</w:t>
      </w:r>
      <w:r>
        <w:br/>
      </w:r>
    </w:p>
    <w:p>
      <w:pPr>
        <w:pStyle w:val="ListParagraph"/>
        <w:numPr>
          <w:ilvl w:val="0"/>
          <w:numId w:val="100500180"/>
        </w:numPr>
        <w:ind w:left="360"/>
      </w:pPr>
      <w:r>
        <w:t xml:space="preserve">Bent u bekend met het artikel van RTL en het achterliggende rapport van de Algemene Rekenkamer ‘Gevolgen Groot, opbrengsten onbekend’? 1)</w:t>
      </w:r>
      <w:r>
        <w:br/>
      </w:r>
    </w:p>
    <w:p>
      <w:pPr>
        <w:pStyle w:val="ListParagraph"/>
        <w:numPr>
          <w:ilvl w:val="0"/>
          <w:numId w:val="100500180"/>
        </w:numPr>
        <w:ind w:left="360"/>
      </w:pPr>
      <w:r>
        <w:t xml:space="preserve">Deelt u de hoofdconclusie van de Algemene Rekenkamer dat de huidige anti-witwasaanpak onvoldoende effectief en efficiënt is?</w:t>
      </w:r>
      <w:r>
        <w:br/>
      </w:r>
    </w:p>
    <w:p>
      <w:pPr>
        <w:pStyle w:val="ListParagraph"/>
        <w:numPr>
          <w:ilvl w:val="0"/>
          <w:numId w:val="100500180"/>
        </w:numPr>
        <w:ind w:left="360"/>
      </w:pPr>
      <w:r>
        <w:t xml:space="preserve">Kun u een inschatting maken van de jaarlijkse kosten die banken maken als gevolg van de personele inzet ter bestrijding van witwassen en hoe deze kosten doorberekend worden aan klanten? </w:t>
      </w:r>
      <w:r>
        <w:br/>
      </w:r>
    </w:p>
    <w:p>
      <w:pPr>
        <w:pStyle w:val="ListParagraph"/>
        <w:numPr>
          <w:ilvl w:val="0"/>
          <w:numId w:val="100500180"/>
        </w:numPr>
        <w:ind w:left="360"/>
      </w:pPr>
      <w:r>
        <w:t xml:space="preserve">In hoeverre acht u de genoemde kosten proportioneel in verhouding tot de effectiviteit van het beoogde doel van witwasbestrijding, mede gelet op neveneffecten zoals het risico op discriminatie, de toegenomen regeldruk voor bedrijven en verenigingen en het mogelijke afhaken van vrijwilligers waardoor maatschappelijk initiatief onder druk kan komen te staan?</w:t>
      </w:r>
      <w:r>
        <w:br/>
      </w:r>
    </w:p>
    <w:p>
      <w:pPr>
        <w:pStyle w:val="ListParagraph"/>
        <w:numPr>
          <w:ilvl w:val="0"/>
          <w:numId w:val="100500180"/>
        </w:numPr>
        <w:ind w:left="360"/>
      </w:pPr>
      <w:r>
        <w:t xml:space="preserve">Kunt u uitleggen waarom in het rapport wel de effecten van de Wet ter voorkoming van witwassen en financieren van terrorisme (Wwft) op (oud-)politici (Politically Exposed Persons, PEP’s) zijn onderzocht, maar bijvoorbeeld niet is gekeken naar de effecten op maatschappelijke organisaties zoals (sport)verenigingen, terwijl deze laatste groep ook signalen van administratieve lasten en belemmeringen meldt? 2)</w:t>
      </w:r>
      <w:r>
        <w:br/>
      </w:r>
    </w:p>
    <w:p>
      <w:pPr>
        <w:pStyle w:val="ListParagraph"/>
        <w:numPr>
          <w:ilvl w:val="0"/>
          <w:numId w:val="100500180"/>
        </w:numPr>
        <w:ind w:left="360"/>
      </w:pPr>
      <w:r>
        <w:t xml:space="preserve">Bent u bereid deze effecten op maatschappelijke organisaties alsnog te laten onderzoeken om zo een volledig beeld te krijgen van de neveneffecten?</w:t>
      </w:r>
      <w:r>
        <w:br/>
      </w:r>
    </w:p>
    <w:p>
      <w:pPr>
        <w:pStyle w:val="ListParagraph"/>
        <w:numPr>
          <w:ilvl w:val="0"/>
          <w:numId w:val="100500180"/>
        </w:numPr>
        <w:ind w:left="360"/>
      </w:pPr>
      <w:r>
        <w:t xml:space="preserve">Vindt u de huidige personele inzet bij De Nederlandsche Bank (DNB) en de Financial Intelligence Unit Nederland (FIU) proportioneel ten opzichte van de zeer grote personele inzet bij banken voor het verzamelen en melden van ongebruikelijke transacties, mede gelet op signalen dat de opvolging van deze meldingen niet altijd inzichtelijk is?</w:t>
      </w:r>
      <w:r>
        <w:br/>
      </w:r>
    </w:p>
    <w:p>
      <w:pPr>
        <w:pStyle w:val="ListParagraph"/>
        <w:numPr>
          <w:ilvl w:val="0"/>
          <w:numId w:val="100500180"/>
        </w:numPr>
        <w:ind w:left="360"/>
      </w:pPr>
      <w:r>
        <w:t xml:space="preserve">Hoe beoordeelt u de signalen dat de huidige werkwijze van de FIU ertoe leidt dat niet alle ongebruikelijke transacties worden opgepakt, dat de aanpak onvoldoende risico- en datagedreven is en dat er weinig wordt gedaan aan kwaliteitsverbetering en structurele terugkoppeling richting banken en bent u bereid hier concrete stappen op te zetten?</w:t>
      </w:r>
      <w:r>
        <w:br/>
      </w:r>
    </w:p>
    <w:p>
      <w:pPr>
        <w:pStyle w:val="ListParagraph"/>
        <w:numPr>
          <w:ilvl w:val="0"/>
          <w:numId w:val="100500180"/>
        </w:numPr>
        <w:ind w:left="360"/>
      </w:pPr>
      <w:r>
        <w:t xml:space="preserve">Klopt het dat DNB een strengere toezichtfilosofie hanteert dan toezichthouders in andere landen en dat Nederland de Europese anti-witwasregels strikter toepast, waardoor de administratieve lasten voor Nederlandse financiële instellingen hoger uitvallen?</w:t>
      </w:r>
      <w:r>
        <w:br/>
      </w:r>
    </w:p>
    <w:p>
      <w:pPr>
        <w:pStyle w:val="ListParagraph"/>
        <w:numPr>
          <w:ilvl w:val="0"/>
          <w:numId w:val="100500180"/>
        </w:numPr>
        <w:ind w:left="360"/>
      </w:pPr>
      <w:r>
        <w:t xml:space="preserve">In hoeverre hebben deze hogere compliancekosten gevolgen voor de concurrentiepositie van Nederlandse banken ten opzichte van banken in andere landen? </w:t>
      </w:r>
      <w:r>
        <w:br/>
      </w:r>
    </w:p>
    <w:p>
      <w:pPr>
        <w:pStyle w:val="ListParagraph"/>
        <w:numPr>
          <w:ilvl w:val="0"/>
          <w:numId w:val="100500180"/>
        </w:numPr>
        <w:ind w:left="360"/>
      </w:pPr>
      <w:r>
        <w:t xml:space="preserve">Hoe reflecteert u op uw rol en die van uw ministerie ten aanzien van de beperkte inhoudelijke betrokkenheid bij de effectiviteit van het toezicht van DNB en bent u bereid om het gesprek over de effectiviteit en de gevolgen van de anti-witwasaanpak structureel te verankeren in de toekomstige overlegstructuur met DNB?</w:t>
      </w:r>
      <w:r>
        <w:br/>
      </w:r>
    </w:p>
    <w:p>
      <w:pPr>
        <w:pStyle w:val="ListParagraph"/>
        <w:numPr>
          <w:ilvl w:val="0"/>
          <w:numId w:val="100500180"/>
        </w:numPr>
        <w:ind w:left="360"/>
      </w:pPr>
      <w:r>
        <w:t xml:space="preserve">Wanneer kunnen we de integrale kabinetsreactie ontvangen op het Algemene Rekenkamerrapport ‘Gevolgen Groot, opbrengsten onbekend’, inclusief een verbeterplan hoe de anti-witwasaanpak concreet meer risicogestuurd ingericht kan worden om zo de efficiëntie te verhogen?</w:t>
      </w:r>
      <w:r>
        <w:br/>
      </w:r>
    </w:p>
    <w:p>
      <w:pPr>
        <w:pStyle w:val="ListParagraph"/>
        <w:numPr>
          <w:ilvl w:val="0"/>
          <w:numId w:val="100500180"/>
        </w:numPr>
        <w:ind w:left="360"/>
      </w:pPr>
      <w:r>
        <w:t xml:space="preserve">Kan de minister erop toezien dat bovengenoemde vragen meegenomen worden in de aanstaande kabinetsreactie?  </w:t>
      </w:r>
      <w:r>
        <w:br/>
      </w:r>
    </w:p>
    <w:p>
      <w:r>
        <w:t xml:space="preserve"/>
      </w:r>
      <w:r>
        <w:rPr>
          <w:b w:val="1"/>
          <w:bCs w:val="1"/>
        </w:rPr>
        <w:t xml:space="preserve"> </w:t>
      </w:r>
      <w:r>
        <w:rPr/>
        <w:t xml:space="preserve"/>
      </w:r>
      <w:r>
        <w:br/>
      </w:r>
    </w:p>
    <w:p>
      <w:r>
        <w:t xml:space="preserve">1) RTL.nl, 12 maart 2026, https://www.rtl.nl/nieuws/economie/artikel/5576397/pijnlijke-conclusie-peperdure-maatregelen-tegen-witwassen-niet </w:t>
      </w:r>
      <w:r>
        <w:br/>
      </w:r>
    </w:p>
    <w:p>
      <w:r>
        <w:t xml:space="preserve">2) Aanhangsel Handelingen II, vergaderjaar 2024-2025, nr. 938 </w:t>
      </w:r>
      <w:r>
        <w:rPr>
          <w:u w:val="single"/>
        </w:rPr>
        <w:t xml:space="preserve">Antwoorden op Kamervragen over het bericht ‘Helft stichtingen ondervindt problemen met de bank, ‘Het systeem is doorgeslagen’' | Kamerstuk | Rijksoverheid.nl</w:t>
      </w:r>
      <w:r>
        <w:rPr/>
        <w:t xml:space="preserve"/>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100">
    <w:abstractNumId w:val="100500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